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7097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lang w:eastAsia="zh-CN"/>
        </w:rPr>
        <w:t>山东中柔新材料有限公司焚烧炉扩建项目</w:t>
      </w:r>
      <w:r>
        <w:rPr>
          <w:rFonts w:hint="default" w:ascii="Times New Roman" w:hAnsi="Times New Roman" w:eastAsia="宋体" w:cs="Times New Roman"/>
          <w:b/>
          <w:bCs/>
          <w:sz w:val="28"/>
          <w:szCs w:val="28"/>
        </w:rPr>
        <w:t>环境影响评价信息公示</w:t>
      </w:r>
    </w:p>
    <w:p w14:paraId="17C24A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w:t>
      </w:r>
      <w:r>
        <w:rPr>
          <w:rFonts w:ascii="宋体" w:hAnsi="宋体" w:eastAsia="宋体" w:cs="宋体"/>
          <w:sz w:val="24"/>
          <w:szCs w:val="24"/>
        </w:rPr>
        <w:t>《中华人民共和国生态环境法典》</w:t>
      </w:r>
      <w:r>
        <w:rPr>
          <w:rFonts w:hint="eastAsia" w:ascii="宋体" w:hAnsi="宋体" w:eastAsia="宋体" w:cs="宋体"/>
          <w:sz w:val="24"/>
          <w:szCs w:val="24"/>
          <w:lang w:eastAsia="zh-CN"/>
        </w:rPr>
        <w:t>、</w:t>
      </w:r>
      <w:r>
        <w:rPr>
          <w:rFonts w:hint="default" w:ascii="Times New Roman" w:hAnsi="Times New Roman" w:eastAsia="宋体" w:cs="Times New Roman"/>
          <w:sz w:val="24"/>
          <w:szCs w:val="24"/>
        </w:rPr>
        <w:t>《中华人民共和国环境保护法》、《中华人民共和国环境影响评价法》及《环境影响评价公众参与办法》（2018.7.16）等文件的要求，现将</w:t>
      </w:r>
      <w:r>
        <w:rPr>
          <w:rFonts w:hint="default" w:ascii="Times New Roman" w:hAnsi="Times New Roman" w:eastAsia="宋体" w:cs="Times New Roman"/>
          <w:sz w:val="24"/>
          <w:szCs w:val="24"/>
          <w:lang w:eastAsia="zh-CN"/>
        </w:rPr>
        <w:t>山东中柔新材料有限公司焚烧炉扩建项目</w:t>
      </w:r>
      <w:r>
        <w:rPr>
          <w:rFonts w:hint="default" w:ascii="Times New Roman" w:hAnsi="Times New Roman" w:eastAsia="宋体" w:cs="Times New Roman"/>
          <w:sz w:val="24"/>
          <w:szCs w:val="24"/>
        </w:rPr>
        <w:t>的环境影响评价公众参与有关信息予以公告。公告内容如下：</w:t>
      </w:r>
    </w:p>
    <w:p w14:paraId="73345E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一、现有工程及其环境保护情况</w:t>
      </w:r>
    </w:p>
    <w:p w14:paraId="185A4F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公司现有</w:t>
      </w:r>
      <w:r>
        <w:rPr>
          <w:rFonts w:hint="eastAsia" w:ascii="Times New Roman" w:hAnsi="Times New Roman" w:eastAsia="宋体" w:cs="Times New Roman"/>
          <w:sz w:val="24"/>
          <w:szCs w:val="24"/>
          <w:lang w:val="en-US" w:eastAsia="zh-CN"/>
        </w:rPr>
        <w:t>工程</w:t>
      </w:r>
      <w:r>
        <w:rPr>
          <w:rFonts w:hint="default" w:ascii="Times New Roman" w:hAnsi="Times New Roman" w:eastAsia="宋体" w:cs="Times New Roman"/>
          <w:sz w:val="24"/>
          <w:szCs w:val="24"/>
          <w:lang w:val="en-US" w:eastAsia="zh-CN"/>
        </w:rPr>
        <w:t>为</w:t>
      </w:r>
      <w:r>
        <w:rPr>
          <w:rFonts w:hint="eastAsia" w:ascii="Times New Roman" w:hAnsi="Times New Roman" w:eastAsia="宋体" w:cs="Times New Roman"/>
          <w:color w:val="auto"/>
          <w:kern w:val="2"/>
          <w:sz w:val="24"/>
          <w:szCs w:val="24"/>
          <w:lang w:val="en-US" w:eastAsia="zh-CN" w:bidi="ar-SA"/>
        </w:rPr>
        <w:t>现有项目</w:t>
      </w:r>
      <w:r>
        <w:rPr>
          <w:rFonts w:hint="eastAsia" w:cs="Times New Roman"/>
          <w:color w:val="auto"/>
          <w:kern w:val="2"/>
          <w:sz w:val="24"/>
          <w:szCs w:val="24"/>
          <w:lang w:val="en-US" w:eastAsia="zh-CN" w:bidi="ar-SA"/>
        </w:rPr>
        <w:t>包括</w:t>
      </w:r>
      <w:r>
        <w:rPr>
          <w:rFonts w:hint="eastAsia" w:ascii="Times New Roman" w:hAnsi="Times New Roman" w:eastAsia="宋体" w:cs="Times New Roman"/>
          <w:color w:val="auto"/>
          <w:kern w:val="2"/>
          <w:sz w:val="24"/>
          <w:szCs w:val="24"/>
          <w:lang w:val="en-US" w:eastAsia="zh-CN" w:bidi="ar-SA"/>
        </w:rPr>
        <w:t>“柔性屏（折叠手机电脑、卷曲屏幕）用含氟聚酰亚胺（CPI）产业化项目（一期）”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“3000吨/年六氟环氧丙烷项目”、“</w:t>
      </w:r>
      <w:r>
        <w:rPr>
          <w:rFonts w:hint="eastAsia" w:cs="Times New Roman"/>
          <w:color w:val="auto"/>
          <w:kern w:val="2"/>
          <w:sz w:val="24"/>
          <w:szCs w:val="24"/>
          <w:lang w:val="en-US" w:eastAsia="zh-CN" w:bidi="ar-SA"/>
        </w:rPr>
        <w:t>500</w:t>
      </w:r>
      <w:r>
        <w:rPr>
          <w:rFonts w:hint="eastAsia" w:ascii="Times New Roman" w:hAnsi="Times New Roman" w:eastAsia="宋体" w:cs="Times New Roman"/>
          <w:color w:val="auto"/>
          <w:kern w:val="2"/>
          <w:sz w:val="24"/>
          <w:szCs w:val="24"/>
          <w:lang w:val="en-US" w:eastAsia="zh-CN" w:bidi="ar-SA"/>
        </w:rPr>
        <w:t>吨/年PPVE项目”、“溶剂回收再利用环保项目”等</w:t>
      </w:r>
      <w:r>
        <w:rPr>
          <w:rFonts w:hint="default"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上述装置</w:t>
      </w:r>
      <w:r>
        <w:rPr>
          <w:rFonts w:hint="default" w:ascii="Times New Roman" w:hAnsi="Times New Roman" w:eastAsia="宋体" w:cs="Times New Roman"/>
          <w:sz w:val="24"/>
          <w:szCs w:val="24"/>
          <w:lang w:val="en-US" w:eastAsia="zh-CN"/>
        </w:rPr>
        <w:t>处于正常生产</w:t>
      </w:r>
      <w:r>
        <w:rPr>
          <w:rFonts w:hint="eastAsia" w:ascii="Times New Roman" w:hAnsi="Times New Roman" w:eastAsia="宋体" w:cs="Times New Roman"/>
          <w:sz w:val="24"/>
          <w:szCs w:val="24"/>
          <w:lang w:val="en-US" w:eastAsia="zh-CN"/>
        </w:rPr>
        <w:t>状态</w:t>
      </w:r>
      <w:r>
        <w:rPr>
          <w:rFonts w:hint="default" w:ascii="Times New Roman" w:hAnsi="Times New Roman" w:eastAsia="宋体" w:cs="Times New Roman"/>
          <w:sz w:val="24"/>
          <w:szCs w:val="24"/>
          <w:lang w:val="en-US" w:eastAsia="zh-CN"/>
        </w:rPr>
        <w:t>。主要产品为六氟环氧丙烷</w:t>
      </w:r>
      <w:r>
        <w:rPr>
          <w:rFonts w:hint="eastAsia" w:ascii="Times New Roman" w:hAnsi="Times New Roman" w:eastAsia="宋体" w:cs="Times New Roman"/>
          <w:sz w:val="24"/>
          <w:szCs w:val="24"/>
          <w:lang w:val="en-US" w:eastAsia="zh-CN"/>
        </w:rPr>
        <w:t>、六氟丙酮（水合物）、六氟异丙醇、三氟乙酰氟</w:t>
      </w:r>
      <w:r>
        <w:rPr>
          <w:rFonts w:hint="default" w:ascii="Times New Roman" w:hAnsi="Times New Roman" w:eastAsia="宋体" w:cs="Times New Roman"/>
          <w:sz w:val="24"/>
          <w:szCs w:val="24"/>
          <w:lang w:val="en-US" w:eastAsia="zh-CN"/>
        </w:rPr>
        <w:t>等。现有项目废水经厂区污水处理站处理后</w:t>
      </w:r>
      <w:r>
        <w:rPr>
          <w:rFonts w:hint="eastAsia" w:ascii="Times New Roman" w:hAnsi="Times New Roman" w:eastAsia="宋体" w:cs="Times New Roman"/>
          <w:sz w:val="24"/>
          <w:szCs w:val="24"/>
          <w:lang w:val="en-US" w:eastAsia="zh-CN"/>
        </w:rPr>
        <w:t>排至园区污水处理厂——</w:t>
      </w:r>
      <w:r>
        <w:rPr>
          <w:rFonts w:hint="eastAsia" w:ascii="Times New Roman" w:hAnsi="Times New Roman" w:eastAsia="宋体" w:cs="Times New Roman"/>
          <w:color w:val="auto"/>
          <w:kern w:val="2"/>
          <w:sz w:val="24"/>
          <w:szCs w:val="24"/>
          <w:lang w:val="en-US" w:eastAsia="zh-CN" w:bidi="ar-SA"/>
        </w:rPr>
        <w:t>北城污水处理厂</w:t>
      </w:r>
      <w:r>
        <w:rPr>
          <w:rFonts w:hint="default" w:ascii="Times New Roman" w:hAnsi="Times New Roman" w:eastAsia="宋体" w:cs="Times New Roman"/>
          <w:sz w:val="24"/>
          <w:szCs w:val="24"/>
          <w:lang w:val="en-US" w:eastAsia="zh-CN"/>
        </w:rPr>
        <w:t>。现有项目废气采取措施处理后均能稳定达标排放，一般固废</w:t>
      </w:r>
      <w:r>
        <w:rPr>
          <w:rFonts w:hint="default" w:ascii="Times New Roman" w:hAnsi="Times New Roman" w:eastAsia="宋体" w:cs="Times New Roman"/>
          <w:sz w:val="24"/>
          <w:szCs w:val="24"/>
        </w:rPr>
        <w:t>回收利用</w:t>
      </w:r>
      <w:r>
        <w:rPr>
          <w:rFonts w:hint="default" w:ascii="Times New Roman" w:hAnsi="Times New Roman" w:eastAsia="宋体" w:cs="Times New Roman"/>
          <w:sz w:val="24"/>
          <w:szCs w:val="24"/>
          <w:lang w:val="en-US" w:eastAsia="zh-CN"/>
        </w:rPr>
        <w:t>或者外售</w:t>
      </w:r>
      <w:r>
        <w:rPr>
          <w:rFonts w:hint="default" w:ascii="Times New Roman" w:hAnsi="Times New Roman" w:eastAsia="宋体" w:cs="Times New Roman"/>
          <w:sz w:val="24"/>
          <w:szCs w:val="24"/>
        </w:rPr>
        <w:t>，生活垃圾由环卫部门统一处理</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已建成</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处危废暂存场所，占地面积为</w:t>
      </w:r>
      <w:r>
        <w:rPr>
          <w:rFonts w:hint="eastAsia" w:ascii="Times New Roman" w:hAnsi="Times New Roman" w:eastAsia="宋体" w:cs="Times New Roman"/>
          <w:sz w:val="24"/>
          <w:szCs w:val="24"/>
          <w:lang w:val="en-US" w:eastAsia="zh-CN"/>
        </w:rPr>
        <w:t>360</w:t>
      </w:r>
      <w:r>
        <w:rPr>
          <w:rFonts w:hint="default" w:ascii="Times New Roman" w:hAnsi="Times New Roman" w:eastAsia="宋体" w:cs="Times New Roman"/>
          <w:sz w:val="24"/>
          <w:szCs w:val="24"/>
        </w:rPr>
        <w:t>m</w:t>
      </w:r>
      <w:r>
        <w:rPr>
          <w:rFonts w:hint="default" w:ascii="Times New Roman" w:hAnsi="Times New Roman" w:eastAsia="宋体" w:cs="Times New Roman"/>
          <w:sz w:val="24"/>
          <w:szCs w:val="24"/>
          <w:vertAlign w:val="superscript"/>
        </w:rPr>
        <w:t>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暂存后委托资质单位处置。</w:t>
      </w:r>
      <w:r>
        <w:rPr>
          <w:rFonts w:hint="eastAsia" w:ascii="Times New Roman" w:hAnsi="Times New Roman" w:eastAsia="宋体" w:cs="Times New Roman"/>
          <w:sz w:val="24"/>
          <w:szCs w:val="24"/>
          <w:lang w:val="en-US" w:eastAsia="zh-CN"/>
        </w:rPr>
        <w:t>现有工程环境污染防治措施有效，项目区环境质量良好。</w:t>
      </w:r>
    </w:p>
    <w:p w14:paraId="7EDA789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二、</w:t>
      </w:r>
      <w:r>
        <w:rPr>
          <w:rFonts w:hint="default" w:ascii="Times New Roman" w:hAnsi="Times New Roman" w:eastAsia="宋体" w:cs="Times New Roman"/>
          <w:b/>
          <w:bCs/>
          <w:kern w:val="0"/>
          <w:sz w:val="24"/>
          <w:szCs w:val="24"/>
          <w:lang w:val="en-US" w:eastAsia="zh-CN"/>
        </w:rPr>
        <w:t>建设项目的基本情况</w:t>
      </w:r>
    </w:p>
    <w:p w14:paraId="4ADD47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项目名称：</w:t>
      </w:r>
      <w:r>
        <w:rPr>
          <w:rFonts w:hint="default" w:ascii="Times New Roman" w:hAnsi="Times New Roman" w:eastAsia="宋体" w:cs="Times New Roman"/>
          <w:sz w:val="24"/>
          <w:szCs w:val="24"/>
          <w:lang w:eastAsia="zh-CN"/>
        </w:rPr>
        <w:t>山东中柔新材料有限公司焚烧炉扩建项目</w:t>
      </w:r>
    </w:p>
    <w:p w14:paraId="6CFE2CC7">
      <w:pPr>
        <w:keepNext w:val="0"/>
        <w:keepLines w:val="0"/>
        <w:pageBreakBefore w:val="0"/>
        <w:widowControl/>
        <w:kinsoku/>
        <w:wordWrap/>
        <w:overflowPunct/>
        <w:topLinePunct w:val="0"/>
        <w:autoSpaceDE/>
        <w:autoSpaceDN/>
        <w:bidi w:val="0"/>
        <w:adjustRightInd/>
        <w:snapToGrid/>
        <w:spacing w:before="0" w:after="0" w:line="360" w:lineRule="auto"/>
        <w:ind w:left="0" w:firstLine="480" w:firstLineChars="200"/>
        <w:jc w:val="both"/>
        <w:textAlignment w:val="auto"/>
        <w:rPr>
          <w:rFonts w:hint="default" w:ascii="Times New Roman" w:hAnsi="Times New Roman" w:eastAsia="宋体" w:cs="Times New Roman"/>
          <w:color w:val="auto"/>
          <w:w w:val="100"/>
          <w:sz w:val="24"/>
          <w:szCs w:val="24"/>
        </w:rPr>
      </w:pPr>
      <w:r>
        <w:rPr>
          <w:rFonts w:hint="default" w:ascii="Times New Roman" w:hAnsi="Times New Roman" w:eastAsia="宋体" w:cs="Times New Roman"/>
          <w:sz w:val="24"/>
          <w:szCs w:val="24"/>
        </w:rPr>
        <w:t>建设</w:t>
      </w:r>
      <w:r>
        <w:rPr>
          <w:rFonts w:hint="eastAsia" w:ascii="Times New Roman" w:hAnsi="Times New Roman" w:eastAsia="宋体" w:cs="Times New Roman"/>
          <w:sz w:val="24"/>
          <w:szCs w:val="24"/>
          <w:lang w:val="en-US" w:eastAsia="zh-CN"/>
        </w:rPr>
        <w:t>内容</w:t>
      </w:r>
      <w:r>
        <w:rPr>
          <w:rFonts w:hint="default" w:ascii="Times New Roman" w:hAnsi="Times New Roman" w:eastAsia="宋体" w:cs="Times New Roman"/>
          <w:sz w:val="24"/>
          <w:szCs w:val="24"/>
        </w:rPr>
        <w:t>：</w:t>
      </w:r>
      <w:r>
        <w:rPr>
          <w:rFonts w:hint="default" w:ascii="Times New Roman" w:hAnsi="Times New Roman" w:eastAsia="宋体" w:cs="Times New Roman"/>
          <w:color w:val="auto"/>
          <w:kern w:val="0"/>
          <w:sz w:val="24"/>
          <w:szCs w:val="24"/>
          <w:lang w:val="en-US" w:eastAsia="zh-CN"/>
        </w:rPr>
        <w:t>扩建尾气焚烧装置，占地面积170m</w:t>
      </w:r>
      <w:r>
        <w:rPr>
          <w:rFonts w:hint="eastAsia" w:ascii="Times New Roman" w:hAnsi="Times New Roman" w:eastAsia="宋体" w:cs="Times New Roman"/>
          <w:color w:val="auto"/>
          <w:kern w:val="0"/>
          <w:sz w:val="24"/>
          <w:szCs w:val="24"/>
          <w:vertAlign w:val="superscript"/>
          <w:lang w:val="en-US" w:eastAsia="zh-CN"/>
        </w:rPr>
        <w:t>2</w:t>
      </w:r>
      <w:r>
        <w:rPr>
          <w:rFonts w:hint="default" w:ascii="Times New Roman" w:hAnsi="Times New Roman" w:eastAsia="宋体" w:cs="Times New Roman"/>
          <w:color w:val="auto"/>
          <w:kern w:val="0"/>
          <w:sz w:val="24"/>
          <w:szCs w:val="24"/>
          <w:lang w:val="en-US" w:eastAsia="zh-CN"/>
        </w:rPr>
        <w:t>,主要包括废气焚烧炉、组合式燃烧器、急冷储罐，湿电除尘器等53台工艺设备，其设计最大废气、废液处理量300kg/h,项目尾气处理过程副产30%氢氟酸，年产生量1400t/a</w:t>
      </w:r>
      <w:r>
        <w:rPr>
          <w:rFonts w:hint="default" w:ascii="Times New Roman" w:hAnsi="Times New Roman" w:eastAsia="宋体" w:cs="Times New Roman"/>
          <w:color w:val="auto"/>
          <w:w w:val="100"/>
          <w:sz w:val="24"/>
          <w:szCs w:val="24"/>
        </w:rPr>
        <w:t>。</w:t>
      </w:r>
    </w:p>
    <w:p w14:paraId="71581A4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三、</w:t>
      </w:r>
      <w:r>
        <w:rPr>
          <w:rFonts w:hint="default" w:ascii="Times New Roman" w:hAnsi="Times New Roman" w:eastAsia="宋体" w:cs="Times New Roman"/>
          <w:b/>
          <w:bCs/>
          <w:kern w:val="0"/>
          <w:sz w:val="24"/>
          <w:szCs w:val="24"/>
          <w:lang w:val="en-US" w:eastAsia="zh-CN"/>
        </w:rPr>
        <w:t>建设单位的名称和联系方式</w:t>
      </w:r>
    </w:p>
    <w:p w14:paraId="2BEF6A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建设单位：</w:t>
      </w:r>
      <w:r>
        <w:rPr>
          <w:rFonts w:hint="eastAsia"/>
          <w:color w:val="000000"/>
          <w:sz w:val="24"/>
          <w:szCs w:val="24"/>
          <w:lang w:eastAsia="zh-CN"/>
        </w:rPr>
        <w:t>山东中柔新材料有限公司</w:t>
      </w:r>
    </w:p>
    <w:p w14:paraId="28F609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联系人：</w:t>
      </w:r>
      <w:r>
        <w:rPr>
          <w:rFonts w:hint="eastAsia" w:ascii="Times New Roman" w:hAnsi="Times New Roman" w:eastAsia="宋体" w:cs="Times New Roman"/>
          <w:color w:val="auto"/>
          <w:sz w:val="24"/>
          <w:szCs w:val="24"/>
          <w:lang w:val="en-US" w:eastAsia="zh-CN"/>
        </w:rPr>
        <w:t>刘向龙</w:t>
      </w:r>
      <w:r>
        <w:rPr>
          <w:rFonts w:hint="default" w:ascii="Times New Roman" w:hAnsi="Times New Roman" w:eastAsia="宋体" w:cs="Times New Roman"/>
          <w:color w:val="auto"/>
          <w:sz w:val="24"/>
          <w:szCs w:val="24"/>
        </w:rPr>
        <w:t xml:space="preserve">     联系方式：</w:t>
      </w:r>
      <w:r>
        <w:rPr>
          <w:rFonts w:hint="eastAsia" w:ascii="Times New Roman" w:hAnsi="Times New Roman" w:eastAsia="宋体" w:cs="Times New Roman"/>
          <w:color w:val="auto"/>
          <w:sz w:val="24"/>
          <w:szCs w:val="24"/>
          <w:lang w:val="en-US" w:eastAsia="zh-CN"/>
        </w:rPr>
        <w:t xml:space="preserve">189543878187 </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邮箱：</w:t>
      </w:r>
      <w:r>
        <w:rPr>
          <w:rFonts w:hint="eastAsia" w:ascii="Times New Roman" w:hAnsi="Times New Roman" w:eastAsia="宋体" w:cs="Times New Roman"/>
          <w:sz w:val="24"/>
          <w:szCs w:val="24"/>
          <w:lang w:val="en-US" w:eastAsia="zh-CN"/>
        </w:rPr>
        <w:t>sdzrrs@163.com</w:t>
      </w:r>
    </w:p>
    <w:p w14:paraId="7C95D2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联系地址：</w:t>
      </w:r>
      <w:r>
        <w:rPr>
          <w:rFonts w:hint="default" w:ascii="Times New Roman" w:hAnsi="Times New Roman" w:eastAsia="宋体" w:cs="Times New Roman"/>
          <w:sz w:val="24"/>
          <w:szCs w:val="24"/>
          <w:lang w:val="en-US" w:eastAsia="zh-CN"/>
        </w:rPr>
        <w:t>山东省滨州市滨城区滨北街道办事处凤凰六路与梧桐九路交叉路口西北角山东中柔新材料有限公司</w:t>
      </w:r>
    </w:p>
    <w:p w14:paraId="3DED328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四、</w:t>
      </w:r>
      <w:r>
        <w:rPr>
          <w:rFonts w:hint="default" w:ascii="Times New Roman" w:hAnsi="Times New Roman" w:eastAsia="宋体" w:cs="Times New Roman"/>
          <w:b/>
          <w:bCs/>
          <w:kern w:val="0"/>
          <w:sz w:val="24"/>
          <w:szCs w:val="24"/>
          <w:lang w:val="en-US" w:eastAsia="zh-CN"/>
        </w:rPr>
        <w:t>环境影响报告书编制单位的名称</w:t>
      </w:r>
    </w:p>
    <w:p w14:paraId="67A05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编制单位：</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"https://114.251.10.92/XYPT/unit/javascript:viewHomeCompanyInfoView('2657726724837488187')"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滨州时润工程咨询有限公司</w:t>
      </w:r>
      <w:r>
        <w:rPr>
          <w:rFonts w:hint="default" w:ascii="Times New Roman" w:hAnsi="Times New Roman" w:eastAsia="宋体" w:cs="Times New Roman"/>
          <w:sz w:val="24"/>
          <w:szCs w:val="24"/>
        </w:rPr>
        <w:fldChar w:fldCharType="end"/>
      </w:r>
    </w:p>
    <w:p w14:paraId="463D22C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五、</w:t>
      </w:r>
      <w:r>
        <w:rPr>
          <w:rFonts w:hint="default" w:ascii="Times New Roman" w:hAnsi="Times New Roman" w:eastAsia="宋体" w:cs="Times New Roman"/>
          <w:b/>
          <w:bCs/>
          <w:kern w:val="0"/>
          <w:sz w:val="24"/>
          <w:szCs w:val="24"/>
          <w:lang w:val="en-US" w:eastAsia="zh-CN"/>
        </w:rPr>
        <w:t>公众意见表</w:t>
      </w:r>
      <w:r>
        <w:rPr>
          <w:rFonts w:hint="eastAsia" w:ascii="Times New Roman" w:hAnsi="Times New Roman" w:eastAsia="宋体" w:cs="Times New Roman"/>
          <w:b/>
          <w:bCs/>
          <w:kern w:val="0"/>
          <w:sz w:val="24"/>
          <w:szCs w:val="24"/>
          <w:lang w:val="en-US" w:eastAsia="zh-CN"/>
        </w:rPr>
        <w:t>的网络连接</w:t>
      </w:r>
    </w:p>
    <w:p w14:paraId="02DE85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fldChar w:fldCharType="begin"/>
      </w:r>
      <w:r>
        <w:rPr>
          <w:sz w:val="24"/>
          <w:szCs w:val="24"/>
        </w:rPr>
        <w:instrText xml:space="preserve"> HYPERLINK "http://www.mee.gov.cn/xxgk2018/xxgk/xxgk01/201810/W020181024369122449069.docx" </w:instrText>
      </w:r>
      <w:r>
        <w:rPr>
          <w:sz w:val="24"/>
          <w:szCs w:val="24"/>
        </w:rPr>
        <w:fldChar w:fldCharType="separate"/>
      </w:r>
      <w:r>
        <w:rPr>
          <w:rStyle w:val="23"/>
          <w:color w:val="auto"/>
          <w:sz w:val="24"/>
          <w:szCs w:val="24"/>
        </w:rPr>
        <w:t>http://www.mee.gov.cn/xxgk2018/xxgk/xxgk01/201810/W020181024369122449069</w:t>
      </w:r>
      <w:bookmarkStart w:id="0" w:name="_Hlt49354401"/>
      <w:bookmarkStart w:id="1" w:name="_Hlt49354402"/>
      <w:r>
        <w:rPr>
          <w:rStyle w:val="23"/>
          <w:color w:val="auto"/>
          <w:sz w:val="24"/>
          <w:szCs w:val="24"/>
        </w:rPr>
        <w:t>.</w:t>
      </w:r>
      <w:bookmarkEnd w:id="0"/>
      <w:bookmarkEnd w:id="1"/>
      <w:r>
        <w:rPr>
          <w:rStyle w:val="23"/>
          <w:color w:val="auto"/>
          <w:sz w:val="24"/>
          <w:szCs w:val="24"/>
        </w:rPr>
        <w:t>docx</w:t>
      </w:r>
      <w:r>
        <w:rPr>
          <w:sz w:val="24"/>
          <w:szCs w:val="24"/>
        </w:rPr>
        <w:fldChar w:fldCharType="end"/>
      </w:r>
    </w:p>
    <w:p w14:paraId="56F4927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六、环境影响报告书征求意见稿全文网络链接及查阅纸质报告书的方式和途径</w:t>
      </w:r>
    </w:p>
    <w:p w14:paraId="7D4A49B3">
      <w:pPr>
        <w:pStyle w:val="15"/>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lang w:eastAsia="zh-CN"/>
        </w:rPr>
        <w:t>征求意见稿网络链接</w:t>
      </w:r>
    </w:p>
    <w:p w14:paraId="70E15CA1">
      <w:pPr>
        <w:pStyle w:val="15"/>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lang w:eastAsia="zh-CN"/>
        </w:rPr>
        <w:t>链接: https://pan.baidu.com/s/1lTi-lSgtaULyEhKf0Jgfww 提取码: yt8f</w:t>
      </w:r>
    </w:p>
    <w:p w14:paraId="635F0A80">
      <w:pPr>
        <w:pStyle w:val="15"/>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lang w:eastAsia="zh-CN"/>
        </w:rPr>
        <w:t>查阅纸质报告书方式和途径</w:t>
      </w:r>
    </w:p>
    <w:p w14:paraId="2384B19E">
      <w:pPr>
        <w:spacing w:line="360" w:lineRule="auto"/>
        <w:ind w:firstLine="480"/>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val="0"/>
          <w:bCs/>
          <w:color w:val="auto"/>
          <w:kern w:val="0"/>
          <w:sz w:val="24"/>
          <w:szCs w:val="24"/>
          <w:lang w:val="en-US" w:eastAsia="zh-CN"/>
        </w:rPr>
        <w:t>征求</w:t>
      </w:r>
      <w:r>
        <w:rPr>
          <w:rFonts w:hint="default" w:ascii="Times New Roman" w:hAnsi="Times New Roman" w:cs="Times New Roman"/>
          <w:b w:val="0"/>
          <w:bCs/>
          <w:color w:val="auto"/>
          <w:kern w:val="0"/>
          <w:sz w:val="24"/>
          <w:szCs w:val="24"/>
          <w:highlight w:val="none"/>
          <w:lang w:val="en-US" w:eastAsia="zh-CN"/>
        </w:rPr>
        <w:t>意见稿纸质版存放于建设单位—</w:t>
      </w:r>
      <w:r>
        <w:rPr>
          <w:rFonts w:hint="eastAsia" w:cs="Times New Roman"/>
          <w:bCs/>
          <w:caps w:val="0"/>
          <w:snapToGrid/>
          <w:color w:val="000000"/>
          <w:spacing w:val="0"/>
          <w:w w:val="100"/>
          <w:kern w:val="0"/>
          <w:position w:val="0"/>
          <w:sz w:val="24"/>
          <w:szCs w:val="24"/>
          <w:lang w:val="en-US" w:eastAsia="zh-CN"/>
        </w:rPr>
        <w:t>山东中柔新材料有限公司</w:t>
      </w:r>
      <w:r>
        <w:rPr>
          <w:rFonts w:hint="default" w:ascii="Times New Roman" w:hAnsi="Times New Roman" w:cs="Times New Roman"/>
          <w:b w:val="0"/>
          <w:bCs/>
          <w:color w:val="auto"/>
          <w:kern w:val="0"/>
          <w:sz w:val="24"/>
          <w:szCs w:val="24"/>
          <w:highlight w:val="none"/>
          <w:lang w:val="en-US" w:eastAsia="zh-CN"/>
        </w:rPr>
        <w:t>，公众可以前往以下地址进行查阅。</w:t>
      </w:r>
    </w:p>
    <w:p w14:paraId="5573C64E">
      <w:pPr>
        <w:spacing w:line="360" w:lineRule="auto"/>
        <w:ind w:firstLine="480"/>
        <w:rPr>
          <w:rFonts w:hint="default" w:ascii="Times New Roman" w:hAnsi="Times New Roman" w:cs="Times New Roman"/>
          <w:b w:val="0"/>
          <w:bCs/>
          <w:color w:val="0000FF"/>
          <w:kern w:val="0"/>
          <w:sz w:val="24"/>
          <w:szCs w:val="24"/>
          <w:highlight w:val="none"/>
          <w:lang w:val="en-US" w:eastAsia="zh-CN"/>
        </w:rPr>
      </w:pPr>
      <w:r>
        <w:rPr>
          <w:rFonts w:hint="default" w:ascii="Times New Roman" w:hAnsi="Times New Roman" w:cs="Times New Roman"/>
          <w:b w:val="0"/>
          <w:bCs/>
          <w:color w:val="auto"/>
          <w:kern w:val="0"/>
          <w:sz w:val="24"/>
          <w:szCs w:val="24"/>
          <w:highlight w:val="none"/>
          <w:lang w:val="en-US" w:eastAsia="zh-CN"/>
        </w:rPr>
        <w:t>查阅时间</w:t>
      </w:r>
      <w:r>
        <w:rPr>
          <w:rFonts w:hint="default" w:ascii="Times New Roman" w:hAnsi="Times New Roman" w:cs="Times New Roman"/>
          <w:b w:val="0"/>
          <w:bCs/>
          <w:color w:val="000000" w:themeColor="text1"/>
          <w:kern w:val="0"/>
          <w:sz w:val="24"/>
          <w:szCs w:val="24"/>
          <w:highlight w:val="none"/>
          <w:lang w:val="en-US" w:eastAsia="zh-CN"/>
          <w14:textFill>
            <w14:solidFill>
              <w14:schemeClr w14:val="tx1"/>
            </w14:solidFill>
          </w14:textFill>
        </w:rPr>
        <w:t>：2026年</w:t>
      </w:r>
      <w:r>
        <w:rPr>
          <w:rFonts w:hint="eastAsia" w:ascii="Times New Roman" w:hAnsi="Times New Roman" w:cs="Times New Roman"/>
          <w:b w:val="0"/>
          <w:bCs/>
          <w:color w:val="000000" w:themeColor="text1"/>
          <w:kern w:val="0"/>
          <w:sz w:val="24"/>
          <w:szCs w:val="24"/>
          <w:highlight w:val="none"/>
          <w:lang w:val="en-US" w:eastAsia="zh-CN"/>
          <w14:textFill>
            <w14:solidFill>
              <w14:schemeClr w14:val="tx1"/>
            </w14:solidFill>
          </w14:textFill>
        </w:rPr>
        <w:t>8</w:t>
      </w:r>
      <w:r>
        <w:rPr>
          <w:rFonts w:hint="default" w:ascii="Times New Roman" w:hAnsi="Times New Roman" w:cs="Times New Roman"/>
          <w:b w:val="0"/>
          <w:bCs/>
          <w:color w:val="000000" w:themeColor="text1"/>
          <w:kern w:val="0"/>
          <w:sz w:val="24"/>
          <w:szCs w:val="24"/>
          <w:highlight w:val="none"/>
          <w:lang w:val="en-US" w:eastAsia="zh-CN"/>
          <w14:textFill>
            <w14:solidFill>
              <w14:schemeClr w14:val="tx1"/>
            </w14:solidFill>
          </w14:textFill>
        </w:rPr>
        <w:t>月</w:t>
      </w:r>
      <w:r>
        <w:rPr>
          <w:rFonts w:hint="eastAsia" w:ascii="Times New Roman" w:hAnsi="Times New Roman" w:cs="Times New Roman"/>
          <w:b w:val="0"/>
          <w:bCs/>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cs="Times New Roman"/>
          <w:b w:val="0"/>
          <w:bCs/>
          <w:color w:val="000000" w:themeColor="text1"/>
          <w:kern w:val="0"/>
          <w:sz w:val="24"/>
          <w:szCs w:val="24"/>
          <w:highlight w:val="none"/>
          <w:lang w:val="en-US" w:eastAsia="zh-CN"/>
          <w14:textFill>
            <w14:solidFill>
              <w14:schemeClr w14:val="tx1"/>
            </w14:solidFill>
          </w14:textFill>
        </w:rPr>
        <w:t>日到2026年</w:t>
      </w:r>
      <w:r>
        <w:rPr>
          <w:rFonts w:hint="eastAsia" w:ascii="Times New Roman" w:hAnsi="Times New Roman" w:cs="Times New Roman"/>
          <w:b w:val="0"/>
          <w:bCs/>
          <w:color w:val="000000" w:themeColor="text1"/>
          <w:kern w:val="0"/>
          <w:sz w:val="24"/>
          <w:szCs w:val="24"/>
          <w:highlight w:val="none"/>
          <w:lang w:val="en-US" w:eastAsia="zh-CN"/>
          <w14:textFill>
            <w14:solidFill>
              <w14:schemeClr w14:val="tx1"/>
            </w14:solidFill>
          </w14:textFill>
        </w:rPr>
        <w:t>8</w:t>
      </w:r>
      <w:r>
        <w:rPr>
          <w:rFonts w:hint="default" w:ascii="Times New Roman" w:hAnsi="Times New Roman" w:cs="Times New Roman"/>
          <w:b w:val="0"/>
          <w:bCs/>
          <w:color w:val="000000" w:themeColor="text1"/>
          <w:kern w:val="0"/>
          <w:sz w:val="24"/>
          <w:szCs w:val="24"/>
          <w:highlight w:val="none"/>
          <w:lang w:val="en-US" w:eastAsia="zh-CN"/>
          <w14:textFill>
            <w14:solidFill>
              <w14:schemeClr w14:val="tx1"/>
            </w14:solidFill>
          </w14:textFill>
        </w:rPr>
        <w:t>月</w:t>
      </w:r>
      <w:r>
        <w:rPr>
          <w:rFonts w:hint="eastAsia" w:ascii="Times New Roman" w:hAnsi="Times New Roman" w:cs="Times New Roman"/>
          <w:b w:val="0"/>
          <w:bCs/>
          <w:color w:val="000000" w:themeColor="text1"/>
          <w:kern w:val="0"/>
          <w:sz w:val="24"/>
          <w:szCs w:val="24"/>
          <w:highlight w:val="none"/>
          <w:lang w:val="en-US" w:eastAsia="zh-CN"/>
          <w14:textFill>
            <w14:solidFill>
              <w14:schemeClr w14:val="tx1"/>
            </w14:solidFill>
          </w14:textFill>
        </w:rPr>
        <w:t>18</w:t>
      </w:r>
      <w:r>
        <w:rPr>
          <w:rFonts w:hint="default" w:ascii="Times New Roman" w:hAnsi="Times New Roman" w:cs="Times New Roman"/>
          <w:b w:val="0"/>
          <w:bCs/>
          <w:caps w:val="0"/>
          <w:color w:val="000000" w:themeColor="text1"/>
          <w:spacing w:val="0"/>
          <w:kern w:val="0"/>
          <w:sz w:val="24"/>
          <w:szCs w:val="24"/>
          <w:highlight w:val="none"/>
          <w:lang w:val="en-US" w:eastAsia="zh-CN"/>
          <w14:textFill>
            <w14:solidFill>
              <w14:schemeClr w14:val="tx1"/>
            </w14:solidFill>
          </w14:textFill>
        </w:rPr>
        <w:t>日</w:t>
      </w:r>
    </w:p>
    <w:p w14:paraId="040E8C43">
      <w:pPr>
        <w:keepNext w:val="0"/>
        <w:keepLines w:val="0"/>
        <w:pageBreakBefore w:val="0"/>
        <w:widowControl w:val="0"/>
        <w:kinsoku/>
        <w:wordWrap/>
        <w:overflowPunct/>
        <w:topLinePunct w:val="0"/>
        <w:autoSpaceDE/>
        <w:autoSpaceDN/>
        <w:bidi w:val="0"/>
        <w:adjustRightInd w:val="0"/>
        <w:snapToGrid w:val="0"/>
        <w:spacing w:line="520" w:lineRule="exact"/>
        <w:ind w:left="479" w:leftChars="228" w:firstLine="0" w:firstLineChars="0"/>
        <w:textAlignment w:val="auto"/>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val="0"/>
          <w:bCs/>
          <w:color w:val="auto"/>
          <w:kern w:val="0"/>
          <w:sz w:val="24"/>
          <w:szCs w:val="24"/>
          <w:highlight w:val="none"/>
          <w:lang w:val="en-US" w:eastAsia="zh-CN"/>
        </w:rPr>
        <w:t>工作日上午9:00-12:00，下午14:00-17:00</w:t>
      </w:r>
    </w:p>
    <w:p w14:paraId="3C0DB0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eastAsia="zh-CN"/>
        </w:rPr>
      </w:pPr>
      <w:r>
        <w:rPr>
          <w:rFonts w:hint="default" w:ascii="Times New Roman" w:hAnsi="Times New Roman" w:cs="Times New Roman"/>
          <w:b w:val="0"/>
          <w:bCs/>
          <w:color w:val="auto"/>
          <w:kern w:val="0"/>
          <w:sz w:val="24"/>
          <w:szCs w:val="24"/>
          <w:highlight w:val="none"/>
          <w:lang w:val="en-US" w:eastAsia="zh-CN"/>
        </w:rPr>
        <w:t>地址：</w:t>
      </w:r>
      <w:r>
        <w:rPr>
          <w:rFonts w:hint="default" w:ascii="Times New Roman" w:hAnsi="Times New Roman" w:eastAsia="宋体" w:cs="Times New Roman"/>
          <w:sz w:val="24"/>
          <w:szCs w:val="24"/>
          <w:lang w:val="en-US" w:eastAsia="zh-CN"/>
        </w:rPr>
        <w:t>滨城区滨北街道办事处凤凰六</w:t>
      </w:r>
      <w:bookmarkStart w:id="2" w:name="_GoBack"/>
      <w:bookmarkEnd w:id="2"/>
      <w:r>
        <w:rPr>
          <w:rFonts w:hint="default" w:ascii="Times New Roman" w:hAnsi="Times New Roman" w:eastAsia="宋体" w:cs="Times New Roman"/>
          <w:sz w:val="24"/>
          <w:szCs w:val="24"/>
          <w:lang w:val="en-US" w:eastAsia="zh-CN"/>
        </w:rPr>
        <w:t>路与梧桐九路交叉路口西北角山东中柔新材料有限公司</w:t>
      </w:r>
    </w:p>
    <w:p w14:paraId="02A7CF84">
      <w:pPr>
        <w:keepNext w:val="0"/>
        <w:keepLines w:val="0"/>
        <w:pageBreakBefore w:val="0"/>
        <w:widowControl w:val="0"/>
        <w:kinsoku/>
        <w:wordWrap/>
        <w:overflowPunct/>
        <w:topLinePunct w:val="0"/>
        <w:autoSpaceDE/>
        <w:autoSpaceDN/>
        <w:bidi w:val="0"/>
        <w:adjustRightInd w:val="0"/>
        <w:snapToGrid w:val="0"/>
        <w:spacing w:line="520" w:lineRule="exact"/>
        <w:ind w:left="479" w:leftChars="228" w:firstLine="0" w:firstLineChars="0"/>
        <w:textAlignment w:val="auto"/>
        <w:rPr>
          <w:rFonts w:hint="default" w:ascii="Times New Roman" w:hAnsi="Times New Roman" w:eastAsia="仿宋_GB2312" w:cs="Times New Roman"/>
          <w:bCs/>
          <w:kern w:val="0"/>
          <w:sz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rPr>
        <w:t>刘向龙</w:t>
      </w:r>
      <w:r>
        <w:rPr>
          <w:rFonts w:hint="default" w:ascii="Times New Roman" w:hAnsi="Times New Roman" w:eastAsia="宋体" w:cs="Times New Roman"/>
          <w:b w:val="0"/>
          <w:bCs w:val="0"/>
          <w:color w:val="auto"/>
          <w:kern w:val="0"/>
          <w:sz w:val="24"/>
          <w:szCs w:val="24"/>
          <w:highlight w:val="none"/>
          <w:lang w:val="en-US" w:eastAsia="zh-CN"/>
        </w:rPr>
        <w:t xml:space="preserve">      联系方式：</w:t>
      </w:r>
      <w:r>
        <w:rPr>
          <w:rFonts w:hint="eastAsia" w:ascii="Times New Roman" w:hAnsi="Times New Roman" w:eastAsia="宋体" w:cs="Times New Roman"/>
          <w:color w:val="auto"/>
          <w:sz w:val="24"/>
          <w:szCs w:val="24"/>
          <w:lang w:val="en-US" w:eastAsia="zh-CN"/>
        </w:rPr>
        <w:t>189543878187</w:t>
      </w:r>
    </w:p>
    <w:p w14:paraId="5F7737E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kern w:val="0"/>
          <w:sz w:val="24"/>
          <w:szCs w:val="24"/>
          <w:highlight w:val="none"/>
          <w:lang w:val="en-US" w:eastAsia="zh-CN"/>
        </w:rPr>
      </w:pPr>
      <w:r>
        <w:rPr>
          <w:rFonts w:hint="default" w:ascii="Times New Roman" w:hAnsi="Times New Roman" w:eastAsia="宋体" w:cs="Times New Roman"/>
          <w:b/>
          <w:bCs/>
          <w:kern w:val="0"/>
          <w:sz w:val="24"/>
          <w:szCs w:val="24"/>
          <w:highlight w:val="none"/>
          <w:lang w:val="en-US" w:eastAsia="zh-CN"/>
        </w:rPr>
        <w:t>七、征求意见的公众范围</w:t>
      </w:r>
    </w:p>
    <w:p w14:paraId="2970F32E">
      <w:pPr>
        <w:pStyle w:val="1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b w:val="0"/>
          <w:bCs/>
          <w:color w:val="auto"/>
          <w:kern w:val="0"/>
          <w:sz w:val="24"/>
          <w:szCs w:val="24"/>
          <w:highlight w:val="none"/>
          <w:lang w:val="en-US" w:eastAsia="zh-CN" w:bidi="ar-SA"/>
        </w:rPr>
      </w:pPr>
      <w:r>
        <w:rPr>
          <w:rFonts w:hint="default" w:ascii="Times New Roman" w:hAnsi="Times New Roman" w:eastAsia="宋体" w:cs="Times New Roman"/>
          <w:b w:val="0"/>
          <w:bCs/>
          <w:color w:val="auto"/>
          <w:kern w:val="0"/>
          <w:sz w:val="24"/>
          <w:szCs w:val="24"/>
          <w:highlight w:val="none"/>
          <w:lang w:val="en-US" w:eastAsia="zh-CN" w:bidi="ar-SA"/>
        </w:rPr>
        <w:t>厂区为中心，边长5km</w:t>
      </w:r>
      <w:r>
        <w:rPr>
          <w:rFonts w:hint="default" w:ascii="Times New Roman" w:hAnsi="Times New Roman" w:cs="Times New Roman"/>
          <w:b w:val="0"/>
          <w:bCs/>
          <w:color w:val="auto"/>
          <w:kern w:val="0"/>
          <w:sz w:val="24"/>
          <w:szCs w:val="24"/>
          <w:highlight w:val="none"/>
          <w:lang w:val="en-US" w:eastAsia="zh-CN" w:bidi="ar-SA"/>
        </w:rPr>
        <w:t>范围内公众</w:t>
      </w:r>
    </w:p>
    <w:p w14:paraId="38CFB7D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kern w:val="0"/>
          <w:sz w:val="24"/>
          <w:szCs w:val="24"/>
          <w:highlight w:val="none"/>
          <w:lang w:val="en-US" w:eastAsia="zh-CN"/>
        </w:rPr>
      </w:pPr>
      <w:r>
        <w:rPr>
          <w:rFonts w:hint="default" w:ascii="Times New Roman" w:hAnsi="Times New Roman" w:eastAsia="宋体" w:cs="Times New Roman"/>
          <w:b/>
          <w:bCs/>
          <w:kern w:val="0"/>
          <w:sz w:val="24"/>
          <w:szCs w:val="24"/>
          <w:highlight w:val="none"/>
          <w:lang w:val="en-US" w:eastAsia="zh-CN"/>
        </w:rPr>
        <w:t>八、公众意见表的网络链接</w:t>
      </w:r>
    </w:p>
    <w:p w14:paraId="7B69D060">
      <w:pPr>
        <w:pStyle w:val="1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000000"/>
          <w:kern w:val="0"/>
          <w:sz w:val="24"/>
          <w:szCs w:val="24"/>
          <w:lang w:val="en-US" w:eastAsia="zh-CN"/>
        </w:rPr>
      </w:pPr>
      <w:r>
        <w:rPr>
          <w:rFonts w:hint="default" w:ascii="Times New Roman" w:hAnsi="Times New Roman" w:cs="Times New Roman"/>
          <w:color w:val="auto"/>
          <w:kern w:val="0"/>
          <w:sz w:val="24"/>
          <w:szCs w:val="24"/>
          <w:highlight w:val="none"/>
          <w:lang w:val="en-US"/>
        </w:rPr>
        <w:fldChar w:fldCharType="begin"/>
      </w:r>
      <w:r>
        <w:rPr>
          <w:rFonts w:hint="default" w:ascii="Times New Roman" w:hAnsi="Times New Roman" w:cs="Times New Roman"/>
          <w:color w:val="auto"/>
          <w:kern w:val="0"/>
          <w:sz w:val="24"/>
          <w:szCs w:val="24"/>
          <w:highlight w:val="none"/>
          <w:lang w:val="en-US"/>
        </w:rPr>
        <w:instrText xml:space="preserve"> HYPERLINK "http://www.mee.gov.cn/xxgk2018/xxgk/xxgk01/201810/t20181024_665329.html" </w:instrText>
      </w:r>
      <w:r>
        <w:rPr>
          <w:rFonts w:hint="default" w:ascii="Times New Roman" w:hAnsi="Times New Roman" w:cs="Times New Roman"/>
          <w:color w:val="auto"/>
          <w:kern w:val="0"/>
          <w:sz w:val="24"/>
          <w:szCs w:val="24"/>
          <w:highlight w:val="none"/>
          <w:lang w:val="en-US"/>
        </w:rPr>
        <w:fldChar w:fldCharType="separate"/>
      </w:r>
      <w:r>
        <w:rPr>
          <w:rStyle w:val="22"/>
          <w:rFonts w:hint="default" w:ascii="Times New Roman" w:hAnsi="Times New Roman" w:cs="Times New Roman"/>
          <w:color w:val="auto"/>
          <w:kern w:val="0"/>
          <w:sz w:val="24"/>
          <w:szCs w:val="24"/>
          <w:highlight w:val="none"/>
          <w:lang w:val="en-US"/>
        </w:rPr>
        <w:t>http://www.mee.gov.cn/xxgk2018/xxgk/xxgk01/201810/t20181024_665329.html</w:t>
      </w:r>
      <w:r>
        <w:rPr>
          <w:rFonts w:hint="default" w:ascii="Times New Roman" w:hAnsi="Times New Roman" w:cs="Times New Roman"/>
          <w:color w:val="auto"/>
          <w:kern w:val="0"/>
          <w:sz w:val="24"/>
          <w:szCs w:val="24"/>
          <w:highlight w:val="none"/>
        </w:rPr>
        <w:fldChar w:fldCharType="end"/>
      </w:r>
      <w:r>
        <w:rPr>
          <w:rFonts w:hint="default" w:ascii="Times New Roman" w:hAnsi="Times New Roman" w:cs="Times New Roman"/>
          <w:color w:val="auto"/>
          <w:kern w:val="0"/>
          <w:sz w:val="24"/>
          <w:szCs w:val="24"/>
          <w:lang w:val="en-US"/>
        </w:rPr>
        <w:t>中附件1</w:t>
      </w:r>
      <w:r>
        <w:rPr>
          <w:rFonts w:hint="default" w:ascii="Times New Roman" w:hAnsi="Times New Roman" w:cs="Times New Roman"/>
          <w:color w:val="auto"/>
          <w:kern w:val="0"/>
          <w:sz w:val="24"/>
          <w:szCs w:val="24"/>
          <w:lang w:val="en-US" w:eastAsia="zh-CN"/>
        </w:rPr>
        <w:t>。</w:t>
      </w:r>
    </w:p>
    <w:p w14:paraId="24395E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九、公众提出意见的方式和途径</w:t>
      </w:r>
    </w:p>
    <w:p w14:paraId="4CB5CB17">
      <w:pPr>
        <w:spacing w:line="540" w:lineRule="exact"/>
        <w:ind w:firstLine="480" w:firstLineChars="200"/>
        <w:rPr>
          <w:rFonts w:hint="default" w:ascii="Times New Roman" w:hAnsi="Times New Roman" w:cs="Times New Roman"/>
          <w:kern w:val="0"/>
          <w:szCs w:val="21"/>
        </w:rPr>
      </w:pPr>
      <w:r>
        <w:rPr>
          <w:rFonts w:hint="default" w:ascii="Times New Roman" w:hAnsi="Times New Roman" w:cs="Times New Roman"/>
          <w:color w:val="000000"/>
          <w:kern w:val="0"/>
          <w:sz w:val="24"/>
          <w:szCs w:val="24"/>
        </w:rPr>
        <w:t>公众对建设项目有环境保护相关意见的应填写《建设项目环境影响评价公众意见表》（见“</w:t>
      </w:r>
      <w:r>
        <w:rPr>
          <w:rFonts w:hint="default" w:ascii="Times New Roman" w:hAnsi="Times New Roman" w:cs="Times New Roman"/>
          <w:color w:val="000000"/>
          <w:kern w:val="0"/>
          <w:sz w:val="24"/>
          <w:szCs w:val="24"/>
          <w:lang w:val="en-US" w:eastAsia="zh-CN"/>
        </w:rPr>
        <w:t>八</w:t>
      </w:r>
      <w:r>
        <w:rPr>
          <w:rFonts w:hint="default" w:ascii="Times New Roman" w:hAnsi="Times New Roman" w:cs="Times New Roman"/>
          <w:color w:val="000000"/>
          <w:kern w:val="0"/>
          <w:sz w:val="24"/>
          <w:szCs w:val="24"/>
        </w:rPr>
        <w:t>、公众意见表的网络链接”，或者附件1），可向</w:t>
      </w:r>
      <w:r>
        <w:rPr>
          <w:rFonts w:hint="eastAsia" w:cs="Times New Roman"/>
          <w:bCs/>
          <w:caps w:val="0"/>
          <w:snapToGrid/>
          <w:color w:val="000000"/>
          <w:spacing w:val="0"/>
          <w:w w:val="100"/>
          <w:kern w:val="0"/>
          <w:position w:val="0"/>
          <w:sz w:val="24"/>
          <w:szCs w:val="24"/>
          <w:lang w:val="en-US" w:eastAsia="zh-CN"/>
        </w:rPr>
        <w:t>山东中柔新材料有限公司</w:t>
      </w:r>
      <w:r>
        <w:rPr>
          <w:rFonts w:hint="default" w:ascii="Times New Roman" w:hAnsi="Times New Roman" w:cs="Times New Roman"/>
          <w:color w:val="000000"/>
          <w:kern w:val="0"/>
          <w:sz w:val="24"/>
          <w:szCs w:val="24"/>
        </w:rPr>
        <w:t>提交，提交方式为信函、打电话、发传真或发送电子邮件。</w:t>
      </w:r>
    </w:p>
    <w:p w14:paraId="4D4F347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82" w:hanging="482" w:hangingChars="200"/>
        <w:textAlignment w:val="auto"/>
        <w:rPr>
          <w:rFonts w:hint="default" w:ascii="Times New Roman" w:hAnsi="Times New Roman" w:cs="Times New Roman"/>
          <w:b/>
          <w:bCs/>
          <w:kern w:val="0"/>
          <w:sz w:val="24"/>
          <w:szCs w:val="24"/>
          <w:lang w:val="en-US" w:eastAsia="zh-CN"/>
        </w:rPr>
      </w:pPr>
      <w:r>
        <w:rPr>
          <w:rFonts w:hint="default" w:ascii="Times New Roman" w:hAnsi="Times New Roman" w:cs="Times New Roman"/>
          <w:b/>
          <w:bCs/>
          <w:kern w:val="0"/>
          <w:sz w:val="24"/>
          <w:szCs w:val="24"/>
          <w:lang w:val="en-US" w:eastAsia="zh-CN"/>
        </w:rPr>
        <w:t>公众提出意见的起止时间</w:t>
      </w:r>
    </w:p>
    <w:p w14:paraId="3A8EDF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lang w:val="en-US" w:eastAsia="zh-CN"/>
        </w:rPr>
        <w:t>自本次公告开始日起</w:t>
      </w:r>
      <w:r>
        <w:rPr>
          <w:rFonts w:hint="eastAsia" w:cs="Times New Roman"/>
          <w:kern w:val="0"/>
          <w:sz w:val="24"/>
          <w:szCs w:val="24"/>
          <w:lang w:val="en-US" w:eastAsia="zh-CN"/>
        </w:rPr>
        <w:t>10</w:t>
      </w:r>
      <w:r>
        <w:rPr>
          <w:rFonts w:hint="default" w:ascii="Times New Roman" w:hAnsi="Times New Roman" w:cs="Times New Roman"/>
          <w:kern w:val="0"/>
          <w:sz w:val="24"/>
          <w:szCs w:val="24"/>
          <w:lang w:val="en-US" w:eastAsia="zh-CN"/>
        </w:rPr>
        <w:t>个工作日内。</w:t>
      </w:r>
    </w:p>
    <w:p w14:paraId="1409FA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p w14:paraId="544C20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p w14:paraId="142808B6">
      <w:pPr>
        <w:keepNext w:val="0"/>
        <w:keepLines w:val="0"/>
        <w:pageBreakBefore w:val="0"/>
        <w:widowControl w:val="0"/>
        <w:kinsoku/>
        <w:wordWrap/>
        <w:overflowPunct/>
        <w:topLinePunct w:val="0"/>
        <w:autoSpaceDE/>
        <w:autoSpaceDN/>
        <w:bidi w:val="0"/>
        <w:adjustRightInd/>
        <w:snapToGrid/>
        <w:spacing w:line="360" w:lineRule="auto"/>
        <w:ind w:firstLine="6000" w:firstLineChars="2500"/>
        <w:textAlignment w:val="auto"/>
        <w:rPr>
          <w:rFonts w:hint="default" w:ascii="Times New Roman" w:hAnsi="Times New Roman" w:eastAsia="宋体" w:cs="Times New Roman"/>
          <w:sz w:val="24"/>
          <w:szCs w:val="24"/>
        </w:rPr>
      </w:pPr>
      <w:r>
        <w:rPr>
          <w:rFonts w:hint="eastAsia"/>
          <w:color w:val="000000"/>
          <w:sz w:val="24"/>
          <w:szCs w:val="24"/>
          <w:lang w:eastAsia="zh-CN"/>
        </w:rPr>
        <w:t>山东中柔新材料有限公司</w:t>
      </w:r>
    </w:p>
    <w:p w14:paraId="168B3997">
      <w:pPr>
        <w:keepNext w:val="0"/>
        <w:keepLines w:val="0"/>
        <w:pageBreakBefore w:val="0"/>
        <w:widowControl w:val="0"/>
        <w:kinsoku/>
        <w:wordWrap/>
        <w:overflowPunct/>
        <w:topLinePunct w:val="0"/>
        <w:autoSpaceDE/>
        <w:autoSpaceDN/>
        <w:bidi w:val="0"/>
        <w:adjustRightInd/>
        <w:snapToGrid/>
        <w:spacing w:line="360" w:lineRule="auto"/>
        <w:ind w:left="7439" w:leftChars="228" w:hanging="6960" w:hangingChars="29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202</w:t>
      </w: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年</w:t>
      </w:r>
      <w:r>
        <w:rPr>
          <w:rFonts w:hint="eastAsia"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日</w:t>
      </w:r>
    </w:p>
    <w:p w14:paraId="4E9C3F0B">
      <w:pPr>
        <w:pStyle w:val="24"/>
        <w:rPr>
          <w:rFonts w:hint="default" w:ascii="Times New Roman" w:hAnsi="Times New Roman" w:eastAsia="宋体" w:cs="Times New Roman"/>
          <w:sz w:val="24"/>
          <w:szCs w:val="24"/>
        </w:rPr>
      </w:pPr>
    </w:p>
    <w:p w14:paraId="5B20E265">
      <w:pPr>
        <w:pStyle w:val="24"/>
        <w:keepNext w:val="0"/>
        <w:keepLines w:val="0"/>
        <w:pageBreakBefore w:val="0"/>
        <w:widowControl w:val="0"/>
        <w:kinsoku/>
        <w:wordWrap/>
        <w:overflowPunct/>
        <w:topLinePunct w:val="0"/>
        <w:autoSpaceDE w:val="0"/>
        <w:autoSpaceDN w:val="0"/>
        <w:bidi w:val="0"/>
        <w:adjustRightInd w:val="0"/>
        <w:snapToGrid/>
        <w:spacing w:after="0"/>
        <w:jc w:val="center"/>
        <w:textAlignment w:val="auto"/>
        <w:rPr>
          <w:sz w:val="24"/>
          <w:szCs w:val="24"/>
        </w:rPr>
      </w:pPr>
      <w:r>
        <w:rPr>
          <w:sz w:val="24"/>
          <w:szCs w:val="24"/>
        </w:rPr>
        <w:drawing>
          <wp:inline distT="0" distB="0" distL="114300" distR="114300">
            <wp:extent cx="5935345" cy="8197850"/>
            <wp:effectExtent l="0" t="0" r="8255" b="12700"/>
            <wp:docPr id="1" name="图片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
                    <pic:cNvPicPr>
                      <a:picLocks noChangeAspect="1"/>
                    </pic:cNvPicPr>
                  </pic:nvPicPr>
                  <pic:blipFill>
                    <a:blip r:embed="rId4"/>
                    <a:srcRect l="6003" t="8589" r="5620" b="5063"/>
                    <a:stretch>
                      <a:fillRect/>
                    </a:stretch>
                  </pic:blipFill>
                  <pic:spPr>
                    <a:xfrm>
                      <a:off x="0" y="0"/>
                      <a:ext cx="5935345" cy="8197850"/>
                    </a:xfrm>
                    <a:prstGeom prst="rect">
                      <a:avLst/>
                    </a:prstGeom>
                    <a:noFill/>
                    <a:ln>
                      <a:noFill/>
                    </a:ln>
                  </pic:spPr>
                </pic:pic>
              </a:graphicData>
            </a:graphic>
          </wp:inline>
        </w:drawing>
      </w:r>
    </w:p>
    <w:p w14:paraId="5D2F7687">
      <w:pPr>
        <w:pStyle w:val="24"/>
        <w:keepNext w:val="0"/>
        <w:keepLines w:val="0"/>
        <w:pageBreakBefore w:val="0"/>
        <w:widowControl w:val="0"/>
        <w:kinsoku/>
        <w:wordWrap/>
        <w:overflowPunct/>
        <w:topLinePunct w:val="0"/>
        <w:autoSpaceDE w:val="0"/>
        <w:autoSpaceDN w:val="0"/>
        <w:bidi w:val="0"/>
        <w:adjustRightInd w:val="0"/>
        <w:snapToGrid/>
        <w:spacing w:after="0"/>
        <w:jc w:val="center"/>
        <w:textAlignment w:val="auto"/>
        <w:rPr>
          <w:rFonts w:hint="default"/>
          <w:sz w:val="24"/>
          <w:szCs w:val="24"/>
        </w:rPr>
      </w:pPr>
      <w:r>
        <w:rPr>
          <w:sz w:val="24"/>
          <w:szCs w:val="24"/>
        </w:rPr>
        <w:drawing>
          <wp:inline distT="0" distB="0" distL="114300" distR="114300">
            <wp:extent cx="5935345" cy="8227060"/>
            <wp:effectExtent l="0" t="0" r="8255" b="2540"/>
            <wp:docPr id="2" name="图片 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
                    <pic:cNvPicPr>
                      <a:picLocks noChangeAspect="1"/>
                    </pic:cNvPicPr>
                  </pic:nvPicPr>
                  <pic:blipFill>
                    <a:blip r:embed="rId5"/>
                    <a:srcRect l="5492" t="7143" r="4597" b="4797"/>
                    <a:stretch>
                      <a:fillRect/>
                    </a:stretch>
                  </pic:blipFill>
                  <pic:spPr>
                    <a:xfrm>
                      <a:off x="0" y="0"/>
                      <a:ext cx="5935345" cy="8227060"/>
                    </a:xfrm>
                    <a:prstGeom prst="rect">
                      <a:avLst/>
                    </a:prstGeom>
                    <a:noFill/>
                    <a:ln>
                      <a:noFill/>
                    </a:ln>
                  </pic:spPr>
                </pic:pic>
              </a:graphicData>
            </a:graphic>
          </wp:inline>
        </w:drawing>
      </w:r>
    </w:p>
    <w:p w14:paraId="48C7EC04">
      <w:pPr>
        <w:pStyle w:val="2"/>
        <w:rPr>
          <w:rFonts w:hint="default"/>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1795E6"/>
    <w:multiLevelType w:val="singleLevel"/>
    <w:tmpl w:val="8C1795E6"/>
    <w:lvl w:ilvl="0" w:tentative="0">
      <w:start w:val="10"/>
      <w:numFmt w:val="chineseCounting"/>
      <w:suff w:val="nothing"/>
      <w:lvlText w:val="%1、"/>
      <w:lvlJc w:val="left"/>
      <w:rPr>
        <w:rFonts w:hint="eastAsia"/>
      </w:rPr>
    </w:lvl>
  </w:abstractNum>
  <w:abstractNum w:abstractNumId="1">
    <w:nsid w:val="F899D3A3"/>
    <w:multiLevelType w:val="singleLevel"/>
    <w:tmpl w:val="F899D3A3"/>
    <w:lvl w:ilvl="0" w:tentative="0">
      <w:start w:val="1"/>
      <w:numFmt w:val="decimal"/>
      <w:suff w:val="nothing"/>
      <w:lvlText w:val="%1、"/>
      <w:lvlJc w:val="left"/>
    </w:lvl>
  </w:abstractNum>
  <w:abstractNum w:abstractNumId="2">
    <w:nsid w:val="316D3D90"/>
    <w:multiLevelType w:val="multilevel"/>
    <w:tmpl w:val="316D3D90"/>
    <w:lvl w:ilvl="0" w:tentative="0">
      <w:start w:val="4"/>
      <w:numFmt w:val="decimal"/>
      <w:pStyle w:val="6"/>
      <w:suff w:val="space"/>
      <w:lvlText w:val="%1"/>
      <w:lvlJc w:val="left"/>
      <w:pPr>
        <w:tabs>
          <w:tab w:val="left" w:pos="420"/>
        </w:tabs>
        <w:ind w:left="0" w:leftChars="0" w:firstLine="0" w:firstLineChars="0"/>
      </w:pPr>
      <w:rPr>
        <w:rFonts w:hint="default" w:ascii="宋体" w:hAnsi="宋体" w:eastAsia="宋体" w:cs="宋体"/>
      </w:rPr>
    </w:lvl>
    <w:lvl w:ilvl="1" w:tentative="0">
      <w:start w:val="1"/>
      <w:numFmt w:val="decimal"/>
      <w:pStyle w:val="7"/>
      <w:suff w:val="space"/>
      <w:lvlText w:val="%1.%2"/>
      <w:lvlJc w:val="left"/>
      <w:pPr>
        <w:tabs>
          <w:tab w:val="left" w:pos="420"/>
        </w:tabs>
        <w:ind w:left="0" w:leftChars="0" w:firstLine="0" w:firstLineChars="0"/>
      </w:pPr>
      <w:rPr>
        <w:rFonts w:hint="default" w:ascii="宋体" w:hAnsi="宋体" w:eastAsia="宋体" w:cs="宋体"/>
      </w:rPr>
    </w:lvl>
    <w:lvl w:ilvl="2" w:tentative="0">
      <w:start w:val="1"/>
      <w:numFmt w:val="decimal"/>
      <w:pStyle w:val="8"/>
      <w:suff w:val="space"/>
      <w:lvlText w:val="%1.%2.%3"/>
      <w:lvlJc w:val="left"/>
      <w:pPr>
        <w:tabs>
          <w:tab w:val="left" w:pos="420"/>
        </w:tabs>
        <w:ind w:left="0" w:leftChars="0" w:firstLine="0" w:firstLineChars="0"/>
      </w:pPr>
      <w:rPr>
        <w:rFonts w:hint="default" w:ascii="宋体" w:hAnsi="宋体" w:eastAsia="宋体" w:cs="宋体"/>
      </w:rPr>
    </w:lvl>
    <w:lvl w:ilvl="3" w:tentative="0">
      <w:start w:val="1"/>
      <w:numFmt w:val="decimal"/>
      <w:pStyle w:val="9"/>
      <w:suff w:val="space"/>
      <w:lvlText w:val="%1.%2.%3.%4"/>
      <w:lvlJc w:val="left"/>
      <w:pPr>
        <w:tabs>
          <w:tab w:val="left" w:pos="420"/>
        </w:tabs>
        <w:ind w:left="0" w:leftChars="0" w:firstLine="0" w:firstLineChars="0"/>
      </w:pPr>
      <w:rPr>
        <w:rFonts w:hint="default" w:ascii="宋体" w:hAnsi="宋体" w:eastAsia="宋体" w:cs="宋体"/>
      </w:rPr>
    </w:lvl>
    <w:lvl w:ilvl="4" w:tentative="0">
      <w:start w:val="1"/>
      <w:numFmt w:val="decimal"/>
      <w:pStyle w:val="10"/>
      <w:lvlText w:val="%1.%2.%3.%4.%5."/>
      <w:lvlJc w:val="left"/>
      <w:pPr>
        <w:ind w:left="1008" w:hanging="1008"/>
      </w:pPr>
      <w:rPr>
        <w:rFonts w:hint="default"/>
      </w:rPr>
    </w:lvl>
    <w:lvl w:ilvl="5" w:tentative="0">
      <w:start w:val="1"/>
      <w:numFmt w:val="decimal"/>
      <w:pStyle w:val="11"/>
      <w:lvlText w:val="%1.%2.%3.%4.%5.%6."/>
      <w:lvlJc w:val="left"/>
      <w:pPr>
        <w:ind w:left="1151" w:hanging="1151"/>
      </w:pPr>
      <w:rPr>
        <w:rFonts w:hint="default"/>
      </w:rPr>
    </w:lvl>
    <w:lvl w:ilvl="6" w:tentative="0">
      <w:start w:val="1"/>
      <w:numFmt w:val="decimal"/>
      <w:pStyle w:val="12"/>
      <w:lvlText w:val="%1.%2.%3.%4.%5.%6.%7."/>
      <w:lvlJc w:val="left"/>
      <w:pPr>
        <w:ind w:left="1296" w:hanging="1296"/>
      </w:pPr>
      <w:rPr>
        <w:rFonts w:hint="default"/>
      </w:rPr>
    </w:lvl>
    <w:lvl w:ilvl="7" w:tentative="0">
      <w:start w:val="1"/>
      <w:numFmt w:val="decimal"/>
      <w:pStyle w:val="13"/>
      <w:lvlText w:val="%1.%2.%3.%4.%5.%6.%7.%8."/>
      <w:lvlJc w:val="left"/>
      <w:pPr>
        <w:ind w:left="1440" w:hanging="1440"/>
      </w:pPr>
      <w:rPr>
        <w:rFonts w:hint="default"/>
      </w:rPr>
    </w:lvl>
    <w:lvl w:ilvl="8" w:tentative="0">
      <w:start w:val="1"/>
      <w:numFmt w:val="decimal"/>
      <w:pStyle w:val="14"/>
      <w:lvlText w:val="%1.%2.%3.%4.%5.%6.%7.%8.%9."/>
      <w:lvlJc w:val="left"/>
      <w:pPr>
        <w:ind w:left="1583" w:hanging="1583"/>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hZjM4MDEwM2UxZjFmYWJhMGU2MmFkNzZiNDRkMmUifQ=="/>
  </w:docVars>
  <w:rsids>
    <w:rsidRoot w:val="00000000"/>
    <w:rsid w:val="00C9699D"/>
    <w:rsid w:val="00CA4F11"/>
    <w:rsid w:val="03F91D17"/>
    <w:rsid w:val="0A80688E"/>
    <w:rsid w:val="169A7F07"/>
    <w:rsid w:val="18497C0F"/>
    <w:rsid w:val="1B7108E9"/>
    <w:rsid w:val="211C4403"/>
    <w:rsid w:val="2C671D8C"/>
    <w:rsid w:val="36DA1F6F"/>
    <w:rsid w:val="41620FA6"/>
    <w:rsid w:val="46091C94"/>
    <w:rsid w:val="46D95CE7"/>
    <w:rsid w:val="5184158D"/>
    <w:rsid w:val="5CB67764"/>
    <w:rsid w:val="60371E65"/>
    <w:rsid w:val="6B3B77B9"/>
    <w:rsid w:val="6E842A14"/>
    <w:rsid w:val="75B25640"/>
    <w:rsid w:val="7DFE32CA"/>
    <w:rsid w:val="7E5743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7">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8">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outlineLvl w:val="2"/>
    </w:pPr>
    <w:rPr>
      <w:b/>
      <w:sz w:val="32"/>
    </w:rPr>
  </w:style>
  <w:style w:type="paragraph" w:styleId="9">
    <w:name w:val="heading 4"/>
    <w:basedOn w:val="1"/>
    <w:next w:val="1"/>
    <w:link w:val="25"/>
    <w:semiHidden/>
    <w:unhideWhenUsed/>
    <w:qFormat/>
    <w:uiPriority w:val="0"/>
    <w:pPr>
      <w:keepNext/>
      <w:keepLines/>
      <w:numPr>
        <w:ilvl w:val="3"/>
        <w:numId w:val="1"/>
      </w:numPr>
      <w:tabs>
        <w:tab w:val="left" w:pos="0"/>
      </w:tabs>
      <w:adjustRightInd w:val="0"/>
      <w:snapToGrid w:val="0"/>
      <w:spacing w:before="50" w:beforeLines="50" w:line="360" w:lineRule="auto"/>
      <w:ind w:firstLineChars="0"/>
      <w:outlineLvl w:val="3"/>
    </w:pPr>
    <w:rPr>
      <w:rFonts w:ascii="Times New Roman" w:hAnsi="Times New Roman" w:eastAsia="宋体"/>
      <w:b/>
      <w:bCs/>
      <w:sz w:val="24"/>
    </w:rPr>
  </w:style>
  <w:style w:type="paragraph" w:styleId="10">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11">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12">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13">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4">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autoSpaceDE w:val="0"/>
      <w:autoSpaceDN w:val="0"/>
      <w:adjustRightInd w:val="0"/>
      <w:spacing w:after="120"/>
      <w:ind w:left="420" w:leftChars="200"/>
      <w:textAlignment w:val="baseline"/>
    </w:pPr>
    <w:rPr>
      <w:rFonts w:ascii="Times New Roman" w:hAnsi="Times New Roman" w:eastAsia="宋体" w:cs="Times New Roman"/>
      <w:szCs w:val="20"/>
    </w:rPr>
  </w:style>
  <w:style w:type="paragraph" w:customStyle="1" w:styleId="4">
    <w:name w:val="样式 正文文本缩进 + 行距: 1.5 倍行距"/>
    <w:basedOn w:val="5"/>
    <w:next w:val="1"/>
    <w:qFormat/>
    <w:uiPriority w:val="0"/>
    <w:pPr>
      <w:spacing w:after="120" w:line="360" w:lineRule="auto"/>
      <w:ind w:left="90" w:leftChars="32" w:firstLine="560" w:firstLineChars="200"/>
    </w:pPr>
    <w:rPr>
      <w:rFonts w:cs="宋体"/>
      <w:sz w:val="24"/>
    </w:rPr>
  </w:style>
  <w:style w:type="paragraph" w:customStyle="1" w:styleId="5">
    <w:name w:val="正文文本缩进1"/>
    <w:basedOn w:val="1"/>
    <w:next w:val="4"/>
    <w:qFormat/>
    <w:uiPriority w:val="0"/>
    <w:pPr>
      <w:spacing w:after="120"/>
      <w:ind w:left="420" w:leftChars="200"/>
    </w:pPr>
    <w:rPr>
      <w:sz w:val="24"/>
    </w:rPr>
  </w:style>
  <w:style w:type="paragraph" w:styleId="15">
    <w:name w:val="Body Text"/>
    <w:basedOn w:val="1"/>
    <w:qFormat/>
    <w:uiPriority w:val="0"/>
    <w:pPr>
      <w:spacing w:after="120"/>
    </w:pPr>
  </w:style>
  <w:style w:type="paragraph" w:styleId="16">
    <w:name w:val="header"/>
    <w:basedOn w:val="1"/>
    <w:next w:val="17"/>
    <w:qFormat/>
    <w:uiPriority w:val="0"/>
    <w:pPr>
      <w:pBdr>
        <w:bottom w:val="single" w:color="auto" w:sz="6" w:space="1"/>
      </w:pBdr>
      <w:tabs>
        <w:tab w:val="center" w:pos="4153"/>
        <w:tab w:val="right" w:pos="8306"/>
      </w:tabs>
      <w:snapToGrid w:val="0"/>
      <w:jc w:val="center"/>
    </w:pPr>
    <w:rPr>
      <w:sz w:val="18"/>
      <w:szCs w:val="18"/>
    </w:rPr>
  </w:style>
  <w:style w:type="paragraph" w:customStyle="1" w:styleId="17">
    <w:name w:val="样式5"/>
    <w:basedOn w:val="18"/>
    <w:next w:val="1"/>
    <w:qFormat/>
    <w:uiPriority w:val="0"/>
    <w:pPr>
      <w:widowControl w:val="0"/>
      <w:numPr>
        <w:ilvl w:val="0"/>
        <w:numId w:val="0"/>
      </w:numPr>
      <w:spacing w:before="0" w:after="312" w:afterLines="100" w:line="377" w:lineRule="auto"/>
      <w:jc w:val="both"/>
    </w:pPr>
    <w:rPr>
      <w:rFonts w:ascii="黑体" w:hAnsi="宋体" w:eastAsia="黑体"/>
      <w:b/>
      <w:sz w:val="24"/>
    </w:rPr>
  </w:style>
  <w:style w:type="paragraph" w:customStyle="1" w:styleId="18">
    <w:name w:val="正文1"/>
    <w:next w:val="1"/>
    <w:qFormat/>
    <w:uiPriority w:val="0"/>
    <w:pPr>
      <w:widowControl w:val="0"/>
      <w:adjustRightInd w:val="0"/>
      <w:spacing w:line="360" w:lineRule="atLeast"/>
      <w:textAlignment w:val="baseline"/>
    </w:pPr>
    <w:rPr>
      <w:rFonts w:ascii="宋体" w:hAnsi="宋体" w:eastAsia="宋体" w:cs="Times New Roman"/>
      <w:sz w:val="34"/>
      <w:lang w:val="en-US" w:eastAsia="zh-CN" w:bidi="ar-SA"/>
    </w:rPr>
  </w:style>
  <w:style w:type="character" w:styleId="21">
    <w:name w:val="Strong"/>
    <w:basedOn w:val="20"/>
    <w:qFormat/>
    <w:uiPriority w:val="0"/>
    <w:rPr>
      <w:b/>
    </w:rPr>
  </w:style>
  <w:style w:type="character" w:styleId="22">
    <w:name w:val="FollowedHyperlink"/>
    <w:basedOn w:val="20"/>
    <w:semiHidden/>
    <w:unhideWhenUsed/>
    <w:qFormat/>
    <w:uiPriority w:val="99"/>
    <w:rPr>
      <w:color w:val="800080"/>
      <w:u w:val="single"/>
    </w:rPr>
  </w:style>
  <w:style w:type="character" w:styleId="23">
    <w:name w:val="Hyperlink"/>
    <w:basedOn w:val="20"/>
    <w:unhideWhenUsed/>
    <w:qFormat/>
    <w:uiPriority w:val="99"/>
    <w:rPr>
      <w:color w:val="0563C1" w:themeColor="hyperlink"/>
      <w:u w:val="single"/>
      <w14:textFill>
        <w14:solidFill>
          <w14:schemeClr w14:val="hlink"/>
        </w14:solidFill>
      </w14:textFill>
    </w:rPr>
  </w:style>
  <w:style w:type="paragraph" w:customStyle="1" w:styleId="24">
    <w:name w:val="Default"/>
    <w:qFormat/>
    <w:uiPriority w:val="0"/>
    <w:pPr>
      <w:widowControl w:val="0"/>
      <w:autoSpaceDE w:val="0"/>
      <w:autoSpaceDN w:val="0"/>
      <w:adjustRightInd w:val="0"/>
      <w:spacing w:after="200" w:line="276" w:lineRule="auto"/>
    </w:pPr>
    <w:rPr>
      <w:rFonts w:ascii="华文中宋" w:eastAsia="华文中宋" w:cs="华文中宋" w:hAnsiTheme="minorHAnsi"/>
      <w:color w:val="000000"/>
      <w:sz w:val="24"/>
      <w:szCs w:val="24"/>
      <w:lang w:val="en-US" w:eastAsia="zh-CN" w:bidi="ar-SA"/>
    </w:rPr>
  </w:style>
  <w:style w:type="character" w:customStyle="1" w:styleId="25">
    <w:name w:val="标题 4 Char1"/>
    <w:link w:val="9"/>
    <w:qFormat/>
    <w:uiPriority w:val="0"/>
    <w:rPr>
      <w:rFonts w:ascii="Times New Roman" w:hAnsi="Times New Roman" w:eastAsia="宋体"/>
      <w:b/>
      <w:bCs/>
      <w:sz w:val="24"/>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1093</Words>
  <Characters>1398</Characters>
  <Lines>0</Lines>
  <Paragraphs>0</Paragraphs>
  <TotalTime>2</TotalTime>
  <ScaleCrop>false</ScaleCrop>
  <LinksUpToDate>false</LinksUpToDate>
  <CharactersWithSpaces>1520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宋智慧</cp:lastModifiedBy>
  <dcterms:modified xsi:type="dcterms:W3CDTF">2026-08-12T01:55:47Z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2B5477A36D364A938489061F0F2799D2</vt:lpwstr>
  </property>
  <property fmtid="{D5CDD505-2E9C-101B-9397-08002B2CF9AE}" pid="4" name="KSOTemplateDocerSaveRecord">
    <vt:lpwstr>eyJoZGlkIjoiM2FmYzk3Mjk5ZTIwY2Q3NTlkMjI4YmY5OTBjOGMwY2IiLCJ1c2VySWQiOiIzOTAzNzg3MjAifQ==</vt:lpwstr>
  </property>
</Properties>
</file>