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bookmarkStart w:id="8" w:name="_GoBack"/>
      <w:bookmarkEnd w:id="8"/>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val="0"/>
          <w:bCs/>
          <w:snapToGrid/>
          <w:color w:val="FF0000"/>
          <w:spacing w:val="0"/>
          <w:sz w:val="32"/>
          <w:szCs w:val="7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b/>
          <w:snapToGrid/>
          <w:color w:val="FF0000"/>
          <w:spacing w:val="0"/>
          <w:sz w:val="32"/>
          <w:szCs w:val="72"/>
        </w:rPr>
      </w:pPr>
      <w:r>
        <w:rPr>
          <w:rFonts w:hint="eastAsia" w:ascii="仿宋_GB2312" w:hAnsi="仿宋_GB2312" w:eastAsia="仿宋_GB2312"/>
          <w:b/>
          <w:snapToGrid/>
          <w:color w:val="FF0000"/>
          <w:spacing w:val="0"/>
          <w:sz w:val="32"/>
          <w:szCs w:val="88"/>
          <w:lang/>
        </w:rPr>
        <w:pict>
          <v:shape id="_x0000_s1026" o:spid="_x0000_s1026" o:spt="136" type="#_x0000_t136" style="position:absolute;left:0pt;margin-top:99.2pt;height:62.35pt;width:442.15pt;mso-position-horizontal:center;mso-position-horizontal-relative:margin;mso-position-vertical-relative:margin;z-index:251658240;mso-width-relative:page;mso-height-relative:page;" fillcolor="#FF0000" filled="t" coordsize="21600,21600" adj="10800">
            <v:path/>
            <v:fill on="t" focussize="0,0"/>
            <v:stroke color="#FF0000"/>
            <v:imagedata o:title=""/>
            <o:lock v:ext="edit" grouping="f" rotation="f" text="f" aspectratio="f"/>
            <v:textpath on="t" fitshape="t" fitpath="t" trim="t" xscale="f" string="交通运输部海事局文件" style="font-family:方正小标宋简体;font-size:28pt;v-text-align:center;"/>
          </v:shape>
        </w:pic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sz w:val="32"/>
          <w:szCs w:val="24"/>
          <w:lang w:val="en-US" w:eastAsia="zh-CN"/>
        </w:rPr>
      </w:pPr>
    </w:p>
    <w:p>
      <w:pPr>
        <w:keepNext w:val="0"/>
        <w:keepLines w:val="0"/>
        <w:pageBreakBefore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rPr>
          <w:rFonts w:hint="eastAsia" w:ascii="仿宋_GB2312" w:hAnsi="仿宋_GB2312" w:eastAsia="仿宋_GB2312"/>
          <w:snapToGrid/>
          <w:color w:val="000000"/>
          <w:spacing w:val="0"/>
        </w:rPr>
      </w:pPr>
      <w:bookmarkStart w:id="0" w:name="BKtype"/>
      <w:r>
        <w:rPr>
          <w:rFonts w:hint="eastAsia" w:ascii="仿宋_GB2312" w:hAnsi="仿宋_GB2312"/>
          <w:snapToGrid/>
          <w:color w:val="000000"/>
          <w:spacing w:val="0"/>
          <w:lang w:eastAsia="zh-CN"/>
        </w:rPr>
        <w:t>海政法</w:t>
      </w:r>
      <w:bookmarkEnd w:id="0"/>
      <w:r>
        <w:rPr>
          <w:rFonts w:hint="eastAsia" w:ascii="仿宋_GB2312" w:hAnsi="仿宋_GB2312" w:eastAsia="仿宋_GB2312"/>
          <w:snapToGrid/>
          <w:color w:val="000000"/>
          <w:spacing w:val="0"/>
        </w:rPr>
        <w:t>〔</w:t>
      </w:r>
      <w:bookmarkStart w:id="1" w:name="BKyear"/>
      <w:r>
        <w:rPr>
          <w:rFonts w:hint="eastAsia" w:ascii="仿宋_GB2312" w:hAnsi="仿宋_GB2312"/>
          <w:snapToGrid/>
          <w:color w:val="000000"/>
          <w:spacing w:val="0"/>
          <w:lang w:eastAsia="zh-CN"/>
        </w:rPr>
        <w:t>2017</w:t>
      </w:r>
      <w:bookmarkEnd w:id="1"/>
      <w:r>
        <w:rPr>
          <w:rFonts w:hint="eastAsia" w:ascii="仿宋_GB2312" w:hAnsi="仿宋_GB2312" w:eastAsia="仿宋_GB2312"/>
          <w:snapToGrid/>
          <w:color w:val="000000"/>
          <w:spacing w:val="0"/>
        </w:rPr>
        <w:t>〕</w:t>
      </w:r>
      <w:bookmarkStart w:id="2" w:name="BKnum"/>
      <w:r>
        <w:rPr>
          <w:rFonts w:hint="eastAsia" w:ascii="仿宋_GB2312" w:hAnsi="仿宋_GB2312"/>
          <w:snapToGrid/>
          <w:color w:val="000000"/>
          <w:spacing w:val="0"/>
          <w:lang w:eastAsia="zh-CN"/>
        </w:rPr>
        <w:t>224</w:t>
      </w:r>
      <w:bookmarkEnd w:id="2"/>
      <w:r>
        <w:rPr>
          <w:rFonts w:hint="eastAsia" w:ascii="仿宋_GB2312" w:hAnsi="仿宋_GB2312" w:eastAsia="仿宋_GB2312"/>
          <w:snapToGrid/>
          <w:color w:val="000000"/>
          <w:spacing w:val="0"/>
        </w:rPr>
        <w:t>号</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snapToGrid/>
          <w:color w:val="000000"/>
          <w:spacing w:val="0"/>
          <w:sz w:val="32"/>
          <w:szCs w:val="16"/>
        </w:rPr>
      </w:pPr>
      <w:r>
        <w:rPr>
          <w:rFonts w:hint="eastAsia" w:ascii="仿宋_GB2312" w:hAnsi="仿宋_GB2312" w:eastAsia="仿宋_GB2312"/>
          <w:snapToGrid/>
          <w:spacing w:val="0"/>
        </w:rPr>
        <mc:AlternateContent>
          <mc:Choice Requires="wps">
            <w:drawing>
              <wp:anchor distT="0" distB="0" distL="114300" distR="114300" simplePos="0" relativeHeight="251659264" behindDoc="0" locked="0" layoutInCell="1" allowOverlap="1">
                <wp:simplePos x="0" y="0"/>
                <wp:positionH relativeFrom="margin">
                  <wp:posOffset>19685</wp:posOffset>
                </wp:positionH>
                <wp:positionV relativeFrom="margin">
                  <wp:posOffset>3023870</wp:posOffset>
                </wp:positionV>
                <wp:extent cx="5615305" cy="635"/>
                <wp:effectExtent l="0" t="13970" r="4445" b="23495"/>
                <wp:wrapNone/>
                <wp:docPr id="1" name="直线 3"/>
                <wp:cNvGraphicFramePr/>
                <a:graphic xmlns:a="http://schemas.openxmlformats.org/drawingml/2006/main">
                  <a:graphicData uri="http://schemas.microsoft.com/office/word/2010/wordprocessingShape">
                    <wps:wsp>
                      <wps:cNvSpPr/>
                      <wps:spPr>
                        <a:xfrm>
                          <a:off x="0" y="0"/>
                          <a:ext cx="561530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5pt;margin-top:238.1pt;height:0.05pt;width:442.15pt;mso-position-horizontal-relative:margin;mso-position-vertical-relative:margin;z-index:251659264;mso-width-relative:page;mso-height-relative:page;" filled="f" stroked="t" coordsize="21600,21600" o:gfxdata="UEsDBAoAAAAAAIdO4kAAAAAAAAAAAAAAAAAEAAAAZHJzL1BLAwQUAAAACACHTuJAfoiBNdgAAAAJ&#10;AQAADwAAAGRycy9kb3ducmV2LnhtbE2PzU7DMBCE70i8g7VI3KiTtGqjEKcCBDckRPjpdRsvcdR4&#10;HcVumr49hgscZ2c08225nW0vJhp951hBukhAEDdOd9wqeH97uslB+ICssXdMCs7kYVtdXpRYaHfi&#10;V5rq0IpYwr5ABSaEoZDSN4Ys+oUbiKP35UaLIcqxlXrEUyy3vcySZC0tdhwXDA70YKg51EerYP7M&#10;78zuOdw/uo8Xc5h3tZ2ys1LXV2lyCyLQHP7C8IMf0aGKTHt3ZO1Fr2CZxqCC1WadgYh+nm9WIPa/&#10;lyXIqpT/P6i+AVBLAwQUAAAACACHTuJA6iDPU9ABAACQAwAADgAAAGRycy9lMm9Eb2MueG1srVPN&#10;jtMwEL4j8Q6W7zRpq5RV1HQPlHJBsNKyDzC1ncSS/+TxNu2z8BqcuPA4+xqM3dLl54IQOThjz+cv&#10;830zWd8erWEHFVF71/H5rOZMOeGldkPHHz7tXt1whgmcBOOd6vhJIb/dvHyxnkKrFn70RqrIiMRh&#10;O4WOjymFtqpQjMoCznxQjpK9jxYSbeNQyQgTsVtTLep6VU0+yhC9UIh0uj0n+abw970S6WPfo0rM&#10;dJxqS2WNZd3ntdqsoR0ihFGLSxnwD1VY0I4+eqXaQgL2GPUfVFaL6NH3aSa8rXzfa6GKBlIzr39T&#10;cz9CUEULmYPhahP+P1rx4XAXmZbUO84cWGrR0+cvT1+/sWX2ZgrYEuQ+3MXLDinMQo99tPlNEtix&#10;+Hm6+qmOiQk6bFbzZlk3nAnKrZZNZqyer4aI6Z3yluWg40a7LBZaOLzHdIb+gORj49jU8cVN8zoz&#10;Ag1LbyBRaAOVj24ol9EbLXfamHwF47B/YyI7ALV/t6vpudTwCyx/ZQs4nnEllWHQjgrkWydZOgUy&#10;xtEE81yDVZIzo2jgc1SQCbT5GyTJN45cyMaerczR3ssTteExRD2MZMW8VJkz1Pbi2WVE81z9vC9M&#10;zz/S5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IE12AAAAAkBAAAPAAAAAAAAAAEAIAAAACIA&#10;AABkcnMvZG93bnJldi54bWxQSwECFAAUAAAACACHTuJA6iDPU9ABAACQAwAADgAAAAAAAAABACAA&#10;AAAnAQAAZHJzL2Uyb0RvYy54bWxQSwUGAAAAAAYABgBZAQAAa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snapToGrid/>
          <w:color w:val="000000"/>
          <w:spacing w:val="0"/>
          <w:sz w:val="32"/>
          <w:szCs w:val="16"/>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仿宋_GB2312" w:hAnsi="仿宋_GB2312" w:eastAsia="仿宋_GB2312"/>
          <w:snapToGrid/>
          <w:color w:val="000000"/>
          <w:spacing w:val="0"/>
          <w:sz w:val="32"/>
          <w:szCs w:val="16"/>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b w:val="0"/>
          <w:bCs w:val="0"/>
          <w:snapToGrid/>
          <w:color w:val="000000"/>
          <w:spacing w:val="0"/>
          <w:sz w:val="44"/>
          <w:szCs w:val="44"/>
          <w:lang w:eastAsia="zh-CN"/>
        </w:rPr>
      </w:pPr>
      <w:bookmarkStart w:id="3" w:name="BKsubject"/>
      <w:r>
        <w:rPr>
          <w:rFonts w:hint="eastAsia" w:ascii="方正小标宋简体" w:hAnsi="方正小标宋简体" w:eastAsia="方正小标宋简体"/>
          <w:b w:val="0"/>
          <w:bCs w:val="0"/>
          <w:snapToGrid/>
          <w:color w:val="000000"/>
          <w:spacing w:val="0"/>
          <w:sz w:val="44"/>
          <w:szCs w:val="44"/>
          <w:lang w:eastAsia="zh-CN"/>
        </w:rPr>
        <w:t>交通运输部海事局关于印发《船舶法定检验</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仿宋" w:eastAsia="方正小标宋简体"/>
          <w:snapToGrid/>
          <w:color w:val="000000"/>
          <w:spacing w:val="0"/>
          <w:sz w:val="44"/>
          <w:szCs w:val="44"/>
          <w:lang w:eastAsia="zh-CN"/>
        </w:rPr>
      </w:pPr>
      <w:r>
        <w:rPr>
          <w:rFonts w:hint="eastAsia" w:ascii="方正小标宋简体" w:hAnsi="方正小标宋简体" w:eastAsia="方正小标宋简体"/>
          <w:b w:val="0"/>
          <w:bCs w:val="0"/>
          <w:snapToGrid/>
          <w:color w:val="000000"/>
          <w:spacing w:val="0"/>
          <w:sz w:val="44"/>
          <w:szCs w:val="44"/>
          <w:lang w:eastAsia="zh-CN"/>
        </w:rPr>
        <w:t>技术规范制定程序规定》的通知</w:t>
      </w:r>
      <w:bookmarkEnd w:id="3"/>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snapToGrid/>
          <w:spacing w:val="0"/>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textAlignment w:val="auto"/>
        <w:rPr>
          <w:rFonts w:hint="eastAsia" w:ascii="仿宋_GB2312" w:hAnsi="仿宋_GB2312" w:eastAsia="仿宋_GB2312"/>
          <w:snapToGrid/>
          <w:color w:val="000000"/>
          <w:spacing w:val="0"/>
          <w:sz w:val="16"/>
          <w:szCs w:val="16"/>
        </w:rPr>
      </w:pPr>
      <w:bookmarkStart w:id="4" w:name="BKzhusong"/>
      <w:r>
        <w:rPr>
          <w:rFonts w:hint="eastAsia" w:ascii="仿宋_GB2312" w:hAnsi="仿宋_GB2312"/>
          <w:snapToGrid/>
          <w:spacing w:val="0"/>
          <w:lang w:eastAsia="zh-CN"/>
        </w:rPr>
        <w:t>各省、自治区、直辖市地方海事局、船舶检验局，新疆生产建设兵团海事局,中国船级社，长江航务管理局，各直属海事局</w:t>
      </w:r>
      <w:bookmarkEnd w:id="4"/>
      <w:r>
        <w:rPr>
          <w:rFonts w:hint="eastAsia" w:ascii="仿宋_GB2312" w:hAnsi="仿宋_GB2312" w:eastAsia="仿宋_GB2312"/>
          <w:snapToGrid/>
          <w:spacing w:val="0"/>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right="0" w:rightChars="0"/>
        <w:jc w:val="left"/>
        <w:textAlignment w:val="auto"/>
        <w:outlineLvl w:val="9"/>
        <w:rPr>
          <w:rFonts w:hint="eastAsia" w:ascii="仿宋_GB2312" w:hAnsi="仿宋_GB2312" w:eastAsia="仿宋_GB2312"/>
          <w:sz w:val="32"/>
          <w:szCs w:val="28"/>
          <w:lang w:val="en-US" w:eastAsia="zh-CN"/>
        </w:rPr>
      </w:pPr>
      <w:bookmarkStart w:id="5" w:name="BKbody"/>
      <w:bookmarkEnd w:id="5"/>
      <w:r>
        <w:rPr>
          <w:rFonts w:hint="eastAsia" w:ascii="仿宋_GB2312" w:hAnsi="仿宋_GB2312"/>
          <w:sz w:val="32"/>
          <w:szCs w:val="28"/>
          <w:lang w:val="en-US" w:eastAsia="zh-CN"/>
        </w:rPr>
        <w:t xml:space="preserve">    现将</w:t>
      </w:r>
      <w:r>
        <w:rPr>
          <w:rFonts w:hint="eastAsia" w:ascii="仿宋_GB2312" w:hAnsi="仿宋_GB2312" w:eastAsia="仿宋_GB2312"/>
          <w:sz w:val="32"/>
          <w:szCs w:val="28"/>
          <w:lang w:val="en-US" w:eastAsia="zh-CN"/>
        </w:rPr>
        <w:t>《船舶法定检验技术规范制定程序规定》</w:t>
      </w:r>
      <w:r>
        <w:rPr>
          <w:rFonts w:hint="eastAsia" w:ascii="仿宋_GB2312" w:hAnsi="仿宋_GB2312"/>
          <w:sz w:val="32"/>
          <w:szCs w:val="28"/>
          <w:lang w:val="en-US" w:eastAsia="zh-CN"/>
        </w:rPr>
        <w:t>印发你们，请遵照执行。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32" w:firstLineChars="200"/>
        <w:jc w:val="left"/>
        <w:textAlignment w:val="auto"/>
        <w:outlineLvl w:val="9"/>
        <w:rPr>
          <w:rFonts w:hint="eastAsia" w:ascii="仿宋_GB2312" w:hAnsi="仿宋_GB2312" w:eastAsia="仿宋_GB2312"/>
          <w:sz w:val="32"/>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32" w:firstLineChars="200"/>
        <w:jc w:val="left"/>
        <w:textAlignment w:val="auto"/>
        <w:outlineLvl w:val="9"/>
        <w:rPr>
          <w:rFonts w:hint="eastAsia" w:ascii="仿宋_GB2312" w:hAnsi="仿宋_GB2312" w:eastAsia="仿宋_GB2312"/>
          <w:sz w:val="32"/>
          <w:szCs w:val="28"/>
          <w:lang w:val="en-US" w:eastAsia="zh-CN"/>
        </w:rPr>
      </w:pPr>
    </w:p>
    <w:p>
      <w:pPr>
        <w:keepNext w:val="0"/>
        <w:keepLines w:val="0"/>
        <w:pageBreakBefore w:val="0"/>
        <w:kinsoku/>
        <w:overflowPunct/>
        <w:topLinePunct w:val="0"/>
        <w:autoSpaceDE/>
        <w:autoSpaceDN/>
        <w:bidi w:val="0"/>
        <w:adjustRightInd/>
        <w:snapToGrid w:val="0"/>
        <w:spacing w:before="0" w:beforeLines="0" w:after="0" w:afterLines="0" w:line="240" w:lineRule="auto"/>
        <w:ind w:right="1282" w:rightChars="406"/>
        <w:jc w:val="right"/>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 xml:space="preserve">                      </w:t>
      </w:r>
    </w:p>
    <w:p>
      <w:pPr>
        <w:keepNext w:val="0"/>
        <w:keepLines w:val="0"/>
        <w:pageBreakBefore w:val="0"/>
        <w:kinsoku/>
        <w:overflowPunct/>
        <w:topLinePunct w:val="0"/>
        <w:autoSpaceDE/>
        <w:autoSpaceDN/>
        <w:bidi w:val="0"/>
        <w:adjustRightInd/>
        <w:snapToGrid w:val="0"/>
        <w:spacing w:before="0" w:beforeLines="0" w:after="0" w:afterLines="0" w:line="240" w:lineRule="auto"/>
        <w:ind w:right="1282" w:rightChars="406"/>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z w:val="32"/>
          <w:szCs w:val="28"/>
          <w:lang w:val="en-US" w:eastAsia="zh-CN"/>
        </w:rPr>
        <w:t xml:space="preserve"> </w:t>
      </w:r>
      <w:r>
        <w:rPr>
          <w:rFonts w:hint="eastAsia" w:ascii="仿宋_GB2312" w:hAnsi="仿宋_GB2312" w:eastAsia="仿宋_GB2312"/>
          <w:snapToGrid/>
          <w:color w:val="000000"/>
          <w:spacing w:val="0"/>
          <w:szCs w:val="28"/>
        </w:rPr>
        <w:t xml:space="preserve"> </w:t>
      </w:r>
      <w:r>
        <w:rPr>
          <w:rFonts w:hint="eastAsia" w:ascii="仿宋_GB2312" w:hAnsi="仿宋_GB2312"/>
          <w:snapToGrid/>
          <w:color w:val="000000"/>
          <w:spacing w:val="0"/>
          <w:szCs w:val="28"/>
          <w:lang w:eastAsia="zh-CN"/>
        </w:rPr>
        <w:t>交通运输部</w:t>
      </w:r>
      <w:r>
        <w:rPr>
          <w:rFonts w:hint="eastAsia" w:ascii="仿宋_GB2312" w:hAnsi="仿宋_GB2312" w:eastAsia="仿宋_GB2312"/>
          <w:snapToGrid/>
          <w:color w:val="000000"/>
          <w:spacing w:val="0"/>
          <w:szCs w:val="28"/>
          <w:lang w:eastAsia="zh-CN"/>
        </w:rPr>
        <w:t>海事局</w:t>
      </w:r>
      <w:bookmarkStart w:id="6" w:name="shuqian"/>
      <w:bookmarkEnd w:id="6"/>
      <w:r>
        <w:rPr>
          <w:rFonts w:hint="eastAsia" w:ascii="仿宋_GB2312" w:hAnsi="仿宋_GB2312" w:eastAsia="仿宋_GB2312"/>
          <w:snapToGrid/>
          <w:color w:val="000000"/>
          <w:spacing w:val="0"/>
          <w:szCs w:val="28"/>
        </w:rPr>
        <w:pict>
          <v:shape id="_x0000_s1028" o:spid="_x0000_s1028" o:spt="201" type="#_x0000_t201" style="position:absolute;left:0pt;margin-left:255.3pt;margin-top:-66.3pt;height:120.6pt;width:120.6pt;z-index:251660288;mso-width-relative:page;mso-height-relative:page;" o:ole="t" filled="f" stroked="f" coordsize="21600,21600">
            <v:path/>
            <v:fill on="f" focussize="0,0"/>
            <v:stroke on="f"/>
            <v:imagedata r:id="rId7" o:title=""/>
            <o:lock v:ext="edit" grouping="f" rotation="f" text="f" aspectratio="f"/>
          </v:shape>
          <w:control r:id="rId6" w:name="Control 4" w:shapeid="_x0000_s1028"/>
        </w:pict>
      </w:r>
    </w:p>
    <w:p>
      <w:pPr>
        <w:keepNext w:val="0"/>
        <w:keepLines w:val="0"/>
        <w:pageBreakBefore w:val="0"/>
        <w:kinsoku/>
        <w:wordWrap w:val="0"/>
        <w:overflowPunct/>
        <w:topLinePunct w:val="0"/>
        <w:autoSpaceDE/>
        <w:autoSpaceDN/>
        <w:bidi w:val="0"/>
        <w:adjustRightInd/>
        <w:snapToGrid w:val="0"/>
        <w:spacing w:before="0" w:beforeLines="0" w:after="0" w:afterLines="0" w:line="240" w:lineRule="auto"/>
        <w:ind w:right="1282" w:rightChars="406"/>
        <w:jc w:val="right"/>
        <w:textAlignment w:val="auto"/>
        <w:rPr>
          <w:rFonts w:hint="eastAsia" w:ascii="仿宋_GB2312" w:hAnsi="仿宋_GB2312" w:eastAsia="仿宋_GB2312"/>
          <w:snapToGrid/>
          <w:color w:val="000000"/>
          <w:spacing w:val="0"/>
          <w:szCs w:val="28"/>
        </w:rPr>
      </w:pPr>
      <w:r>
        <w:rPr>
          <w:rFonts w:hint="eastAsia" w:ascii="仿宋_GB2312" w:hAnsi="仿宋_GB2312" w:eastAsia="仿宋_GB2312"/>
          <w:snapToGrid/>
          <w:color w:val="000000"/>
          <w:spacing w:val="0"/>
          <w:szCs w:val="28"/>
        </w:rPr>
        <w:t xml:space="preserve"> </w:t>
      </w:r>
      <w:bookmarkStart w:id="7" w:name="BKregtime"/>
      <w:r>
        <w:rPr>
          <w:rFonts w:hint="eastAsia" w:ascii="仿宋_GB2312" w:hAnsi="仿宋_GB2312"/>
          <w:snapToGrid/>
          <w:color w:val="000000"/>
          <w:spacing w:val="0"/>
          <w:szCs w:val="28"/>
          <w:lang w:eastAsia="zh-CN"/>
        </w:rPr>
        <w:t>2017年5月8日</w:t>
      </w:r>
      <w:bookmarkEnd w:id="7"/>
    </w:p>
    <w:p>
      <w:pPr>
        <w:kinsoku/>
        <w:autoSpaceDE/>
        <w:autoSpaceDN w:val="0"/>
        <w:snapToGrid w:val="0"/>
        <w:spacing w:line="360" w:lineRule="auto"/>
        <w:jc w:val="center"/>
        <w:rPr>
          <w:rFonts w:hint="default" w:ascii="Calibri"/>
          <w:snapToGrid/>
          <w:sz w:val="32"/>
        </w:rPr>
      </w:pPr>
      <w:r>
        <w:rPr>
          <w:rFonts w:hint="default" w:ascii="方正小标宋简体" w:hAnsi="方正小标宋简体" w:eastAsia="方正小标宋简体"/>
          <w:b/>
          <w:snapToGrid/>
          <w:sz w:val="44"/>
          <w:lang w:eastAsia="zh-CN"/>
        </w:rPr>
        <w:t>船舶法定检验技术规范制定程序规定</w:t>
      </w:r>
    </w:p>
    <w:p>
      <w:pPr>
        <w:kinsoku/>
        <w:autoSpaceDE/>
        <w:autoSpaceDN w:val="0"/>
        <w:snapToGrid w:val="0"/>
        <w:spacing w:line="360" w:lineRule="auto"/>
        <w:ind w:firstLine="420"/>
        <w:jc w:val="center"/>
        <w:rPr>
          <w:rFonts w:hint="default" w:ascii="Calibri"/>
          <w:snapToGrid/>
          <w:sz w:val="32"/>
        </w:rPr>
      </w:pPr>
      <w:r>
        <w:rPr>
          <w:rFonts w:hint="default" w:ascii="黑体" w:hAnsi="黑体" w:eastAsia="黑体"/>
          <w:b/>
          <w:snapToGrid/>
          <w:sz w:val="32"/>
          <w:lang w:eastAsia="zh-CN"/>
        </w:rPr>
        <w:t>第一章 总则</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第一条  </w:t>
      </w:r>
      <w:r>
        <w:rPr>
          <w:rFonts w:hint="eastAsia" w:ascii="仿宋_GB2312" w:hAnsi="仿宋_GB2312" w:eastAsia="仿宋_GB2312"/>
          <w:snapToGrid/>
          <w:sz w:val="32"/>
          <w:lang w:eastAsia="zh-CN"/>
        </w:rPr>
        <w:t>为加强船舶法定检验技术规范（以下简称“船检技术法规”）体系建设，提高船检技术法规的质量和水平，规范船检技术法规制定程序，根据《中华人民共和国船舶和海上设施检验条例》《船舶检验管理规定》等有关规定，制定本规定。</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第二条  </w:t>
      </w:r>
      <w:r>
        <w:rPr>
          <w:rFonts w:hint="eastAsia" w:ascii="仿宋_GB2312" w:hAnsi="仿宋_GB2312" w:eastAsia="仿宋_GB2312"/>
          <w:snapToGrid/>
          <w:sz w:val="32"/>
          <w:lang w:eastAsia="zh-CN"/>
        </w:rPr>
        <w:t>本规定所称的船检技术法规系指由交通运输部海事局（以下简称“部海事局”）制定、经交通运输部批准后公布施行的包括与船舶、水上设施、船用产品、船运货物集装箱相关的涉及安全航行、安全作业及水域环境污染保护的检验制度、安全标准和检验规程等。</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第三条  </w:t>
      </w:r>
      <w:r>
        <w:rPr>
          <w:rFonts w:hint="eastAsia" w:ascii="仿宋_GB2312" w:hAnsi="仿宋_GB2312" w:eastAsia="仿宋_GB2312"/>
          <w:snapToGrid/>
          <w:sz w:val="32"/>
          <w:lang w:eastAsia="zh-CN"/>
        </w:rPr>
        <w:t>部海事局负责船检技术法规的立项、组织起草、征求意见、专家评审、审查、审定、报批、公布、解释、评估和修定。</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第四条  </w:t>
      </w:r>
      <w:r>
        <w:rPr>
          <w:rFonts w:hint="eastAsia" w:ascii="仿宋_GB2312" w:hAnsi="仿宋_GB2312" w:eastAsia="仿宋_GB2312"/>
          <w:snapToGrid/>
          <w:sz w:val="32"/>
          <w:lang w:eastAsia="zh-CN"/>
        </w:rPr>
        <w:t>船检技术法规制定和修定应当遵循下列原则：</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（一）适应和促进国家造船和航运技术发展；</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（二）适应和满足水上交通安全和水域环境保护需要；</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（三）符合交通水路和海事法律法规体系的要求。</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第五条  </w:t>
      </w:r>
      <w:r>
        <w:rPr>
          <w:rFonts w:hint="eastAsia" w:ascii="仿宋_GB2312" w:hAnsi="仿宋_GB2312" w:eastAsia="仿宋_GB2312"/>
          <w:snapToGrid/>
          <w:sz w:val="32"/>
          <w:lang w:eastAsia="zh-CN"/>
        </w:rPr>
        <w:t>本规定适用于船检技术法规制定和修定工作，包括立项、起草、征求意见、专家评审、审查、审定、批准、公布、备案、解释、评估和修定等。</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第二章  立项</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第六条  </w:t>
      </w:r>
      <w:r>
        <w:rPr>
          <w:rFonts w:hint="eastAsia" w:ascii="仿宋_GB2312" w:hAnsi="仿宋_GB2312" w:eastAsia="仿宋_GB2312"/>
          <w:snapToGrid/>
          <w:sz w:val="32"/>
          <w:lang w:eastAsia="zh-CN"/>
        </w:rPr>
        <w:t>中国船级社、各省级船舶检验机构、省级地方海事管理机构和直属海事管理机构等单位，根据实际工作需要和船检技术法规评估结果，可于每年6月底前向部海事局提出立项建议。</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船舶设计（研究）单位、船舶（产品）制造商、航运企业及其他社会组织和个人也可向部海事局提出立项建议。</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报送立项建议时，应当填写船检技术法规立项建议书（见附件1），说明制定或者修定船检技术法规的背景、必要性、紧迫性以及需要解决的主要问题等。</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第七条  </w:t>
      </w:r>
      <w:r>
        <w:rPr>
          <w:rFonts w:hint="eastAsia" w:ascii="仿宋_GB2312" w:hAnsi="仿宋_GB2312" w:eastAsia="仿宋_GB2312"/>
          <w:snapToGrid/>
          <w:sz w:val="32"/>
          <w:lang w:eastAsia="zh-CN"/>
        </w:rPr>
        <w:t>部海事局根据立项建议和实际工作需要，制定立项计划并向社会公布。立项计划分为三年立项规划和年度立项计划。</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立项计划是开展船检技术法规制定工作的依据。编制立项计划应当明确船检技术法规名称、制定依据，拟解决的主要问题、起草单位、完成时间以及其他需要说明的事项等。</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第八条  </w:t>
      </w:r>
      <w:r>
        <w:rPr>
          <w:rFonts w:hint="eastAsia" w:ascii="仿宋_GB2312" w:hAnsi="仿宋_GB2312" w:eastAsia="仿宋_GB2312"/>
          <w:snapToGrid/>
          <w:sz w:val="32"/>
          <w:lang w:eastAsia="zh-CN"/>
        </w:rPr>
        <w:t>船检技术法规制定工作应当按照立项计划组织实施。如有必要，部海事局可对立项计划进行调整。</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第三章 起草</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第九条  </w:t>
      </w:r>
      <w:r>
        <w:rPr>
          <w:rFonts w:hint="eastAsia" w:ascii="仿宋_GB2312" w:hAnsi="仿宋_GB2312" w:eastAsia="仿宋_GB2312"/>
          <w:snapToGrid/>
          <w:sz w:val="32"/>
          <w:lang w:eastAsia="zh-CN"/>
        </w:rPr>
        <w:t>部海事局委托中国船级社等单位或组织有关单位负责船检技术法规的起草工作。负责起草的单位（以下简称“起草单位”）应当安排适任的人员从事船检技术法规的编制起草工作，并对起草过程进行质量控制。</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第十条  </w:t>
      </w:r>
      <w:r>
        <w:rPr>
          <w:rFonts w:hint="eastAsia" w:ascii="仿宋_GB2312" w:hAnsi="仿宋_GB2312" w:eastAsia="仿宋_GB2312"/>
          <w:snapToGrid/>
          <w:sz w:val="32"/>
          <w:lang w:eastAsia="zh-CN"/>
        </w:rPr>
        <w:t>起草单位应当编制实施计划，实施计划至少包括主要研究内容及进度安排。实施计划应当于任务委托后3个月内报部海事局备案。</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第十一条  </w:t>
      </w:r>
      <w:r>
        <w:rPr>
          <w:rFonts w:hint="eastAsia" w:ascii="仿宋_GB2312" w:hAnsi="仿宋_GB2312" w:eastAsia="仿宋_GB2312"/>
          <w:snapToGrid/>
          <w:sz w:val="32"/>
          <w:lang w:eastAsia="zh-CN"/>
        </w:rPr>
        <w:t>起草单位应当根据实施计划，严格按进度推进项目实施。</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第十二条  </w:t>
      </w:r>
      <w:r>
        <w:rPr>
          <w:rFonts w:hint="eastAsia" w:ascii="仿宋_GB2312" w:hAnsi="仿宋_GB2312" w:eastAsia="仿宋_GB2312"/>
          <w:snapToGrid/>
          <w:sz w:val="32"/>
          <w:lang w:eastAsia="zh-CN"/>
        </w:rPr>
        <w:t>起草单位应当深入调查研究，总结实践经验，开展相关的技术研究工作。</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起草单位可采用现场调研、事故分析、问卷调查、专题研讨、风险评估、理论评估和分析等方式进行专题研究。</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第十三条  </w:t>
      </w:r>
      <w:r>
        <w:rPr>
          <w:rFonts w:hint="eastAsia" w:ascii="仿宋_GB2312" w:hAnsi="仿宋_GB2312" w:eastAsia="仿宋_GB2312"/>
          <w:snapToGrid/>
          <w:sz w:val="32"/>
          <w:lang w:eastAsia="zh-CN"/>
        </w:rPr>
        <w:t>起草单位完成船检技术法规征求意见稿时应当编制相应的编写说明，编写说明包括任务来源、编制原则、编制过程及主要技术条款说明等，并及时向部海事局报送船检技术法规征求意见稿及其编写说明。</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第四章  征求意见与专家评审</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第十四条 </w:t>
      </w:r>
      <w:r>
        <w:rPr>
          <w:rFonts w:hint="eastAsia" w:ascii="仿宋_GB2312" w:hAnsi="仿宋_GB2312" w:eastAsia="仿宋_GB2312"/>
          <w:snapToGrid/>
          <w:sz w:val="32"/>
          <w:lang w:eastAsia="zh-CN"/>
        </w:rPr>
        <w:t>部海事局以局函形式向船舶设计单位、船舶（产品）制造商、航运企业、船舶检验机构、海事管理机构、高等院校、科研院所和有关社会团体、工会等征求意见，并可在部海事局网站上向社会公开征求意见。征求意见的时间一般不少于15个工作日。必要时，部海事局可以组织召开座谈会、论证会、听证会和审查会等，充分听取意见，研究论证，提出修改意见和建议，反馈给起草单位。</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第十五条  </w:t>
      </w:r>
      <w:r>
        <w:rPr>
          <w:rFonts w:hint="eastAsia" w:ascii="仿宋_GB2312" w:hAnsi="仿宋_GB2312" w:eastAsia="仿宋_GB2312"/>
          <w:snapToGrid/>
          <w:sz w:val="32"/>
          <w:lang w:eastAsia="zh-CN"/>
        </w:rPr>
        <w:t>起草单位应当认真研究处理反馈意见和建议，编制意见汇总和处理表，并对征求意见稿进行相应修改，形成船检技术法规评审稿；未采纳的意见和建议应当说明理由。</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第十六条  </w:t>
      </w:r>
      <w:r>
        <w:rPr>
          <w:rFonts w:hint="eastAsia" w:ascii="仿宋_GB2312" w:hAnsi="仿宋_GB2312" w:eastAsia="仿宋_GB2312"/>
          <w:snapToGrid/>
          <w:sz w:val="32"/>
          <w:lang w:eastAsia="zh-CN"/>
        </w:rPr>
        <w:t>起草单位应当在专家评审会前，向部海事局提交意见汇总和处理表以及船检技术法规评审稿。必要时，对有较大争议的问题进行协商。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第十七条  </w:t>
      </w:r>
      <w:r>
        <w:rPr>
          <w:rFonts w:hint="eastAsia" w:ascii="仿宋_GB2312" w:hAnsi="仿宋_GB2312" w:eastAsia="仿宋_GB2312"/>
          <w:snapToGrid/>
          <w:sz w:val="32"/>
          <w:lang w:eastAsia="zh-CN"/>
        </w:rPr>
        <w:t>部海事局按《船检技术法规评审专家库管理办法》（见附件2）建立和管理船检技术法规评审专家库。评审专家库一般由海事管理、船舶检验、航运企业、高等院校、科研院所和船舶设计、船舶制造、产品制造、航运金融及保险等行业的专家组成。</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第十八条  </w:t>
      </w:r>
      <w:r>
        <w:rPr>
          <w:rFonts w:hint="eastAsia" w:ascii="仿宋_GB2312" w:hAnsi="仿宋_GB2312" w:eastAsia="仿宋_GB2312"/>
          <w:snapToGrid/>
          <w:sz w:val="32"/>
          <w:lang w:eastAsia="zh-CN"/>
        </w:rPr>
        <w:t>专家评审会由部海事局相关职能处室负责人主持，起草单位具体承办。评审会专家原则上从专家库选取，并具有广泛的代表性。起草单位应当将船检技术法规评审稿、意见汇总和处理表提交专家评审会评审。起草单位应当在专家评审会召开之前将相关评审材料提供给专家审阅。</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第十九条  </w:t>
      </w:r>
      <w:r>
        <w:rPr>
          <w:rFonts w:hint="eastAsia" w:ascii="仿宋_GB2312" w:hAnsi="仿宋_GB2312" w:eastAsia="仿宋_GB2312"/>
          <w:snapToGrid/>
          <w:sz w:val="32"/>
          <w:lang w:eastAsia="zh-CN"/>
        </w:rPr>
        <w:t>起草单位应当根据专家的评审意见和建议，对船检技术法规评审稿进行修改完善，完成评审会意见落实情况表、船检技术法规报送稿及报送稿编写说明。</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第五章  审查、审定、批准与公布</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第二十条  </w:t>
      </w:r>
      <w:r>
        <w:rPr>
          <w:rFonts w:hint="eastAsia" w:ascii="仿宋_GB2312" w:hAnsi="仿宋_GB2312" w:eastAsia="仿宋_GB2312"/>
          <w:snapToGrid/>
          <w:sz w:val="32"/>
          <w:lang w:eastAsia="zh-CN"/>
        </w:rPr>
        <w:t>船检技术法规经专家评审通过后，起草单位应当向部海事局报送下列材料（含电子文本）：</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（一）起草单位的报送文件；</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（二）船检技术法规报送稿；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（三）船检技术法规报送稿编写说明；</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（四）船检技术法规意见汇总和处理表；</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（五）专家评审会资料，主要包括：船检技术法规评审稿、专家评审会会议纪要和评审会意见落实情况表；</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（六）涉及的研究报告或者相关资料（如有时）；</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（七）其它要求的资料。</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第二十一条  </w:t>
      </w:r>
      <w:r>
        <w:rPr>
          <w:rFonts w:hint="eastAsia" w:ascii="仿宋_GB2312" w:hAnsi="仿宋_GB2312" w:eastAsia="仿宋_GB2312"/>
          <w:snapToGrid/>
          <w:sz w:val="32"/>
          <w:lang w:eastAsia="zh-CN"/>
        </w:rPr>
        <w:t>部海事局成立船检技术法规审查组或者委托直属海事管理机构，从以下方面对船检技术法规报送材料进行审查：</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 xml:space="preserve">（一）船检技术法规是否与有关法律、法规、规章及其他管理规定衔接、协调； </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（二）船检技术法规制定程序是否符合本规定的要求；</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（三）起草单位报送的材料是否齐备；</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（四）专家评审会意见是否有效处理；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（五）需要审查的其他内容。</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审查工作应当在30个工作日内完成，并出具审查意见。</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第二十二条  </w:t>
      </w:r>
      <w:r>
        <w:rPr>
          <w:rFonts w:hint="eastAsia" w:ascii="仿宋_GB2312" w:hAnsi="仿宋_GB2312" w:eastAsia="仿宋_GB2312"/>
          <w:snapToGrid/>
          <w:sz w:val="32"/>
          <w:lang w:eastAsia="zh-CN"/>
        </w:rPr>
        <w:t>部海事局组织起草单位根据审查意见修改完善报送材料，形成船检技术法规报批稿。</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第二十三条  </w:t>
      </w:r>
      <w:r>
        <w:rPr>
          <w:rFonts w:hint="eastAsia" w:ascii="仿宋_GB2312" w:hAnsi="仿宋_GB2312" w:eastAsia="仿宋_GB2312"/>
          <w:snapToGrid/>
          <w:sz w:val="32"/>
          <w:lang w:eastAsia="zh-CN"/>
        </w:rPr>
        <w:t>船检技术法规报批稿经部海事局审定后报交通运输部批准。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第二十四条  </w:t>
      </w:r>
      <w:r>
        <w:rPr>
          <w:rFonts w:hint="eastAsia" w:ascii="仿宋_GB2312" w:hAnsi="仿宋_GB2312" w:eastAsia="仿宋_GB2312"/>
          <w:snapToGrid/>
          <w:sz w:val="32"/>
          <w:lang w:eastAsia="zh-CN"/>
        </w:rPr>
        <w:t>经批准的船检技术法规由部海事局公布实施。</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新制定和改版的船检技术法规至少应当在生效日期6个月前公布，修改和更正的船检技术法规至少应当在生效日期1个月前公布。</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第二十五条  </w:t>
      </w:r>
      <w:r>
        <w:rPr>
          <w:rFonts w:hint="eastAsia" w:ascii="仿宋_GB2312" w:hAnsi="仿宋_GB2312" w:eastAsia="仿宋_GB2312"/>
          <w:snapToGrid/>
          <w:sz w:val="32"/>
          <w:lang w:eastAsia="zh-CN"/>
        </w:rPr>
        <w:t>船检技术法规中引用或者接受的中国船级社规范和其他组织的标准，应当经部海事局认可后公布。对于中国船级社规范的认可，按《部海事局关于船检技术法规中接受中国船级社规范的认可办法》（见附件3）实施；对其他组织标准的认可办法，由部海事局另行发布。</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第六章  解释、评估与修定</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第二十六条  </w:t>
      </w:r>
      <w:r>
        <w:rPr>
          <w:rFonts w:hint="eastAsia" w:ascii="仿宋_GB2312" w:hAnsi="仿宋_GB2312" w:eastAsia="仿宋_GB2312"/>
          <w:snapToGrid/>
          <w:sz w:val="32"/>
          <w:lang w:eastAsia="zh-CN"/>
        </w:rPr>
        <w:t>船检技术法规由部海事局负责解释。</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第二十七条  </w:t>
      </w:r>
      <w:r>
        <w:rPr>
          <w:rFonts w:hint="eastAsia" w:ascii="仿宋_GB2312" w:hAnsi="仿宋_GB2312" w:eastAsia="仿宋_GB2312"/>
          <w:snapToGrid/>
          <w:sz w:val="32"/>
          <w:lang w:eastAsia="zh-CN"/>
        </w:rPr>
        <w:t>船检技术法规评估工作按《船检技术法规后评估实施办法》（见附件4）实施。</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第二十八条  </w:t>
      </w:r>
      <w:r>
        <w:rPr>
          <w:rFonts w:hint="eastAsia" w:ascii="仿宋_GB2312" w:hAnsi="仿宋_GB2312" w:eastAsia="仿宋_GB2312"/>
          <w:snapToGrid/>
          <w:sz w:val="32"/>
          <w:lang w:eastAsia="zh-CN"/>
        </w:rPr>
        <w:t>船检技术法规的修定包括改版、修改和更正。改版是对船检技术法规的全面修定，修改是对船检技术法规的局部内容修定，更正是对船检技术法规文字勘误和引用标准名称或者年号的改变。</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第二十九条  </w:t>
      </w:r>
      <w:r>
        <w:rPr>
          <w:rFonts w:hint="eastAsia" w:ascii="仿宋_GB2312" w:hAnsi="仿宋_GB2312" w:eastAsia="仿宋_GB2312"/>
          <w:snapToGrid/>
          <w:sz w:val="32"/>
          <w:lang w:eastAsia="zh-CN"/>
        </w:rPr>
        <w:t>船检技术法规的改版和修改按本规定的程序进行，更正由部海事局批准并公布。</w:t>
      </w:r>
    </w:p>
    <w:p>
      <w:pPr>
        <w:kinsoku/>
        <w:autoSpaceDE/>
        <w:autoSpaceDN w:val="0"/>
        <w:snapToGrid w:val="0"/>
        <w:spacing w:line="360" w:lineRule="auto"/>
        <w:ind w:firstLine="420"/>
        <w:jc w:val="center"/>
        <w:rPr>
          <w:rFonts w:hint="eastAsia" w:ascii="黑体" w:hAnsi="黑体" w:eastAsia="黑体"/>
          <w:snapToGrid/>
          <w:sz w:val="32"/>
        </w:rPr>
      </w:pPr>
      <w:r>
        <w:rPr>
          <w:rFonts w:hint="eastAsia" w:ascii="黑体" w:hAnsi="黑体" w:eastAsia="黑体"/>
          <w:b/>
          <w:snapToGrid/>
          <w:sz w:val="32"/>
          <w:lang w:eastAsia="zh-CN"/>
        </w:rPr>
        <w:t>第七章  附则</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 xml:space="preserve">第三十条  </w:t>
      </w:r>
      <w:r>
        <w:rPr>
          <w:rFonts w:hint="eastAsia" w:ascii="仿宋_GB2312" w:hAnsi="仿宋_GB2312" w:eastAsia="仿宋_GB2312"/>
          <w:snapToGrid/>
          <w:sz w:val="32"/>
          <w:lang w:eastAsia="zh-CN"/>
        </w:rPr>
        <w:t>船检技术法规制定的相关资料应当按国家科技档案管理有关规定保存，期限为永久。</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b/>
          <w:snapToGrid/>
          <w:sz w:val="32"/>
          <w:lang w:eastAsia="zh-CN"/>
        </w:rPr>
        <w:t>第三十一条</w:t>
      </w:r>
      <w:r>
        <w:rPr>
          <w:rFonts w:hint="eastAsia" w:ascii="仿宋_GB2312" w:hAnsi="仿宋_GB2312" w:eastAsia="仿宋_GB2312"/>
          <w:b/>
          <w:snapToGrid/>
          <w:sz w:val="32"/>
          <w:lang w:val="en-US" w:eastAsia="zh-CN"/>
        </w:rPr>
        <w:t xml:space="preserve"> </w:t>
      </w:r>
      <w:r>
        <w:rPr>
          <w:rFonts w:hint="eastAsia" w:ascii="仿宋_GB2312" w:hAnsi="仿宋_GB2312" w:eastAsia="仿宋_GB2312"/>
          <w:b/>
          <w:snapToGrid/>
          <w:sz w:val="32"/>
          <w:lang w:eastAsia="zh-CN"/>
        </w:rPr>
        <w:t xml:space="preserve"> </w:t>
      </w:r>
      <w:r>
        <w:rPr>
          <w:rFonts w:hint="eastAsia" w:ascii="仿宋_GB2312" w:hAnsi="仿宋_GB2312" w:eastAsia="仿宋_GB2312"/>
          <w:b w:val="0"/>
          <w:snapToGrid/>
          <w:sz w:val="32"/>
          <w:lang w:eastAsia="zh-CN"/>
        </w:rPr>
        <w:t>地方性船检技术法规应当在公布后20个工作日内向部海事局备案。</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lang w:eastAsia="zh-CN"/>
        </w:rPr>
      </w:pPr>
      <w:r>
        <w:rPr>
          <w:rFonts w:hint="eastAsia" w:ascii="仿宋_GB2312" w:hAnsi="仿宋_GB2312" w:eastAsia="仿宋_GB2312"/>
          <w:b/>
          <w:snapToGrid/>
          <w:sz w:val="32"/>
          <w:lang w:eastAsia="zh-CN"/>
        </w:rPr>
        <w:t xml:space="preserve">第三十二条 </w:t>
      </w:r>
      <w:r>
        <w:rPr>
          <w:rFonts w:hint="eastAsia" w:ascii="仿宋_GB2312" w:hAnsi="仿宋_GB2312" w:eastAsia="仿宋_GB2312"/>
          <w:b/>
          <w:snapToGrid/>
          <w:sz w:val="32"/>
          <w:lang w:val="en-US" w:eastAsia="zh-CN"/>
        </w:rPr>
        <w:t xml:space="preserve"> </w:t>
      </w:r>
      <w:r>
        <w:rPr>
          <w:rFonts w:hint="eastAsia" w:ascii="仿宋_GB2312" w:hAnsi="仿宋_GB2312" w:eastAsia="仿宋_GB2312"/>
          <w:snapToGrid/>
          <w:sz w:val="32"/>
          <w:lang w:eastAsia="zh-CN"/>
        </w:rPr>
        <w:t>本规定自2017年</w:t>
      </w:r>
      <w:r>
        <w:rPr>
          <w:rFonts w:hint="eastAsia" w:ascii="仿宋_GB2312" w:hAnsi="仿宋_GB2312" w:eastAsia="仿宋_GB2312"/>
          <w:snapToGrid/>
          <w:sz w:val="32"/>
          <w:lang w:val="en-US" w:eastAsia="zh-CN"/>
        </w:rPr>
        <w:t>6</w:t>
      </w:r>
      <w:r>
        <w:rPr>
          <w:rFonts w:hint="eastAsia" w:ascii="仿宋_GB2312" w:hAnsi="仿宋_GB2312" w:eastAsia="仿宋_GB2312"/>
          <w:snapToGrid/>
          <w:sz w:val="32"/>
          <w:lang w:eastAsia="zh-CN"/>
        </w:rPr>
        <w:t>月</w:t>
      </w:r>
      <w:r>
        <w:rPr>
          <w:rFonts w:hint="eastAsia" w:ascii="仿宋_GB2312" w:hAnsi="仿宋_GB2312" w:eastAsia="仿宋_GB2312"/>
          <w:snapToGrid/>
          <w:sz w:val="32"/>
          <w:lang w:val="en-US" w:eastAsia="zh-CN"/>
        </w:rPr>
        <w:t>1</w:t>
      </w:r>
      <w:r>
        <w:rPr>
          <w:rFonts w:hint="eastAsia" w:ascii="仿宋_GB2312" w:hAnsi="仿宋_GB2312" w:eastAsia="仿宋_GB2312"/>
          <w:snapToGrid/>
          <w:sz w:val="32"/>
          <w:lang w:eastAsia="zh-CN"/>
        </w:rPr>
        <w:t>日起生效施行。2006年4月19日颁布实施的《船检技术法规制订程序规定》（海法规〔2006〕154号）同时废止。</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lang w:eastAsia="zh-CN"/>
        </w:rPr>
      </w:pPr>
    </w:p>
    <w:p>
      <w:pPr>
        <w:keepNext w:val="0"/>
        <w:keepLines w:val="0"/>
        <w:pageBreakBefore w:val="0"/>
        <w:widowControl w:val="0"/>
        <w:kinsoku/>
        <w:wordWrap/>
        <w:overflowPunct/>
        <w:topLinePunct w:val="0"/>
        <w:autoSpaceDE/>
        <w:autoSpaceDN w:val="0"/>
        <w:bidi w:val="0"/>
        <w:adjustRightInd/>
        <w:snapToGrid w:val="0"/>
        <w:spacing w:before="0" w:beforeLines="0" w:after="0" w:afterLines="0" w:line="360" w:lineRule="auto"/>
        <w:ind w:left="0" w:leftChars="0" w:right="0" w:rightChars="0" w:firstLine="632" w:firstLineChars="200"/>
        <w:jc w:val="both"/>
        <w:textAlignment w:val="auto"/>
        <w:outlineLvl w:val="9"/>
        <w:rPr>
          <w:rFonts w:hint="eastAsia" w:ascii="仿宋_GB2312" w:hAnsi="仿宋_GB2312" w:eastAsia="仿宋_GB2312"/>
          <w:snapToGrid/>
          <w:sz w:val="32"/>
        </w:rPr>
      </w:pPr>
      <w:r>
        <w:rPr>
          <w:rFonts w:hint="eastAsia" w:ascii="仿宋_GB2312" w:hAnsi="仿宋_GB2312" w:eastAsia="仿宋_GB2312"/>
          <w:snapToGrid/>
          <w:sz w:val="32"/>
          <w:lang w:eastAsia="zh-CN"/>
        </w:rPr>
        <w:t>附件:1.船检技术法规立项建议书</w:t>
      </w:r>
    </w:p>
    <w:p>
      <w:pPr>
        <w:kinsoku/>
        <w:autoSpaceDE/>
        <w:autoSpaceDN w:val="0"/>
        <w:snapToGrid w:val="0"/>
        <w:spacing w:line="360" w:lineRule="auto"/>
        <w:ind w:firstLine="932"/>
        <w:jc w:val="both"/>
        <w:rPr>
          <w:rFonts w:hint="eastAsia" w:ascii="仿宋_GB2312" w:hAnsi="仿宋_GB2312" w:eastAsia="仿宋_GB2312"/>
          <w:snapToGrid/>
          <w:sz w:val="32"/>
        </w:rPr>
      </w:pPr>
      <w:r>
        <w:rPr>
          <w:rFonts w:hint="eastAsia" w:ascii="仿宋_GB2312" w:hAnsi="仿宋_GB2312" w:eastAsia="仿宋_GB2312"/>
          <w:snapToGrid/>
          <w:sz w:val="32"/>
          <w:lang w:val="en-US" w:eastAsia="zh-CN"/>
        </w:rPr>
        <w:t xml:space="preserve"> </w:t>
      </w:r>
      <w:r>
        <w:rPr>
          <w:rFonts w:hint="eastAsia" w:ascii="仿宋_GB2312" w:hAnsi="仿宋_GB2312"/>
          <w:snapToGrid/>
          <w:sz w:val="32"/>
          <w:lang w:val="en-US" w:eastAsia="zh-CN"/>
        </w:rPr>
        <w:t xml:space="preserve">  </w:t>
      </w:r>
      <w:r>
        <w:rPr>
          <w:rFonts w:hint="eastAsia" w:ascii="仿宋_GB2312" w:hAnsi="仿宋_GB2312" w:eastAsia="仿宋_GB2312"/>
          <w:snapToGrid/>
          <w:sz w:val="32"/>
          <w:lang w:eastAsia="zh-CN"/>
        </w:rPr>
        <w:t>2.船检技术法规评审专家库管理办法</w:t>
      </w:r>
    </w:p>
    <w:p>
      <w:pPr>
        <w:kinsoku/>
        <w:autoSpaceDE/>
        <w:autoSpaceDN w:val="0"/>
        <w:snapToGrid w:val="0"/>
        <w:spacing w:line="360" w:lineRule="auto"/>
        <w:ind w:firstLine="622"/>
        <w:jc w:val="both"/>
        <w:rPr>
          <w:rFonts w:hint="eastAsia" w:ascii="仿宋_GB2312" w:hAnsi="仿宋_GB2312" w:eastAsia="仿宋_GB2312"/>
          <w:snapToGrid/>
          <w:sz w:val="32"/>
        </w:rPr>
      </w:pPr>
      <w:r>
        <w:rPr>
          <w:rFonts w:hint="eastAsia" w:ascii="仿宋_GB2312" w:hAnsi="仿宋_GB2312" w:eastAsia="仿宋_GB2312"/>
          <w:snapToGrid/>
          <w:color w:val="FFFFFF"/>
          <w:sz w:val="32"/>
          <w:lang w:eastAsia="zh-CN"/>
        </w:rPr>
        <w:t xml:space="preserve">  :</w:t>
      </w:r>
      <w:r>
        <w:rPr>
          <w:rFonts w:hint="eastAsia" w:ascii="仿宋_GB2312" w:hAnsi="仿宋_GB2312" w:eastAsia="仿宋_GB2312"/>
          <w:snapToGrid/>
          <w:color w:val="FFFFFF"/>
          <w:sz w:val="32"/>
          <w:lang w:val="en-US" w:eastAsia="zh-CN"/>
        </w:rPr>
        <w:t xml:space="preserve"> </w:t>
      </w:r>
      <w:r>
        <w:rPr>
          <w:rFonts w:hint="eastAsia" w:ascii="仿宋_GB2312" w:hAnsi="仿宋_GB2312"/>
          <w:snapToGrid/>
          <w:color w:val="FFFFFF"/>
          <w:sz w:val="32"/>
          <w:lang w:val="en-US" w:eastAsia="zh-CN"/>
        </w:rPr>
        <w:t xml:space="preserve"> </w:t>
      </w:r>
      <w:r>
        <w:rPr>
          <w:rFonts w:hint="eastAsia" w:ascii="仿宋_GB2312" w:hAnsi="仿宋_GB2312" w:eastAsia="仿宋_GB2312"/>
          <w:snapToGrid/>
          <w:sz w:val="32"/>
          <w:lang w:eastAsia="zh-CN"/>
        </w:rPr>
        <w:t>3.船检技术法规中接受中国船级社规范的认可办法</w:t>
      </w:r>
    </w:p>
    <w:p>
      <w:pPr>
        <w:kinsoku/>
        <w:autoSpaceDE/>
        <w:autoSpaceDN w:val="0"/>
        <w:snapToGrid w:val="0"/>
        <w:spacing w:line="360" w:lineRule="auto"/>
        <w:ind w:firstLine="932"/>
        <w:jc w:val="both"/>
        <w:rPr>
          <w:rFonts w:hint="eastAsia" w:ascii="仿宋_GB2312" w:hAnsi="仿宋_GB2312" w:eastAsia="仿宋_GB2312"/>
          <w:snapToGrid/>
          <w:sz w:val="32"/>
        </w:rPr>
      </w:pPr>
      <w:r>
        <w:rPr>
          <w:rFonts w:hint="eastAsia" w:ascii="仿宋_GB2312" w:hAnsi="仿宋_GB2312" w:eastAsia="仿宋_GB2312"/>
          <w:snapToGrid/>
          <w:sz w:val="32"/>
          <w:lang w:val="en-US" w:eastAsia="zh-CN"/>
        </w:rPr>
        <w:t xml:space="preserve">  </w:t>
      </w:r>
      <w:r>
        <w:rPr>
          <w:rFonts w:hint="eastAsia" w:ascii="仿宋_GB2312" w:hAnsi="仿宋_GB2312"/>
          <w:snapToGrid/>
          <w:sz w:val="32"/>
          <w:lang w:val="en-US" w:eastAsia="zh-CN"/>
        </w:rPr>
        <w:t xml:space="preserve"> </w:t>
      </w:r>
      <w:r>
        <w:rPr>
          <w:rFonts w:hint="eastAsia" w:ascii="仿宋_GB2312" w:hAnsi="仿宋_GB2312" w:eastAsia="仿宋_GB2312"/>
          <w:snapToGrid/>
          <w:sz w:val="32"/>
          <w:lang w:eastAsia="zh-CN"/>
        </w:rPr>
        <w:t>4.船检技术法规后评估实施办法</w:t>
      </w:r>
    </w:p>
    <w:p>
      <w:pPr>
        <w:kinsoku/>
        <w:autoSpaceDE/>
        <w:autoSpaceDN w:val="0"/>
        <w:snapToGrid w:val="0"/>
        <w:spacing w:line="720" w:lineRule="atLeast"/>
        <w:ind w:firstLine="630"/>
        <w:jc w:val="left"/>
        <w:rPr>
          <w:rFonts w:hint="default" w:ascii="黑体" w:hAnsi="黑体" w:eastAsia="黑体"/>
          <w:snapToGrid/>
          <w:sz w:val="32"/>
          <w:lang w:eastAsia="zh-CN"/>
        </w:rPr>
      </w:pPr>
    </w:p>
    <w:p>
      <w:pPr>
        <w:kinsoku/>
        <w:autoSpaceDE/>
        <w:autoSpaceDN w:val="0"/>
        <w:snapToGrid w:val="0"/>
        <w:spacing w:line="720" w:lineRule="atLeast"/>
        <w:jc w:val="left"/>
        <w:rPr>
          <w:rFonts w:hint="default" w:ascii="Calibri"/>
          <w:snapToGrid/>
          <w:sz w:val="32"/>
        </w:rPr>
      </w:pPr>
      <w:r>
        <w:rPr>
          <w:rFonts w:hint="default" w:ascii="黑体" w:hAnsi="黑体" w:eastAsia="黑体"/>
          <w:snapToGrid/>
          <w:sz w:val="32"/>
          <w:lang w:eastAsia="zh-CN"/>
        </w:rPr>
        <w:t>附件1</w:t>
      </w:r>
    </w:p>
    <w:p>
      <w:pPr>
        <w:kinsoku/>
        <w:autoSpaceDE/>
        <w:autoSpaceDN w:val="0"/>
        <w:spacing w:line="360" w:lineRule="auto"/>
        <w:jc w:val="center"/>
        <w:rPr>
          <w:rFonts w:hint="default" w:ascii="Calibri"/>
          <w:snapToGrid/>
          <w:sz w:val="32"/>
        </w:rPr>
      </w:pPr>
      <w:r>
        <w:rPr>
          <w:rFonts w:hint="default" w:ascii="方正小标宋简体" w:hAnsi="方正小标宋简体" w:eastAsia="方正小标宋简体"/>
          <w:snapToGrid/>
          <w:sz w:val="44"/>
          <w:lang w:eastAsia="zh-CN"/>
        </w:rPr>
        <w:t>船检技术法规立项建议书</w:t>
      </w:r>
    </w:p>
    <w:tbl>
      <w:tblPr>
        <w:tblStyle w:val="7"/>
        <w:tblW w:w="9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1"/>
        <w:gridCol w:w="123"/>
        <w:gridCol w:w="6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906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一、新船检技术法规的制定建议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24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新船检技术法规名称</w:t>
            </w:r>
          </w:p>
        </w:tc>
        <w:tc>
          <w:tcPr>
            <w:tcW w:w="663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trPr>
        <w:tc>
          <w:tcPr>
            <w:tcW w:w="24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适用范围</w:t>
            </w:r>
          </w:p>
        </w:tc>
        <w:tc>
          <w:tcPr>
            <w:tcW w:w="663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8" w:hRule="atLeast"/>
        </w:trPr>
        <w:tc>
          <w:tcPr>
            <w:tcW w:w="24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相关背景、必要性以及解决的主要问题</w:t>
            </w:r>
          </w:p>
        </w:tc>
        <w:tc>
          <w:tcPr>
            <w:tcW w:w="663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9" w:hRule="atLeast"/>
        </w:trPr>
        <w:tc>
          <w:tcPr>
            <w:tcW w:w="24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与现行船检技术法规的关系</w:t>
            </w:r>
          </w:p>
        </w:tc>
        <w:tc>
          <w:tcPr>
            <w:tcW w:w="663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906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二、船检技术法规的修定建议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 w:hRule="atLeast"/>
        </w:trPr>
        <w:tc>
          <w:tcPr>
            <w:tcW w:w="23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船检技术法规名称</w:t>
            </w:r>
          </w:p>
        </w:tc>
        <w:tc>
          <w:tcPr>
            <w:tcW w:w="67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trPr>
        <w:tc>
          <w:tcPr>
            <w:tcW w:w="23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需修定的技术条款</w:t>
            </w:r>
          </w:p>
        </w:tc>
        <w:tc>
          <w:tcPr>
            <w:tcW w:w="67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trPr>
        <w:tc>
          <w:tcPr>
            <w:tcW w:w="23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修定建议</w:t>
            </w:r>
          </w:p>
        </w:tc>
        <w:tc>
          <w:tcPr>
            <w:tcW w:w="67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1" w:hRule="atLeast"/>
        </w:trPr>
        <w:tc>
          <w:tcPr>
            <w:tcW w:w="23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center"/>
              <w:rPr>
                <w:rFonts w:hint="default"/>
                <w:snapToGrid/>
                <w:sz w:val="21"/>
                <w:lang w:eastAsia="zh-CN"/>
              </w:rPr>
            </w:pPr>
            <w:r>
              <w:rPr>
                <w:rFonts w:hint="default" w:ascii="仿宋_GB2312" w:hAnsi="仿宋_GB2312" w:eastAsia="仿宋_GB2312"/>
                <w:snapToGrid/>
                <w:sz w:val="24"/>
                <w:lang w:eastAsia="zh-CN"/>
              </w:rPr>
              <w:t>相关背景、必要性以及解决的主要问题</w:t>
            </w:r>
          </w:p>
        </w:tc>
        <w:tc>
          <w:tcPr>
            <w:tcW w:w="6758"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insoku/>
              <w:autoSpaceDE/>
              <w:autoSpaceDN w:val="0"/>
              <w:jc w:val="both"/>
              <w:rPr>
                <w:rFonts w:hint="default"/>
                <w:snapToGrid/>
                <w:sz w:val="21"/>
                <w:lang w:eastAsia="zh-CN"/>
              </w:rPr>
            </w:pPr>
          </w:p>
        </w:tc>
      </w:tr>
    </w:tbl>
    <w:p>
      <w:pPr>
        <w:kinsoku/>
        <w:autoSpaceDE/>
        <w:autoSpaceDN w:val="0"/>
        <w:spacing w:line="240" w:lineRule="atLeast"/>
        <w:jc w:val="left"/>
        <w:rPr>
          <w:rFonts w:hint="default" w:ascii="Calibri"/>
          <w:snapToGrid/>
          <w:sz w:val="32"/>
        </w:rPr>
      </w:pPr>
      <w:r>
        <w:rPr>
          <w:rFonts w:hint="default" w:ascii="仿宋_GB2312" w:hAnsi="仿宋_GB2312" w:eastAsia="仿宋_GB2312"/>
          <w:snapToGrid/>
          <w:sz w:val="21"/>
          <w:lang w:eastAsia="zh-CN"/>
        </w:rPr>
        <w:t>注：1、相关内容不够填写可另附页。</w:t>
      </w:r>
    </w:p>
    <w:p>
      <w:pPr>
        <w:kinsoku/>
        <w:autoSpaceDE/>
        <w:autoSpaceDN w:val="0"/>
        <w:spacing w:line="240" w:lineRule="atLeast"/>
        <w:ind w:firstLine="420"/>
        <w:jc w:val="left"/>
        <w:rPr>
          <w:rFonts w:hint="default" w:ascii="Calibri"/>
          <w:snapToGrid/>
          <w:sz w:val="32"/>
        </w:rPr>
      </w:pPr>
      <w:r>
        <w:rPr>
          <w:rFonts w:hint="default" w:ascii="仿宋_GB2312" w:hAnsi="仿宋_GB2312" w:eastAsia="仿宋_GB2312"/>
          <w:snapToGrid/>
          <w:sz w:val="21"/>
          <w:lang w:eastAsia="zh-CN"/>
        </w:rPr>
        <w:t>2、填表人为个人的，不须审核。</w:t>
      </w:r>
    </w:p>
    <w:p>
      <w:pPr>
        <w:kinsoku/>
        <w:autoSpaceDE/>
        <w:autoSpaceDN w:val="0"/>
        <w:jc w:val="both"/>
        <w:rPr>
          <w:rFonts w:hint="default" w:ascii="Calibri"/>
          <w:snapToGrid/>
          <w:sz w:val="32"/>
        </w:rPr>
      </w:pPr>
      <w:r>
        <w:rPr>
          <w:rFonts w:hint="default" w:ascii="仿宋_GB2312" w:hAnsi="仿宋_GB2312" w:eastAsia="仿宋_GB2312"/>
          <w:snapToGrid/>
          <w:sz w:val="24"/>
          <w:lang w:eastAsia="zh-CN"/>
        </w:rPr>
        <w:t>填表人：</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 xml:space="preserve">                   单位审核：</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（签字/盖章）</w:t>
      </w:r>
    </w:p>
    <w:p>
      <w:pPr>
        <w:kinsoku/>
        <w:autoSpaceDE/>
        <w:autoSpaceDN w:val="0"/>
        <w:jc w:val="both"/>
        <w:rPr>
          <w:rFonts w:hint="default" w:ascii="Calibri"/>
          <w:snapToGrid/>
          <w:sz w:val="32"/>
        </w:rPr>
      </w:pPr>
      <w:r>
        <w:rPr>
          <w:rFonts w:hint="default" w:ascii="仿宋_GB2312" w:hAnsi="仿宋_GB2312" w:eastAsia="仿宋_GB2312"/>
          <w:snapToGrid/>
          <w:sz w:val="24"/>
          <w:lang w:eastAsia="zh-CN"/>
        </w:rPr>
        <w:t>联系电话：</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 xml:space="preserve">                      </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年</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月</w:t>
      </w:r>
      <w:r>
        <w:rPr>
          <w:rFonts w:hint="default" w:ascii="仿宋_GB2312" w:hAnsi="仿宋_GB2312" w:eastAsia="仿宋_GB2312"/>
          <w:snapToGrid/>
          <w:sz w:val="24"/>
          <w:u w:val="single"/>
          <w:lang w:eastAsia="zh-CN"/>
        </w:rPr>
        <w:t xml:space="preserve">   </w:t>
      </w:r>
      <w:r>
        <w:rPr>
          <w:rFonts w:hint="default" w:ascii="仿宋_GB2312" w:hAnsi="仿宋_GB2312" w:eastAsia="仿宋_GB2312"/>
          <w:snapToGrid/>
          <w:sz w:val="24"/>
          <w:lang w:eastAsia="zh-CN"/>
        </w:rPr>
        <w:t xml:space="preserve">日   </w:t>
      </w:r>
    </w:p>
    <w:p>
      <w:pPr>
        <w:kinsoku/>
        <w:autoSpaceDE/>
        <w:autoSpaceDN w:val="0"/>
        <w:jc w:val="left"/>
        <w:rPr>
          <w:rFonts w:hint="default" w:ascii="Calibri"/>
          <w:snapToGrid/>
          <w:sz w:val="32"/>
        </w:rPr>
      </w:pPr>
      <w:r>
        <w:rPr>
          <w:rFonts w:hint="default" w:ascii="黑体" w:hAnsi="黑体" w:eastAsia="黑体"/>
          <w:snapToGrid/>
          <w:sz w:val="32"/>
          <w:lang w:eastAsia="zh-CN"/>
        </w:rPr>
        <w:t>附件2</w:t>
      </w:r>
    </w:p>
    <w:p>
      <w:pPr>
        <w:kinsoku/>
        <w:autoSpaceDE/>
        <w:autoSpaceDN w:val="0"/>
        <w:jc w:val="center"/>
        <w:rPr>
          <w:rFonts w:hint="default" w:ascii="Calibri"/>
          <w:snapToGrid/>
          <w:sz w:val="32"/>
        </w:rPr>
      </w:pPr>
      <w:r>
        <w:rPr>
          <w:rFonts w:hint="default" w:ascii="方正小标宋简体" w:hAnsi="方正小标宋简体" w:eastAsia="方正小标宋简体"/>
          <w:snapToGrid/>
          <w:sz w:val="44"/>
          <w:lang w:eastAsia="zh-CN"/>
        </w:rPr>
        <w:t>船检技术法规评审专家库管理办法</w:t>
      </w:r>
    </w:p>
    <w:p>
      <w:pPr>
        <w:kinsoku/>
        <w:autoSpaceDE/>
        <w:autoSpaceDN w:val="0"/>
        <w:spacing w:line="560" w:lineRule="atLeast"/>
        <w:jc w:val="center"/>
        <w:rPr>
          <w:rFonts w:hint="default" w:ascii="Calibri"/>
          <w:snapToGrid/>
          <w:sz w:val="32"/>
        </w:rPr>
      </w:pP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第一条</w:t>
      </w:r>
      <w:r>
        <w:rPr>
          <w:rFonts w:hint="default" w:ascii="仿宋_GB2312" w:hAnsi="仿宋_GB2312" w:eastAsia="仿宋_GB2312"/>
          <w:snapToGrid/>
          <w:sz w:val="32"/>
          <w:lang w:eastAsia="zh-CN"/>
        </w:rPr>
        <w:t xml:space="preserve">  为提高船检技术法规评审工作的科学性和公正性，规范船检技术法规评审专家的管理，制定本办法。</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第二条</w:t>
      </w:r>
      <w:r>
        <w:rPr>
          <w:rFonts w:hint="default" w:ascii="仿宋_GB2312" w:hAnsi="仿宋_GB2312" w:eastAsia="仿宋_GB2312"/>
          <w:snapToGrid/>
          <w:sz w:val="32"/>
          <w:lang w:eastAsia="zh-CN"/>
        </w:rPr>
        <w:t xml:space="preserve">  为实现船检技术法规评审专家的资源共享，消除地区、专业局限，结合船检技术法规评审工作的实际需要，建立全国统一的跨地区、跨部门、跨专业的评审专家库。</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第三条</w:t>
      </w:r>
      <w:r>
        <w:rPr>
          <w:rFonts w:hint="default" w:ascii="仿宋_GB2312" w:hAnsi="仿宋_GB2312" w:eastAsia="仿宋_GB2312"/>
          <w:snapToGrid/>
          <w:sz w:val="32"/>
          <w:lang w:eastAsia="zh-CN"/>
        </w:rPr>
        <w:t xml:space="preserve">  部海事局是评审专家库的管理部门，负责对专家进行出入库资格审查，并对入选专家实施日常管理和对专家评审工作进行监督管理。</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评审专家库管理办公室设在中国船级社，负责评审专家库管理的日常工作。</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第四条</w:t>
      </w:r>
      <w:r>
        <w:rPr>
          <w:rFonts w:hint="default" w:ascii="仿宋_GB2312" w:hAnsi="仿宋_GB2312" w:eastAsia="仿宋_GB2312"/>
          <w:snapToGrid/>
          <w:sz w:val="32"/>
          <w:lang w:eastAsia="zh-CN"/>
        </w:rPr>
        <w:t xml:space="preserve">  评审专家库一般由海事管理、船舶及海上设施检验、航运企业、高等院校、科研院所和船舶及海上设施设计与制造、设备与系统制造、航运金融及保险等行业的专家组成，适当搭配危险货物运输、船用清洁能源方面的专家。评审专家库分设船舶结构强度、稳性、轮机、电气、防止船舶污染、消防、救生、通信导航等专业。各专业人数控制在20-30人，评审专家库总人数控制在200-250人。</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第五条</w:t>
      </w:r>
      <w:r>
        <w:rPr>
          <w:rFonts w:hint="default" w:ascii="仿宋_GB2312" w:hAnsi="仿宋_GB2312" w:eastAsia="仿宋_GB2312"/>
          <w:snapToGrid/>
          <w:sz w:val="32"/>
          <w:lang w:eastAsia="zh-CN"/>
        </w:rPr>
        <w:t xml:space="preserve">  入选评审专家库的专家，应当具备以下基本条件：</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（一）坚持原则，作风正派，认真负责，廉洁公正；</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（二）在本专业有较深造诣，熟悉本专业国内外的技术标准发展趋势，一般应当具有十年以上专业技术工作经历；</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（三）熟悉船舶及海上设施领域相关法律、法规和行业标准；</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（四）愿意从事并能够胜任船检技术法规评审工作。</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第六条</w:t>
      </w:r>
      <w:r>
        <w:rPr>
          <w:rFonts w:hint="default" w:ascii="仿宋_GB2312" w:hAnsi="仿宋_GB2312" w:eastAsia="仿宋_GB2312"/>
          <w:snapToGrid/>
          <w:sz w:val="32"/>
          <w:lang w:eastAsia="zh-CN"/>
        </w:rPr>
        <w:t xml:space="preserve">  专家遴选入库程序：</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（一）部海事局向各单位下发推荐评审专家库专家的通知；</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（二）被推荐入库的专家填写“船检技术法规评审专家库专家推荐审批表”（见附件A）；</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（三）被推荐专家所在单位根据入库专家基本条件填写推荐意见后报送评审专家库管理办公室；</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（四）评审专家库管理办公室初审后将推荐入库专家材料报送部海事局；</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（五）部海事局审查批准后书面通知入库专家和推荐单位。</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对于在船检技术法规评审工作中特需的专家，经本人同意，可直接入选评审专家库。</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第七条</w:t>
      </w:r>
      <w:r>
        <w:rPr>
          <w:rFonts w:hint="default" w:ascii="仿宋_GB2312" w:hAnsi="仿宋_GB2312" w:eastAsia="仿宋_GB2312"/>
          <w:snapToGrid/>
          <w:sz w:val="32"/>
          <w:lang w:eastAsia="zh-CN"/>
        </w:rPr>
        <w:t xml:space="preserve">  评审专家的权利：</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（一）依法履行职责，独立发表审评意见，不受任何单位和个人的干涉；</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（二）享有表决权；</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（三）有获得文件和资料等的知情权；</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（四）按照国家有关规定，获得评审劳务报酬。</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第八条</w:t>
      </w:r>
      <w:r>
        <w:rPr>
          <w:rFonts w:hint="default" w:ascii="仿宋_GB2312" w:hAnsi="仿宋_GB2312" w:eastAsia="仿宋_GB2312"/>
          <w:snapToGrid/>
          <w:sz w:val="32"/>
          <w:lang w:eastAsia="zh-CN"/>
        </w:rPr>
        <w:t xml:space="preserve">  评审专家的义务：</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（一）为船检技术法规制定工作提供智力支持和咨询；</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（二）参与船检技术法规评审工作，公正、客观和独立地提出意见和建议；</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（三）严格执行保密制度，不得对外泄露获取的文件、资料和其他相关信息。</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第九条  </w:t>
      </w:r>
      <w:r>
        <w:rPr>
          <w:rFonts w:hint="default" w:ascii="仿宋_GB2312" w:hAnsi="仿宋_GB2312" w:eastAsia="仿宋_GB2312"/>
          <w:snapToGrid/>
          <w:sz w:val="32"/>
          <w:lang w:eastAsia="zh-CN"/>
        </w:rPr>
        <w:t>当有评审专家退出专家库，导致有关专业专家数量不足，或者根据需要新增设专业时，应当及时进行评审专家增补工作。</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第十条  </w:t>
      </w:r>
      <w:r>
        <w:rPr>
          <w:rFonts w:hint="default" w:ascii="仿宋_GB2312" w:hAnsi="仿宋_GB2312" w:eastAsia="仿宋_GB2312"/>
          <w:snapToGrid/>
          <w:sz w:val="32"/>
          <w:lang w:eastAsia="zh-CN"/>
        </w:rPr>
        <w:t>有下列情况之一者，经部海事局批准，由评审专家库管理办公室为其办理退库手续，并书面通知所在单位和本人：</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（一）因个人情况变化不再符合评审专家的基本条件者；</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（二）被通知参加会议无故不出席者；</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（三）受刑事处罚者；</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（四）严重违反职业操守，徇私舞弊、弄虚作假、谋取私利者；</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（五）其他原因不再适合担任评审专家者。</w:t>
      </w:r>
    </w:p>
    <w:p>
      <w:pPr>
        <w:keepNext w:val="0"/>
        <w:keepLines w:val="0"/>
        <w:pageBreakBefore w:val="0"/>
        <w:widowControl w:val="0"/>
        <w:kinsoku/>
        <w:wordWrap w:val="0"/>
        <w:overflowPunct/>
        <w:topLinePunct w:val="0"/>
        <w:autoSpaceDE/>
        <w:autoSpaceDN w:val="0"/>
        <w:bidi w:val="0"/>
        <w:adjustRightInd/>
        <w:snapToGrid/>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第十一条  </w:t>
      </w:r>
      <w:r>
        <w:rPr>
          <w:rFonts w:hint="default" w:ascii="仿宋_GB2312" w:hAnsi="仿宋_GB2312" w:eastAsia="仿宋_GB2312"/>
          <w:snapToGrid/>
          <w:sz w:val="32"/>
          <w:lang w:eastAsia="zh-CN"/>
        </w:rPr>
        <w:t>部海事局定期组织会议，评估专家库状况，及时调整专家库，以满足评审工作需要。</w:t>
      </w:r>
    </w:p>
    <w:p>
      <w:pPr>
        <w:kinsoku/>
        <w:autoSpaceDE/>
        <w:autoSpaceDN w:val="0"/>
        <w:jc w:val="left"/>
        <w:rPr>
          <w:rFonts w:hint="default" w:ascii="Calibri"/>
          <w:snapToGrid/>
          <w:sz w:val="32"/>
        </w:rPr>
      </w:pPr>
    </w:p>
    <w:p>
      <w:pPr>
        <w:kinsoku/>
        <w:autoSpaceDE/>
        <w:autoSpaceDN w:val="0"/>
        <w:spacing w:line="560" w:lineRule="atLeast"/>
        <w:jc w:val="center"/>
        <w:rPr>
          <w:rFonts w:hint="default" w:ascii="方正小标宋简体" w:hAnsi="方正小标宋简体" w:eastAsia="方正小标宋简体"/>
          <w:snapToGrid/>
          <w:sz w:val="44"/>
          <w:lang w:eastAsia="zh-CN"/>
        </w:rPr>
      </w:pPr>
    </w:p>
    <w:p>
      <w:pPr>
        <w:kinsoku/>
        <w:autoSpaceDE/>
        <w:autoSpaceDN w:val="0"/>
        <w:spacing w:line="560" w:lineRule="atLeast"/>
        <w:jc w:val="center"/>
        <w:rPr>
          <w:rFonts w:hint="default" w:ascii="方正小标宋简体" w:hAnsi="方正小标宋简体" w:eastAsia="方正小标宋简体"/>
          <w:snapToGrid/>
          <w:sz w:val="44"/>
          <w:lang w:eastAsia="zh-CN"/>
        </w:rPr>
      </w:pPr>
      <w:r>
        <w:rPr>
          <w:rFonts w:hint="default" w:ascii="方正小标宋简体" w:hAnsi="方正小标宋简体" w:eastAsia="方正小标宋简体"/>
          <w:snapToGrid/>
          <w:sz w:val="44"/>
          <w:lang w:eastAsia="zh-CN"/>
        </w:rPr>
        <w:t>船检技术法规评审专家库专家推荐审批表</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59"/>
        <w:gridCol w:w="850"/>
        <w:gridCol w:w="567"/>
        <w:gridCol w:w="1773"/>
        <w:gridCol w:w="78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668" w:type="dxa"/>
            <w:vAlign w:val="center"/>
          </w:tcPr>
          <w:p>
            <w:pPr>
              <w:jc w:val="center"/>
              <w:rPr>
                <w:rFonts w:ascii="宋体" w:hAnsi="宋体"/>
                <w:sz w:val="28"/>
                <w:szCs w:val="28"/>
              </w:rPr>
            </w:pPr>
            <w:r>
              <w:rPr>
                <w:rFonts w:hint="eastAsia" w:ascii="宋体" w:hAnsi="宋体"/>
                <w:sz w:val="28"/>
                <w:szCs w:val="28"/>
              </w:rPr>
              <w:t>姓名</w:t>
            </w:r>
          </w:p>
        </w:tc>
        <w:tc>
          <w:tcPr>
            <w:tcW w:w="1559" w:type="dxa"/>
            <w:vAlign w:val="center"/>
          </w:tcPr>
          <w:p>
            <w:pPr>
              <w:jc w:val="center"/>
              <w:rPr>
                <w:rFonts w:ascii="宋体" w:hAnsi="宋体"/>
                <w:sz w:val="28"/>
                <w:szCs w:val="28"/>
              </w:rPr>
            </w:pPr>
          </w:p>
        </w:tc>
        <w:tc>
          <w:tcPr>
            <w:tcW w:w="1417" w:type="dxa"/>
            <w:gridSpan w:val="2"/>
            <w:vAlign w:val="center"/>
          </w:tcPr>
          <w:p>
            <w:pPr>
              <w:jc w:val="center"/>
              <w:rPr>
                <w:rFonts w:ascii="宋体" w:hAnsi="宋体"/>
                <w:sz w:val="28"/>
                <w:szCs w:val="28"/>
              </w:rPr>
            </w:pPr>
            <w:r>
              <w:rPr>
                <w:rFonts w:hint="eastAsia" w:ascii="宋体" w:hAnsi="宋体"/>
                <w:sz w:val="28"/>
                <w:szCs w:val="28"/>
              </w:rPr>
              <w:t>性别</w:t>
            </w:r>
          </w:p>
        </w:tc>
        <w:tc>
          <w:tcPr>
            <w:tcW w:w="2560" w:type="dxa"/>
            <w:gridSpan w:val="2"/>
            <w:vAlign w:val="center"/>
          </w:tcPr>
          <w:p>
            <w:pPr>
              <w:jc w:val="center"/>
              <w:rPr>
                <w:rFonts w:ascii="宋体" w:hAnsi="宋体"/>
                <w:sz w:val="28"/>
                <w:szCs w:val="28"/>
              </w:rPr>
            </w:pPr>
          </w:p>
        </w:tc>
        <w:tc>
          <w:tcPr>
            <w:tcW w:w="1835" w:type="dxa"/>
            <w:vMerge w:val="restart"/>
            <w:textDirection w:val="tbRlV"/>
            <w:vAlign w:val="center"/>
          </w:tcPr>
          <w:p>
            <w:pPr>
              <w:ind w:left="113" w:right="113"/>
              <w:jc w:val="center"/>
              <w:rPr>
                <w:rFonts w:ascii="宋体" w:hAnsi="宋体"/>
                <w:sz w:val="28"/>
                <w:szCs w:val="28"/>
              </w:rPr>
            </w:pPr>
            <w:r>
              <w:rPr>
                <w:rFonts w:hint="eastAsia" w:ascii="宋体" w:hAnsi="宋体"/>
                <w:sz w:val="28"/>
                <w:szCs w:val="2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668" w:type="dxa"/>
            <w:vAlign w:val="center"/>
          </w:tcPr>
          <w:p>
            <w:pPr>
              <w:jc w:val="center"/>
              <w:rPr>
                <w:rFonts w:ascii="宋体" w:hAnsi="宋体"/>
                <w:sz w:val="28"/>
                <w:szCs w:val="28"/>
              </w:rPr>
            </w:pPr>
            <w:r>
              <w:rPr>
                <w:rFonts w:hint="eastAsia" w:ascii="宋体" w:hAnsi="宋体"/>
                <w:sz w:val="28"/>
                <w:szCs w:val="28"/>
              </w:rPr>
              <w:t>民族</w:t>
            </w:r>
          </w:p>
        </w:tc>
        <w:tc>
          <w:tcPr>
            <w:tcW w:w="1559" w:type="dxa"/>
            <w:vAlign w:val="center"/>
          </w:tcPr>
          <w:p>
            <w:pPr>
              <w:jc w:val="center"/>
              <w:rPr>
                <w:rFonts w:ascii="宋体" w:hAnsi="宋体"/>
                <w:sz w:val="28"/>
                <w:szCs w:val="28"/>
              </w:rPr>
            </w:pPr>
          </w:p>
        </w:tc>
        <w:tc>
          <w:tcPr>
            <w:tcW w:w="1417" w:type="dxa"/>
            <w:gridSpan w:val="2"/>
            <w:vAlign w:val="center"/>
          </w:tcPr>
          <w:p>
            <w:pPr>
              <w:jc w:val="center"/>
              <w:rPr>
                <w:rFonts w:ascii="宋体" w:hAnsi="宋体"/>
                <w:sz w:val="28"/>
                <w:szCs w:val="28"/>
              </w:rPr>
            </w:pPr>
            <w:r>
              <w:rPr>
                <w:rFonts w:hint="eastAsia" w:ascii="宋体" w:hAnsi="宋体"/>
                <w:sz w:val="28"/>
                <w:szCs w:val="28"/>
              </w:rPr>
              <w:t>籍贯</w:t>
            </w:r>
          </w:p>
        </w:tc>
        <w:tc>
          <w:tcPr>
            <w:tcW w:w="2560" w:type="dxa"/>
            <w:gridSpan w:val="2"/>
            <w:vAlign w:val="center"/>
          </w:tcPr>
          <w:p>
            <w:pPr>
              <w:jc w:val="center"/>
              <w:rPr>
                <w:rFonts w:ascii="宋体" w:hAnsi="宋体"/>
                <w:sz w:val="28"/>
                <w:szCs w:val="28"/>
              </w:rPr>
            </w:pPr>
          </w:p>
        </w:tc>
        <w:tc>
          <w:tcPr>
            <w:tcW w:w="1835" w:type="dxa"/>
            <w:vMerge w:val="continue"/>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68" w:type="dxa"/>
            <w:vAlign w:val="center"/>
          </w:tcPr>
          <w:p>
            <w:pPr>
              <w:jc w:val="center"/>
              <w:rPr>
                <w:rFonts w:ascii="宋体" w:hAnsi="宋体"/>
                <w:sz w:val="28"/>
                <w:szCs w:val="28"/>
              </w:rPr>
            </w:pPr>
            <w:r>
              <w:rPr>
                <w:rFonts w:hint="eastAsia" w:ascii="宋体" w:hAnsi="宋体"/>
                <w:sz w:val="28"/>
                <w:szCs w:val="28"/>
              </w:rPr>
              <w:t>出生年月</w:t>
            </w:r>
          </w:p>
        </w:tc>
        <w:tc>
          <w:tcPr>
            <w:tcW w:w="5536" w:type="dxa"/>
            <w:gridSpan w:val="5"/>
            <w:vAlign w:val="center"/>
          </w:tcPr>
          <w:p>
            <w:pPr>
              <w:jc w:val="center"/>
              <w:rPr>
                <w:rFonts w:ascii="宋体" w:hAnsi="宋体"/>
                <w:sz w:val="28"/>
                <w:szCs w:val="28"/>
              </w:rPr>
            </w:pPr>
          </w:p>
        </w:tc>
        <w:tc>
          <w:tcPr>
            <w:tcW w:w="1835" w:type="dxa"/>
            <w:vMerge w:val="continue"/>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668" w:type="dxa"/>
            <w:vAlign w:val="center"/>
          </w:tcPr>
          <w:p>
            <w:pPr>
              <w:jc w:val="center"/>
              <w:rPr>
                <w:rFonts w:ascii="宋体" w:hAnsi="宋体"/>
                <w:sz w:val="28"/>
                <w:szCs w:val="28"/>
              </w:rPr>
            </w:pPr>
            <w:r>
              <w:rPr>
                <w:rFonts w:hint="eastAsia" w:ascii="宋体" w:hAnsi="宋体"/>
                <w:sz w:val="28"/>
                <w:szCs w:val="28"/>
              </w:rPr>
              <w:t>健康状况</w:t>
            </w:r>
          </w:p>
        </w:tc>
        <w:tc>
          <w:tcPr>
            <w:tcW w:w="1559" w:type="dxa"/>
            <w:vAlign w:val="center"/>
          </w:tcPr>
          <w:p>
            <w:pPr>
              <w:jc w:val="center"/>
              <w:rPr>
                <w:rFonts w:ascii="宋体" w:hAnsi="宋体"/>
                <w:sz w:val="28"/>
                <w:szCs w:val="28"/>
              </w:rPr>
            </w:pPr>
          </w:p>
        </w:tc>
        <w:tc>
          <w:tcPr>
            <w:tcW w:w="1417" w:type="dxa"/>
            <w:gridSpan w:val="2"/>
            <w:vAlign w:val="center"/>
          </w:tcPr>
          <w:p>
            <w:pPr>
              <w:jc w:val="center"/>
              <w:rPr>
                <w:rFonts w:ascii="宋体" w:hAnsi="宋体"/>
                <w:sz w:val="28"/>
                <w:szCs w:val="28"/>
              </w:rPr>
            </w:pPr>
            <w:r>
              <w:rPr>
                <w:rFonts w:hint="eastAsia" w:ascii="宋体" w:hAnsi="宋体"/>
                <w:sz w:val="28"/>
                <w:szCs w:val="28"/>
              </w:rPr>
              <w:t>联系方式</w:t>
            </w:r>
          </w:p>
        </w:tc>
        <w:tc>
          <w:tcPr>
            <w:tcW w:w="2560" w:type="dxa"/>
            <w:gridSpan w:val="2"/>
            <w:vAlign w:val="center"/>
          </w:tcPr>
          <w:p>
            <w:pPr>
              <w:jc w:val="center"/>
              <w:rPr>
                <w:rFonts w:ascii="宋体" w:hAnsi="宋体"/>
                <w:sz w:val="28"/>
                <w:szCs w:val="28"/>
              </w:rPr>
            </w:pPr>
          </w:p>
        </w:tc>
        <w:tc>
          <w:tcPr>
            <w:tcW w:w="1835" w:type="dxa"/>
            <w:vMerge w:val="continue"/>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668" w:type="dxa"/>
            <w:vAlign w:val="center"/>
          </w:tcPr>
          <w:p>
            <w:pPr>
              <w:jc w:val="center"/>
              <w:rPr>
                <w:rFonts w:ascii="宋体" w:hAnsi="宋体"/>
                <w:sz w:val="24"/>
              </w:rPr>
            </w:pPr>
            <w:r>
              <w:rPr>
                <w:rFonts w:hint="eastAsia" w:ascii="宋体" w:hAnsi="宋体"/>
                <w:sz w:val="28"/>
                <w:szCs w:val="28"/>
              </w:rPr>
              <w:t>工作单位和职务、职称</w:t>
            </w:r>
          </w:p>
        </w:tc>
        <w:tc>
          <w:tcPr>
            <w:tcW w:w="7371" w:type="dxa"/>
            <w:gridSpan w:val="6"/>
            <w:vAlign w:val="center"/>
          </w:tcPr>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668" w:type="dxa"/>
            <w:vAlign w:val="center"/>
          </w:tcPr>
          <w:p>
            <w:pPr>
              <w:jc w:val="center"/>
              <w:rPr>
                <w:rFonts w:ascii="宋体" w:hAnsi="宋体"/>
                <w:sz w:val="28"/>
                <w:szCs w:val="28"/>
              </w:rPr>
            </w:pPr>
            <w:r>
              <w:rPr>
                <w:rFonts w:hint="eastAsia" w:ascii="宋体" w:hAnsi="宋体"/>
                <w:sz w:val="28"/>
                <w:szCs w:val="28"/>
              </w:rPr>
              <w:t>学历学位</w:t>
            </w:r>
          </w:p>
        </w:tc>
        <w:tc>
          <w:tcPr>
            <w:tcW w:w="2409" w:type="dxa"/>
            <w:gridSpan w:val="2"/>
            <w:vAlign w:val="center"/>
          </w:tcPr>
          <w:p>
            <w:pPr>
              <w:jc w:val="center"/>
              <w:rPr>
                <w:rFonts w:ascii="宋体" w:hAnsi="宋体"/>
                <w:sz w:val="28"/>
                <w:szCs w:val="28"/>
              </w:rPr>
            </w:pPr>
          </w:p>
        </w:tc>
        <w:tc>
          <w:tcPr>
            <w:tcW w:w="2340" w:type="dxa"/>
            <w:gridSpan w:val="2"/>
            <w:vAlign w:val="center"/>
          </w:tcPr>
          <w:p>
            <w:pPr>
              <w:jc w:val="center"/>
              <w:rPr>
                <w:rFonts w:ascii="宋体" w:hAnsi="宋体"/>
                <w:sz w:val="28"/>
                <w:szCs w:val="28"/>
              </w:rPr>
            </w:pPr>
            <w:r>
              <w:rPr>
                <w:rFonts w:hint="eastAsia" w:ascii="宋体" w:hAnsi="宋体"/>
                <w:sz w:val="28"/>
                <w:szCs w:val="28"/>
              </w:rPr>
              <w:t>毕业院校及专业</w:t>
            </w:r>
          </w:p>
        </w:tc>
        <w:tc>
          <w:tcPr>
            <w:tcW w:w="2622" w:type="dxa"/>
            <w:gridSpan w:val="2"/>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668" w:type="dxa"/>
            <w:vAlign w:val="center"/>
          </w:tcPr>
          <w:p>
            <w:pPr>
              <w:jc w:val="center"/>
              <w:rPr>
                <w:rFonts w:ascii="宋体" w:hAnsi="宋体"/>
                <w:sz w:val="24"/>
              </w:rPr>
            </w:pPr>
            <w:r>
              <w:rPr>
                <w:rFonts w:hint="eastAsia" w:ascii="宋体" w:hAnsi="宋体"/>
                <w:sz w:val="28"/>
                <w:szCs w:val="28"/>
              </w:rPr>
              <w:t>拟推荐专业</w:t>
            </w:r>
          </w:p>
        </w:tc>
        <w:tc>
          <w:tcPr>
            <w:tcW w:w="1559" w:type="dxa"/>
            <w:vAlign w:val="center"/>
          </w:tcPr>
          <w:p>
            <w:pPr>
              <w:jc w:val="center"/>
              <w:rPr>
                <w:rFonts w:ascii="宋体" w:hAnsi="宋体"/>
                <w:sz w:val="28"/>
                <w:szCs w:val="28"/>
              </w:rPr>
            </w:pPr>
            <w:r>
              <w:rPr>
                <w:rFonts w:hint="eastAsia" w:ascii="仿宋" w:hAnsi="仿宋" w:eastAsia="仿宋"/>
                <w:sz w:val="28"/>
                <w:szCs w:val="28"/>
              </w:rPr>
              <w:t>□</w:t>
            </w:r>
            <w:r>
              <w:rPr>
                <w:rFonts w:hint="eastAsia" w:ascii="宋体" w:hAnsi="宋体"/>
                <w:sz w:val="28"/>
                <w:szCs w:val="28"/>
              </w:rPr>
              <w:t>船舶类</w:t>
            </w:r>
          </w:p>
          <w:p>
            <w:pPr>
              <w:jc w:val="center"/>
              <w:rPr>
                <w:rFonts w:ascii="宋体" w:hAnsi="宋体"/>
                <w:sz w:val="28"/>
                <w:szCs w:val="28"/>
              </w:rPr>
            </w:pPr>
            <w:r>
              <w:rPr>
                <w:rFonts w:hint="eastAsia" w:ascii="仿宋" w:hAnsi="仿宋" w:eastAsia="仿宋"/>
                <w:sz w:val="28"/>
                <w:szCs w:val="28"/>
              </w:rPr>
              <w:t>□</w:t>
            </w:r>
            <w:r>
              <w:rPr>
                <w:rFonts w:hint="eastAsia" w:ascii="宋体" w:hAnsi="宋体"/>
                <w:sz w:val="28"/>
                <w:szCs w:val="28"/>
              </w:rPr>
              <w:t>海工类</w:t>
            </w:r>
          </w:p>
        </w:tc>
        <w:tc>
          <w:tcPr>
            <w:tcW w:w="5812" w:type="dxa"/>
            <w:gridSpan w:val="5"/>
            <w:vAlign w:val="center"/>
          </w:tcPr>
          <w:p>
            <w:pPr>
              <w:jc w:val="left"/>
              <w:rPr>
                <w:rFonts w:ascii="仿宋" w:hAnsi="仿宋" w:eastAsia="仿宋"/>
                <w:sz w:val="28"/>
                <w:szCs w:val="28"/>
              </w:rPr>
            </w:pPr>
            <w:r>
              <w:rPr>
                <w:rFonts w:hint="eastAsia" w:ascii="仿宋" w:hAnsi="仿宋" w:eastAsia="仿宋"/>
                <w:sz w:val="28"/>
                <w:szCs w:val="28"/>
              </w:rPr>
              <w:t>□结构强度□稳性□轮机□电气□防污染</w:t>
            </w:r>
          </w:p>
          <w:p>
            <w:pPr>
              <w:jc w:val="left"/>
              <w:rPr>
                <w:rFonts w:ascii="仿宋_GB2312" w:hAnsi="楷体" w:cs="宋体"/>
                <w:szCs w:val="32"/>
              </w:rPr>
            </w:pPr>
            <w:r>
              <w:rPr>
                <w:rFonts w:hint="eastAsia" w:ascii="仿宋" w:hAnsi="仿宋" w:eastAsia="仿宋"/>
                <w:sz w:val="28"/>
                <w:szCs w:val="28"/>
              </w:rPr>
              <w:t>□消防□救生□通信导航□其他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vAlign w:val="center"/>
          </w:tcPr>
          <w:p>
            <w:pPr>
              <w:jc w:val="center"/>
              <w:rPr>
                <w:rFonts w:ascii="宋体" w:hAnsi="宋体"/>
                <w:sz w:val="28"/>
                <w:szCs w:val="28"/>
              </w:rPr>
            </w:pPr>
            <w:r>
              <w:rPr>
                <w:rFonts w:hint="eastAsia" w:ascii="宋体" w:hAnsi="宋体"/>
                <w:sz w:val="28"/>
                <w:szCs w:val="28"/>
              </w:rPr>
              <w:t>工作简历</w:t>
            </w:r>
          </w:p>
        </w:tc>
        <w:tc>
          <w:tcPr>
            <w:tcW w:w="7371" w:type="dxa"/>
            <w:gridSpan w:val="6"/>
            <w:vAlign w:val="top"/>
          </w:tcPr>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8" w:hRule="atLeast"/>
        </w:trPr>
        <w:tc>
          <w:tcPr>
            <w:tcW w:w="1668" w:type="dxa"/>
            <w:vAlign w:val="center"/>
          </w:tcPr>
          <w:p>
            <w:pPr>
              <w:jc w:val="center"/>
              <w:rPr>
                <w:rFonts w:ascii="宋体" w:hAnsi="宋体"/>
                <w:sz w:val="28"/>
                <w:szCs w:val="28"/>
              </w:rPr>
            </w:pPr>
            <w:r>
              <w:rPr>
                <w:rFonts w:hint="eastAsia" w:ascii="宋体" w:hAnsi="宋体"/>
                <w:sz w:val="28"/>
                <w:szCs w:val="28"/>
              </w:rPr>
              <w:t>主要</w:t>
            </w:r>
          </w:p>
          <w:p>
            <w:pPr>
              <w:jc w:val="center"/>
              <w:rPr>
                <w:rFonts w:ascii="宋体" w:hAnsi="宋体"/>
                <w:sz w:val="28"/>
                <w:szCs w:val="28"/>
              </w:rPr>
            </w:pPr>
            <w:r>
              <w:rPr>
                <w:rFonts w:hint="eastAsia" w:ascii="宋体" w:hAnsi="宋体"/>
                <w:sz w:val="28"/>
                <w:szCs w:val="28"/>
              </w:rPr>
              <w:t>技术</w:t>
            </w:r>
          </w:p>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和</w:t>
            </w:r>
          </w:p>
          <w:p>
            <w:pPr>
              <w:jc w:val="center"/>
              <w:rPr>
                <w:rFonts w:ascii="宋体" w:hAnsi="宋体"/>
                <w:sz w:val="28"/>
                <w:szCs w:val="28"/>
              </w:rPr>
            </w:pPr>
            <w:r>
              <w:rPr>
                <w:rFonts w:hint="eastAsia" w:ascii="宋体" w:hAnsi="宋体"/>
                <w:sz w:val="28"/>
                <w:szCs w:val="28"/>
              </w:rPr>
              <w:t>工作</w:t>
            </w:r>
          </w:p>
          <w:p>
            <w:pPr>
              <w:jc w:val="center"/>
              <w:rPr>
                <w:rFonts w:ascii="宋体" w:hAnsi="宋体"/>
                <w:sz w:val="28"/>
                <w:szCs w:val="28"/>
              </w:rPr>
            </w:pPr>
            <w:r>
              <w:rPr>
                <w:rFonts w:hint="eastAsia" w:ascii="宋体" w:hAnsi="宋体"/>
                <w:sz w:val="28"/>
                <w:szCs w:val="28"/>
              </w:rPr>
              <w:t>业绩</w:t>
            </w:r>
          </w:p>
        </w:tc>
        <w:tc>
          <w:tcPr>
            <w:tcW w:w="7371" w:type="dxa"/>
            <w:gridSpan w:val="6"/>
            <w:vAlign w:val="top"/>
          </w:tcPr>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p>
            <w:pPr>
              <w:rPr>
                <w:rFonts w:ascii="ˎ̥" w:hAnsi="ˎ̥"/>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5" w:hRule="atLeast"/>
        </w:trPr>
        <w:tc>
          <w:tcPr>
            <w:tcW w:w="1668" w:type="dxa"/>
            <w:vAlign w:val="center"/>
          </w:tcPr>
          <w:p>
            <w:pPr>
              <w:jc w:val="center"/>
              <w:rPr>
                <w:rFonts w:ascii="宋体" w:hAnsi="宋体"/>
                <w:sz w:val="28"/>
                <w:szCs w:val="28"/>
              </w:rPr>
            </w:pPr>
            <w:r>
              <w:rPr>
                <w:rFonts w:hint="eastAsia" w:ascii="宋体" w:hAnsi="宋体"/>
                <w:sz w:val="28"/>
                <w:szCs w:val="28"/>
              </w:rPr>
              <w:t>推荐</w:t>
            </w:r>
          </w:p>
          <w:p>
            <w:pPr>
              <w:jc w:val="center"/>
              <w:rPr>
                <w:rFonts w:ascii="宋体" w:hAnsi="宋体"/>
                <w:sz w:val="28"/>
                <w:szCs w:val="28"/>
              </w:rPr>
            </w:pPr>
            <w:r>
              <w:rPr>
                <w:rFonts w:hint="eastAsia" w:ascii="宋体" w:hAnsi="宋体"/>
                <w:sz w:val="28"/>
                <w:szCs w:val="28"/>
              </w:rPr>
              <w:t>单位</w:t>
            </w:r>
          </w:p>
          <w:p>
            <w:pPr>
              <w:jc w:val="center"/>
              <w:rPr>
                <w:rFonts w:ascii="宋体" w:hAnsi="宋体"/>
                <w:sz w:val="24"/>
              </w:rPr>
            </w:pPr>
            <w:r>
              <w:rPr>
                <w:rFonts w:hint="eastAsia" w:ascii="宋体" w:hAnsi="宋体"/>
                <w:sz w:val="28"/>
                <w:szCs w:val="28"/>
              </w:rPr>
              <w:t>意见</w:t>
            </w:r>
          </w:p>
        </w:tc>
        <w:tc>
          <w:tcPr>
            <w:tcW w:w="7371" w:type="dxa"/>
            <w:gridSpan w:val="6"/>
            <w:vAlign w:val="top"/>
          </w:tcPr>
          <w:p>
            <w:pPr>
              <w:ind w:right="560" w:firstLine="5106" w:firstLineChars="1850"/>
              <w:rPr>
                <w:rFonts w:ascii="宋体" w:hAnsi="宋体"/>
                <w:sz w:val="28"/>
                <w:szCs w:val="28"/>
              </w:rPr>
            </w:pPr>
          </w:p>
          <w:p>
            <w:pPr>
              <w:ind w:right="560" w:firstLine="5106" w:firstLineChars="1850"/>
              <w:rPr>
                <w:rFonts w:ascii="宋体" w:hAnsi="宋体"/>
                <w:sz w:val="28"/>
                <w:szCs w:val="28"/>
              </w:rPr>
            </w:pPr>
          </w:p>
          <w:p>
            <w:pPr>
              <w:ind w:right="560" w:firstLine="5106" w:firstLineChars="1850"/>
              <w:rPr>
                <w:rFonts w:ascii="宋体" w:hAnsi="宋体"/>
                <w:sz w:val="28"/>
                <w:szCs w:val="28"/>
              </w:rPr>
            </w:pPr>
            <w:r>
              <w:rPr>
                <w:rFonts w:hint="eastAsia" w:ascii="宋体" w:hAnsi="宋体"/>
                <w:sz w:val="28"/>
                <w:szCs w:val="28"/>
              </w:rPr>
              <w:t>盖  章</w:t>
            </w:r>
          </w:p>
          <w:p>
            <w:pPr>
              <w:ind w:firstLine="4968" w:firstLineChars="1800"/>
              <w:rPr>
                <w:rFonts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668" w:type="dxa"/>
            <w:vAlign w:val="center"/>
          </w:tcPr>
          <w:p>
            <w:pPr>
              <w:jc w:val="center"/>
              <w:rPr>
                <w:rFonts w:ascii="宋体" w:hAnsi="宋体"/>
                <w:sz w:val="28"/>
                <w:szCs w:val="28"/>
              </w:rPr>
            </w:pPr>
            <w:r>
              <w:rPr>
                <w:rFonts w:hint="eastAsia" w:ascii="宋体" w:hAnsi="宋体"/>
                <w:sz w:val="28"/>
                <w:szCs w:val="28"/>
              </w:rPr>
              <w:t>初审</w:t>
            </w:r>
          </w:p>
          <w:p>
            <w:pPr>
              <w:jc w:val="center"/>
              <w:rPr>
                <w:rFonts w:ascii="宋体" w:hAnsi="宋体"/>
                <w:sz w:val="28"/>
                <w:szCs w:val="28"/>
              </w:rPr>
            </w:pPr>
            <w:r>
              <w:rPr>
                <w:rFonts w:hint="eastAsia" w:ascii="宋体" w:hAnsi="宋体"/>
                <w:sz w:val="28"/>
                <w:szCs w:val="28"/>
              </w:rPr>
              <w:t>意见</w:t>
            </w:r>
          </w:p>
          <w:p>
            <w:pPr>
              <w:jc w:val="center"/>
              <w:rPr>
                <w:rFonts w:ascii="宋体" w:hAnsi="宋体"/>
                <w:sz w:val="28"/>
                <w:szCs w:val="28"/>
              </w:rPr>
            </w:pPr>
          </w:p>
        </w:tc>
        <w:tc>
          <w:tcPr>
            <w:tcW w:w="7371" w:type="dxa"/>
            <w:gridSpan w:val="6"/>
            <w:vAlign w:val="bottom"/>
          </w:tcPr>
          <w:p>
            <w:pPr>
              <w:ind w:right="560" w:firstLine="5106" w:firstLineChars="1850"/>
              <w:rPr>
                <w:rFonts w:ascii="宋体" w:hAnsi="宋体"/>
                <w:sz w:val="28"/>
                <w:szCs w:val="28"/>
              </w:rPr>
            </w:pPr>
          </w:p>
          <w:p>
            <w:pPr>
              <w:ind w:right="560" w:firstLine="5106" w:firstLineChars="1850"/>
              <w:rPr>
                <w:rFonts w:ascii="宋体" w:hAnsi="宋体"/>
                <w:sz w:val="28"/>
                <w:szCs w:val="28"/>
              </w:rPr>
            </w:pPr>
          </w:p>
          <w:p>
            <w:pPr>
              <w:ind w:right="560" w:firstLine="5106" w:firstLineChars="1850"/>
              <w:rPr>
                <w:rFonts w:ascii="宋体" w:hAnsi="宋体"/>
                <w:sz w:val="28"/>
                <w:szCs w:val="28"/>
              </w:rPr>
            </w:pPr>
            <w:r>
              <w:rPr>
                <w:rFonts w:hint="eastAsia" w:ascii="宋体" w:hAnsi="宋体"/>
                <w:sz w:val="28"/>
                <w:szCs w:val="28"/>
              </w:rPr>
              <w:t>盖  章</w:t>
            </w:r>
          </w:p>
          <w:p>
            <w:pPr>
              <w:wordWrap w:val="0"/>
              <w:ind w:right="560" w:firstLine="4830" w:firstLineChars="1750"/>
              <w:rPr>
                <w:rFonts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668" w:type="dxa"/>
            <w:vAlign w:val="center"/>
          </w:tcPr>
          <w:p>
            <w:pPr>
              <w:jc w:val="center"/>
              <w:rPr>
                <w:rFonts w:ascii="宋体" w:hAnsi="宋体"/>
                <w:sz w:val="28"/>
                <w:szCs w:val="28"/>
              </w:rPr>
            </w:pPr>
            <w:r>
              <w:rPr>
                <w:rFonts w:hint="eastAsia" w:ascii="宋体" w:hAnsi="宋体"/>
                <w:sz w:val="28"/>
                <w:szCs w:val="28"/>
              </w:rPr>
              <w:t>审核</w:t>
            </w:r>
          </w:p>
          <w:p>
            <w:pPr>
              <w:jc w:val="center"/>
              <w:rPr>
                <w:rFonts w:ascii="宋体" w:hAnsi="宋体"/>
                <w:sz w:val="28"/>
                <w:szCs w:val="28"/>
              </w:rPr>
            </w:pPr>
            <w:r>
              <w:rPr>
                <w:rFonts w:hint="eastAsia" w:ascii="宋体" w:hAnsi="宋体"/>
                <w:sz w:val="28"/>
                <w:szCs w:val="28"/>
              </w:rPr>
              <w:t>意见</w:t>
            </w:r>
          </w:p>
          <w:p>
            <w:pPr>
              <w:jc w:val="center"/>
              <w:rPr>
                <w:rFonts w:ascii="宋体" w:hAnsi="宋体"/>
                <w:sz w:val="28"/>
                <w:szCs w:val="28"/>
              </w:rPr>
            </w:pPr>
          </w:p>
        </w:tc>
        <w:tc>
          <w:tcPr>
            <w:tcW w:w="7371" w:type="dxa"/>
            <w:gridSpan w:val="6"/>
            <w:vAlign w:val="bottom"/>
          </w:tcPr>
          <w:p>
            <w:pPr>
              <w:ind w:right="840" w:firstLine="5106" w:firstLineChars="1850"/>
              <w:jc w:val="right"/>
              <w:rPr>
                <w:rFonts w:ascii="宋体" w:hAnsi="宋体"/>
                <w:sz w:val="28"/>
                <w:szCs w:val="28"/>
              </w:rPr>
            </w:pPr>
          </w:p>
          <w:p>
            <w:pPr>
              <w:ind w:right="840" w:firstLine="5106" w:firstLineChars="1850"/>
              <w:jc w:val="right"/>
              <w:rPr>
                <w:rFonts w:ascii="宋体" w:hAnsi="宋体"/>
                <w:sz w:val="28"/>
                <w:szCs w:val="28"/>
              </w:rPr>
            </w:pPr>
          </w:p>
          <w:p>
            <w:pPr>
              <w:ind w:right="840" w:firstLine="5106" w:firstLineChars="1850"/>
              <w:jc w:val="right"/>
              <w:rPr>
                <w:rFonts w:ascii="宋体" w:hAnsi="宋体"/>
                <w:sz w:val="28"/>
                <w:szCs w:val="28"/>
              </w:rPr>
            </w:pPr>
            <w:r>
              <w:rPr>
                <w:rFonts w:hint="eastAsia" w:ascii="宋体" w:hAnsi="宋体"/>
                <w:sz w:val="28"/>
                <w:szCs w:val="28"/>
              </w:rPr>
              <w:t>盖  章</w:t>
            </w:r>
          </w:p>
          <w:p>
            <w:pPr>
              <w:ind w:right="560"/>
              <w:jc w:val="center"/>
              <w:rPr>
                <w:rFonts w:ascii="宋体" w:hAnsi="宋体"/>
                <w:sz w:val="28"/>
                <w:szCs w:val="28"/>
              </w:rPr>
            </w:pPr>
            <w:r>
              <w:rPr>
                <w:rFonts w:hint="eastAsia" w:ascii="宋体" w:hAnsi="宋体"/>
                <w:sz w:val="28"/>
                <w:szCs w:val="28"/>
              </w:rPr>
              <w:t xml:space="preserve">                                  年  月  日</w:t>
            </w:r>
          </w:p>
        </w:tc>
      </w:tr>
    </w:tbl>
    <w:p>
      <w:pPr>
        <w:kinsoku/>
        <w:autoSpaceDE/>
        <w:autoSpaceDN w:val="0"/>
        <w:jc w:val="both"/>
        <w:rPr>
          <w:rFonts w:hint="default" w:ascii="Calibri"/>
          <w:snapToGrid/>
          <w:sz w:val="32"/>
        </w:rPr>
      </w:pPr>
      <w:r>
        <w:rPr>
          <w:rFonts w:hint="default" w:ascii="仿宋_GB2312" w:hAnsi="仿宋_GB2312" w:eastAsia="仿宋_GB2312"/>
          <w:snapToGrid/>
          <w:sz w:val="24"/>
          <w:lang w:eastAsia="zh-CN"/>
        </w:rPr>
        <w:t>注：相关内容不够填写可另附页。</w:t>
      </w: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Calibri"/>
          <w:snapToGrid/>
          <w:sz w:val="32"/>
        </w:rPr>
      </w:pPr>
      <w:r>
        <w:rPr>
          <w:rFonts w:hint="default" w:ascii="黑体" w:hAnsi="黑体" w:eastAsia="黑体"/>
          <w:snapToGrid/>
          <w:sz w:val="32"/>
          <w:lang w:eastAsia="zh-CN"/>
        </w:rPr>
        <w:t>附件3</w:t>
      </w:r>
    </w:p>
    <w:p>
      <w:pPr>
        <w:kinsoku/>
        <w:autoSpaceDE/>
        <w:autoSpaceDN w:val="0"/>
        <w:snapToGrid w:val="0"/>
        <w:spacing w:before="312" w:beforeLines="0" w:after="312" w:afterLines="0" w:line="560" w:lineRule="atLeast"/>
        <w:jc w:val="center"/>
        <w:rPr>
          <w:rFonts w:hint="default" w:ascii="方正小标宋简体" w:hAnsi="方正小标宋简体" w:eastAsia="方正小标宋简体"/>
          <w:snapToGrid/>
          <w:sz w:val="44"/>
          <w:lang w:eastAsia="zh-CN"/>
        </w:rPr>
      </w:pPr>
      <w:r>
        <w:rPr>
          <w:rFonts w:hint="default" w:ascii="方正小标宋简体" w:hAnsi="方正小标宋简体" w:eastAsia="方正小标宋简体"/>
          <w:snapToGrid/>
          <w:sz w:val="44"/>
          <w:lang w:eastAsia="zh-CN"/>
        </w:rPr>
        <w:t>船检技术法规中接受中国船级社规范的</w:t>
      </w:r>
    </w:p>
    <w:p>
      <w:pPr>
        <w:kinsoku/>
        <w:autoSpaceDE/>
        <w:autoSpaceDN w:val="0"/>
        <w:snapToGrid w:val="0"/>
        <w:spacing w:before="312" w:beforeLines="0" w:after="312" w:afterLines="0" w:line="560" w:lineRule="atLeast"/>
        <w:jc w:val="center"/>
        <w:rPr>
          <w:rFonts w:hint="default" w:ascii="Calibri"/>
          <w:snapToGrid/>
          <w:sz w:val="44"/>
        </w:rPr>
      </w:pPr>
      <w:r>
        <w:rPr>
          <w:rFonts w:hint="default" w:ascii="方正小标宋简体" w:hAnsi="方正小标宋简体" w:eastAsia="方正小标宋简体"/>
          <w:snapToGrid/>
          <w:sz w:val="44"/>
          <w:lang w:eastAsia="zh-CN"/>
        </w:rPr>
        <w:t>认可办法</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第一条  </w:t>
      </w:r>
      <w:r>
        <w:rPr>
          <w:rFonts w:hint="default" w:ascii="仿宋_GB2312" w:hAnsi="仿宋_GB2312" w:eastAsia="仿宋_GB2312"/>
          <w:snapToGrid/>
          <w:sz w:val="32"/>
          <w:lang w:eastAsia="zh-CN"/>
        </w:rPr>
        <w:t>本认可办法适用于部海事局对中国船级社制定和发布的规范、规范的变更通告或者勘误的认可和公布。</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left"/>
        <w:textAlignment w:val="auto"/>
        <w:outlineLvl w:val="9"/>
        <w:rPr>
          <w:rFonts w:hint="default" w:ascii="Calibri"/>
          <w:snapToGrid/>
          <w:sz w:val="32"/>
        </w:rPr>
      </w:pPr>
      <w:r>
        <w:rPr>
          <w:rFonts w:hint="default" w:ascii="仿宋_GB2312" w:hAnsi="仿宋_GB2312" w:eastAsia="仿宋_GB2312"/>
          <w:snapToGrid/>
          <w:sz w:val="32"/>
          <w:lang w:eastAsia="zh-CN"/>
        </w:rPr>
        <w:t>部海事局对加入中国船级社船级船舶适用的规范按IMO《被认可组织规则》（RO规则）相关规定执行。</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第二条  </w:t>
      </w:r>
      <w:r>
        <w:rPr>
          <w:rFonts w:hint="default" w:ascii="仿宋_GB2312" w:hAnsi="仿宋_GB2312" w:eastAsia="仿宋_GB2312"/>
          <w:snapToGrid/>
          <w:sz w:val="32"/>
          <w:lang w:eastAsia="zh-CN"/>
        </w:rPr>
        <w:t>中国船级社批准规范后，应当及时报送部海事局认可，并提交下列材料：</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（1）经中国船级社批准的规范文本（含生效日期）；</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（2）简要编写说明；</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（3）规范认可范围的建议；</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（4）征求意见处理情况；</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（5）专家评审会纪要（含专家名单）；</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（6）评审会意见落实情况。</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第三条  </w:t>
      </w:r>
      <w:r>
        <w:rPr>
          <w:rFonts w:hint="default" w:ascii="仿宋_GB2312" w:hAnsi="仿宋_GB2312" w:eastAsia="仿宋_GB2312"/>
          <w:snapToGrid/>
          <w:sz w:val="32"/>
          <w:lang w:eastAsia="zh-CN"/>
        </w:rPr>
        <w:t>中国船级社批准规范的变更通告或者勘误后，应当将变更通告或者勘误及时报送部海事局认可。</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第四条  </w:t>
      </w:r>
      <w:r>
        <w:rPr>
          <w:rFonts w:hint="default" w:ascii="仿宋_GB2312" w:hAnsi="仿宋_GB2312" w:eastAsia="仿宋_GB2312"/>
          <w:snapToGrid/>
          <w:sz w:val="32"/>
          <w:lang w:eastAsia="zh-CN"/>
        </w:rPr>
        <w:t>部海事局技术法规归口部门组织对报送的规范材料进行审查，报分管领导和主要领导批准。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部海事局技术法规归口部门组织对报送的规范变更通告或者勘误材料进行审查，报分管领导批准。</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第五条</w:t>
      </w:r>
      <w:r>
        <w:rPr>
          <w:rFonts w:hint="default" w:ascii="仿宋_GB2312" w:hAnsi="仿宋_GB2312" w:eastAsia="仿宋_GB2312"/>
          <w:snapToGrid/>
          <w:sz w:val="32"/>
          <w:lang w:eastAsia="zh-CN"/>
        </w:rPr>
        <w:t xml:space="preserve">  认可后的规范、规范变更通告或者勘误清单，由部海事局发文并在其官方网站上公布。</w:t>
      </w:r>
    </w:p>
    <w:p>
      <w:pPr>
        <w:keepNext w:val="0"/>
        <w:keepLines w:val="0"/>
        <w:pageBreakBefore w:val="0"/>
        <w:widowControl w:val="0"/>
        <w:kinsoku/>
        <w:wordWrap/>
        <w:overflowPunct/>
        <w:topLinePunct w:val="0"/>
        <w:autoSpaceDE/>
        <w:autoSpaceDN w:val="0"/>
        <w:bidi w:val="0"/>
        <w:adjustRightInd/>
        <w:snapToGrid w:val="0"/>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第六条  </w:t>
      </w:r>
      <w:r>
        <w:rPr>
          <w:rFonts w:hint="default" w:ascii="仿宋_GB2312" w:hAnsi="仿宋_GB2312" w:eastAsia="仿宋_GB2312"/>
          <w:snapToGrid/>
          <w:sz w:val="32"/>
          <w:lang w:eastAsia="zh-CN"/>
        </w:rPr>
        <w:t>认可的规范由船舶检验机构组织实施。中国船级社以外的船舶检验机构在执行规范中涉及“经本社同意或者经认可”等条款时，该条款应当解释为“经省级船舶检验机构同意或者认可”。</w:t>
      </w: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黑体" w:hAnsi="黑体" w:eastAsia="黑体"/>
          <w:snapToGrid/>
          <w:sz w:val="32"/>
          <w:lang w:eastAsia="zh-CN"/>
        </w:rPr>
      </w:pPr>
    </w:p>
    <w:p>
      <w:pPr>
        <w:kinsoku/>
        <w:autoSpaceDE/>
        <w:autoSpaceDN w:val="0"/>
        <w:snapToGrid w:val="0"/>
        <w:spacing w:line="560" w:lineRule="atLeast"/>
        <w:jc w:val="left"/>
        <w:rPr>
          <w:rFonts w:hint="default" w:ascii="Calibri"/>
          <w:snapToGrid/>
          <w:sz w:val="32"/>
        </w:rPr>
      </w:pPr>
      <w:r>
        <w:rPr>
          <w:rFonts w:hint="default" w:ascii="黑体" w:hAnsi="黑体" w:eastAsia="黑体"/>
          <w:snapToGrid/>
          <w:sz w:val="32"/>
          <w:lang w:eastAsia="zh-CN"/>
        </w:rPr>
        <w:t>附件4</w:t>
      </w:r>
    </w:p>
    <w:p>
      <w:pPr>
        <w:kinsoku/>
        <w:autoSpaceDE/>
        <w:autoSpaceDN w:val="0"/>
        <w:spacing w:line="560" w:lineRule="atLeast"/>
        <w:jc w:val="center"/>
        <w:rPr>
          <w:rFonts w:hint="default" w:ascii="Calibri"/>
          <w:snapToGrid/>
          <w:sz w:val="32"/>
        </w:rPr>
      </w:pPr>
      <w:r>
        <w:rPr>
          <w:rFonts w:hint="default" w:ascii="方正小标宋简体" w:hAnsi="方正小标宋简体" w:eastAsia="方正小标宋简体"/>
          <w:snapToGrid/>
          <w:sz w:val="44"/>
          <w:lang w:eastAsia="zh-CN"/>
        </w:rPr>
        <w:t>船检技术法规后评估实施办法</w:t>
      </w:r>
    </w:p>
    <w:p>
      <w:pPr>
        <w:kinsoku/>
        <w:autoSpaceDE/>
        <w:autoSpaceDN w:val="0"/>
        <w:spacing w:line="560" w:lineRule="atLeast"/>
        <w:jc w:val="center"/>
        <w:rPr>
          <w:rFonts w:hint="default" w:ascii="Calibri"/>
          <w:snapToGrid/>
          <w:sz w:val="32"/>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第一条  </w:t>
      </w:r>
      <w:r>
        <w:rPr>
          <w:rFonts w:hint="default" w:ascii="仿宋_GB2312" w:hAnsi="仿宋_GB2312" w:eastAsia="仿宋_GB2312"/>
          <w:snapToGrid/>
          <w:color w:val="000000"/>
          <w:sz w:val="32"/>
          <w:lang w:eastAsia="zh-CN"/>
        </w:rPr>
        <w:t>为</w:t>
      </w:r>
      <w:r>
        <w:rPr>
          <w:rFonts w:hint="default" w:ascii="仿宋_GB2312" w:hAnsi="仿宋_GB2312" w:eastAsia="仿宋_GB2312"/>
          <w:snapToGrid/>
          <w:sz w:val="32"/>
          <w:lang w:eastAsia="zh-CN"/>
        </w:rPr>
        <w:t>规范船检技术法规后评估工作，全面反映船检技术法规的适用性和实施有效性，提高船检技术法规质量，依据《船舶检验管理规定》，制定本办法。</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第二条  </w:t>
      </w:r>
      <w:r>
        <w:rPr>
          <w:rFonts w:hint="default" w:ascii="仿宋_GB2312" w:hAnsi="仿宋_GB2312" w:eastAsia="仿宋_GB2312"/>
          <w:snapToGrid/>
          <w:color w:val="000000"/>
          <w:sz w:val="32"/>
          <w:lang w:eastAsia="zh-CN"/>
        </w:rPr>
        <w:t>本办法所称船检技术法规后评估，是指船检技术法规实施后，依照本办法规定，对其技术要求的适用性和可操作性、实施的有效性、与上位法的符合性以及存在的问题和影响因素进行全面调查和综合评价，并提出评估意见的活动。</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第三条   </w:t>
      </w:r>
      <w:r>
        <w:rPr>
          <w:rFonts w:hint="default" w:ascii="仿宋_GB2312" w:hAnsi="仿宋_GB2312" w:eastAsia="仿宋_GB2312"/>
          <w:snapToGrid/>
          <w:sz w:val="32"/>
          <w:lang w:eastAsia="zh-CN"/>
        </w:rPr>
        <w:t>船检技术法规的后</w:t>
      </w:r>
      <w:r>
        <w:rPr>
          <w:rFonts w:hint="default" w:ascii="仿宋_GB2312" w:hAnsi="仿宋_GB2312" w:eastAsia="仿宋_GB2312"/>
          <w:snapToGrid/>
          <w:color w:val="000000"/>
          <w:sz w:val="32"/>
          <w:lang w:eastAsia="zh-CN"/>
        </w:rPr>
        <w:t>评估应当遵循客观公正、公开透明、业界参与和注重实效的原则。</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第四条  </w:t>
      </w:r>
      <w:r>
        <w:rPr>
          <w:rFonts w:hint="default" w:ascii="仿宋_GB2312" w:hAnsi="仿宋_GB2312" w:eastAsia="仿宋_GB2312"/>
          <w:snapToGrid/>
          <w:color w:val="000000"/>
          <w:sz w:val="32"/>
          <w:lang w:eastAsia="zh-CN"/>
        </w:rPr>
        <w:t>部海事局负责组织船检技术法规的后评估工作。根据需要，可将船检技术法规后评估部分或者全部委托给有能力的单位具体实施。</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第五条  </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的后评估工作所需经费应当纳入年度预算。</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shd w:val="clear" w:color="auto" w:fill="FFFFFF"/>
        </w:rPr>
      </w:pPr>
      <w:r>
        <w:rPr>
          <w:rFonts w:hint="default" w:ascii="仿宋_GB2312" w:hAnsi="仿宋_GB2312" w:eastAsia="仿宋_GB2312"/>
          <w:b/>
          <w:snapToGrid/>
          <w:sz w:val="32"/>
          <w:shd w:val="clear" w:color="auto" w:fill="FFFFFF"/>
          <w:lang w:eastAsia="zh-CN"/>
        </w:rPr>
        <w:t xml:space="preserve">第六条 </w:t>
      </w:r>
      <w:r>
        <w:rPr>
          <w:rFonts w:hint="default" w:ascii="仿宋_GB2312" w:hAnsi="仿宋_GB2312" w:eastAsia="仿宋_GB2312"/>
          <w:snapToGrid/>
          <w:color w:val="000000"/>
          <w:sz w:val="32"/>
          <w:shd w:val="clear" w:color="auto" w:fill="FFFFFF"/>
          <w:lang w:eastAsia="zh-CN"/>
        </w:rPr>
        <w:t xml:space="preserve"> 有下列情形之一的，部海事局应当组织开展船检技术法规后评估：</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shd w:val="clear" w:color="auto" w:fill="FFFFFF"/>
        </w:rPr>
      </w:pPr>
      <w:r>
        <w:rPr>
          <w:rFonts w:hint="default" w:ascii="仿宋_GB2312" w:hAnsi="仿宋_GB2312" w:eastAsia="仿宋_GB2312"/>
          <w:snapToGrid/>
          <w:color w:val="000000"/>
          <w:sz w:val="32"/>
          <w:shd w:val="clear" w:color="auto" w:fill="FFFFFF"/>
          <w:lang w:eastAsia="zh-CN"/>
        </w:rPr>
        <w:t>（一）实施满5年的；</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shd w:val="clear" w:color="auto" w:fill="FFFFFF"/>
        </w:rPr>
      </w:pPr>
      <w:r>
        <w:rPr>
          <w:rFonts w:hint="default" w:ascii="仿宋_GB2312" w:hAnsi="仿宋_GB2312" w:eastAsia="仿宋_GB2312"/>
          <w:snapToGrid/>
          <w:color w:val="000000"/>
          <w:sz w:val="32"/>
          <w:shd w:val="clear" w:color="auto" w:fill="FFFFFF"/>
          <w:lang w:eastAsia="zh-CN"/>
        </w:rPr>
        <w:t>（二）上位法或者相关国际公约有重大修改或者调整的；</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shd w:val="clear" w:color="auto" w:fill="FFFFFF"/>
        </w:rPr>
      </w:pPr>
      <w:r>
        <w:rPr>
          <w:rFonts w:hint="default" w:ascii="仿宋_GB2312" w:hAnsi="仿宋_GB2312" w:eastAsia="仿宋_GB2312"/>
          <w:snapToGrid/>
          <w:color w:val="000000"/>
          <w:sz w:val="32"/>
          <w:shd w:val="clear" w:color="auto" w:fill="FFFFFF"/>
          <w:lang w:eastAsia="zh-CN"/>
        </w:rPr>
        <w:t>（三）水上交通安全管理环境发生重大变化，影响船检技术法规适宜性的；</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shd w:val="clear" w:color="auto" w:fill="FFFFFF"/>
        </w:rPr>
      </w:pPr>
      <w:r>
        <w:rPr>
          <w:rFonts w:hint="default" w:ascii="仿宋_GB2312" w:hAnsi="仿宋_GB2312" w:eastAsia="仿宋_GB2312"/>
          <w:snapToGrid/>
          <w:color w:val="000000"/>
          <w:sz w:val="32"/>
          <w:shd w:val="clear" w:color="auto" w:fill="FFFFFF"/>
          <w:lang w:eastAsia="zh-CN"/>
        </w:rPr>
        <w:t>（四）其他应当进行后评估的情形。</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第七条 </w:t>
      </w:r>
      <w:r>
        <w:rPr>
          <w:rFonts w:hint="default" w:ascii="仿宋_GB2312" w:hAnsi="仿宋_GB2312" w:eastAsia="仿宋_GB2312"/>
          <w:snapToGrid/>
          <w:color w:val="000000"/>
          <w:sz w:val="32"/>
          <w:lang w:eastAsia="zh-CN"/>
        </w:rPr>
        <w:t xml:space="preserve"> 部海事局</w:t>
      </w:r>
      <w:r>
        <w:rPr>
          <w:rFonts w:hint="default" w:ascii="仿宋_GB2312" w:hAnsi="仿宋_GB2312" w:eastAsia="仿宋_GB2312"/>
          <w:snapToGrid/>
          <w:sz w:val="32"/>
          <w:lang w:eastAsia="zh-CN"/>
        </w:rPr>
        <w:t>技术法规归口</w:t>
      </w:r>
      <w:r>
        <w:rPr>
          <w:rFonts w:hint="default" w:ascii="仿宋_GB2312" w:hAnsi="仿宋_GB2312" w:eastAsia="仿宋_GB2312"/>
          <w:snapToGrid/>
          <w:color w:val="000000"/>
          <w:sz w:val="32"/>
          <w:lang w:eastAsia="zh-CN"/>
        </w:rPr>
        <w:t>部门组织确定年度船检技术法规的后评估任务及相关工作安排，报局领导批准后实施。</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第八条  </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后评估根据具体情况，可以对特定的</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进行全面评估，也可以仅对其中一项或者部分内容进行评估。</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color w:val="000000"/>
          <w:sz w:val="32"/>
          <w:lang w:eastAsia="zh-CN"/>
        </w:rPr>
        <w:t xml:space="preserve">第九条  </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后评估应当根据确定的评估指标，对</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的安全和环保目标、适用范围、具体技术和操作性条款及检验发证等内容进行评估。</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第十条  </w:t>
      </w:r>
      <w:r>
        <w:rPr>
          <w:rFonts w:hint="default" w:ascii="仿宋_GB2312" w:hAnsi="仿宋_GB2312" w:eastAsia="仿宋_GB2312"/>
          <w:snapToGrid/>
          <w:color w:val="000000"/>
          <w:sz w:val="32"/>
          <w:lang w:eastAsia="zh-CN"/>
        </w:rPr>
        <w:t>船检技术法规后评估可以采用问卷调查、实船调研、风险评估、召开业界座谈会或者技术研讨会等多种方式开展。</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第十一条  </w:t>
      </w:r>
      <w:r>
        <w:rPr>
          <w:rFonts w:hint="default" w:ascii="仿宋_GB2312" w:hAnsi="仿宋_GB2312" w:eastAsia="仿宋_GB2312"/>
          <w:snapToGrid/>
          <w:color w:val="000000"/>
          <w:sz w:val="32"/>
          <w:lang w:eastAsia="zh-CN"/>
        </w:rPr>
        <w:t>船检技术法规后评估工作按照下列程序进行：</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color w:val="000000"/>
          <w:sz w:val="32"/>
          <w:lang w:eastAsia="zh-CN"/>
        </w:rPr>
        <w:t>（一）成立评估工作组。实施评估工作的单位应当成立工作组，由本单位适任的人员组成，并可邀请造船、航运、科研等有关行业专家参加。</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color w:val="000000"/>
          <w:sz w:val="32"/>
          <w:lang w:eastAsia="zh-CN"/>
        </w:rPr>
        <w:t>（二）制定评估方案。主要包括评估对象、评估目的、评估内容、评估标准、评估方法、评估步骤和时间安排等。其他委托单位开展后评估的，受委托单位制定的评估方案应当报部海事局同意。</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color w:val="000000"/>
          <w:sz w:val="32"/>
          <w:lang w:eastAsia="zh-CN"/>
        </w:rPr>
        <w:t>（三）实施评估。评估工作组按照评估方案开展评估活动，收集、分析评估信息，对评估活动中收集到的材料、信息进行整理，对照评估内容和标准进行分析评价。</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color w:val="000000"/>
          <w:sz w:val="32"/>
          <w:lang w:eastAsia="zh-CN"/>
        </w:rPr>
        <w:t>（四）编制评估报告。根据评估结论编制后评估报告。</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第十二条  </w:t>
      </w:r>
      <w:r>
        <w:rPr>
          <w:rFonts w:hint="default" w:ascii="仿宋_GB2312" w:hAnsi="仿宋_GB2312" w:eastAsia="仿宋_GB2312"/>
          <w:snapToGrid/>
          <w:color w:val="000000"/>
          <w:sz w:val="32"/>
          <w:lang w:eastAsia="zh-CN"/>
        </w:rPr>
        <w:t>开展船检技术法规后评估工作应当全面调查了解评估对象的实施情况，</w:t>
      </w:r>
      <w:r>
        <w:rPr>
          <w:rFonts w:hint="default" w:ascii="仿宋_GB2312" w:hAnsi="仿宋_GB2312" w:eastAsia="仿宋_GB2312"/>
          <w:snapToGrid/>
          <w:sz w:val="32"/>
          <w:lang w:eastAsia="zh-CN"/>
        </w:rPr>
        <w:t>调查范围应当涵盖评估对象所涉及的利益相关方。</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第十三条  </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后评估报告至少</w:t>
      </w:r>
      <w:r>
        <w:rPr>
          <w:rFonts w:hint="default" w:ascii="仿宋_GB2312" w:hAnsi="仿宋_GB2312" w:eastAsia="仿宋_GB2312"/>
          <w:snapToGrid/>
          <w:color w:val="000000"/>
          <w:sz w:val="32"/>
          <w:lang w:eastAsia="zh-CN"/>
        </w:rPr>
        <w:t>包括以下内容：</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color w:val="000000"/>
          <w:sz w:val="32"/>
          <w:lang w:eastAsia="zh-CN"/>
        </w:rPr>
        <w:t>（一）评估工作的基本情况；</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（二）评估内容分析；</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（三）评估结论和建议，包括</w:t>
      </w:r>
      <w:r>
        <w:rPr>
          <w:rFonts w:hint="default" w:ascii="仿宋_GB2312" w:hAnsi="仿宋_GB2312" w:eastAsia="仿宋_GB2312"/>
          <w:snapToGrid/>
          <w:color w:val="000000"/>
          <w:sz w:val="32"/>
          <w:lang w:eastAsia="zh-CN"/>
        </w:rPr>
        <w:t>船检技术法规</w:t>
      </w:r>
      <w:r>
        <w:rPr>
          <w:rFonts w:hint="default" w:ascii="仿宋_GB2312" w:hAnsi="仿宋_GB2312" w:eastAsia="仿宋_GB2312"/>
          <w:snapToGrid/>
          <w:sz w:val="32"/>
          <w:lang w:eastAsia="zh-CN"/>
        </w:rPr>
        <w:t>的</w:t>
      </w:r>
      <w:r>
        <w:rPr>
          <w:rFonts w:hint="default" w:ascii="仿宋_GB2312" w:hAnsi="仿宋_GB2312" w:eastAsia="仿宋_GB2312"/>
          <w:snapToGrid/>
          <w:color w:val="000000"/>
          <w:sz w:val="32"/>
          <w:lang w:eastAsia="zh-CN"/>
        </w:rPr>
        <w:t>适用性和可操作性、实施的有效性、合理性、存在的问题和影响因素</w:t>
      </w:r>
      <w:r>
        <w:rPr>
          <w:rFonts w:hint="default" w:ascii="仿宋_GB2312" w:hAnsi="仿宋_GB2312" w:eastAsia="仿宋_GB2312"/>
          <w:snapToGrid/>
          <w:sz w:val="32"/>
          <w:lang w:eastAsia="zh-CN"/>
        </w:rPr>
        <w:t>，以及修定、解释和其他改进措施等；</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snapToGrid/>
          <w:sz w:val="32"/>
          <w:lang w:eastAsia="zh-CN"/>
        </w:rPr>
        <w:t>（四）其他需要说明的问题。</w:t>
      </w:r>
    </w:p>
    <w:p>
      <w:pPr>
        <w:keepNext w:val="0"/>
        <w:keepLines w:val="0"/>
        <w:pageBreakBefore w:val="0"/>
        <w:widowControl w:val="0"/>
        <w:kinsoku/>
        <w:wordWrap/>
        <w:overflowPunct/>
        <w:topLinePunct w:val="0"/>
        <w:autoSpaceDE/>
        <w:autoSpaceDN w:val="0"/>
        <w:bidi w:val="0"/>
        <w:adjustRightInd/>
        <w:snapToGrid/>
        <w:spacing w:before="0" w:beforeLines="0" w:after="0" w:afterLines="0" w:line="560" w:lineRule="atLeast"/>
        <w:ind w:left="0" w:leftChars="0" w:right="0" w:rightChars="0" w:firstLine="632" w:firstLineChars="200"/>
        <w:jc w:val="both"/>
        <w:textAlignment w:val="auto"/>
        <w:outlineLvl w:val="9"/>
        <w:rPr>
          <w:rFonts w:hint="default" w:ascii="Calibri"/>
          <w:snapToGrid/>
          <w:sz w:val="32"/>
        </w:rPr>
      </w:pPr>
      <w:r>
        <w:rPr>
          <w:rFonts w:hint="default" w:ascii="仿宋_GB2312" w:hAnsi="仿宋_GB2312" w:eastAsia="仿宋_GB2312"/>
          <w:b/>
          <w:snapToGrid/>
          <w:sz w:val="32"/>
          <w:lang w:eastAsia="zh-CN"/>
        </w:rPr>
        <w:t xml:space="preserve">第十四条  </w:t>
      </w:r>
      <w:r>
        <w:rPr>
          <w:rFonts w:hint="default" w:ascii="仿宋_GB2312" w:hAnsi="仿宋_GB2312" w:eastAsia="仿宋_GB2312"/>
          <w:snapToGrid/>
          <w:sz w:val="32"/>
          <w:lang w:eastAsia="zh-CN"/>
        </w:rPr>
        <w:t>后评估报告对船检技术法规提出的修改建议，部海事局应当作为制定船检技术法规立项计划的重要依据。</w:t>
      </w:r>
    </w:p>
    <w:p>
      <w:pPr>
        <w:rPr>
          <w:rFonts w:hint="eastAsia" w:ascii="仿宋_GB2312" w:hAnsi="仿宋_GB2312" w:eastAsia="仿宋_GB2312"/>
          <w:snapToGrid/>
          <w:spacing w:val="0"/>
          <w:sz w:val="32"/>
          <w:lang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tbl>
      <w:tblPr>
        <w:tblStyle w:val="7"/>
        <w:tblpPr w:leftFromText="180" w:rightFromText="180" w:vertAnchor="page" w:horzAnchor="page" w:tblpX="1628" w:tblpY="13499"/>
        <w:tblOverlap w:val="never"/>
        <w:tblW w:w="8843" w:type="dxa"/>
        <w:jc w:val="center"/>
        <w:tblInd w:w="0"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843" w:type="dxa"/>
            <w:tcBorders>
              <w:top w:val="single" w:color="auto" w:sz="4" w:space="0"/>
              <w:bottom w:val="single" w:color="auto" w:sz="2" w:space="0"/>
            </w:tcBorders>
            <w:vAlign w:val="center"/>
          </w:tcPr>
          <w:p>
            <w:pPr>
              <w:keepNext w:val="0"/>
              <w:keepLines w:val="0"/>
              <w:pageBreakBefore w:val="0"/>
              <w:widowControl w:val="0"/>
              <w:tabs>
                <w:tab w:val="left" w:pos="315"/>
                <w:tab w:val="left" w:pos="320"/>
                <w:tab w:val="left" w:pos="420"/>
                <w:tab w:val="left" w:pos="8500"/>
              </w:tabs>
              <w:kinsoku/>
              <w:wordWrap/>
              <w:overflowPunct/>
              <w:topLinePunct w:val="0"/>
              <w:autoSpaceDE/>
              <w:autoSpaceDN/>
              <w:bidi w:val="0"/>
              <w:adjustRightInd/>
              <w:snapToGrid w:val="0"/>
              <w:spacing w:before="0" w:beforeLines="0" w:after="0" w:afterLines="0" w:line="240" w:lineRule="auto"/>
              <w:ind w:left="986" w:leftChars="50" w:right="158" w:rightChars="50" w:hanging="828" w:hangingChars="300"/>
              <w:jc w:val="both"/>
              <w:textAlignment w:val="auto"/>
              <w:outlineLvl w:val="9"/>
              <w:rPr>
                <w:rFonts w:hint="eastAsia" w:ascii="Times New Roman" w:hAnsi="Times New Roman" w:eastAsia="仿宋_GB2312" w:cs="Times New Roman"/>
                <w:b w:val="0"/>
                <w:bCs w:val="0"/>
                <w:snapToGrid/>
                <w:spacing w:val="0"/>
                <w:sz w:val="32"/>
                <w:vertAlign w:val="baseline"/>
                <w:lang w:eastAsia="zh-CN"/>
              </w:rPr>
            </w:pPr>
            <w:r>
              <w:rPr>
                <w:rFonts w:hint="eastAsia" w:ascii="仿宋_GB2312" w:hAnsi="仿宋_GB2312"/>
                <w:snapToGrid/>
                <w:spacing w:val="0"/>
                <w:sz w:val="28"/>
                <w:szCs w:val="28"/>
              </w:rPr>
              <w:t>抄送</w:t>
            </w:r>
            <w:r>
              <w:rPr>
                <w:rFonts w:hint="eastAsia" w:ascii="仿宋_GB2312" w:hAnsi="仿宋_GB2312" w:eastAsia="仿宋_GB2312"/>
                <w:snapToGrid/>
                <w:spacing w:val="0"/>
                <w:sz w:val="28"/>
              </w:rPr>
              <w:t>：</w:t>
            </w:r>
            <w:r>
              <w:rPr>
                <w:rFonts w:hint="eastAsia" w:ascii="仿宋_GB2312" w:hAnsi="仿宋_GB2312"/>
                <w:snapToGrid/>
                <w:spacing w:val="0"/>
                <w:sz w:val="28"/>
                <w:lang w:eastAsia="zh-CN"/>
              </w:rPr>
              <w:t>各省、自治区、直辖市、新疆生产建设兵团交通运输厅（局、委）。</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843" w:type="dxa"/>
            <w:tcBorders>
              <w:top w:val="single" w:color="auto" w:sz="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335" w:leftChars="50" w:right="158" w:rightChars="50" w:hanging="177" w:hangingChars="64"/>
              <w:jc w:val="both"/>
              <w:textAlignment w:val="auto"/>
              <w:outlineLvl w:val="9"/>
              <w:rPr>
                <w:snapToGrid/>
                <w:spacing w:val="0"/>
              </w:rPr>
            </w:pPr>
            <w:r>
              <w:rPr>
                <w:rFonts w:hint="eastAsia" w:ascii="仿宋_GB2312" w:hAnsi="仿宋_GB2312"/>
                <w:snapToGrid/>
                <w:spacing w:val="0"/>
                <w:sz w:val="28"/>
                <w:szCs w:val="28"/>
                <w:lang w:eastAsia="zh-CN"/>
              </w:rPr>
              <w:t>交通运输部</w:t>
            </w:r>
            <w:r>
              <w:rPr>
                <w:rFonts w:hint="eastAsia" w:ascii="仿宋_GB2312" w:hAnsi="仿宋_GB2312"/>
                <w:snapToGrid/>
                <w:spacing w:val="0"/>
                <w:sz w:val="28"/>
                <w:szCs w:val="28"/>
                <w:lang/>
              </w:rPr>
              <w:t>海事局</w:t>
            </w:r>
            <w:r>
              <w:rPr>
                <w:rFonts w:hint="eastAsia" w:ascii="仿宋_GB2312" w:hAnsi="仿宋_GB2312"/>
                <w:snapToGrid/>
                <w:spacing w:val="0"/>
                <w:sz w:val="28"/>
                <w:szCs w:val="28"/>
                <w:lang w:val="en-US" w:eastAsia="zh-CN"/>
              </w:rPr>
              <w:t xml:space="preserve">                       2017年5月8日印发</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b w:val="0"/>
          <w:bCs w:val="0"/>
          <w:snapToGrid/>
          <w:color w:val="000000"/>
          <w:spacing w:val="0"/>
          <w:sz w:val="32"/>
        </w:rPr>
      </w:pPr>
    </w:p>
    <w:sectPr>
      <w:footerReference r:id="rId3" w:type="default"/>
      <w:footerReference r:id="rId4" w:type="even"/>
      <w:type w:val="continuous"/>
      <w:pgSz w:w="11906" w:h="16838"/>
      <w:pgMar w:top="2041" w:right="1531" w:bottom="2041" w:left="1531" w:header="851" w:footer="1616" w:gutter="0"/>
      <w:paperSrc/>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2020603050405020304"/>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right="323" w:rightChars="101"/>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1</w:t>
    </w:r>
    <w:r>
      <w:rPr>
        <w:rFonts w:ascii="Times New Roman" w:hAnsi="Times New Roman"/>
        <w:sz w:val="28"/>
      </w:rPr>
      <w:fldChar w:fldCharType="end"/>
    </w:r>
    <w:r>
      <w:rPr>
        <w:rFonts w:ascii="Times New Roman" w:hAnsi="Times New Roman"/>
        <w:sz w:val="28"/>
      </w:rPr>
      <w:t xml:space="preserve">  —</w:t>
    </w:r>
    <w:r>
      <w:rPr>
        <w:rFonts w:hint="eastAsia" w:ascii="Times New Roman" w:hAnsi="Times New Roman"/>
        <w:lang w:val="en-US" w:eastAsia="zh-CN"/>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326" w:leftChars="101" w:hanging="3" w:firstLineChars="0"/>
    </w:pPr>
    <w:r>
      <w:rPr>
        <w:rFonts w:ascii="Times New Roman" w:hAnsi="Times New Roman"/>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lang/>
      </w:rPr>
      <w:t>2</w:t>
    </w:r>
    <w:r>
      <w:rPr>
        <w:rFonts w:ascii="Times New Roman" w:hAnsi="Times New Roman"/>
        <w:sz w:val="28"/>
      </w:rPr>
      <w:fldChar w:fldCharType="end"/>
    </w:r>
    <w:r>
      <w:rPr>
        <w:rFonts w:ascii="Times New Roman" w:hAnsi="Times New Roman"/>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Qrv3hMRA8o81EBHLjSLJSv1MoxE=" w:salt="ipCUgQemMLHckXXSIA6k5A=="/>
  <w:defaultTabStop w:val="420"/>
  <w:hyphenationZone w:val="360"/>
  <w:evenAndOddHeaders w:val="1"/>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E42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none [3204]"/>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snapToGrid w:val="0"/>
      <w:sz w:val="32"/>
      <w:szCs w:val="22"/>
      <w:lang w:val="en-US" w:eastAsia="zh-CN" w:bidi="ar-SA"/>
    </w:rPr>
  </w:style>
  <w:style w:type="character" w:default="1" w:styleId="5">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10"/>
    <w:uiPriority w:val="0"/>
    <w:pPr>
      <w:tabs>
        <w:tab w:val="center" w:pos="4153"/>
        <w:tab w:val="right" w:pos="8306"/>
      </w:tabs>
      <w:snapToGrid w:val="0"/>
      <w:jc w:val="left"/>
    </w:pPr>
    <w:rPr>
      <w:kern w:val="2"/>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kern w:val="2"/>
      <w:sz w:val="18"/>
      <w:szCs w:val="18"/>
    </w:rPr>
  </w:style>
  <w:style w:type="character" w:styleId="6">
    <w:name w:val="page number"/>
    <w:basedOn w:val="5"/>
    <w:uiPriority w:val="0"/>
  </w:style>
  <w:style w:type="character" w:customStyle="1" w:styleId="8">
    <w:name w:val="日期 Char"/>
    <w:basedOn w:val="5"/>
    <w:link w:val="2"/>
    <w:uiPriority w:val="0"/>
  </w:style>
  <w:style w:type="character" w:customStyle="1" w:styleId="9">
    <w:name w:val="页眉 Char"/>
    <w:link w:val="4"/>
    <w:uiPriority w:val="0"/>
    <w:rPr>
      <w:kern w:val="2"/>
      <w:sz w:val="18"/>
      <w:szCs w:val="18"/>
    </w:rPr>
  </w:style>
  <w:style w:type="character" w:customStyle="1" w:styleId="10">
    <w:name w:val="页脚 Char"/>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15</Words>
  <Characters>92</Characters>
  <Lines>1</Lines>
  <Paragraphs>1</Paragraphs>
  <TotalTime>0</TotalTime>
  <ScaleCrop>false</ScaleCrop>
  <LinksUpToDate>false</LinksUpToDate>
  <CharactersWithSpaces>106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2012-09-19T21:32:00Z</dcterms:created>
  <dc:creator>庞雨葳</dc:creator>
  <cp:lastModifiedBy>fang</cp:lastModifiedBy>
  <cp:lastPrinted>2013-03-14T01:29:00Z</cp:lastPrinted>
  <dcterms:modified xsi:type="dcterms:W3CDTF">2018-07-04T02:22:22Z</dcterms:modified>
  <dc:subject>在 17208 中的 WPS文档</dc:subject>
  <dc:title>中华人民共和国海事局文件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aztFileName">
    <vt:lpwstr>AZT20170511161717550868</vt:lpwstr>
  </property>
</Properties>
</file>