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20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3686"/>
        <w:gridCol w:w="2126"/>
        <w:gridCol w:w="1843"/>
        <w:gridCol w:w="1559"/>
        <w:gridCol w:w="992"/>
        <w:gridCol w:w="6095"/>
        <w:gridCol w:w="1843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711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3：                                              现行有效船舶法定检验技术规范清单（1999年7月——）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207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第三部分  内河船舶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9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船舶法定检验技术规范</w:t>
            </w:r>
          </w:p>
        </w:tc>
        <w:tc>
          <w:tcPr>
            <w:tcW w:w="10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接受或认可的中国船级社规范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发文号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生效日期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规范名称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生效日期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《内河船舶法定检验技术规则》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（2004）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海法规〔2003〕489号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2004年3月1日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《钢质内河船舶入级与建造规范》（2002）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《钢质内河船舶入级与建造规范》（2004年修改通报）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2004年9月1日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《材料与焊接规范》（1998）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2004年12月30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《内河高速船入级与建造规范》（2002）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《内河散装运输液化气体船舶构造与设备规范》（2001）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2001年4月1日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《内河散装运输危险化学品船舶构造与设备规范》（2001）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2001年4月1日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《维增强塑料船建造规范》（1991）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1992年2月15日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《内河船舶法定检验技术规则》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（2007年修改通报）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海法规〔2006〕495号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2007年3月1日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《钢质内河船舶入级与建造规范》（2002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《钢质内河船舶入级与建造规范》（2004年修改通报）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2004年9月1日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《内河高速船入级与建造规范》（2002）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《内河散装运输液化气体船舶构造与设备规范》（2001）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2001年4月1日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《内河散装运输危险化学品船舶构造与设备规范》（2001）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2001年4月1日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《维增强塑料船建造规范》（1991）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1992年2月15日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《内河船舶法定检验技术规则》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（2008年修改通报）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海法规〔2007〕669号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2008年3月1日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《钢质内河船舶入级与建造规范》（2002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《钢质内河船舶入级与建造规范》（2004年修改通报）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2004年9月1日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《维增强塑料船建造规范》（1991）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1992年2月15日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《内河高速船入级与建造规范》（2002）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《内河散装运输液化气体船舶构造与设备规范》（2008）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2008年6月1日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《内河散装运输危险化学品船舶构造与设备规范》（2008）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《内河船舶法定检验技术规则》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（2011）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海〔2011〕391号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2011年9月1日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《钢质内河船舶建造规范》（2012年修改通报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《钢质内河船舶建造规范》（2014年修改通报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《内河高速船入级与建造规范》（2002）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《内河散装运输液化气体船舶构造与设备规范》（2008）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《内河散装运输危险化学品船舶构造与设备规范》（2008）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《维增强塑料船建造规范》（1991）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1992年2月15日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《内河船舶法定检验技术规则》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（2015年修改通报）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海政法〔2014〕529号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 3月1日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《钢质内河船舶建造规范》（2012年修改通报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《钢质内河船舶建造规范》（2014年修改通报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《钢质内河船舶建造规范》（2015年修改通报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《钢质内河船舶建造规范》（2016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trike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trike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trike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《内河散装运输液化气体船舶构造与设备规范》（2008）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2008年6月1日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《内河散装运输危险化学品船舶构造与设备规范》（2008）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2016年10月1日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《内河船舶法定检验技术规则》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（2016年修改通报）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海政法〔2016〕541号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2016年11月12日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《钢质内河船舶建造规范》（2016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《内河散装运输液化气体船舶构造与设备规范》（2008）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2008年6月1日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《内河散装运输危险化学品船舶构造与设备规范》（2008）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2016年10月1日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《内河小型船舶法定检验技术规则》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（2007）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海法规〔2006〕494号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2007年3月1日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《内河小型船舶建造规范》（2006）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2006年3月1日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《钢质内河船舶入级与建造规范》（2002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《钢质内河船舶入级与建造规范》（2004年修改通报）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2004年9月1日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《钢质内河船舶建造规范》（2012年修改通报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《钢质内河船舶建造规范》（2014年修改通报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《钢质内河船舶建造规范》（2015年修改通报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0" w:hanging="100" w:hangingChars="50"/>
              <w:jc w:val="center"/>
              <w:rPr>
                <w:rFonts w:ascii="宋体" w:hAnsi="宋体" w:eastAsia="宋体" w:cs="宋体"/>
                <w:strike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《内河高速船入级与建造规范》（2002）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《纤维增强塑料船建造规范》（1991）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1991年1月1日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《内河小型船舶法定检验技术规则》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（2016）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海政法〔2016〕22号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2016年3月1日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《钢质内河船舶建造规范》（2012年修改通报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《钢质内河船舶建造规范》（2014年修改通报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《钢质内河船舶建造规范》（2015年修改通报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《钢质内河船舶建造规范》（2016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2016年10月1日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《纤维增强塑料船建造规范》（2015）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《内河天然气燃料动力船舶法定检验暂行规定》（2013）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海政法〔2013〕759号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2013年11月15日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《天然气燃料动力船舶规范》（2013）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《散装运输液化气体船舶构造与设备规范》（2006）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《散装运输液化气体船舶构造与设备规范》（2008年修改通报）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《散装运输液化气体船舶构造与设备规范》（2016）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《钢质内河船舶建造规范》（2012年修改通报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《钢质内河船舶建造规范》（2014年修改通报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《钢质内河船舶建造规范》（2015年修改通报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《钢质内河船舶建造规范》（2016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《液化天然气燃料内河加注趸船法定检验暂行规定》（2014）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海法规〔2014〕405号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2014年9月1日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《钢质内河船舶建造规范》（2012年修改通报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《钢质内河船舶建造规范》（2014年修改通报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《钢质内河船舶建造规范》（2015年修改通报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《钢质内河船舶建造规范》（2016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《散装运输液化气体船舶构造与设备规范》（2006）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《散装运输液化气体船舶构造与设备规范》（2008年修改通报）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《散装运输液化气体船舶构造与设备规范》（2016）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《液化天然气燃料水上加注趸船入级与建造规范》（2014）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《液化天然气燃料加注船舶规范》（2015）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《内河散装运输危险化学品船舶法定检验技术规则》（2009）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海法规〔2009〕618号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2010年3月1日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《钢质内河船舶建造规范》（2012年修改通报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《钢质内河船舶建造规范》（2014年修改通报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《钢质内河船舶建造规范》（2015年修改通报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《钢质内河船舶建造规范》（2016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《内河散装运输危险化学品船舶构造与设备规范》（2008）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2008年9月1日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《内河散装运输液化气体船舶法定检验技术规则》（2009）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海法规〔2009〕619号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2010年3月1日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《钢质内河船舶建造规范》（2012年修改通报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《钢质内河船舶建造规范》（2014年修改通报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《钢质内河船舶建造规范》（2015年修改通报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《钢质内河船舶建造规范》（2016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《内河散装运输液化气体船舶构造与设备规范》（2008）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2008年6月1日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《河船法定建造检验技术规程》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（2011）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海法规〔2011〕514号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2011年9月1日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《钢质内河船舶建造规范》（2012年修改通报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《钢质内河船舶建造规范》（2014年修改通报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《钢质内河船舶建造规范》（2015年修改通报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《钢质内河船舶建造规范》（2016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《内河高速船入级与建造规范》（2002）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《内河散装运输液化气体船舶构造与设备规范》（2008）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2008年6月1日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《内河散装运输危险化学品船舶构造与设备规范》（2008）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《内河小型船舶建造规范》（2006）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2006年3月1日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《纤维增强塑料船建造规范》（1991）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1991年1月1日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《纤维增强塑料船建造规范》（2015）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《钢质内河船舶建造规范（2016）》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《内河高速船入级与建造规范》（2016）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2016年10月1日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《河船法定营运检验技术规程》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（2011）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海法规〔2011〕514号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2011年9月1日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《钢质内河船舶建造规范》（2009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《钢质内河船舶建造规范》（2012年修改通报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《钢质内河船舶建造规范》（2014年修改通报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《钢质内河船舶建造规范》（2015年修改通报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《钢质内河船舶建造规范》（2016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2008年4月15日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《内河高速船入级与建造规范》（2002）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2012年9月1日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《内河散装运输液化气体船舶构造与设备规范》（2008）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2008年6月1日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《内河散装运输危险化学品船舶构造与设备规范》（2008）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2008年9月1日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《内河小型船舶建造规范》（2006）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2006年3月1日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《纤维增强塑料船建造规范》（1991）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1991年1月1日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《纤维增强塑料船建造规范》（2015）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《钢质内河船舶建造规范（2016）》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《内河高速船入级与建造规范》（2016）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2016年10月1日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《液化天然气燃料内河加注趸船法定检验暂行规则》（2018）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中华人民共和国海事局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公告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〔201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《液化天然气燃料加注趸船规范》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（2017）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2017年1月1日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23760" w:h="16781" w:orient="landscape"/>
      <w:pgMar w:top="1803" w:right="1440" w:bottom="1803" w:left="1440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A304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paragraph" w:styleId="3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character" w:customStyle="1" w:styleId="6">
    <w:name w:val="font10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basedOn w:val="4"/>
    <w:link w:val="3"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1447</Words>
  <Characters>8252</Characters>
  <Lines>68</Lines>
  <Paragraphs>19</Paragraphs>
  <TotalTime>82.3333333333333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2017-05-02T16:25:17Z</dcterms:created>
  <dc:creator>Administrator</dc:creator>
  <cp:lastModifiedBy>fang</cp:lastModifiedBy>
  <dcterms:modified xsi:type="dcterms:W3CDTF">2018-07-04T09:33:25Z</dcterms:modified>
  <dc:title>shf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