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87FAC">
      <w:pPr>
        <w:keepNext w:val="0"/>
        <w:keepLines w:val="0"/>
        <w:pageBreakBefore w:val="0"/>
        <w:widowControl/>
        <w:kinsoku/>
        <w:wordWrap/>
        <w:overflowPunct/>
        <w:topLinePunct w:val="0"/>
        <w:bidi w:val="0"/>
        <w:adjustRightInd w:val="0"/>
        <w:snapToGrid w:val="0"/>
        <w:spacing w:before="100" w:after="100" w:line="360" w:lineRule="auto"/>
        <w:jc w:val="both"/>
        <w:textAlignment w:val="auto"/>
        <w:rPr>
          <w:rFonts w:hint="default" w:ascii="Times New Roman" w:hAnsi="Times New Roman" w:cs="Times New Roman"/>
          <w:b/>
          <w:bCs/>
          <w:color w:val="auto"/>
          <w:spacing w:val="-20"/>
          <w:kern w:val="0"/>
          <w:sz w:val="24"/>
          <w:szCs w:val="24"/>
          <w:highlight w:val="none"/>
          <w:lang w:eastAsia="zh-CN"/>
        </w:rPr>
      </w:pPr>
      <w:r>
        <w:rPr>
          <w:rFonts w:hint="default" w:ascii="Times New Roman" w:hAnsi="Times New Roman" w:eastAsia="宋体" w:cs="Times New Roman"/>
          <w:b/>
          <w:bCs/>
          <w:caps w:val="0"/>
          <w:smallCaps w:val="0"/>
          <w:color w:val="auto"/>
          <w:spacing w:val="0"/>
          <w:position w:val="0"/>
          <w:sz w:val="24"/>
          <w:szCs w:val="24"/>
          <w:highlight w:val="none"/>
        </w:rPr>
        <w:t>版本号：</w:t>
      </w:r>
      <w:r>
        <w:rPr>
          <w:rFonts w:hint="default" w:ascii="Times New Roman" w:hAnsi="Times New Roman" w:cs="Times New Roman"/>
          <w:b/>
          <w:bCs/>
          <w:caps w:val="0"/>
          <w:smallCaps w:val="0"/>
          <w:color w:val="auto"/>
          <w:spacing w:val="0"/>
          <w:position w:val="0"/>
          <w:sz w:val="24"/>
          <w:szCs w:val="24"/>
          <w:highlight w:val="none"/>
          <w:lang w:val="en-US" w:eastAsia="zh-CN"/>
        </w:rPr>
        <w:t>LSH</w:t>
      </w:r>
      <w:r>
        <w:rPr>
          <w:rFonts w:hint="default" w:ascii="Times New Roman" w:hAnsi="Times New Roman" w:eastAsia="宋体" w:cs="Times New Roman"/>
          <w:b/>
          <w:bCs/>
          <w:caps w:val="0"/>
          <w:smallCaps w:val="0"/>
          <w:color w:val="auto"/>
          <w:spacing w:val="0"/>
          <w:position w:val="0"/>
          <w:sz w:val="24"/>
          <w:szCs w:val="24"/>
          <w:highlight w:val="none"/>
        </w:rPr>
        <w:t>-00</w:t>
      </w:r>
      <w:r>
        <w:rPr>
          <w:rFonts w:hint="eastAsia" w:cs="Times New Roman"/>
          <w:b/>
          <w:bCs/>
          <w:caps w:val="0"/>
          <w:smallCaps w:val="0"/>
          <w:color w:val="auto"/>
          <w:spacing w:val="0"/>
          <w:position w:val="0"/>
          <w:sz w:val="24"/>
          <w:szCs w:val="24"/>
          <w:highlight w:val="none"/>
          <w:lang w:val="en-US" w:eastAsia="zh-CN"/>
        </w:rPr>
        <w:t>4</w:t>
      </w:r>
      <w:r>
        <w:rPr>
          <w:rFonts w:hint="default" w:ascii="Times New Roman" w:hAnsi="Times New Roman" w:eastAsia="宋体" w:cs="Times New Roman"/>
          <w:b/>
          <w:bCs/>
          <w:caps w:val="0"/>
          <w:smallCaps w:val="0"/>
          <w:color w:val="auto"/>
          <w:spacing w:val="0"/>
          <w:position w:val="0"/>
          <w:sz w:val="24"/>
          <w:szCs w:val="24"/>
          <w:highlight w:val="none"/>
        </w:rPr>
        <w:t xml:space="preserve"> </w:t>
      </w:r>
    </w:p>
    <w:p w14:paraId="29F37C15">
      <w:pPr>
        <w:widowControl/>
        <w:adjustRightInd w:val="0"/>
        <w:snapToGrid w:val="0"/>
        <w:spacing w:before="100" w:after="340" w:line="360" w:lineRule="auto"/>
        <w:rPr>
          <w:rFonts w:hint="default" w:ascii="Times New Roman" w:hAnsi="Times New Roman" w:cs="Times New Roman"/>
          <w:b/>
          <w:bCs/>
          <w:color w:val="FF0000"/>
          <w:kern w:val="0"/>
          <w:sz w:val="40"/>
          <w:szCs w:val="40"/>
          <w:highlight w:val="none"/>
          <w:shd w:val="clear" w:color="auto" w:fill="auto"/>
        </w:rPr>
      </w:pPr>
      <w:r>
        <w:rPr>
          <w:rFonts w:hint="default" w:ascii="Times New Roman" w:hAnsi="Times New Roman" w:eastAsia="宋体" w:cs="Times New Roman"/>
          <w:b/>
          <w:bCs/>
          <w:caps w:val="0"/>
          <w:smallCaps w:val="0"/>
          <w:color w:val="FF0000"/>
          <w:spacing w:val="0"/>
          <w:position w:val="0"/>
          <w:highlight w:val="none"/>
        </w:rPr>
        <w:t xml:space="preserve">  </w:t>
      </w:r>
    </w:p>
    <w:p w14:paraId="5CD08035">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cs="Times New Roman"/>
          <w:b/>
          <w:bCs/>
          <w:color w:val="FF0000"/>
          <w:spacing w:val="-20"/>
          <w:kern w:val="0"/>
          <w:sz w:val="48"/>
          <w:szCs w:val="48"/>
          <w:highlight w:val="none"/>
          <w:shd w:val="clear" w:color="auto" w:fill="auto"/>
          <w:lang w:val="en-US" w:eastAsia="zh-CN"/>
        </w:rPr>
      </w:pPr>
      <w:r>
        <w:rPr>
          <w:rFonts w:hint="default" w:ascii="Times New Roman" w:hAnsi="Times New Roman" w:cs="Times New Roman"/>
          <w:b/>
          <w:bCs/>
          <w:color w:val="FF0000"/>
          <w:spacing w:val="-20"/>
          <w:kern w:val="0"/>
          <w:sz w:val="48"/>
          <w:szCs w:val="48"/>
          <w:highlight w:val="none"/>
          <w:shd w:val="clear" w:color="auto" w:fill="auto"/>
          <w:lang w:val="en-US" w:eastAsia="zh-CN"/>
        </w:rPr>
        <w:t xml:space="preserve">  </w:t>
      </w:r>
    </w:p>
    <w:p w14:paraId="0D7D10AB">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cs="Times New Roman"/>
          <w:b/>
          <w:bCs/>
          <w:color w:val="FF0000"/>
          <w:spacing w:val="-20"/>
          <w:kern w:val="0"/>
          <w:sz w:val="48"/>
          <w:szCs w:val="48"/>
          <w:highlight w:val="none"/>
          <w:shd w:val="clear" w:color="auto" w:fill="auto"/>
          <w:lang w:val="en-US" w:eastAsia="zh-CN"/>
        </w:rPr>
      </w:pPr>
    </w:p>
    <w:p w14:paraId="697BE2AE">
      <w:pPr>
        <w:pStyle w:val="2"/>
        <w:rPr>
          <w:rFonts w:hint="default" w:ascii="Times New Roman" w:hAnsi="Times New Roman" w:cs="Times New Roman"/>
          <w:color w:val="FF0000"/>
          <w:highlight w:val="none"/>
          <w:lang w:val="en-US" w:eastAsia="zh-CN"/>
        </w:rPr>
      </w:pPr>
    </w:p>
    <w:p w14:paraId="190689F3">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20"/>
          <w:kern w:val="0"/>
          <w:sz w:val="72"/>
          <w:szCs w:val="72"/>
          <w:highlight w:val="none"/>
          <w:shd w:val="clear" w:color="auto" w:fill="auto"/>
          <w:lang w:eastAsia="zh-CN"/>
        </w:rPr>
      </w:pPr>
      <w:r>
        <w:rPr>
          <w:rFonts w:hint="default" w:ascii="Times New Roman" w:hAnsi="Times New Roman" w:cs="Times New Roman"/>
          <w:b/>
          <w:bCs/>
          <w:color w:val="auto"/>
          <w:spacing w:val="-20"/>
          <w:kern w:val="0"/>
          <w:sz w:val="72"/>
          <w:szCs w:val="72"/>
          <w:highlight w:val="none"/>
          <w:shd w:val="clear" w:color="auto" w:fill="auto"/>
          <w:lang w:eastAsia="zh-CN"/>
        </w:rPr>
        <w:t>山东隆盛和助剂有限公司</w:t>
      </w:r>
    </w:p>
    <w:p w14:paraId="034D6A52">
      <w:pPr>
        <w:widowControl/>
        <w:adjustRightInd w:val="0"/>
        <w:snapToGrid w:val="0"/>
        <w:spacing w:before="100" w:after="100" w:line="360" w:lineRule="auto"/>
        <w:jc w:val="center"/>
        <w:rPr>
          <w:rFonts w:hint="default" w:ascii="Times New Roman" w:hAnsi="Times New Roman" w:cs="Times New Roman"/>
          <w:b/>
          <w:bCs/>
          <w:color w:val="FF0000"/>
          <w:spacing w:val="-20"/>
          <w:kern w:val="0"/>
          <w:sz w:val="72"/>
          <w:szCs w:val="72"/>
          <w:highlight w:val="none"/>
          <w:shd w:val="clear" w:color="auto" w:fill="auto"/>
        </w:rPr>
      </w:pPr>
      <w:r>
        <w:rPr>
          <w:rFonts w:hint="default" w:ascii="Times New Roman" w:hAnsi="Times New Roman" w:cs="Times New Roman"/>
          <w:b/>
          <w:bCs/>
          <w:color w:val="auto"/>
          <w:spacing w:val="-20"/>
          <w:kern w:val="0"/>
          <w:sz w:val="72"/>
          <w:szCs w:val="72"/>
          <w:highlight w:val="none"/>
          <w:shd w:val="clear" w:color="auto" w:fill="auto"/>
        </w:rPr>
        <w:t>突发环境事件风险评估报告</w:t>
      </w:r>
    </w:p>
    <w:p w14:paraId="305C9046">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689559C9">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0D0A5BE8">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57D4D0FF">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16E7150F">
      <w:pPr>
        <w:widowControl/>
        <w:adjustRightInd w:val="0"/>
        <w:snapToGrid w:val="0"/>
        <w:spacing w:before="100" w:after="100" w:line="360" w:lineRule="auto"/>
        <w:rPr>
          <w:rFonts w:hint="default" w:ascii="Times New Roman" w:hAnsi="Times New Roman" w:cs="Times New Roman"/>
          <w:color w:val="FF0000"/>
          <w:kern w:val="0"/>
          <w:sz w:val="36"/>
          <w:szCs w:val="36"/>
          <w:highlight w:val="none"/>
          <w:shd w:val="clear" w:color="auto" w:fill="auto"/>
        </w:rPr>
      </w:pPr>
    </w:p>
    <w:p w14:paraId="315F002E">
      <w:pPr>
        <w:widowControl/>
        <w:adjustRightInd w:val="0"/>
        <w:snapToGrid w:val="0"/>
        <w:spacing w:before="100" w:after="100" w:line="360" w:lineRule="auto"/>
        <w:rPr>
          <w:rFonts w:hint="default" w:ascii="Times New Roman" w:hAnsi="Times New Roman" w:cs="Times New Roman"/>
          <w:color w:val="FF0000"/>
          <w:kern w:val="0"/>
          <w:sz w:val="36"/>
          <w:szCs w:val="36"/>
          <w:highlight w:val="none"/>
          <w:shd w:val="clear" w:color="auto" w:fill="auto"/>
        </w:rPr>
      </w:pPr>
    </w:p>
    <w:p w14:paraId="4BF25FA1">
      <w:pPr>
        <w:widowControl/>
        <w:tabs>
          <w:tab w:val="left" w:pos="5617"/>
        </w:tabs>
        <w:adjustRightInd w:val="0"/>
        <w:snapToGrid w:val="0"/>
        <w:spacing w:before="100" w:after="100" w:line="360" w:lineRule="auto"/>
        <w:jc w:val="left"/>
        <w:rPr>
          <w:rFonts w:hint="default" w:ascii="Times New Roman" w:hAnsi="Times New Roman" w:cs="Times New Roman"/>
          <w:color w:val="FF0000"/>
          <w:kern w:val="0"/>
          <w:sz w:val="36"/>
          <w:szCs w:val="36"/>
          <w:highlight w:val="none"/>
          <w:shd w:val="clear" w:color="auto" w:fill="auto"/>
        </w:rPr>
      </w:pPr>
      <w:r>
        <w:rPr>
          <w:rFonts w:hint="default" w:ascii="Times New Roman" w:hAnsi="Times New Roman" w:cs="Times New Roman"/>
          <w:color w:val="FF0000"/>
          <w:kern w:val="0"/>
          <w:sz w:val="36"/>
          <w:szCs w:val="36"/>
          <w:highlight w:val="none"/>
          <w:shd w:val="clear" w:color="auto" w:fill="auto"/>
        </w:rPr>
        <w:tab/>
      </w:r>
    </w:p>
    <w:p w14:paraId="317C38FC">
      <w:pPr>
        <w:widowControl/>
        <w:adjustRightInd w:val="0"/>
        <w:snapToGrid w:val="0"/>
        <w:spacing w:before="100" w:after="100" w:line="360" w:lineRule="auto"/>
        <w:jc w:val="center"/>
        <w:rPr>
          <w:rFonts w:hint="default" w:ascii="Times New Roman" w:hAnsi="Times New Roman" w:cs="Times New Roman"/>
          <w:color w:val="FF0000"/>
          <w:kern w:val="0"/>
          <w:sz w:val="36"/>
          <w:szCs w:val="36"/>
          <w:highlight w:val="none"/>
          <w:shd w:val="clear" w:color="auto" w:fill="auto"/>
        </w:rPr>
      </w:pPr>
    </w:p>
    <w:p w14:paraId="6E921388">
      <w:pPr>
        <w:widowControl/>
        <w:adjustRightInd w:val="0"/>
        <w:snapToGrid w:val="0"/>
        <w:spacing w:before="100" w:after="100" w:line="360" w:lineRule="auto"/>
        <w:jc w:val="center"/>
        <w:rPr>
          <w:rFonts w:hint="default" w:ascii="Times New Roman" w:hAnsi="Times New Roman" w:eastAsia="宋体" w:cs="Times New Roman"/>
          <w:b/>
          <w:bCs/>
          <w:color w:val="auto"/>
          <w:spacing w:val="-20"/>
          <w:kern w:val="0"/>
          <w:sz w:val="56"/>
          <w:szCs w:val="56"/>
          <w:highlight w:val="none"/>
          <w:shd w:val="clear" w:color="auto" w:fill="auto"/>
          <w:lang w:eastAsia="zh-CN"/>
        </w:rPr>
      </w:pPr>
      <w:r>
        <w:rPr>
          <w:rFonts w:hint="default" w:ascii="Times New Roman" w:hAnsi="Times New Roman" w:cs="Times New Roman"/>
          <w:b/>
          <w:bCs/>
          <w:color w:val="auto"/>
          <w:kern w:val="0"/>
          <w:sz w:val="40"/>
          <w:szCs w:val="40"/>
          <w:highlight w:val="none"/>
          <w:shd w:val="clear" w:color="auto" w:fill="auto"/>
          <w:lang w:eastAsia="zh-CN"/>
        </w:rPr>
        <w:t>山东隆盛和助剂有限公司</w:t>
      </w:r>
    </w:p>
    <w:p w14:paraId="3869BFFB">
      <w:pPr>
        <w:keepNext w:val="0"/>
        <w:keepLines w:val="0"/>
        <w:pageBreakBefore w:val="0"/>
        <w:widowControl/>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b/>
          <w:color w:val="FF0000"/>
          <w:sz w:val="36"/>
          <w:szCs w:val="36"/>
        </w:rPr>
        <w:sectPr>
          <w:pgSz w:w="11906" w:h="16838"/>
          <w:pgMar w:top="1440" w:right="1134" w:bottom="1440" w:left="1417" w:header="851" w:footer="992" w:gutter="0"/>
          <w:pgNumType w:fmt="decimal" w:start="1"/>
          <w:cols w:space="720" w:num="1"/>
          <w:rtlGutter w:val="0"/>
          <w:docGrid w:type="lines" w:linePitch="312" w:charSpace="0"/>
        </w:sectPr>
      </w:pPr>
      <w:r>
        <w:rPr>
          <w:rFonts w:hint="default" w:ascii="Times New Roman" w:hAnsi="Times New Roman" w:eastAsia="宋体" w:cs="Times New Roman"/>
          <w:b/>
          <w:bCs/>
          <w:color w:val="auto"/>
          <w:kern w:val="0"/>
          <w:sz w:val="40"/>
          <w:szCs w:val="40"/>
          <w:lang w:eastAsia="zh-CN"/>
        </w:rPr>
        <w:t>二〇</w:t>
      </w:r>
      <w:r>
        <w:rPr>
          <w:rFonts w:hint="eastAsia" w:ascii="Times New Roman" w:hAnsi="Times New Roman" w:eastAsia="宋体" w:cs="Times New Roman"/>
          <w:b/>
          <w:bCs/>
          <w:color w:val="auto"/>
          <w:kern w:val="0"/>
          <w:sz w:val="40"/>
          <w:szCs w:val="40"/>
          <w:lang w:eastAsia="zh-CN"/>
        </w:rPr>
        <w:t>二六</w:t>
      </w:r>
      <w:r>
        <w:rPr>
          <w:rFonts w:hint="default" w:ascii="Times New Roman" w:hAnsi="Times New Roman" w:eastAsia="宋体" w:cs="Times New Roman"/>
          <w:b/>
          <w:bCs/>
          <w:color w:val="auto"/>
          <w:kern w:val="0"/>
          <w:sz w:val="40"/>
          <w:szCs w:val="40"/>
        </w:rPr>
        <w:t>年</w:t>
      </w:r>
      <w:r>
        <w:rPr>
          <w:rFonts w:hint="eastAsia" w:ascii="Times New Roman" w:hAnsi="Times New Roman" w:eastAsia="宋体" w:cs="Times New Roman"/>
          <w:b/>
          <w:bCs/>
          <w:color w:val="auto"/>
          <w:kern w:val="0"/>
          <w:sz w:val="40"/>
          <w:szCs w:val="40"/>
          <w:lang w:eastAsia="zh-CN"/>
        </w:rPr>
        <w:t>四</w:t>
      </w:r>
      <w:r>
        <w:rPr>
          <w:rFonts w:hint="default" w:ascii="Times New Roman" w:hAnsi="Times New Roman" w:eastAsia="宋体" w:cs="Times New Roman"/>
          <w:b/>
          <w:bCs/>
          <w:color w:val="auto"/>
          <w:kern w:val="0"/>
          <w:sz w:val="40"/>
          <w:szCs w:val="40"/>
        </w:rPr>
        <w:t>月</w:t>
      </w:r>
    </w:p>
    <w:p w14:paraId="509B7D39">
      <w:pPr>
        <w:tabs>
          <w:tab w:val="left" w:pos="6199"/>
        </w:tabs>
        <w:bidi w:val="0"/>
        <w:jc w:val="center"/>
        <w:rPr>
          <w:rFonts w:hint="default" w:ascii="Times New Roman" w:hAnsi="Times New Roman" w:cs="Times New Roman"/>
          <w:b/>
          <w:bCs/>
          <w:color w:val="auto"/>
          <w:kern w:val="0"/>
          <w:sz w:val="36"/>
          <w:szCs w:val="36"/>
          <w:highlight w:val="none"/>
        </w:rPr>
      </w:pPr>
    </w:p>
    <w:p w14:paraId="296F8E62">
      <w:pPr>
        <w:tabs>
          <w:tab w:val="left" w:pos="6199"/>
        </w:tabs>
        <w:bidi w:val="0"/>
        <w:jc w:val="center"/>
        <w:rPr>
          <w:rFonts w:hint="default" w:ascii="Times New Roman" w:hAnsi="Times New Roman" w:cs="Times New Roman"/>
          <w:color w:val="auto"/>
          <w:kern w:val="0"/>
          <w:sz w:val="36"/>
          <w:szCs w:val="36"/>
          <w:highlight w:val="none"/>
        </w:rPr>
      </w:pPr>
      <w:r>
        <w:rPr>
          <w:rFonts w:hint="default" w:ascii="Times New Roman" w:hAnsi="Times New Roman" w:cs="Times New Roman"/>
          <w:b/>
          <w:bCs/>
          <w:color w:val="auto"/>
          <w:kern w:val="0"/>
          <w:sz w:val="36"/>
          <w:szCs w:val="36"/>
          <w:highlight w:val="none"/>
        </w:rPr>
        <w:t>目录</w:t>
      </w:r>
    </w:p>
    <w:p w14:paraId="174F9B18">
      <w:pPr>
        <w:pStyle w:val="25"/>
        <w:tabs>
          <w:tab w:val="right" w:leader="dot" w:pos="9412"/>
        </w:tabs>
      </w:pPr>
      <w:bookmarkStart w:id="0" w:name="_Toc24751"/>
      <w:bookmarkStart w:id="1" w:name="_Toc5552"/>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TOC \o "1-2" \h \u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_Toc24512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1 前言</w:t>
      </w:r>
      <w:r>
        <w:tab/>
      </w:r>
      <w:r>
        <w:fldChar w:fldCharType="begin"/>
      </w:r>
      <w:r>
        <w:instrText xml:space="preserve"> PAGEREF _Toc24512 \h </w:instrText>
      </w:r>
      <w:r>
        <w:fldChar w:fldCharType="separate"/>
      </w:r>
      <w:r>
        <w:t>2</w:t>
      </w:r>
      <w:r>
        <w:fldChar w:fldCharType="end"/>
      </w:r>
      <w:r>
        <w:rPr>
          <w:rFonts w:hint="default" w:ascii="Times New Roman" w:hAnsi="Times New Roman" w:cs="Times New Roman"/>
          <w:color w:val="auto"/>
          <w:highlight w:val="none"/>
        </w:rPr>
        <w:fldChar w:fldCharType="end"/>
      </w:r>
    </w:p>
    <w:p w14:paraId="2DE773A7">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_Toc15721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2 总则</w:t>
      </w:r>
      <w:r>
        <w:tab/>
      </w:r>
      <w:r>
        <w:fldChar w:fldCharType="begin"/>
      </w:r>
      <w:r>
        <w:instrText xml:space="preserve"> PAGEREF _Toc15721 \h </w:instrText>
      </w:r>
      <w:r>
        <w:fldChar w:fldCharType="separate"/>
      </w:r>
      <w:r>
        <w:t>4</w:t>
      </w:r>
      <w:r>
        <w:fldChar w:fldCharType="end"/>
      </w:r>
      <w:r>
        <w:rPr>
          <w:rFonts w:hint="default" w:ascii="Times New Roman" w:hAnsi="Times New Roman" w:cs="Times New Roman"/>
          <w:color w:val="auto"/>
          <w:highlight w:val="none"/>
        </w:rPr>
        <w:fldChar w:fldCharType="end"/>
      </w:r>
    </w:p>
    <w:p w14:paraId="616909A3">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_Toc22114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2.1 编制原则</w:t>
      </w:r>
      <w:r>
        <w:tab/>
      </w:r>
      <w:r>
        <w:fldChar w:fldCharType="begin"/>
      </w:r>
      <w:r>
        <w:instrText xml:space="preserve"> PAGEREF _Toc22114 \h </w:instrText>
      </w:r>
      <w:r>
        <w:fldChar w:fldCharType="separate"/>
      </w:r>
      <w:r>
        <w:t>4</w:t>
      </w:r>
      <w:r>
        <w:fldChar w:fldCharType="end"/>
      </w:r>
      <w:r>
        <w:rPr>
          <w:rFonts w:hint="default" w:ascii="Times New Roman" w:hAnsi="Times New Roman" w:cs="Times New Roman"/>
          <w:color w:val="auto"/>
          <w:highlight w:val="none"/>
        </w:rPr>
        <w:fldChar w:fldCharType="end"/>
      </w:r>
    </w:p>
    <w:p w14:paraId="425FF236">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_Toc2442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2.2 编制依据</w:t>
      </w:r>
      <w:r>
        <w:tab/>
      </w:r>
      <w:r>
        <w:fldChar w:fldCharType="begin"/>
      </w:r>
      <w:r>
        <w:instrText xml:space="preserve"> PAGEREF _Toc2442 \h </w:instrText>
      </w:r>
      <w:r>
        <w:fldChar w:fldCharType="separate"/>
      </w:r>
      <w:r>
        <w:t>4</w:t>
      </w:r>
      <w:r>
        <w:fldChar w:fldCharType="end"/>
      </w:r>
      <w:r>
        <w:rPr>
          <w:rFonts w:hint="default" w:ascii="Times New Roman" w:hAnsi="Times New Roman" w:cs="Times New Roman"/>
          <w:color w:val="auto"/>
          <w:highlight w:val="none"/>
        </w:rPr>
        <w:fldChar w:fldCharType="end"/>
      </w:r>
    </w:p>
    <w:p w14:paraId="12EBF2F1">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_Toc31239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 xml:space="preserve">3 </w:t>
      </w:r>
      <w:r>
        <w:rPr>
          <w:rFonts w:ascii="Times New Roman" w:hAnsi="Times New Roman" w:cs="Times New Roman"/>
        </w:rPr>
        <w:t>资料准备与风险识别</w:t>
      </w:r>
      <w:r>
        <w:tab/>
      </w:r>
      <w:r>
        <w:fldChar w:fldCharType="begin"/>
      </w:r>
      <w:r>
        <w:instrText xml:space="preserve"> PAGEREF _Toc31239 \h </w:instrText>
      </w:r>
      <w:r>
        <w:fldChar w:fldCharType="separate"/>
      </w:r>
      <w:r>
        <w:t>6</w:t>
      </w:r>
      <w:r>
        <w:fldChar w:fldCharType="end"/>
      </w:r>
      <w:r>
        <w:rPr>
          <w:rFonts w:hint="default" w:ascii="Times New Roman" w:hAnsi="Times New Roman" w:cs="Times New Roman"/>
          <w:color w:val="auto"/>
          <w:highlight w:val="none"/>
        </w:rPr>
        <w:fldChar w:fldCharType="end"/>
      </w:r>
    </w:p>
    <w:p w14:paraId="2612CC15">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_Toc15902 </w:instrText>
      </w:r>
      <w:r>
        <w:rPr>
          <w:rFonts w:hint="default" w:ascii="Times New Roman" w:hAnsi="Times New Roman" w:cs="Times New Roman"/>
          <w:highlight w:val="none"/>
        </w:rPr>
        <w:fldChar w:fldCharType="separate"/>
      </w:r>
      <w:r>
        <w:rPr>
          <w:rFonts w:hint="eastAsia" w:cs="Times New Roman"/>
          <w:lang w:val="en-US" w:eastAsia="zh-CN"/>
        </w:rPr>
        <w:t>3.1</w:t>
      </w:r>
      <w:r>
        <w:rPr>
          <w:rFonts w:cs="Times New Roman"/>
        </w:rPr>
        <w:t>企业基本情况调查</w:t>
      </w:r>
      <w:r>
        <w:tab/>
      </w:r>
      <w:r>
        <w:fldChar w:fldCharType="begin"/>
      </w:r>
      <w:r>
        <w:instrText xml:space="preserve"> PAGEREF _Toc15902 \h </w:instrText>
      </w:r>
      <w:r>
        <w:fldChar w:fldCharType="separate"/>
      </w:r>
      <w:r>
        <w:t>6</w:t>
      </w:r>
      <w:r>
        <w:fldChar w:fldCharType="end"/>
      </w:r>
      <w:r>
        <w:rPr>
          <w:rFonts w:hint="default" w:ascii="Times New Roman" w:hAnsi="Times New Roman" w:cs="Times New Roman"/>
          <w:color w:val="auto"/>
          <w:highlight w:val="none"/>
        </w:rPr>
        <w:fldChar w:fldCharType="end"/>
      </w:r>
    </w:p>
    <w:p w14:paraId="76337C82">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_Toc22240 </w:instrText>
      </w:r>
      <w:r>
        <w:rPr>
          <w:rFonts w:hint="default" w:ascii="Times New Roman" w:hAnsi="Times New Roman" w:cs="Times New Roman"/>
          <w:highlight w:val="none"/>
        </w:rPr>
        <w:fldChar w:fldCharType="separate"/>
      </w:r>
      <w:r>
        <w:rPr>
          <w:rFonts w:hint="eastAsia" w:eastAsia="宋体" w:cs="Times New Roman"/>
          <w:lang w:val="en-US" w:eastAsia="zh-CN"/>
        </w:rPr>
        <w:t>3.2企业周边环境风险受体情况</w:t>
      </w:r>
      <w:r>
        <w:tab/>
      </w:r>
      <w:r>
        <w:fldChar w:fldCharType="begin"/>
      </w:r>
      <w:r>
        <w:instrText xml:space="preserve"> PAGEREF _Toc22240 \h </w:instrText>
      </w:r>
      <w:r>
        <w:fldChar w:fldCharType="separate"/>
      </w:r>
      <w:r>
        <w:t>11</w:t>
      </w:r>
      <w:r>
        <w:fldChar w:fldCharType="end"/>
      </w:r>
      <w:r>
        <w:rPr>
          <w:rFonts w:hint="default" w:ascii="Times New Roman" w:hAnsi="Times New Roman" w:cs="Times New Roman"/>
          <w:color w:val="auto"/>
          <w:highlight w:val="none"/>
        </w:rPr>
        <w:fldChar w:fldCharType="end"/>
      </w:r>
    </w:p>
    <w:p w14:paraId="453B314B">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_Toc11383 </w:instrText>
      </w:r>
      <w:r>
        <w:rPr>
          <w:rFonts w:hint="default" w:ascii="Times New Roman" w:hAnsi="Times New Roman" w:cs="Times New Roman"/>
          <w:highlight w:val="none"/>
        </w:rPr>
        <w:fldChar w:fldCharType="separate"/>
      </w:r>
      <w:r>
        <w:rPr>
          <w:rFonts w:hint="eastAsia" w:cs="Times New Roman"/>
          <w:lang w:val="en-US" w:eastAsia="zh-CN"/>
        </w:rPr>
        <w:t>3.3</w:t>
      </w:r>
      <w:r>
        <w:rPr>
          <w:rFonts w:cs="Times New Roman"/>
        </w:rPr>
        <w:t>涉及环境风险物质情况</w:t>
      </w:r>
      <w:r>
        <w:tab/>
      </w:r>
      <w:r>
        <w:fldChar w:fldCharType="begin"/>
      </w:r>
      <w:r>
        <w:instrText xml:space="preserve"> PAGEREF _Toc11383 \h </w:instrText>
      </w:r>
      <w:r>
        <w:fldChar w:fldCharType="separate"/>
      </w:r>
      <w:r>
        <w:t>12</w:t>
      </w:r>
      <w:r>
        <w:fldChar w:fldCharType="end"/>
      </w:r>
      <w:r>
        <w:rPr>
          <w:rFonts w:hint="default" w:ascii="Times New Roman" w:hAnsi="Times New Roman" w:cs="Times New Roman"/>
          <w:color w:val="auto"/>
          <w:highlight w:val="none"/>
        </w:rPr>
        <w:fldChar w:fldCharType="end"/>
      </w:r>
    </w:p>
    <w:p w14:paraId="4C0C5039">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_Toc8016 </w:instrText>
      </w:r>
      <w:r>
        <w:rPr>
          <w:rFonts w:hint="default" w:ascii="Times New Roman" w:hAnsi="Times New Roman" w:cs="Times New Roman"/>
          <w:highlight w:val="none"/>
        </w:rPr>
        <w:fldChar w:fldCharType="separate"/>
      </w:r>
      <w:r>
        <w:rPr>
          <w:rFonts w:hint="eastAsia"/>
          <w:lang w:val="en-US" w:eastAsia="zh-CN"/>
        </w:rPr>
        <w:t>3.4</w:t>
      </w:r>
      <w:r>
        <w:rPr>
          <w:rFonts w:hint="eastAsia"/>
        </w:rPr>
        <w:t>生产工艺</w:t>
      </w:r>
      <w:r>
        <w:tab/>
      </w:r>
      <w:r>
        <w:fldChar w:fldCharType="begin"/>
      </w:r>
      <w:r>
        <w:instrText xml:space="preserve"> PAGEREF _Toc8016 \h </w:instrText>
      </w:r>
      <w:r>
        <w:fldChar w:fldCharType="separate"/>
      </w:r>
      <w:r>
        <w:t>13</w:t>
      </w:r>
      <w:r>
        <w:fldChar w:fldCharType="end"/>
      </w:r>
      <w:r>
        <w:rPr>
          <w:rFonts w:hint="default" w:ascii="Times New Roman" w:hAnsi="Times New Roman" w:cs="Times New Roman"/>
          <w:color w:val="auto"/>
          <w:highlight w:val="none"/>
        </w:rPr>
        <w:fldChar w:fldCharType="end"/>
      </w:r>
    </w:p>
    <w:p w14:paraId="084200D9">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_Toc12888 </w:instrText>
      </w:r>
      <w:r>
        <w:rPr>
          <w:rFonts w:hint="default" w:ascii="Times New Roman" w:hAnsi="Times New Roman" w:cs="Times New Roman"/>
          <w:highlight w:val="none"/>
        </w:rPr>
        <w:fldChar w:fldCharType="separate"/>
      </w:r>
      <w:r>
        <w:rPr>
          <w:rFonts w:hint="eastAsia" w:cs="Times New Roman"/>
          <w:lang w:val="en-US" w:eastAsia="zh-CN"/>
        </w:rPr>
        <w:t>3.5</w:t>
      </w:r>
      <w:r>
        <w:rPr>
          <w:rFonts w:cs="Times New Roman"/>
        </w:rPr>
        <w:t>安全生产管理</w:t>
      </w:r>
      <w:r>
        <w:tab/>
      </w:r>
      <w:r>
        <w:fldChar w:fldCharType="begin"/>
      </w:r>
      <w:r>
        <w:instrText xml:space="preserve"> PAGEREF _Toc12888 \h </w:instrText>
      </w:r>
      <w:r>
        <w:fldChar w:fldCharType="separate"/>
      </w:r>
      <w:r>
        <w:t>20</w:t>
      </w:r>
      <w:r>
        <w:fldChar w:fldCharType="end"/>
      </w:r>
      <w:r>
        <w:rPr>
          <w:rFonts w:hint="default" w:ascii="Times New Roman" w:hAnsi="Times New Roman" w:cs="Times New Roman"/>
          <w:color w:val="auto"/>
          <w:highlight w:val="none"/>
        </w:rPr>
        <w:fldChar w:fldCharType="end"/>
      </w:r>
    </w:p>
    <w:p w14:paraId="7735A5FA">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_Toc9013 </w:instrText>
      </w:r>
      <w:r>
        <w:rPr>
          <w:rFonts w:hint="default" w:ascii="Times New Roman" w:hAnsi="Times New Roman" w:cs="Times New Roman"/>
          <w:highlight w:val="none"/>
        </w:rPr>
        <w:fldChar w:fldCharType="separate"/>
      </w:r>
      <w:r>
        <w:rPr>
          <w:rFonts w:hint="eastAsia" w:cs="Times New Roman"/>
          <w:lang w:val="en-US" w:eastAsia="zh-CN"/>
        </w:rPr>
        <w:t>3.6</w:t>
      </w:r>
      <w:r>
        <w:rPr>
          <w:rFonts w:cs="Times New Roman"/>
        </w:rPr>
        <w:t>现有风险防控与应急措施情况</w:t>
      </w:r>
      <w:r>
        <w:tab/>
      </w:r>
      <w:r>
        <w:fldChar w:fldCharType="begin"/>
      </w:r>
      <w:r>
        <w:instrText xml:space="preserve"> PAGEREF _Toc9013 \h </w:instrText>
      </w:r>
      <w:r>
        <w:fldChar w:fldCharType="separate"/>
      </w:r>
      <w:r>
        <w:t>20</w:t>
      </w:r>
      <w:r>
        <w:fldChar w:fldCharType="end"/>
      </w:r>
      <w:r>
        <w:rPr>
          <w:rFonts w:hint="default" w:ascii="Times New Roman" w:hAnsi="Times New Roman" w:cs="Times New Roman"/>
          <w:color w:val="auto"/>
          <w:highlight w:val="none"/>
        </w:rPr>
        <w:fldChar w:fldCharType="end"/>
      </w:r>
    </w:p>
    <w:p w14:paraId="732FDD74">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_Toc19629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3.7 现有应急物资与装备、救援队伍情况</w:t>
      </w:r>
      <w:r>
        <w:tab/>
      </w:r>
      <w:r>
        <w:fldChar w:fldCharType="begin"/>
      </w:r>
      <w:r>
        <w:instrText xml:space="preserve"> PAGEREF _Toc19629 \h </w:instrText>
      </w:r>
      <w:r>
        <w:fldChar w:fldCharType="separate"/>
      </w:r>
      <w:r>
        <w:t>26</w:t>
      </w:r>
      <w:r>
        <w:fldChar w:fldCharType="end"/>
      </w:r>
      <w:r>
        <w:rPr>
          <w:rFonts w:hint="default" w:ascii="Times New Roman" w:hAnsi="Times New Roman" w:cs="Times New Roman"/>
          <w:color w:val="auto"/>
          <w:highlight w:val="none"/>
        </w:rPr>
        <w:fldChar w:fldCharType="end"/>
      </w:r>
    </w:p>
    <w:p w14:paraId="01462D5E">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_Toc11851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4</w:t>
      </w:r>
      <w:r>
        <w:rPr>
          <w:rFonts w:ascii="Times New Roman" w:hAnsi="Times New Roman" w:cs="Times New Roman"/>
        </w:rPr>
        <w:t>突发环境事件及后果分析</w:t>
      </w:r>
      <w:r>
        <w:tab/>
      </w:r>
      <w:r>
        <w:fldChar w:fldCharType="begin"/>
      </w:r>
      <w:r>
        <w:instrText xml:space="preserve"> PAGEREF _Toc11851 \h </w:instrText>
      </w:r>
      <w:r>
        <w:fldChar w:fldCharType="separate"/>
      </w:r>
      <w:r>
        <w:t>31</w:t>
      </w:r>
      <w:r>
        <w:fldChar w:fldCharType="end"/>
      </w:r>
      <w:r>
        <w:rPr>
          <w:rFonts w:hint="default" w:ascii="Times New Roman" w:hAnsi="Times New Roman" w:cs="Times New Roman"/>
          <w:color w:val="auto"/>
          <w:highlight w:val="none"/>
        </w:rPr>
        <w:fldChar w:fldCharType="end"/>
      </w:r>
    </w:p>
    <w:p w14:paraId="2794636E">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_Toc14549 </w:instrText>
      </w:r>
      <w:r>
        <w:rPr>
          <w:rFonts w:hint="default" w:ascii="Times New Roman" w:hAnsi="Times New Roman" w:cs="Times New Roman"/>
          <w:highlight w:val="none"/>
        </w:rPr>
        <w:fldChar w:fldCharType="separate"/>
      </w:r>
      <w:r>
        <w:rPr>
          <w:rFonts w:hint="eastAsia" w:cs="Times New Roman"/>
          <w:lang w:val="en-US" w:eastAsia="zh-CN"/>
        </w:rPr>
        <w:t>4.1</w:t>
      </w:r>
      <w:r>
        <w:rPr>
          <w:rFonts w:cs="Times New Roman"/>
        </w:rPr>
        <w:t>突发环境事件情景分析</w:t>
      </w:r>
      <w:r>
        <w:tab/>
      </w:r>
      <w:r>
        <w:fldChar w:fldCharType="begin"/>
      </w:r>
      <w:r>
        <w:instrText xml:space="preserve"> PAGEREF _Toc14549 \h </w:instrText>
      </w:r>
      <w:r>
        <w:fldChar w:fldCharType="separate"/>
      </w:r>
      <w:r>
        <w:t>31</w:t>
      </w:r>
      <w:r>
        <w:fldChar w:fldCharType="end"/>
      </w:r>
      <w:r>
        <w:rPr>
          <w:rFonts w:hint="default" w:ascii="Times New Roman" w:hAnsi="Times New Roman" w:cs="Times New Roman"/>
          <w:color w:val="auto"/>
          <w:highlight w:val="none"/>
        </w:rPr>
        <w:fldChar w:fldCharType="end"/>
      </w:r>
    </w:p>
    <w:p w14:paraId="1AFBC793">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_Toc28343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4.2 突发环境事件情景源强分析</w:t>
      </w:r>
      <w:r>
        <w:tab/>
      </w:r>
      <w:r>
        <w:fldChar w:fldCharType="begin"/>
      </w:r>
      <w:r>
        <w:instrText xml:space="preserve"> PAGEREF _Toc28343 \h </w:instrText>
      </w:r>
      <w:r>
        <w:fldChar w:fldCharType="separate"/>
      </w:r>
      <w:r>
        <w:t>34</w:t>
      </w:r>
      <w:r>
        <w:fldChar w:fldCharType="end"/>
      </w:r>
      <w:r>
        <w:rPr>
          <w:rFonts w:hint="default" w:ascii="Times New Roman" w:hAnsi="Times New Roman" w:cs="Times New Roman"/>
          <w:color w:val="auto"/>
          <w:highlight w:val="none"/>
        </w:rPr>
        <w:fldChar w:fldCharType="end"/>
      </w:r>
    </w:p>
    <w:p w14:paraId="11FAB619">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_Toc24959 </w:instrText>
      </w:r>
      <w:r>
        <w:rPr>
          <w:rFonts w:hint="default" w:ascii="Times New Roman" w:hAnsi="Times New Roman" w:cs="Times New Roman"/>
          <w:highlight w:val="none"/>
        </w:rPr>
        <w:fldChar w:fldCharType="separate"/>
      </w:r>
      <w:r>
        <w:rPr>
          <w:rFonts w:hint="eastAsia" w:cs="Times New Roman"/>
          <w:lang w:val="en-US" w:eastAsia="zh-CN"/>
        </w:rPr>
        <w:t>4.4</w:t>
      </w:r>
      <w:r>
        <w:rPr>
          <w:rFonts w:cs="Times New Roman"/>
        </w:rPr>
        <w:t>风险事故影响后果与评价</w:t>
      </w:r>
      <w:r>
        <w:tab/>
      </w:r>
      <w:r>
        <w:fldChar w:fldCharType="begin"/>
      </w:r>
      <w:r>
        <w:instrText xml:space="preserve"> PAGEREF _Toc24959 \h </w:instrText>
      </w:r>
      <w:r>
        <w:fldChar w:fldCharType="separate"/>
      </w:r>
      <w:r>
        <w:t>48</w:t>
      </w:r>
      <w:r>
        <w:fldChar w:fldCharType="end"/>
      </w:r>
      <w:r>
        <w:rPr>
          <w:rFonts w:hint="default" w:ascii="Times New Roman" w:hAnsi="Times New Roman" w:cs="Times New Roman"/>
          <w:color w:val="auto"/>
          <w:highlight w:val="none"/>
        </w:rPr>
        <w:fldChar w:fldCharType="end"/>
      </w:r>
    </w:p>
    <w:p w14:paraId="4EC28CCA">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_Toc19724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5</w:t>
      </w:r>
      <w:r>
        <w:rPr>
          <w:rFonts w:ascii="Times New Roman" w:hAnsi="Times New Roman" w:cs="Times New Roman"/>
        </w:rPr>
        <w:t>现有环境风险</w:t>
      </w:r>
      <w:r>
        <w:rPr>
          <w:rFonts w:hint="eastAsia" w:ascii="Times New Roman" w:hAnsi="Times New Roman" w:cs="Times New Roman"/>
        </w:rPr>
        <w:t>防</w:t>
      </w:r>
      <w:r>
        <w:rPr>
          <w:rFonts w:ascii="Times New Roman" w:hAnsi="Times New Roman" w:cs="Times New Roman"/>
        </w:rPr>
        <w:t>控和应急措施差距分析</w:t>
      </w:r>
      <w:r>
        <w:tab/>
      </w:r>
      <w:r>
        <w:fldChar w:fldCharType="begin"/>
      </w:r>
      <w:r>
        <w:instrText xml:space="preserve"> PAGEREF _Toc19724 \h </w:instrText>
      </w:r>
      <w:r>
        <w:fldChar w:fldCharType="separate"/>
      </w:r>
      <w:r>
        <w:t>50</w:t>
      </w:r>
      <w:r>
        <w:fldChar w:fldCharType="end"/>
      </w:r>
      <w:r>
        <w:rPr>
          <w:rFonts w:hint="default" w:ascii="Times New Roman" w:hAnsi="Times New Roman" w:cs="Times New Roman"/>
          <w:color w:val="auto"/>
          <w:highlight w:val="none"/>
        </w:rPr>
        <w:fldChar w:fldCharType="end"/>
      </w:r>
    </w:p>
    <w:p w14:paraId="3CA0139E">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_Toc31527 </w:instrText>
      </w:r>
      <w:r>
        <w:rPr>
          <w:rFonts w:hint="default" w:ascii="Times New Roman" w:hAnsi="Times New Roman" w:cs="Times New Roman"/>
          <w:highlight w:val="none"/>
        </w:rPr>
        <w:fldChar w:fldCharType="separate"/>
      </w:r>
      <w:r>
        <w:rPr>
          <w:rFonts w:hint="eastAsia" w:cs="Times New Roman"/>
          <w:lang w:val="en-US" w:eastAsia="zh-CN"/>
        </w:rPr>
        <w:t>5.1</w:t>
      </w:r>
      <w:r>
        <w:rPr>
          <w:rFonts w:cs="Times New Roman"/>
        </w:rPr>
        <w:t>环境风险管理制度</w:t>
      </w:r>
      <w:r>
        <w:tab/>
      </w:r>
      <w:r>
        <w:fldChar w:fldCharType="begin"/>
      </w:r>
      <w:r>
        <w:instrText xml:space="preserve"> PAGEREF _Toc31527 \h </w:instrText>
      </w:r>
      <w:r>
        <w:fldChar w:fldCharType="separate"/>
      </w:r>
      <w:r>
        <w:t>50</w:t>
      </w:r>
      <w:r>
        <w:fldChar w:fldCharType="end"/>
      </w:r>
      <w:r>
        <w:rPr>
          <w:rFonts w:hint="default" w:ascii="Times New Roman" w:hAnsi="Times New Roman" w:cs="Times New Roman"/>
          <w:color w:val="auto"/>
          <w:highlight w:val="none"/>
        </w:rPr>
        <w:fldChar w:fldCharType="end"/>
      </w:r>
    </w:p>
    <w:p w14:paraId="688B77D8">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_Toc10560 </w:instrText>
      </w:r>
      <w:r>
        <w:rPr>
          <w:rFonts w:hint="default" w:ascii="Times New Roman" w:hAnsi="Times New Roman" w:cs="Times New Roman"/>
          <w:highlight w:val="none"/>
        </w:rPr>
        <w:fldChar w:fldCharType="separate"/>
      </w:r>
      <w:r>
        <w:rPr>
          <w:rFonts w:hint="eastAsia" w:cs="Times New Roman"/>
          <w:lang w:val="en-US" w:eastAsia="zh-CN"/>
        </w:rPr>
        <w:t>5.2</w:t>
      </w:r>
      <w:r>
        <w:rPr>
          <w:rFonts w:cs="Times New Roman"/>
        </w:rPr>
        <w:t>环境风险防控与应急措施差距分析</w:t>
      </w:r>
      <w:r>
        <w:tab/>
      </w:r>
      <w:r>
        <w:fldChar w:fldCharType="begin"/>
      </w:r>
      <w:r>
        <w:instrText xml:space="preserve"> PAGEREF _Toc10560 \h </w:instrText>
      </w:r>
      <w:r>
        <w:fldChar w:fldCharType="separate"/>
      </w:r>
      <w:r>
        <w:t>51</w:t>
      </w:r>
      <w:r>
        <w:fldChar w:fldCharType="end"/>
      </w:r>
      <w:r>
        <w:rPr>
          <w:rFonts w:hint="default" w:ascii="Times New Roman" w:hAnsi="Times New Roman" w:cs="Times New Roman"/>
          <w:color w:val="auto"/>
          <w:highlight w:val="none"/>
        </w:rPr>
        <w:fldChar w:fldCharType="end"/>
      </w:r>
    </w:p>
    <w:p w14:paraId="1CBC5A68">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_Toc5551 </w:instrText>
      </w:r>
      <w:r>
        <w:rPr>
          <w:rFonts w:hint="default" w:ascii="Times New Roman" w:hAnsi="Times New Roman" w:cs="Times New Roman"/>
          <w:highlight w:val="none"/>
        </w:rPr>
        <w:fldChar w:fldCharType="separate"/>
      </w:r>
      <w:r>
        <w:rPr>
          <w:rFonts w:hint="eastAsia" w:cs="Times New Roman"/>
          <w:lang w:val="en-US" w:eastAsia="zh-CN"/>
        </w:rPr>
        <w:t>5.3</w:t>
      </w:r>
      <w:r>
        <w:rPr>
          <w:rFonts w:cs="Times New Roman"/>
        </w:rPr>
        <w:t>环境</w:t>
      </w:r>
      <w:r>
        <w:rPr>
          <w:rFonts w:hint="eastAsia" w:cs="Times New Roman"/>
        </w:rPr>
        <w:t>应急资源</w:t>
      </w:r>
      <w:r>
        <w:tab/>
      </w:r>
      <w:r>
        <w:fldChar w:fldCharType="begin"/>
      </w:r>
      <w:r>
        <w:instrText xml:space="preserve"> PAGEREF _Toc5551 \h </w:instrText>
      </w:r>
      <w:r>
        <w:fldChar w:fldCharType="separate"/>
      </w:r>
      <w:r>
        <w:t>54</w:t>
      </w:r>
      <w:r>
        <w:fldChar w:fldCharType="end"/>
      </w:r>
      <w:r>
        <w:rPr>
          <w:rFonts w:hint="default" w:ascii="Times New Roman" w:hAnsi="Times New Roman" w:cs="Times New Roman"/>
          <w:color w:val="auto"/>
          <w:highlight w:val="none"/>
        </w:rPr>
        <w:fldChar w:fldCharType="end"/>
      </w:r>
    </w:p>
    <w:p w14:paraId="7DE9F445">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_Toc19554 </w:instrText>
      </w:r>
      <w:r>
        <w:rPr>
          <w:rFonts w:hint="default" w:ascii="Times New Roman" w:hAnsi="Times New Roman" w:cs="Times New Roman"/>
          <w:highlight w:val="none"/>
        </w:rPr>
        <w:fldChar w:fldCharType="separate"/>
      </w:r>
      <w:r>
        <w:rPr>
          <w:rFonts w:hint="eastAsia" w:cs="Times New Roman"/>
          <w:lang w:val="en-US" w:eastAsia="zh-CN"/>
        </w:rPr>
        <w:t>5.4</w:t>
      </w:r>
      <w:r>
        <w:rPr>
          <w:rFonts w:hint="eastAsia" w:cs="Times New Roman"/>
        </w:rPr>
        <w:t>历史经验总结教训</w:t>
      </w:r>
      <w:r>
        <w:tab/>
      </w:r>
      <w:r>
        <w:fldChar w:fldCharType="begin"/>
      </w:r>
      <w:r>
        <w:instrText xml:space="preserve"> PAGEREF _Toc19554 \h </w:instrText>
      </w:r>
      <w:r>
        <w:fldChar w:fldCharType="separate"/>
      </w:r>
      <w:r>
        <w:t>54</w:t>
      </w:r>
      <w:r>
        <w:fldChar w:fldCharType="end"/>
      </w:r>
      <w:r>
        <w:rPr>
          <w:rFonts w:hint="default" w:ascii="Times New Roman" w:hAnsi="Times New Roman" w:cs="Times New Roman"/>
          <w:color w:val="auto"/>
          <w:highlight w:val="none"/>
        </w:rPr>
        <w:fldChar w:fldCharType="end"/>
      </w:r>
    </w:p>
    <w:p w14:paraId="42BE3C4A">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_Toc21430 </w:instrText>
      </w:r>
      <w:r>
        <w:rPr>
          <w:rFonts w:hint="default" w:ascii="Times New Roman" w:hAnsi="Times New Roman" w:cs="Times New Roman"/>
          <w:highlight w:val="none"/>
        </w:rPr>
        <w:fldChar w:fldCharType="separate"/>
      </w:r>
      <w:r>
        <w:rPr>
          <w:rFonts w:hint="eastAsia" w:cs="Times New Roman"/>
          <w:lang w:val="en-US" w:eastAsia="zh-CN"/>
        </w:rPr>
        <w:t>5.5</w:t>
      </w:r>
      <w:r>
        <w:rPr>
          <w:rFonts w:hint="eastAsia" w:cs="Times New Roman"/>
        </w:rPr>
        <w:t>需要整改的短期、中期和长期项目内容</w:t>
      </w:r>
      <w:r>
        <w:tab/>
      </w:r>
      <w:r>
        <w:fldChar w:fldCharType="begin"/>
      </w:r>
      <w:r>
        <w:instrText xml:space="preserve"> PAGEREF _Toc21430 \h </w:instrText>
      </w:r>
      <w:r>
        <w:fldChar w:fldCharType="separate"/>
      </w:r>
      <w:r>
        <w:t>55</w:t>
      </w:r>
      <w:r>
        <w:fldChar w:fldCharType="end"/>
      </w:r>
      <w:r>
        <w:rPr>
          <w:rFonts w:hint="default" w:ascii="Times New Roman" w:hAnsi="Times New Roman" w:cs="Times New Roman"/>
          <w:color w:val="auto"/>
          <w:highlight w:val="none"/>
        </w:rPr>
        <w:fldChar w:fldCharType="end"/>
      </w:r>
    </w:p>
    <w:p w14:paraId="6FFE15CF">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_Toc7459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6</w:t>
      </w:r>
      <w:r>
        <w:rPr>
          <w:rFonts w:ascii="Times New Roman" w:hAnsi="Times New Roman" w:cs="Times New Roman"/>
        </w:rPr>
        <w:t>完善环境风险防控和应急措施的实施计划</w:t>
      </w:r>
      <w:r>
        <w:tab/>
      </w:r>
      <w:r>
        <w:fldChar w:fldCharType="begin"/>
      </w:r>
      <w:r>
        <w:instrText xml:space="preserve"> PAGEREF _Toc7459 \h </w:instrText>
      </w:r>
      <w:r>
        <w:fldChar w:fldCharType="separate"/>
      </w:r>
      <w:r>
        <w:t>55</w:t>
      </w:r>
      <w:r>
        <w:fldChar w:fldCharType="end"/>
      </w:r>
      <w:r>
        <w:rPr>
          <w:rFonts w:hint="default" w:ascii="Times New Roman" w:hAnsi="Times New Roman" w:cs="Times New Roman"/>
          <w:color w:val="auto"/>
          <w:highlight w:val="none"/>
        </w:rPr>
        <w:fldChar w:fldCharType="end"/>
      </w:r>
    </w:p>
    <w:p w14:paraId="4369D49B">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_Toc15759 </w:instrText>
      </w:r>
      <w:r>
        <w:rPr>
          <w:rFonts w:hint="default" w:ascii="Times New Roman" w:hAnsi="Times New Roman" w:cs="Times New Roman"/>
          <w:highlight w:val="none"/>
        </w:rPr>
        <w:fldChar w:fldCharType="separate"/>
      </w:r>
      <w:r>
        <w:rPr>
          <w:rFonts w:hint="eastAsia" w:ascii="Times New Roman" w:hAnsi="Times New Roman" w:cs="Times New Roman"/>
          <w:lang w:val="en-US" w:eastAsia="zh-CN"/>
        </w:rPr>
        <w:t>7</w:t>
      </w:r>
      <w:r>
        <w:rPr>
          <w:rFonts w:ascii="Times New Roman" w:hAnsi="Times New Roman" w:cs="Times New Roman"/>
        </w:rPr>
        <w:t>企业突发环境事件风险等级</w:t>
      </w:r>
      <w:r>
        <w:tab/>
      </w:r>
      <w:r>
        <w:fldChar w:fldCharType="begin"/>
      </w:r>
      <w:r>
        <w:instrText xml:space="preserve"> PAGEREF _Toc15759 \h </w:instrText>
      </w:r>
      <w:r>
        <w:fldChar w:fldCharType="separate"/>
      </w:r>
      <w:r>
        <w:t>56</w:t>
      </w:r>
      <w:r>
        <w:fldChar w:fldCharType="end"/>
      </w:r>
      <w:r>
        <w:rPr>
          <w:rFonts w:hint="default" w:ascii="Times New Roman" w:hAnsi="Times New Roman" w:cs="Times New Roman"/>
          <w:color w:val="auto"/>
          <w:highlight w:val="none"/>
        </w:rPr>
        <w:fldChar w:fldCharType="end"/>
      </w:r>
    </w:p>
    <w:p w14:paraId="79CEABA6">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_Toc21860 </w:instrText>
      </w:r>
      <w:r>
        <w:rPr>
          <w:rFonts w:hint="default" w:ascii="Times New Roman" w:hAnsi="Times New Roman" w:cs="Times New Roman"/>
          <w:highlight w:val="none"/>
        </w:rPr>
        <w:fldChar w:fldCharType="separate"/>
      </w:r>
      <w:r>
        <w:rPr>
          <w:rFonts w:hint="eastAsia" w:cs="Times New Roman"/>
          <w:lang w:val="en-US" w:eastAsia="zh-CN"/>
        </w:rPr>
        <w:t>7.1</w:t>
      </w:r>
      <w:r>
        <w:rPr>
          <w:rFonts w:cs="Times New Roman"/>
        </w:rPr>
        <w:t>企业突发大气环境事件风险等级</w:t>
      </w:r>
      <w:r>
        <w:tab/>
      </w:r>
      <w:r>
        <w:fldChar w:fldCharType="begin"/>
      </w:r>
      <w:r>
        <w:instrText xml:space="preserve"> PAGEREF _Toc21860 \h </w:instrText>
      </w:r>
      <w:r>
        <w:fldChar w:fldCharType="separate"/>
      </w:r>
      <w:r>
        <w:t>56</w:t>
      </w:r>
      <w:r>
        <w:fldChar w:fldCharType="end"/>
      </w:r>
      <w:r>
        <w:rPr>
          <w:rFonts w:hint="default" w:ascii="Times New Roman" w:hAnsi="Times New Roman" w:cs="Times New Roman"/>
          <w:color w:val="auto"/>
          <w:highlight w:val="none"/>
        </w:rPr>
        <w:fldChar w:fldCharType="end"/>
      </w:r>
    </w:p>
    <w:p w14:paraId="2B64E373">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_Toc5384 </w:instrText>
      </w:r>
      <w:r>
        <w:rPr>
          <w:rFonts w:hint="default" w:ascii="Times New Roman" w:hAnsi="Times New Roman" w:cs="Times New Roman"/>
          <w:highlight w:val="none"/>
        </w:rPr>
        <w:fldChar w:fldCharType="separate"/>
      </w:r>
      <w:r>
        <w:rPr>
          <w:rFonts w:hint="eastAsia"/>
          <w:lang w:val="en-US" w:eastAsia="zh-CN"/>
        </w:rPr>
        <w:t>7.2</w:t>
      </w:r>
      <w:r>
        <w:t>企业突发水环境事件风险等级</w:t>
      </w:r>
      <w:r>
        <w:tab/>
      </w:r>
      <w:r>
        <w:fldChar w:fldCharType="begin"/>
      </w:r>
      <w:r>
        <w:instrText xml:space="preserve"> PAGEREF _Toc5384 \h </w:instrText>
      </w:r>
      <w:r>
        <w:fldChar w:fldCharType="separate"/>
      </w:r>
      <w:r>
        <w:t>61</w:t>
      </w:r>
      <w:r>
        <w:fldChar w:fldCharType="end"/>
      </w:r>
      <w:r>
        <w:rPr>
          <w:rFonts w:hint="default" w:ascii="Times New Roman" w:hAnsi="Times New Roman" w:cs="Times New Roman"/>
          <w:color w:val="auto"/>
          <w:highlight w:val="none"/>
        </w:rPr>
        <w:fldChar w:fldCharType="end"/>
      </w:r>
    </w:p>
    <w:p w14:paraId="754D2839">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_Toc10596 </w:instrText>
      </w:r>
      <w:r>
        <w:rPr>
          <w:rFonts w:hint="default" w:ascii="Times New Roman" w:hAnsi="Times New Roman" w:cs="Times New Roman"/>
          <w:highlight w:val="none"/>
        </w:rPr>
        <w:fldChar w:fldCharType="separate"/>
      </w:r>
      <w:r>
        <w:rPr>
          <w:rFonts w:hint="eastAsia"/>
          <w:lang w:val="en-US" w:eastAsia="zh-CN"/>
        </w:rPr>
        <w:t>7.3</w:t>
      </w:r>
      <w:r>
        <w:rPr>
          <w:rFonts w:hint="eastAsia"/>
        </w:rPr>
        <w:t>企业突发环境事件风险等级确定</w:t>
      </w:r>
      <w:r>
        <w:tab/>
      </w:r>
      <w:r>
        <w:fldChar w:fldCharType="begin"/>
      </w:r>
      <w:r>
        <w:instrText xml:space="preserve"> PAGEREF _Toc10596 \h </w:instrText>
      </w:r>
      <w:r>
        <w:fldChar w:fldCharType="separate"/>
      </w:r>
      <w:r>
        <w:t>67</w:t>
      </w:r>
      <w:r>
        <w:fldChar w:fldCharType="end"/>
      </w:r>
      <w:r>
        <w:rPr>
          <w:rFonts w:hint="default" w:ascii="Times New Roman" w:hAnsi="Times New Roman" w:cs="Times New Roman"/>
          <w:color w:val="auto"/>
          <w:highlight w:val="none"/>
        </w:rPr>
        <w:fldChar w:fldCharType="end"/>
      </w:r>
    </w:p>
    <w:p w14:paraId="56767396">
      <w:pPr>
        <w:pStyle w:val="25"/>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_Toc30823 </w:instrText>
      </w:r>
      <w:r>
        <w:rPr>
          <w:rFonts w:hint="default" w:ascii="Times New Roman" w:hAnsi="Times New Roman" w:cs="Times New Roman"/>
          <w:highlight w:val="none"/>
        </w:rPr>
        <w:fldChar w:fldCharType="separate"/>
      </w:r>
      <w:r>
        <w:rPr>
          <w:rFonts w:hint="eastAsia"/>
          <w:lang w:val="en-US" w:eastAsia="zh-CN"/>
        </w:rPr>
        <w:t>8</w:t>
      </w:r>
      <w:r>
        <w:rPr>
          <w:rFonts w:hint="eastAsia"/>
        </w:rPr>
        <w:t>附图</w:t>
      </w:r>
      <w:r>
        <w:tab/>
      </w:r>
      <w:r>
        <w:fldChar w:fldCharType="begin"/>
      </w:r>
      <w:r>
        <w:instrText xml:space="preserve"> PAGEREF _Toc30823 \h </w:instrText>
      </w:r>
      <w:r>
        <w:fldChar w:fldCharType="separate"/>
      </w:r>
      <w:r>
        <w:t>68</w:t>
      </w:r>
      <w:r>
        <w:fldChar w:fldCharType="end"/>
      </w:r>
      <w:r>
        <w:rPr>
          <w:rFonts w:hint="default" w:ascii="Times New Roman" w:hAnsi="Times New Roman" w:cs="Times New Roman"/>
          <w:color w:val="auto"/>
          <w:highlight w:val="none"/>
        </w:rPr>
        <w:fldChar w:fldCharType="end"/>
      </w:r>
    </w:p>
    <w:p w14:paraId="0232B0C7">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_Toc5452 </w:instrText>
      </w:r>
      <w:r>
        <w:rPr>
          <w:rFonts w:hint="default" w:ascii="Times New Roman" w:hAnsi="Times New Roman" w:cs="Times New Roman"/>
          <w:highlight w:val="none"/>
        </w:rPr>
        <w:fldChar w:fldCharType="separate"/>
      </w:r>
      <w:r>
        <w:rPr>
          <w:bCs/>
          <w:szCs w:val="24"/>
        </w:rPr>
        <w:t>附</w:t>
      </w:r>
      <w:r>
        <w:rPr>
          <w:rFonts w:hint="eastAsia"/>
          <w:bCs/>
          <w:szCs w:val="24"/>
        </w:rPr>
        <w:t>图</w:t>
      </w:r>
      <w:r>
        <w:rPr>
          <w:bCs/>
          <w:szCs w:val="24"/>
        </w:rPr>
        <w:t xml:space="preserve">1 </w:t>
      </w:r>
      <w:r>
        <w:rPr>
          <w:rFonts w:hint="eastAsia"/>
          <w:bCs/>
          <w:szCs w:val="24"/>
        </w:rPr>
        <w:t>地理位置图</w:t>
      </w:r>
      <w:r>
        <w:rPr>
          <w:rFonts w:hint="eastAsia" w:ascii="Times New Roman" w:hAnsi="Times New Roman" w:eastAsia="宋体" w:cs="Times New Roman"/>
          <w:bCs w:val="0"/>
          <w:caps w:val="0"/>
          <w:smallCaps w:val="0"/>
          <w:spacing w:val="0"/>
          <w:position w:val="0"/>
          <w:szCs w:val="24"/>
          <w:highlight w:val="none"/>
          <w:lang w:eastAsia="zh-CN"/>
        </w:rPr>
        <w:t>与周边环境</w:t>
      </w:r>
      <w:r>
        <w:tab/>
      </w:r>
      <w:r>
        <w:fldChar w:fldCharType="begin"/>
      </w:r>
      <w:r>
        <w:instrText xml:space="preserve"> PAGEREF _Toc5452 \h </w:instrText>
      </w:r>
      <w:r>
        <w:fldChar w:fldCharType="separate"/>
      </w:r>
      <w:r>
        <w:t>68</w:t>
      </w:r>
      <w:r>
        <w:fldChar w:fldCharType="end"/>
      </w:r>
      <w:r>
        <w:rPr>
          <w:rFonts w:hint="default" w:ascii="Times New Roman" w:hAnsi="Times New Roman" w:cs="Times New Roman"/>
          <w:color w:val="auto"/>
          <w:highlight w:val="none"/>
        </w:rPr>
        <w:fldChar w:fldCharType="end"/>
      </w:r>
    </w:p>
    <w:p w14:paraId="73CFEECA">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_Toc22080 </w:instrText>
      </w:r>
      <w:r>
        <w:rPr>
          <w:rFonts w:hint="default" w:ascii="Times New Roman" w:hAnsi="Times New Roman" w:cs="Times New Roman"/>
          <w:highlight w:val="none"/>
        </w:rPr>
        <w:fldChar w:fldCharType="separate"/>
      </w:r>
      <w:r>
        <w:rPr>
          <w:rFonts w:hint="default" w:ascii="Times New Roman" w:hAnsi="Times New Roman" w:cs="Times New Roman"/>
          <w:bCs/>
          <w:szCs w:val="24"/>
          <w:highlight w:val="none"/>
        </w:rPr>
        <w:t>附图2  企业周边风险受体图</w:t>
      </w:r>
      <w:r>
        <w:rPr>
          <w:rFonts w:hint="default" w:ascii="Times New Roman" w:hAnsi="Times New Roman" w:cs="Times New Roman"/>
          <w:bCs/>
          <w:highlight w:val="none"/>
        </w:rPr>
        <w:t>（比例尺  1：</w:t>
      </w:r>
      <w:r>
        <w:rPr>
          <w:rFonts w:hint="default" w:ascii="Times New Roman" w:hAnsi="Times New Roman" w:cs="Times New Roman"/>
          <w:bCs/>
          <w:highlight w:val="none"/>
          <w:lang w:val="en-US" w:eastAsia="zh-CN"/>
        </w:rPr>
        <w:t>15</w:t>
      </w:r>
      <w:r>
        <w:rPr>
          <w:rFonts w:hint="default" w:ascii="Times New Roman" w:hAnsi="Times New Roman" w:cs="Times New Roman"/>
          <w:bCs/>
          <w:highlight w:val="none"/>
        </w:rPr>
        <w:t>0000）</w:t>
      </w:r>
      <w:r>
        <w:tab/>
      </w:r>
      <w:r>
        <w:fldChar w:fldCharType="begin"/>
      </w:r>
      <w:r>
        <w:instrText xml:space="preserve"> PAGEREF _Toc22080 \h </w:instrText>
      </w:r>
      <w:r>
        <w:fldChar w:fldCharType="separate"/>
      </w:r>
      <w:r>
        <w:t>69</w:t>
      </w:r>
      <w:r>
        <w:fldChar w:fldCharType="end"/>
      </w:r>
      <w:r>
        <w:rPr>
          <w:rFonts w:hint="default" w:ascii="Times New Roman" w:hAnsi="Times New Roman" w:cs="Times New Roman"/>
          <w:color w:val="auto"/>
          <w:highlight w:val="none"/>
        </w:rPr>
        <w:fldChar w:fldCharType="end"/>
      </w:r>
    </w:p>
    <w:p w14:paraId="5390F9CE">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_Toc27688 </w:instrText>
      </w:r>
      <w:r>
        <w:rPr>
          <w:rFonts w:hint="default" w:ascii="Times New Roman" w:hAnsi="Times New Roman" w:cs="Times New Roman"/>
          <w:highlight w:val="none"/>
        </w:rPr>
        <w:fldChar w:fldCharType="separate"/>
      </w:r>
      <w:r>
        <w:rPr>
          <w:rFonts w:hint="default" w:ascii="Times New Roman" w:hAnsi="Times New Roman" w:cs="Times New Roman"/>
          <w:bCs/>
          <w:highlight w:val="none"/>
        </w:rPr>
        <w:t>附图</w:t>
      </w:r>
      <w:r>
        <w:rPr>
          <w:rFonts w:hint="default" w:ascii="Times New Roman" w:hAnsi="Times New Roman" w:cs="Times New Roman"/>
          <w:bCs/>
          <w:highlight w:val="none"/>
          <w:lang w:val="en-US" w:eastAsia="zh-CN"/>
        </w:rPr>
        <w:t xml:space="preserve">3 </w:t>
      </w:r>
      <w:r>
        <w:rPr>
          <w:rFonts w:hint="default" w:ascii="Times New Roman" w:hAnsi="Times New Roman" w:cs="Times New Roman"/>
          <w:bCs/>
          <w:highlight w:val="none"/>
          <w:lang w:eastAsia="zh-CN"/>
        </w:rPr>
        <w:t>厂区平面图</w:t>
      </w:r>
      <w:r>
        <w:tab/>
      </w:r>
      <w:r>
        <w:fldChar w:fldCharType="begin"/>
      </w:r>
      <w:r>
        <w:instrText xml:space="preserve"> PAGEREF _Toc27688 \h </w:instrText>
      </w:r>
      <w:r>
        <w:fldChar w:fldCharType="separate"/>
      </w:r>
      <w:r>
        <w:t>70</w:t>
      </w:r>
      <w:r>
        <w:fldChar w:fldCharType="end"/>
      </w:r>
      <w:r>
        <w:rPr>
          <w:rFonts w:hint="default" w:ascii="Times New Roman" w:hAnsi="Times New Roman" w:cs="Times New Roman"/>
          <w:color w:val="auto"/>
          <w:highlight w:val="none"/>
        </w:rPr>
        <w:fldChar w:fldCharType="end"/>
      </w:r>
    </w:p>
    <w:p w14:paraId="55066975">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_Toc279 </w:instrText>
      </w:r>
      <w:r>
        <w:rPr>
          <w:rFonts w:hint="default" w:ascii="Times New Roman" w:hAnsi="Times New Roman" w:cs="Times New Roman"/>
          <w:highlight w:val="none"/>
        </w:rPr>
        <w:fldChar w:fldCharType="separate"/>
      </w:r>
      <w:r>
        <w:rPr>
          <w:rFonts w:hint="eastAsia" w:cs="Times New Roman"/>
          <w:bCs/>
          <w:highlight w:val="none"/>
          <w:lang w:eastAsia="zh-CN"/>
        </w:rPr>
        <w:t>附图</w:t>
      </w:r>
      <w:r>
        <w:rPr>
          <w:rFonts w:hint="default" w:ascii="Times New Roman" w:hAnsi="Times New Roman" w:cs="Times New Roman"/>
          <w:bCs/>
          <w:highlight w:val="none"/>
          <w:lang w:val="en-US" w:eastAsia="zh-CN"/>
        </w:rPr>
        <w:t>4</w:t>
      </w:r>
      <w:r>
        <w:rPr>
          <w:rFonts w:hint="default" w:ascii="Times New Roman" w:hAnsi="Times New Roman" w:cs="Times New Roman"/>
          <w:bCs/>
          <w:highlight w:val="none"/>
        </w:rPr>
        <w:t xml:space="preserve"> </w:t>
      </w:r>
      <w:r>
        <w:rPr>
          <w:rFonts w:hint="default" w:ascii="Times New Roman" w:hAnsi="Times New Roman" w:cs="Times New Roman"/>
          <w:bCs/>
          <w:highlight w:val="none"/>
          <w:lang w:eastAsia="zh-CN"/>
        </w:rPr>
        <w:t>应急逃生路线</w:t>
      </w:r>
      <w:r>
        <w:tab/>
      </w:r>
      <w:r>
        <w:fldChar w:fldCharType="begin"/>
      </w:r>
      <w:r>
        <w:instrText xml:space="preserve"> PAGEREF _Toc279 \h </w:instrText>
      </w:r>
      <w:r>
        <w:fldChar w:fldCharType="separate"/>
      </w:r>
      <w:r>
        <w:t>71</w:t>
      </w:r>
      <w:r>
        <w:fldChar w:fldCharType="end"/>
      </w:r>
      <w:r>
        <w:rPr>
          <w:rFonts w:hint="default" w:ascii="Times New Roman" w:hAnsi="Times New Roman" w:cs="Times New Roman"/>
          <w:color w:val="auto"/>
          <w:highlight w:val="none"/>
        </w:rPr>
        <w:fldChar w:fldCharType="end"/>
      </w:r>
    </w:p>
    <w:p w14:paraId="34BE368C">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_Toc23433 </w:instrText>
      </w:r>
      <w:r>
        <w:rPr>
          <w:rFonts w:hint="default" w:ascii="Times New Roman" w:hAnsi="Times New Roman" w:cs="Times New Roman"/>
          <w:highlight w:val="none"/>
        </w:rPr>
        <w:fldChar w:fldCharType="separate"/>
      </w:r>
      <w:r>
        <w:rPr>
          <w:rFonts w:hint="eastAsia" w:ascii="Times New Roman" w:hAnsi="Times New Roman" w:eastAsia="宋体" w:cs="Times New Roman"/>
          <w:bCs/>
          <w:highlight w:val="none"/>
          <w:lang w:eastAsia="zh-CN"/>
        </w:rPr>
        <w:t>附图</w:t>
      </w:r>
      <w:r>
        <w:rPr>
          <w:rFonts w:hint="eastAsia" w:ascii="Times New Roman" w:hAnsi="Times New Roman" w:eastAsia="宋体" w:cs="Times New Roman"/>
          <w:bCs/>
          <w:highlight w:val="none"/>
          <w:lang w:val="en-US" w:eastAsia="zh-CN"/>
        </w:rPr>
        <w:t>5 应急检测协议</w:t>
      </w:r>
      <w:r>
        <w:tab/>
      </w:r>
      <w:r>
        <w:fldChar w:fldCharType="begin"/>
      </w:r>
      <w:r>
        <w:instrText xml:space="preserve"> PAGEREF _Toc23433 \h </w:instrText>
      </w:r>
      <w:r>
        <w:fldChar w:fldCharType="separate"/>
      </w:r>
      <w:r>
        <w:t>72</w:t>
      </w:r>
      <w:r>
        <w:fldChar w:fldCharType="end"/>
      </w:r>
      <w:r>
        <w:rPr>
          <w:rFonts w:hint="default" w:ascii="Times New Roman" w:hAnsi="Times New Roman" w:cs="Times New Roman"/>
          <w:color w:val="auto"/>
          <w:highlight w:val="none"/>
        </w:rPr>
        <w:fldChar w:fldCharType="end"/>
      </w:r>
    </w:p>
    <w:p w14:paraId="72817594">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_Toc26853 </w:instrText>
      </w:r>
      <w:r>
        <w:rPr>
          <w:rFonts w:hint="default" w:ascii="Times New Roman" w:hAnsi="Times New Roman" w:cs="Times New Roman"/>
          <w:highlight w:val="none"/>
        </w:rPr>
        <w:fldChar w:fldCharType="separate"/>
      </w:r>
      <w:r>
        <w:rPr>
          <w:rFonts w:hint="eastAsia"/>
          <w:bCs w:val="0"/>
          <w:lang w:eastAsia="zh-CN"/>
        </w:rPr>
        <w:t>附件</w:t>
      </w:r>
      <w:r>
        <w:rPr>
          <w:rFonts w:hint="eastAsia"/>
          <w:bCs w:val="0"/>
          <w:lang w:val="en-US" w:eastAsia="zh-CN"/>
        </w:rPr>
        <w:t>6应急互救协议</w:t>
      </w:r>
      <w:r>
        <w:tab/>
      </w:r>
      <w:r>
        <w:fldChar w:fldCharType="begin"/>
      </w:r>
      <w:r>
        <w:instrText xml:space="preserve"> PAGEREF _Toc26853 \h </w:instrText>
      </w:r>
      <w:r>
        <w:fldChar w:fldCharType="separate"/>
      </w:r>
      <w:r>
        <w:t>73</w:t>
      </w:r>
      <w:r>
        <w:fldChar w:fldCharType="end"/>
      </w:r>
      <w:r>
        <w:rPr>
          <w:rFonts w:hint="default" w:ascii="Times New Roman" w:hAnsi="Times New Roman" w:cs="Times New Roman"/>
          <w:color w:val="auto"/>
          <w:highlight w:val="none"/>
        </w:rPr>
        <w:fldChar w:fldCharType="end"/>
      </w:r>
    </w:p>
    <w:p w14:paraId="46F83D4D">
      <w:pPr>
        <w:pStyle w:val="29"/>
        <w:tabs>
          <w:tab w:val="right" w:leader="dot" w:pos="9412"/>
        </w:tabs>
      </w:pPr>
      <w:r>
        <w:rPr>
          <w:rFonts w:hint="default" w:ascii="Times New Roman" w:hAnsi="Times New Roman" w:cs="Times New Roman"/>
          <w:color w:val="auto"/>
          <w:highlight w:val="none"/>
        </w:rPr>
        <w:fldChar w:fldCharType="begin"/>
      </w:r>
      <w:r>
        <w:rPr>
          <w:rFonts w:hint="default" w:ascii="Times New Roman" w:hAnsi="Times New Roman" w:cs="Times New Roman"/>
          <w:highlight w:val="none"/>
        </w:rPr>
        <w:instrText xml:space="preserve"> HYPERLINK \l _Toc29034 </w:instrText>
      </w:r>
      <w:r>
        <w:rPr>
          <w:rFonts w:hint="default" w:ascii="Times New Roman" w:hAnsi="Times New Roman" w:cs="Times New Roman"/>
          <w:highlight w:val="none"/>
        </w:rPr>
        <w:fldChar w:fldCharType="separate"/>
      </w:r>
      <w:r>
        <w:rPr>
          <w:rFonts w:hint="eastAsia" w:eastAsia="宋体"/>
          <w:bCs w:val="0"/>
          <w:lang w:val="en-US" w:eastAsia="zh-CN"/>
        </w:rPr>
        <w:t>附图7 互救单位应急物资</w:t>
      </w:r>
      <w:r>
        <w:tab/>
      </w:r>
      <w:r>
        <w:fldChar w:fldCharType="begin"/>
      </w:r>
      <w:r>
        <w:instrText xml:space="preserve"> PAGEREF _Toc29034 \h </w:instrText>
      </w:r>
      <w:r>
        <w:fldChar w:fldCharType="separate"/>
      </w:r>
      <w:r>
        <w:t>74</w:t>
      </w:r>
      <w:r>
        <w:fldChar w:fldCharType="end"/>
      </w:r>
      <w:r>
        <w:rPr>
          <w:rFonts w:hint="default" w:ascii="Times New Roman" w:hAnsi="Times New Roman" w:cs="Times New Roman"/>
          <w:color w:val="auto"/>
          <w:highlight w:val="none"/>
        </w:rPr>
        <w:fldChar w:fldCharType="end"/>
      </w:r>
    </w:p>
    <w:p w14:paraId="17F89AE0">
      <w:pPr>
        <w:pStyle w:val="2"/>
        <w:ind w:left="0" w:leftChars="0" w:firstLine="420" w:firstLineChars="200"/>
        <w:rPr>
          <w:rFonts w:hint="default" w:ascii="Times New Roman" w:hAnsi="Times New Roman" w:cs="Times New Roman"/>
          <w:color w:val="FF0000"/>
          <w:highlight w:val="none"/>
        </w:rPr>
        <w:sectPr>
          <w:headerReference r:id="rId3" w:type="default"/>
          <w:footerReference r:id="rId4" w:type="default"/>
          <w:pgSz w:w="11906" w:h="16838"/>
          <w:pgMar w:top="1417" w:right="1247" w:bottom="1417" w:left="1247" w:header="850" w:footer="992" w:gutter="0"/>
          <w:pgNumType w:start="1"/>
          <w:cols w:space="720" w:num="1"/>
          <w:rtlGutter w:val="0"/>
          <w:docGrid w:type="lines" w:linePitch="312" w:charSpace="0"/>
        </w:sectPr>
      </w:pPr>
      <w:r>
        <w:rPr>
          <w:rFonts w:hint="default" w:ascii="Times New Roman" w:hAnsi="Times New Roman" w:cs="Times New Roman"/>
          <w:color w:val="auto"/>
          <w:highlight w:val="none"/>
        </w:rPr>
        <w:fldChar w:fldCharType="end"/>
      </w:r>
    </w:p>
    <w:p w14:paraId="2C6C19BC">
      <w:pPr>
        <w:pStyle w:val="6"/>
        <w:spacing w:beforeLines="0" w:afterLines="0"/>
        <w:rPr>
          <w:rFonts w:hint="default" w:ascii="Times New Roman" w:hAnsi="Times New Roman" w:cs="Times New Roman"/>
          <w:color w:val="auto"/>
          <w:highlight w:val="none"/>
        </w:rPr>
      </w:pPr>
      <w:bookmarkStart w:id="2" w:name="_Toc24512"/>
      <w:r>
        <w:rPr>
          <w:rFonts w:hint="default" w:ascii="Times New Roman" w:hAnsi="Times New Roman" w:cs="Times New Roman"/>
          <w:color w:val="auto"/>
          <w:highlight w:val="none"/>
        </w:rPr>
        <w:t>1 前言</w:t>
      </w:r>
      <w:bookmarkEnd w:id="0"/>
      <w:bookmarkEnd w:id="1"/>
      <w:bookmarkEnd w:id="2"/>
    </w:p>
    <w:p w14:paraId="6FB45D85">
      <w:pPr>
        <w:adjustRightInd w:val="0"/>
        <w:snapToGrid w:val="0"/>
        <w:spacing w:line="360" w:lineRule="auto"/>
        <w:ind w:firstLine="480" w:firstLineChars="200"/>
        <w:rPr>
          <w:rFonts w:hint="eastAsia" w:cs="Times New Roman"/>
          <w:color w:val="auto"/>
          <w:sz w:val="24"/>
          <w:szCs w:val="24"/>
          <w:highlight w:val="none"/>
          <w:lang w:eastAsia="zh-CN"/>
        </w:rPr>
      </w:pPr>
      <w:r>
        <w:rPr>
          <w:rFonts w:hint="default" w:ascii="Times New Roman" w:hAnsi="Times New Roman" w:cs="Times New Roman"/>
          <w:color w:val="auto"/>
          <w:sz w:val="24"/>
          <w:highlight w:val="none"/>
        </w:rPr>
        <w:t>当前，我国已进入突发环境事件多发期和矛盾凸显期，环境问题已成为威胁人体健康、</w:t>
      </w:r>
      <w:r>
        <w:rPr>
          <w:rFonts w:hint="default" w:ascii="Times New Roman" w:hAnsi="Times New Roman" w:cs="Times New Roman"/>
          <w:color w:val="auto"/>
          <w:sz w:val="24"/>
          <w:szCs w:val="24"/>
          <w:highlight w:val="none"/>
        </w:rPr>
        <w:t>公共安全和社会稳定的重要因素之一国务院高度重视环境风险防范与管理</w:t>
      </w:r>
      <w:r>
        <w:rPr>
          <w:rFonts w:hint="eastAsia" w:cs="Times New Roman"/>
          <w:color w:val="auto"/>
          <w:sz w:val="24"/>
          <w:szCs w:val="24"/>
          <w:highlight w:val="none"/>
          <w:lang w:eastAsia="zh-CN"/>
        </w:rPr>
        <w:t>。</w:t>
      </w:r>
    </w:p>
    <w:p w14:paraId="7B3C916D">
      <w:pPr>
        <w:adjustRightInd w:val="0"/>
        <w:snapToGrid w:val="0"/>
        <w:spacing w:line="360" w:lineRule="auto"/>
        <w:ind w:firstLine="480" w:firstLineChars="200"/>
        <w:rPr>
          <w:rFonts w:hint="eastAsia" w:eastAsia="宋体"/>
          <w:sz w:val="24"/>
          <w:szCs w:val="24"/>
          <w:lang w:eastAsia="zh-CN"/>
        </w:rPr>
      </w:pPr>
      <w:bookmarkStart w:id="3" w:name="_Toc18134"/>
      <w:bookmarkStart w:id="4" w:name="_Toc17988"/>
      <w:r>
        <w:rPr>
          <w:rFonts w:hint="eastAsia"/>
          <w:sz w:val="24"/>
          <w:szCs w:val="24"/>
        </w:rPr>
        <w:t>2018年5月19日，习近平总书记在全国生态环境保护大会上强调，“要加快构建生态文明体系，加快建立健全以生态价值观念为准则的生态文化体系，以产业生态化和生态产业化为主体的生态经济体系，以改善生态环境质量为核心的目标责任体系，以治理体系和治理能力现代化为保障的生态文明制度体系，以生态系统良性循环和环境风险有效防控为重点的生态安全体系。要通过加快构建生态文明体系，确保到2035年，生态环境质量实现根本好转，美丽中国目标基本实现。到本世纪中叶，物质文明、政治文明、精神文明、社会文明、生态文明全面提升，绿色发展方式和生活方式全面形成，人与自然和谐共生，生态环境领域国家治理体系和治理能力现代化全面实现，建成美丽中国。”</w:t>
      </w:r>
    </w:p>
    <w:p w14:paraId="23D827FC">
      <w:pPr>
        <w:adjustRightInd w:val="0"/>
        <w:snapToGrid w:val="0"/>
        <w:spacing w:line="360" w:lineRule="auto"/>
        <w:ind w:firstLine="480" w:firstLineChars="200"/>
        <w:rPr>
          <w:rFonts w:hint="eastAsia"/>
          <w:sz w:val="24"/>
          <w:szCs w:val="24"/>
        </w:rPr>
      </w:pPr>
      <w:r>
        <w:rPr>
          <w:rFonts w:hint="eastAsia"/>
          <w:sz w:val="24"/>
          <w:szCs w:val="24"/>
          <w:lang w:val="en-US" w:eastAsia="zh-CN"/>
        </w:rPr>
        <w:t>2</w:t>
      </w:r>
      <w:r>
        <w:rPr>
          <w:sz w:val="24"/>
          <w:szCs w:val="24"/>
        </w:rPr>
        <w:t>020</w:t>
      </w:r>
      <w:r>
        <w:rPr>
          <w:rFonts w:hint="eastAsia"/>
          <w:sz w:val="24"/>
          <w:szCs w:val="24"/>
        </w:rPr>
        <w:t>年9月《国家环境保护“十四五”规划基本思路》提出：1、坚持人与自然和谐共生，以资源环境承载能力为基础，以自然规律为准则，以可持续发展、人与自然和谐为目标，树立践行绿水青山就是金山银山的理念，建设生态文明。2、推进绿色发展方式和生活方式，从源头抓起，形成内生动力机制，坚定不移走绿色低碳循环发展之路，加快构建绿色循环低碳发展产业体系。3、着力全面提升城乡环境质量，改善城乡人居环境，满足人民日益增长的优美生态环境需要。4、实行最严格的生态环境保护制度，坚持保护和修复并重，建立市场化、多元化生态补偿机制，统筹山水林田湖草系统治理，加强地下水的监测、监控及污染防治。</w:t>
      </w:r>
    </w:p>
    <w:p w14:paraId="5C624D2C">
      <w:pPr>
        <w:adjustRightInd w:val="0"/>
        <w:snapToGrid w:val="0"/>
        <w:spacing w:line="360" w:lineRule="auto"/>
        <w:ind w:firstLine="480" w:firstLineChars="200"/>
        <w:rPr>
          <w:rFonts w:hint="eastAsia"/>
          <w:sz w:val="24"/>
          <w:szCs w:val="24"/>
          <w:lang w:val="en-US" w:eastAsia="zh-CN"/>
        </w:rPr>
      </w:pPr>
      <w:r>
        <w:rPr>
          <w:rFonts w:hint="eastAsia"/>
          <w:sz w:val="24"/>
          <w:szCs w:val="24"/>
          <w:lang w:val="en-US" w:eastAsia="zh-CN"/>
        </w:rPr>
        <w:t>2026年3月《国家环境保护“十五五”规划基本思路》提出规划的核心目标与战略导向，1、核心目标：美丽中国建设取得新的重大进展‌。这是“十五五”规划为生态文明建设设定的阶段性目标，具体内涵包括‌绿色生产生活方式基本形成、碳达峰目标如期实现、新型能源体系初步建成、主要污染物排放总量持续减少、生态系统多样性稳定性持续性不断提升‌。2、价值取向：坚持环保为民‌。规划强调从关心人民群众生存和健康的高度推进生态文明建设，以满足人民日益增长的优美生态环境需要为重要目标。3、战略牵引：以碳达峰碳中和为牵引‌。规划将“双碳”目标作为推动经济社会发展全面绿色转型的战略抓手，协同推进降碳、减污、扩绿、增长。‌‌‌</w:t>
      </w:r>
    </w:p>
    <w:p w14:paraId="7D54840F">
      <w:pPr>
        <w:pStyle w:val="124"/>
        <w:rPr>
          <w:sz w:val="24"/>
          <w:szCs w:val="24"/>
          <w:lang w:eastAsia="zh-CN"/>
        </w:rPr>
      </w:pPr>
      <w:r>
        <w:rPr>
          <w:rFonts w:hint="eastAsia" w:hAnsi="宋体"/>
          <w:sz w:val="24"/>
          <w:szCs w:val="24"/>
          <w:lang w:eastAsia="zh-CN"/>
        </w:rPr>
        <w:t>为贯彻落实环境风险防控任务，保障人民群众的身体健康和环境安全，规范企业突发环境事件风险评估行为，为企业提高环境风险防控能力提供切实指导，为环保部门根据企业环境风险等级实施分级差别化管理提供技术支持，原</w:t>
      </w:r>
      <w:r>
        <w:rPr>
          <w:rFonts w:hint="eastAsia"/>
          <w:sz w:val="24"/>
          <w:szCs w:val="24"/>
          <w:lang w:eastAsia="zh-CN"/>
        </w:rPr>
        <w:t>环保部于2014年4月3日出台了《关于印发&lt;企业突发环境事件风险评估指南（试行）&gt;的通知》（环办[2014]34号），于</w:t>
      </w:r>
      <w:r>
        <w:rPr>
          <w:sz w:val="24"/>
          <w:szCs w:val="24"/>
          <w:lang w:eastAsia="zh-CN"/>
        </w:rPr>
        <w:t>2018年</w:t>
      </w:r>
      <w:r>
        <w:rPr>
          <w:rFonts w:hint="eastAsia"/>
          <w:sz w:val="24"/>
          <w:szCs w:val="24"/>
          <w:lang w:eastAsia="zh-CN"/>
        </w:rPr>
        <w:t>2</w:t>
      </w:r>
      <w:r>
        <w:rPr>
          <w:sz w:val="24"/>
          <w:szCs w:val="24"/>
          <w:lang w:eastAsia="zh-CN"/>
        </w:rPr>
        <w:t>月</w:t>
      </w:r>
      <w:r>
        <w:rPr>
          <w:rFonts w:hint="eastAsia"/>
          <w:sz w:val="24"/>
          <w:szCs w:val="24"/>
          <w:lang w:eastAsia="zh-CN"/>
        </w:rPr>
        <w:t>5</w:t>
      </w:r>
      <w:r>
        <w:rPr>
          <w:sz w:val="24"/>
          <w:szCs w:val="24"/>
          <w:lang w:eastAsia="zh-CN"/>
        </w:rPr>
        <w:t>日出台了《企业突发环境事件风险分级方法》（HJ 941-2018）</w:t>
      </w:r>
      <w:r>
        <w:rPr>
          <w:rFonts w:hint="eastAsia" w:hAnsi="宋体"/>
          <w:sz w:val="24"/>
          <w:szCs w:val="24"/>
          <w:lang w:eastAsia="zh-CN"/>
        </w:rPr>
        <w:t>。</w:t>
      </w:r>
    </w:p>
    <w:p w14:paraId="32614890">
      <w:pPr>
        <w:pStyle w:val="124"/>
        <w:rPr>
          <w:sz w:val="24"/>
          <w:szCs w:val="24"/>
          <w:lang w:eastAsia="zh-CN"/>
        </w:rPr>
      </w:pPr>
      <w:r>
        <w:rPr>
          <w:rFonts w:hint="eastAsia"/>
          <w:sz w:val="24"/>
          <w:szCs w:val="24"/>
          <w:lang w:eastAsia="zh-CN" w:bidi="en-US"/>
        </w:rPr>
        <w:t>山东隆盛和助剂</w:t>
      </w:r>
      <w:r>
        <w:rPr>
          <w:sz w:val="24"/>
          <w:szCs w:val="24"/>
          <w:lang w:eastAsia="zh-CN" w:bidi="en-US"/>
        </w:rPr>
        <w:t>有限公司</w:t>
      </w:r>
      <w:r>
        <w:rPr>
          <w:sz w:val="24"/>
          <w:szCs w:val="24"/>
          <w:lang w:eastAsia="zh-CN"/>
        </w:rPr>
        <w:t>为配合开展环境安全达标建设工作的要求，积极采取自查自纠方式，编制《</w:t>
      </w:r>
      <w:r>
        <w:rPr>
          <w:rFonts w:hint="eastAsia"/>
          <w:sz w:val="24"/>
          <w:szCs w:val="24"/>
          <w:lang w:eastAsia="zh-CN" w:bidi="en-US"/>
        </w:rPr>
        <w:t>山东隆盛和助剂</w:t>
      </w:r>
      <w:r>
        <w:rPr>
          <w:sz w:val="24"/>
          <w:szCs w:val="24"/>
          <w:lang w:eastAsia="zh-CN" w:bidi="en-US"/>
        </w:rPr>
        <w:t>有限公司</w:t>
      </w:r>
      <w:r>
        <w:rPr>
          <w:sz w:val="24"/>
          <w:szCs w:val="24"/>
          <w:lang w:eastAsia="zh-CN"/>
        </w:rPr>
        <w:t>突发环境事件风险评估报告》。通过开展突发环境事件风险评估，可以掌握自身环境风险状况，明确环境风险防控措施，为后期企业环境风险监管奠定基础，最终达到大幅度降低突发环境事件发生的目标。同时有利于生态环境部门加强对重点环境风险企业的针对性监督管理，提高管理效率，降低管理成本，并作为实施突发环境事件应急救援的规范性文件。</w:t>
      </w:r>
    </w:p>
    <w:p w14:paraId="088483D3">
      <w:pPr>
        <w:rPr>
          <w:rFonts w:ascii="Times New Roman" w:hAnsi="Times New Roman" w:cs="Times New Roman"/>
          <w:sz w:val="24"/>
          <w:szCs w:val="24"/>
        </w:rPr>
      </w:pPr>
      <w:r>
        <w:rPr>
          <w:rFonts w:ascii="Times New Roman" w:hAnsi="Times New Roman" w:cs="Times New Roman"/>
          <w:sz w:val="24"/>
          <w:szCs w:val="24"/>
        </w:rPr>
        <w:br w:type="page"/>
      </w:r>
    </w:p>
    <w:p w14:paraId="797225F5">
      <w:pPr>
        <w:pStyle w:val="6"/>
        <w:pageBreakBefore w:val="0"/>
        <w:kinsoku/>
        <w:wordWrap/>
        <w:overflowPunct/>
        <w:topLinePunct w:val="0"/>
        <w:autoSpaceDE/>
        <w:autoSpaceDN/>
        <w:bidi w:val="0"/>
        <w:spacing w:beforeLines="0" w:afterLines="0"/>
        <w:textAlignment w:val="auto"/>
        <w:rPr>
          <w:rFonts w:hint="default" w:ascii="Times New Roman" w:hAnsi="Times New Roman" w:cs="Times New Roman"/>
          <w:color w:val="auto"/>
          <w:highlight w:val="none"/>
        </w:rPr>
      </w:pPr>
      <w:bookmarkStart w:id="5" w:name="_Toc15721"/>
      <w:r>
        <w:rPr>
          <w:rFonts w:hint="default" w:ascii="Times New Roman" w:hAnsi="Times New Roman" w:cs="Times New Roman"/>
          <w:color w:val="auto"/>
          <w:highlight w:val="none"/>
        </w:rPr>
        <w:t>2 总则</w:t>
      </w:r>
      <w:bookmarkEnd w:id="3"/>
      <w:bookmarkEnd w:id="4"/>
      <w:bookmarkEnd w:id="5"/>
    </w:p>
    <w:p w14:paraId="6FA27B78">
      <w:pPr>
        <w:pStyle w:val="7"/>
        <w:pageBreakBefore w:val="0"/>
        <w:kinsoku/>
        <w:wordWrap/>
        <w:overflowPunct/>
        <w:topLinePunct w:val="0"/>
        <w:autoSpaceDE/>
        <w:autoSpaceDN/>
        <w:bidi w:val="0"/>
        <w:spacing w:before="0" w:after="0"/>
        <w:textAlignment w:val="auto"/>
        <w:rPr>
          <w:rFonts w:hint="default" w:ascii="Times New Roman" w:hAnsi="Times New Roman" w:cs="Times New Roman"/>
          <w:color w:val="auto"/>
          <w:highlight w:val="none"/>
        </w:rPr>
      </w:pPr>
      <w:bookmarkStart w:id="6" w:name="_Toc11223"/>
      <w:bookmarkStart w:id="7" w:name="_Toc13044"/>
      <w:bookmarkStart w:id="8" w:name="_Toc22114"/>
      <w:r>
        <w:rPr>
          <w:rFonts w:hint="default" w:ascii="Times New Roman" w:hAnsi="Times New Roman" w:cs="Times New Roman"/>
          <w:color w:val="auto"/>
          <w:highlight w:val="none"/>
        </w:rPr>
        <w:t>2.1 编制原则</w:t>
      </w:r>
      <w:bookmarkEnd w:id="6"/>
      <w:bookmarkEnd w:id="7"/>
      <w:bookmarkEnd w:id="8"/>
    </w:p>
    <w:p w14:paraId="099D8490">
      <w:pPr>
        <w:pStyle w:val="124"/>
        <w:pageBreakBefore w:val="0"/>
        <w:kinsoku/>
        <w:wordWrap/>
        <w:overflowPunct/>
        <w:topLinePunct w:val="0"/>
        <w:autoSpaceDE/>
        <w:autoSpaceDN/>
        <w:bidi w:val="0"/>
        <w:textAlignment w:val="auto"/>
        <w:rPr>
          <w:lang w:eastAsia="zh-CN"/>
        </w:rPr>
      </w:pPr>
      <w:r>
        <w:rPr>
          <w:lang w:eastAsia="zh-CN"/>
        </w:rPr>
        <w:t>按照“以人为本”的宗旨，合理保障人民群众的身体健康和环境安全，严格规范企业突发环境事件风险评估行为，提高突发环境事件防控能力，全面落实企业环境风险防控主体，并遵循以下原则开展环境风险评估工作：</w:t>
      </w:r>
    </w:p>
    <w:p w14:paraId="7EF4DB4A">
      <w:pPr>
        <w:pStyle w:val="124"/>
        <w:pageBreakBefore w:val="0"/>
        <w:kinsoku/>
        <w:wordWrap/>
        <w:overflowPunct/>
        <w:topLinePunct w:val="0"/>
        <w:autoSpaceDE/>
        <w:autoSpaceDN/>
        <w:bidi w:val="0"/>
        <w:textAlignment w:val="auto"/>
        <w:rPr>
          <w:rFonts w:hint="default" w:ascii="Times New Roman" w:hAnsi="Times New Roman" w:cs="Times New Roman"/>
          <w:color w:val="auto"/>
          <w:sz w:val="24"/>
          <w:highlight w:val="none"/>
        </w:rPr>
      </w:pPr>
      <w:r>
        <w:rPr>
          <w:lang w:eastAsia="zh-CN"/>
        </w:rPr>
        <w:t>环境风险评估编制应体现科学性、规范性、客观性和真实性的原则。环境风险评估过程中应贯彻执行我国环保相关的法律法规、标准、政策，分析企业自身环境风险状况，明确环境风险防控措施。</w:t>
      </w:r>
    </w:p>
    <w:p w14:paraId="4210B028">
      <w:pPr>
        <w:pStyle w:val="7"/>
        <w:pageBreakBefore w:val="0"/>
        <w:kinsoku/>
        <w:wordWrap/>
        <w:overflowPunct/>
        <w:topLinePunct w:val="0"/>
        <w:autoSpaceDE/>
        <w:autoSpaceDN/>
        <w:bidi w:val="0"/>
        <w:spacing w:before="0" w:after="0"/>
        <w:textAlignment w:val="auto"/>
        <w:rPr>
          <w:rFonts w:hint="default" w:ascii="Times New Roman" w:hAnsi="Times New Roman" w:cs="Times New Roman"/>
          <w:color w:val="auto"/>
          <w:highlight w:val="none"/>
        </w:rPr>
      </w:pPr>
      <w:bookmarkStart w:id="9" w:name="_Toc22940"/>
      <w:bookmarkStart w:id="10" w:name="_Toc25"/>
      <w:bookmarkStart w:id="11" w:name="_Toc2442"/>
      <w:r>
        <w:rPr>
          <w:rFonts w:hint="default" w:ascii="Times New Roman" w:hAnsi="Times New Roman" w:cs="Times New Roman"/>
          <w:color w:val="auto"/>
          <w:highlight w:val="none"/>
        </w:rPr>
        <w:t>2.2 编制依据</w:t>
      </w:r>
      <w:bookmarkEnd w:id="9"/>
      <w:bookmarkEnd w:id="10"/>
      <w:bookmarkEnd w:id="11"/>
    </w:p>
    <w:p w14:paraId="54D56D49">
      <w:pPr>
        <w:pStyle w:val="8"/>
        <w:pageBreakBefore w:val="0"/>
        <w:kinsoku/>
        <w:wordWrap/>
        <w:overflowPunct/>
        <w:topLinePunct w:val="0"/>
        <w:autoSpaceDE/>
        <w:autoSpaceDN/>
        <w:bidi w:val="0"/>
        <w:spacing w:before="0" w:after="0"/>
        <w:textAlignment w:val="auto"/>
        <w:rPr>
          <w:rFonts w:hint="eastAsia" w:ascii="宋体" w:hAnsi="宋体" w:eastAsia="宋体" w:cs="宋体"/>
          <w:color w:val="auto"/>
          <w:sz w:val="24"/>
          <w:szCs w:val="24"/>
          <w:highlight w:val="none"/>
        </w:rPr>
      </w:pPr>
      <w:bookmarkStart w:id="12" w:name="_Toc23696"/>
      <w:r>
        <w:rPr>
          <w:rFonts w:hint="eastAsia" w:ascii="宋体" w:hAnsi="宋体" w:eastAsia="宋体" w:cs="宋体"/>
          <w:color w:val="auto"/>
          <w:sz w:val="24"/>
          <w:szCs w:val="24"/>
          <w:highlight w:val="none"/>
        </w:rPr>
        <w:t>2.2.1 法律法规、规章、指导性文件</w:t>
      </w:r>
      <w:bookmarkEnd w:id="12"/>
    </w:p>
    <w:p w14:paraId="710546A6">
      <w:pPr>
        <w:pStyle w:val="124"/>
        <w:pageBreakBefore w:val="0"/>
        <w:kinsoku/>
        <w:wordWrap/>
        <w:overflowPunct/>
        <w:topLinePunct w:val="0"/>
        <w:autoSpaceDE/>
        <w:autoSpaceDN/>
        <w:bidi w:val="0"/>
        <w:textAlignment w:val="auto"/>
        <w:rPr>
          <w:rFonts w:hint="eastAsia" w:ascii="宋体" w:hAnsi="宋体" w:eastAsia="宋体" w:cs="宋体"/>
          <w:color w:val="000000" w:themeColor="text1"/>
          <w:sz w:val="24"/>
          <w:szCs w:val="24"/>
          <w:lang w:eastAsia="zh-CN"/>
          <w14:textFill>
            <w14:solidFill>
              <w14:schemeClr w14:val="tx1"/>
            </w14:solidFill>
          </w14:textFill>
        </w:rPr>
      </w:pPr>
      <w:bookmarkStart w:id="13" w:name="_Hlk102722636"/>
      <w:bookmarkStart w:id="14" w:name="_Toc17998"/>
      <w:bookmarkStart w:id="15" w:name="_Hlk73484969"/>
      <w:r>
        <w:rPr>
          <w:rFonts w:hint="eastAsia" w:ascii="宋体" w:hAnsi="宋体" w:eastAsia="宋体" w:cs="宋体"/>
          <w:color w:val="000000" w:themeColor="text1"/>
          <w:sz w:val="24"/>
          <w:szCs w:val="24"/>
          <w:lang w:eastAsia="zh-CN"/>
          <w14:textFill>
            <w14:solidFill>
              <w14:schemeClr w14:val="tx1"/>
            </w14:solidFill>
          </w14:textFill>
        </w:rPr>
        <w:t>此次《环境风险评估报告》的编制工作，严格按照国家、省、市各级政府下达的相关法律、法规、标准、规范和其他相关政策、文件以及公司的实际情况进行。</w:t>
      </w:r>
    </w:p>
    <w:bookmarkEnd w:id="13"/>
    <w:bookmarkEnd w:id="14"/>
    <w:bookmarkEnd w:id="15"/>
    <w:p w14:paraId="54C421D3">
      <w:pPr>
        <w:overflowPunct w:val="0"/>
        <w:spacing w:line="360" w:lineRule="auto"/>
        <w:ind w:firstLine="480" w:firstLineChars="200"/>
        <w:rPr>
          <w:sz w:val="24"/>
          <w:szCs w:val="24"/>
        </w:rPr>
      </w:pPr>
      <w:bookmarkStart w:id="16" w:name="2.3.1_法律法规与标准规范"/>
      <w:bookmarkEnd w:id="16"/>
      <w:bookmarkStart w:id="17" w:name="_Toc73285813"/>
      <w:bookmarkStart w:id="18" w:name="_Toc127256771"/>
      <w:r>
        <w:rPr>
          <w:rFonts w:hint="eastAsia"/>
          <w:sz w:val="24"/>
          <w:szCs w:val="24"/>
        </w:rPr>
        <w:t>1）《中华人民共和国环境保护法》（2014年</w:t>
      </w:r>
      <w:r>
        <w:rPr>
          <w:sz w:val="24"/>
          <w:szCs w:val="24"/>
        </w:rPr>
        <w:t>4月24日</w:t>
      </w:r>
      <w:r>
        <w:rPr>
          <w:rFonts w:hint="eastAsia"/>
          <w:sz w:val="24"/>
          <w:szCs w:val="24"/>
        </w:rPr>
        <w:t>修订版）</w:t>
      </w:r>
    </w:p>
    <w:p w14:paraId="033BE1EA">
      <w:pPr>
        <w:overflowPunct w:val="0"/>
        <w:spacing w:line="360" w:lineRule="auto"/>
        <w:ind w:firstLine="480" w:firstLineChars="200"/>
        <w:rPr>
          <w:sz w:val="24"/>
          <w:szCs w:val="24"/>
        </w:rPr>
      </w:pPr>
      <w:r>
        <w:rPr>
          <w:rFonts w:hint="eastAsia"/>
          <w:sz w:val="24"/>
          <w:szCs w:val="24"/>
        </w:rPr>
        <w:t>2）《中华人民共和国固体废物污染环境防治法》（</w:t>
      </w:r>
      <w:r>
        <w:rPr>
          <w:sz w:val="24"/>
          <w:szCs w:val="24"/>
        </w:rPr>
        <w:t>2020年4月29日</w:t>
      </w:r>
      <w:r>
        <w:rPr>
          <w:rFonts w:hint="eastAsia"/>
          <w:sz w:val="24"/>
          <w:szCs w:val="24"/>
        </w:rPr>
        <w:t>修订）</w:t>
      </w:r>
    </w:p>
    <w:p w14:paraId="30F58191">
      <w:pPr>
        <w:overflowPunct w:val="0"/>
        <w:spacing w:line="360" w:lineRule="auto"/>
        <w:ind w:firstLine="480" w:firstLineChars="200"/>
        <w:rPr>
          <w:sz w:val="24"/>
          <w:szCs w:val="24"/>
        </w:rPr>
      </w:pPr>
      <w:r>
        <w:rPr>
          <w:rFonts w:hint="eastAsia"/>
          <w:sz w:val="24"/>
          <w:szCs w:val="24"/>
        </w:rPr>
        <w:t>3）《中华人民共和国大气污染防治法》（</w:t>
      </w:r>
      <w:r>
        <w:rPr>
          <w:sz w:val="24"/>
          <w:szCs w:val="24"/>
        </w:rPr>
        <w:t>2018年10月26日</w:t>
      </w:r>
      <w:r>
        <w:rPr>
          <w:rFonts w:hint="eastAsia"/>
          <w:sz w:val="24"/>
          <w:szCs w:val="24"/>
        </w:rPr>
        <w:t>修订）</w:t>
      </w:r>
    </w:p>
    <w:p w14:paraId="5385D740">
      <w:pPr>
        <w:overflowPunct w:val="0"/>
        <w:spacing w:line="360" w:lineRule="auto"/>
        <w:ind w:firstLine="480" w:firstLineChars="200"/>
        <w:rPr>
          <w:rFonts w:hint="eastAsia"/>
          <w:sz w:val="24"/>
          <w:szCs w:val="24"/>
        </w:rPr>
      </w:pPr>
      <w:r>
        <w:rPr>
          <w:rFonts w:hint="eastAsia"/>
          <w:sz w:val="24"/>
          <w:szCs w:val="24"/>
        </w:rPr>
        <w:t>4）《中华人民共和国突发事件应对法》</w:t>
      </w:r>
      <w:r>
        <w:rPr>
          <w:rFonts w:hint="eastAsia" w:ascii="Times New Roman" w:hAnsi="Times New Roman" w:eastAsia="宋体" w:cs="Times New Roman"/>
          <w:sz w:val="24"/>
          <w:szCs w:val="24"/>
          <w:lang w:val="en-US" w:eastAsia="zh-CN"/>
        </w:rPr>
        <w:t>2024年6月28日修订</w:t>
      </w:r>
    </w:p>
    <w:p w14:paraId="659CD21A">
      <w:pPr>
        <w:overflowPunct w:val="0"/>
        <w:spacing w:line="360" w:lineRule="auto"/>
        <w:ind w:firstLine="480" w:firstLineChars="200"/>
        <w:rPr>
          <w:sz w:val="24"/>
          <w:szCs w:val="24"/>
        </w:rPr>
      </w:pP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color w:val="0D0D0D"/>
          <w:sz w:val="24"/>
          <w:szCs w:val="24"/>
        </w:rPr>
        <w:t>《突发事件应急预案管理办法》的通知（国办发〔2024〕5号）</w:t>
      </w:r>
    </w:p>
    <w:p w14:paraId="5067FA5C">
      <w:pPr>
        <w:overflowPunct w:val="0"/>
        <w:spacing w:line="360" w:lineRule="auto"/>
        <w:ind w:firstLine="480" w:firstLineChars="200"/>
        <w:rPr>
          <w:sz w:val="24"/>
          <w:szCs w:val="24"/>
        </w:rPr>
      </w:pPr>
      <w:r>
        <w:rPr>
          <w:rFonts w:hint="eastAsia"/>
          <w:sz w:val="24"/>
          <w:szCs w:val="24"/>
          <w:lang w:val="en-US" w:eastAsia="zh-CN"/>
        </w:rPr>
        <w:t>6</w:t>
      </w:r>
      <w:r>
        <w:rPr>
          <w:rFonts w:hint="eastAsia"/>
          <w:sz w:val="24"/>
          <w:szCs w:val="24"/>
        </w:rPr>
        <w:t>）《中华人民共和国安全生产法》（20</w:t>
      </w:r>
      <w:r>
        <w:rPr>
          <w:sz w:val="24"/>
          <w:szCs w:val="24"/>
        </w:rPr>
        <w:t>21</w:t>
      </w:r>
      <w:r>
        <w:rPr>
          <w:rFonts w:hint="eastAsia"/>
          <w:sz w:val="24"/>
          <w:szCs w:val="24"/>
        </w:rPr>
        <w:t>年</w:t>
      </w:r>
      <w:r>
        <w:rPr>
          <w:sz w:val="24"/>
          <w:szCs w:val="24"/>
        </w:rPr>
        <w:t>6</w:t>
      </w:r>
      <w:r>
        <w:rPr>
          <w:rFonts w:hint="eastAsia"/>
          <w:sz w:val="24"/>
          <w:szCs w:val="24"/>
        </w:rPr>
        <w:t>月1</w:t>
      </w:r>
      <w:r>
        <w:rPr>
          <w:sz w:val="24"/>
          <w:szCs w:val="24"/>
        </w:rPr>
        <w:t>0</w:t>
      </w:r>
      <w:r>
        <w:rPr>
          <w:rFonts w:hint="eastAsia"/>
          <w:sz w:val="24"/>
          <w:szCs w:val="24"/>
        </w:rPr>
        <w:t>日修订版）</w:t>
      </w:r>
    </w:p>
    <w:p w14:paraId="776D37E5">
      <w:pPr>
        <w:overflowPunct w:val="0"/>
        <w:spacing w:line="360" w:lineRule="auto"/>
        <w:ind w:firstLine="480" w:firstLineChars="200"/>
        <w:rPr>
          <w:sz w:val="24"/>
          <w:szCs w:val="24"/>
        </w:rPr>
      </w:pPr>
      <w:r>
        <w:rPr>
          <w:rFonts w:hint="eastAsia"/>
          <w:sz w:val="24"/>
          <w:szCs w:val="24"/>
          <w:lang w:val="en-US" w:eastAsia="zh-CN"/>
        </w:rPr>
        <w:t>7</w:t>
      </w:r>
      <w:r>
        <w:rPr>
          <w:rFonts w:hint="eastAsia"/>
          <w:sz w:val="24"/>
          <w:szCs w:val="24"/>
        </w:rPr>
        <w:t>）《中华人民共和国水污染防治法》（2017年6月27日修订版）</w:t>
      </w:r>
    </w:p>
    <w:p w14:paraId="01CCD511">
      <w:pPr>
        <w:overflowPunct w:val="0"/>
        <w:spacing w:line="360" w:lineRule="auto"/>
        <w:ind w:firstLine="480" w:firstLineChars="200"/>
        <w:rPr>
          <w:sz w:val="24"/>
          <w:szCs w:val="24"/>
        </w:rPr>
      </w:pPr>
      <w:r>
        <w:rPr>
          <w:rFonts w:hint="eastAsia"/>
          <w:sz w:val="24"/>
          <w:szCs w:val="24"/>
          <w:lang w:val="en-US" w:eastAsia="zh-CN"/>
        </w:rPr>
        <w:t>8</w:t>
      </w:r>
      <w:r>
        <w:rPr>
          <w:rFonts w:hint="eastAsia"/>
          <w:sz w:val="24"/>
          <w:szCs w:val="24"/>
        </w:rPr>
        <w:t>）《中华人民共和国消防法》（2</w:t>
      </w:r>
      <w:r>
        <w:rPr>
          <w:sz w:val="24"/>
          <w:szCs w:val="24"/>
        </w:rPr>
        <w:t>021</w:t>
      </w:r>
      <w:r>
        <w:rPr>
          <w:rFonts w:hint="eastAsia"/>
          <w:sz w:val="24"/>
          <w:szCs w:val="24"/>
        </w:rPr>
        <w:t>年</w:t>
      </w:r>
      <w:r>
        <w:rPr>
          <w:sz w:val="24"/>
          <w:szCs w:val="24"/>
        </w:rPr>
        <w:t>4</w:t>
      </w:r>
      <w:r>
        <w:rPr>
          <w:rFonts w:hint="eastAsia"/>
          <w:sz w:val="24"/>
          <w:szCs w:val="24"/>
        </w:rPr>
        <w:t>月2</w:t>
      </w:r>
      <w:r>
        <w:rPr>
          <w:sz w:val="24"/>
          <w:szCs w:val="24"/>
        </w:rPr>
        <w:t>9</w:t>
      </w:r>
      <w:r>
        <w:rPr>
          <w:rFonts w:hint="eastAsia"/>
          <w:sz w:val="24"/>
          <w:szCs w:val="24"/>
        </w:rPr>
        <w:t>日修订版）</w:t>
      </w:r>
    </w:p>
    <w:p w14:paraId="4D56BD5D">
      <w:pPr>
        <w:overflowPunct w:val="0"/>
        <w:spacing w:line="360" w:lineRule="auto"/>
        <w:ind w:firstLine="480" w:firstLineChars="200"/>
        <w:rPr>
          <w:sz w:val="24"/>
          <w:szCs w:val="24"/>
        </w:rPr>
      </w:pPr>
      <w:r>
        <w:rPr>
          <w:rFonts w:hint="eastAsia"/>
          <w:sz w:val="24"/>
          <w:szCs w:val="24"/>
          <w:lang w:val="en-US" w:eastAsia="zh-CN"/>
        </w:rPr>
        <w:t>9</w:t>
      </w:r>
      <w:r>
        <w:rPr>
          <w:rFonts w:hint="eastAsia"/>
          <w:sz w:val="24"/>
          <w:szCs w:val="24"/>
        </w:rPr>
        <w:t>）《中华人民共和国</w:t>
      </w:r>
      <w:r>
        <w:rPr>
          <w:rFonts w:hint="eastAsia"/>
          <w:sz w:val="24"/>
          <w:szCs w:val="24"/>
          <w:lang w:eastAsia="zh-CN"/>
        </w:rPr>
        <w:t>生态环境法典</w:t>
      </w:r>
      <w:r>
        <w:rPr>
          <w:rFonts w:hint="eastAsia"/>
          <w:sz w:val="24"/>
          <w:szCs w:val="24"/>
        </w:rPr>
        <w:t>》（</w:t>
      </w:r>
      <w:r>
        <w:rPr>
          <w:sz w:val="24"/>
          <w:szCs w:val="24"/>
        </w:rPr>
        <w:t>2019年1月1日起施行</w:t>
      </w:r>
      <w:r>
        <w:rPr>
          <w:rFonts w:hint="eastAsia"/>
          <w:sz w:val="24"/>
          <w:szCs w:val="24"/>
        </w:rPr>
        <w:t>）</w:t>
      </w:r>
    </w:p>
    <w:p w14:paraId="24A930BF">
      <w:pPr>
        <w:overflowPunct w:val="0"/>
        <w:spacing w:line="360" w:lineRule="auto"/>
        <w:ind w:firstLine="480" w:firstLineChars="200"/>
        <w:rPr>
          <w:sz w:val="24"/>
          <w:szCs w:val="24"/>
        </w:rPr>
      </w:pPr>
      <w:r>
        <w:rPr>
          <w:rFonts w:hint="eastAsia"/>
          <w:sz w:val="24"/>
          <w:szCs w:val="24"/>
          <w:lang w:val="en-US" w:eastAsia="zh-CN"/>
        </w:rPr>
        <w:t>10</w:t>
      </w:r>
      <w:r>
        <w:rPr>
          <w:rFonts w:hint="eastAsia"/>
          <w:sz w:val="24"/>
          <w:szCs w:val="24"/>
        </w:rPr>
        <w:t>）《中华人民共和国环境影响评价法》（</w:t>
      </w:r>
      <w:r>
        <w:rPr>
          <w:sz w:val="24"/>
          <w:szCs w:val="24"/>
        </w:rPr>
        <w:t>2018年12月29</w:t>
      </w:r>
      <w:r>
        <w:rPr>
          <w:rFonts w:hint="eastAsia"/>
          <w:sz w:val="24"/>
          <w:szCs w:val="24"/>
        </w:rPr>
        <w:t>修订版）</w:t>
      </w:r>
    </w:p>
    <w:p w14:paraId="44CEEF6C">
      <w:pPr>
        <w:tabs>
          <w:tab w:val="center" w:pos="4775"/>
        </w:tabs>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0</w:t>
      </w:r>
      <w:r>
        <w:rPr>
          <w:rFonts w:hint="eastAsia"/>
          <w:sz w:val="24"/>
          <w:szCs w:val="24"/>
        </w:rPr>
        <w:t>）</w:t>
      </w:r>
      <w:bookmarkStart w:id="19" w:name="_Hlk96527943"/>
      <w:r>
        <w:rPr>
          <w:rFonts w:hint="eastAsia"/>
          <w:sz w:val="24"/>
          <w:szCs w:val="24"/>
        </w:rPr>
        <w:t>《国家突发环境事件应急预案》（国办函</w:t>
      </w:r>
      <w:r>
        <w:rPr>
          <w:sz w:val="24"/>
          <w:szCs w:val="24"/>
        </w:rPr>
        <w:t>[2014]119号</w:t>
      </w:r>
      <w:r>
        <w:rPr>
          <w:rFonts w:hint="eastAsia"/>
          <w:sz w:val="24"/>
          <w:szCs w:val="24"/>
        </w:rPr>
        <w:t>）</w:t>
      </w:r>
    </w:p>
    <w:bookmarkEnd w:id="19"/>
    <w:p w14:paraId="571D895F">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1</w:t>
      </w:r>
      <w:r>
        <w:rPr>
          <w:rFonts w:hint="eastAsia"/>
          <w:sz w:val="24"/>
          <w:szCs w:val="24"/>
        </w:rPr>
        <w:t>）《山东省环境保护条例》（</w:t>
      </w:r>
      <w:r>
        <w:rPr>
          <w:sz w:val="24"/>
          <w:szCs w:val="24"/>
        </w:rPr>
        <w:t>2019年1月1日起施行</w:t>
      </w:r>
      <w:r>
        <w:rPr>
          <w:rFonts w:hint="eastAsia"/>
          <w:sz w:val="24"/>
          <w:szCs w:val="24"/>
        </w:rPr>
        <w:t>）</w:t>
      </w:r>
    </w:p>
    <w:p w14:paraId="3FFA2625">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2</w:t>
      </w:r>
      <w:r>
        <w:rPr>
          <w:rFonts w:hint="eastAsia"/>
          <w:sz w:val="24"/>
          <w:szCs w:val="24"/>
        </w:rPr>
        <w:t>）《山东省水污染防治条例》（</w:t>
      </w:r>
      <w:r>
        <w:rPr>
          <w:sz w:val="24"/>
          <w:szCs w:val="24"/>
        </w:rPr>
        <w:t>2018年12月1日起施行</w:t>
      </w:r>
      <w:r>
        <w:rPr>
          <w:rFonts w:hint="eastAsia"/>
          <w:sz w:val="24"/>
          <w:szCs w:val="24"/>
        </w:rPr>
        <w:t>）</w:t>
      </w:r>
    </w:p>
    <w:p w14:paraId="5FB69331">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3</w:t>
      </w:r>
      <w:r>
        <w:rPr>
          <w:rFonts w:hint="eastAsia"/>
          <w:sz w:val="24"/>
          <w:szCs w:val="24"/>
        </w:rPr>
        <w:t>）《山东省环境保护厅突发环境事件应急预案》（鲁环字〔</w:t>
      </w:r>
      <w:r>
        <w:rPr>
          <w:sz w:val="24"/>
          <w:szCs w:val="24"/>
        </w:rPr>
        <w:t>2021〕266号</w:t>
      </w:r>
      <w:r>
        <w:rPr>
          <w:rFonts w:hint="eastAsia"/>
          <w:sz w:val="24"/>
          <w:szCs w:val="24"/>
        </w:rPr>
        <w:t>）</w:t>
      </w:r>
    </w:p>
    <w:p w14:paraId="6B328FA3">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4</w:t>
      </w:r>
      <w:r>
        <w:rPr>
          <w:rFonts w:hint="eastAsia"/>
          <w:sz w:val="24"/>
          <w:szCs w:val="24"/>
        </w:rPr>
        <w:t>）</w:t>
      </w:r>
      <w:r>
        <w:rPr>
          <w:sz w:val="24"/>
          <w:szCs w:val="24"/>
        </w:rPr>
        <w:t>《山东省突发环境事件应急预案》</w:t>
      </w:r>
      <w:r>
        <w:rPr>
          <w:rFonts w:hint="eastAsia"/>
          <w:sz w:val="24"/>
          <w:szCs w:val="24"/>
        </w:rPr>
        <w:t>（</w:t>
      </w:r>
      <w:r>
        <w:rPr>
          <w:sz w:val="24"/>
          <w:szCs w:val="24"/>
        </w:rPr>
        <w:t>鲁政办字〔2020〕50号</w:t>
      </w:r>
      <w:r>
        <w:rPr>
          <w:rFonts w:hint="eastAsia"/>
          <w:sz w:val="24"/>
          <w:szCs w:val="24"/>
        </w:rPr>
        <w:t>）</w:t>
      </w:r>
    </w:p>
    <w:p w14:paraId="3E89909A">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5</w:t>
      </w:r>
      <w:r>
        <w:rPr>
          <w:rFonts w:hint="eastAsia"/>
          <w:sz w:val="24"/>
          <w:szCs w:val="24"/>
        </w:rPr>
        <w:t>）</w:t>
      </w:r>
      <w:r>
        <w:rPr>
          <w:sz w:val="24"/>
          <w:szCs w:val="24"/>
        </w:rPr>
        <w:t>《山东省突发事件总体应急预案》</w:t>
      </w:r>
      <w:r>
        <w:rPr>
          <w:rFonts w:hint="eastAsia"/>
          <w:sz w:val="24"/>
          <w:szCs w:val="24"/>
        </w:rPr>
        <w:t>（鲁政发〔</w:t>
      </w:r>
      <w:r>
        <w:rPr>
          <w:sz w:val="24"/>
          <w:szCs w:val="24"/>
        </w:rPr>
        <w:t>2021〕14号</w:t>
      </w:r>
      <w:r>
        <w:rPr>
          <w:rFonts w:hint="eastAsia"/>
          <w:sz w:val="24"/>
          <w:szCs w:val="24"/>
        </w:rPr>
        <w:t>）</w:t>
      </w:r>
    </w:p>
    <w:p w14:paraId="43419677">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6</w:t>
      </w:r>
      <w:r>
        <w:rPr>
          <w:rFonts w:hint="eastAsia"/>
          <w:sz w:val="24"/>
          <w:szCs w:val="24"/>
        </w:rPr>
        <w:t>）《山东省突发事件应急预案管理办法》（鲁政办发</w:t>
      </w:r>
      <w:r>
        <w:rPr>
          <w:sz w:val="24"/>
          <w:szCs w:val="24"/>
        </w:rPr>
        <w:t>[2009]56 号）</w:t>
      </w:r>
    </w:p>
    <w:p w14:paraId="2FBEA7A4">
      <w:pPr>
        <w:overflowPunct w:val="0"/>
        <w:spacing w:line="360" w:lineRule="auto"/>
        <w:ind w:firstLine="480" w:firstLineChars="200"/>
        <w:rPr>
          <w:sz w:val="24"/>
          <w:szCs w:val="24"/>
        </w:rPr>
      </w:pPr>
      <w:r>
        <w:rPr>
          <w:rFonts w:hint="eastAsia"/>
          <w:sz w:val="24"/>
          <w:szCs w:val="24"/>
        </w:rPr>
        <w:t>1</w:t>
      </w:r>
      <w:r>
        <w:rPr>
          <w:rFonts w:hint="eastAsia"/>
          <w:sz w:val="24"/>
          <w:szCs w:val="24"/>
          <w:lang w:val="en-US" w:eastAsia="zh-CN"/>
        </w:rPr>
        <w:t>7</w:t>
      </w:r>
      <w:r>
        <w:rPr>
          <w:rFonts w:hint="eastAsia"/>
          <w:sz w:val="24"/>
          <w:szCs w:val="24"/>
        </w:rPr>
        <w:t>）《山东省安全生产条例》（</w:t>
      </w:r>
      <w:r>
        <w:rPr>
          <w:sz w:val="24"/>
          <w:szCs w:val="24"/>
        </w:rPr>
        <w:t>2022年3月1日起施行</w:t>
      </w:r>
      <w:r>
        <w:rPr>
          <w:rFonts w:hint="eastAsia"/>
          <w:sz w:val="24"/>
          <w:szCs w:val="24"/>
        </w:rPr>
        <w:t>）</w:t>
      </w:r>
    </w:p>
    <w:p w14:paraId="12B65183">
      <w:pPr>
        <w:pStyle w:val="124"/>
        <w:ind w:left="482" w:firstLine="0"/>
        <w:rPr>
          <w:sz w:val="24"/>
          <w:szCs w:val="24"/>
          <w:lang w:eastAsia="zh-CN"/>
        </w:rPr>
      </w:pPr>
      <w:r>
        <w:rPr>
          <w:rFonts w:hint="eastAsia" w:ascii="宋体" w:hAnsi="宋体" w:cs="宋体"/>
          <w:sz w:val="24"/>
          <w:szCs w:val="24"/>
          <w:lang w:val="en-US" w:eastAsia="zh-CN"/>
        </w:rPr>
        <w:t>18</w:t>
      </w:r>
      <w:r>
        <w:rPr>
          <w:rFonts w:hint="eastAsia" w:ascii="宋体" w:hAnsi="宋体" w:cs="宋体"/>
          <w:sz w:val="24"/>
          <w:szCs w:val="24"/>
          <w:lang w:eastAsia="zh-CN"/>
        </w:rPr>
        <w:t>）《山东省生产安全事故应急</w:t>
      </w:r>
      <w:r>
        <w:rPr>
          <w:rFonts w:hint="eastAsia"/>
          <w:sz w:val="24"/>
          <w:szCs w:val="24"/>
          <w:lang w:eastAsia="zh-CN"/>
        </w:rPr>
        <w:t>办法》（省政府令第</w:t>
      </w:r>
      <w:r>
        <w:rPr>
          <w:sz w:val="24"/>
          <w:szCs w:val="24"/>
          <w:lang w:eastAsia="zh-CN"/>
        </w:rPr>
        <w:t>341号</w:t>
      </w:r>
      <w:r>
        <w:rPr>
          <w:rFonts w:hint="eastAsia"/>
          <w:sz w:val="24"/>
          <w:szCs w:val="24"/>
          <w:lang w:eastAsia="zh-CN"/>
        </w:rPr>
        <w:t>，</w:t>
      </w:r>
      <w:r>
        <w:rPr>
          <w:sz w:val="24"/>
          <w:szCs w:val="24"/>
          <w:lang w:eastAsia="zh-CN"/>
        </w:rPr>
        <w:t>2021年4月1日起施行</w:t>
      </w:r>
      <w:r>
        <w:rPr>
          <w:rFonts w:hint="eastAsia"/>
          <w:sz w:val="24"/>
          <w:szCs w:val="24"/>
          <w:lang w:eastAsia="zh-CN"/>
        </w:rPr>
        <w:t>）</w:t>
      </w:r>
    </w:p>
    <w:p w14:paraId="3D9C3645">
      <w:pPr>
        <w:overflowPunct w:val="0"/>
        <w:spacing w:line="360" w:lineRule="auto"/>
        <w:ind w:firstLine="480" w:firstLineChars="200"/>
        <w:rPr>
          <w:sz w:val="24"/>
          <w:szCs w:val="24"/>
        </w:rPr>
      </w:pPr>
      <w:r>
        <w:rPr>
          <w:rFonts w:hint="eastAsia"/>
          <w:sz w:val="24"/>
          <w:szCs w:val="24"/>
          <w:lang w:val="en-US" w:eastAsia="zh-CN"/>
        </w:rPr>
        <w:t>19</w:t>
      </w:r>
      <w:r>
        <w:rPr>
          <w:rFonts w:hint="eastAsia"/>
          <w:sz w:val="24"/>
          <w:szCs w:val="24"/>
        </w:rPr>
        <w:t>）《淄博市突发环境事件应急预案》（淄政办字〔20</w:t>
      </w:r>
      <w:r>
        <w:rPr>
          <w:sz w:val="24"/>
          <w:szCs w:val="24"/>
        </w:rPr>
        <w:t>20</w:t>
      </w:r>
      <w:r>
        <w:rPr>
          <w:rFonts w:hint="eastAsia"/>
          <w:sz w:val="24"/>
          <w:szCs w:val="24"/>
        </w:rPr>
        <w:t>〕</w:t>
      </w:r>
      <w:r>
        <w:rPr>
          <w:sz w:val="24"/>
          <w:szCs w:val="24"/>
        </w:rPr>
        <w:t>99</w:t>
      </w:r>
      <w:r>
        <w:rPr>
          <w:rFonts w:hint="eastAsia"/>
          <w:sz w:val="24"/>
          <w:szCs w:val="24"/>
        </w:rPr>
        <w:t>号）</w:t>
      </w:r>
    </w:p>
    <w:p w14:paraId="7C01034D">
      <w:pPr>
        <w:overflowPunct w:val="0"/>
        <w:spacing w:line="360" w:lineRule="auto"/>
        <w:ind w:firstLine="480" w:firstLineChars="200"/>
        <w:rPr>
          <w:sz w:val="24"/>
          <w:szCs w:val="24"/>
        </w:rPr>
      </w:pPr>
      <w:r>
        <w:rPr>
          <w:sz w:val="24"/>
          <w:szCs w:val="24"/>
        </w:rPr>
        <w:t>2</w:t>
      </w:r>
      <w:r>
        <w:rPr>
          <w:rFonts w:hint="eastAsia"/>
          <w:sz w:val="24"/>
          <w:szCs w:val="24"/>
          <w:lang w:val="en-US" w:eastAsia="zh-CN"/>
        </w:rPr>
        <w:t>0</w:t>
      </w:r>
      <w:r>
        <w:rPr>
          <w:rFonts w:hint="eastAsia"/>
          <w:sz w:val="24"/>
          <w:szCs w:val="24"/>
        </w:rPr>
        <w:t>）《临淄区突发环境事件应急预案》（临政办字〔</w:t>
      </w:r>
      <w:r>
        <w:rPr>
          <w:sz w:val="24"/>
          <w:szCs w:val="24"/>
        </w:rPr>
        <w:t>2020〕48号</w:t>
      </w:r>
      <w:r>
        <w:rPr>
          <w:rFonts w:hint="eastAsia"/>
          <w:sz w:val="24"/>
          <w:szCs w:val="24"/>
        </w:rPr>
        <w:t>）</w:t>
      </w:r>
    </w:p>
    <w:p w14:paraId="655D5440">
      <w:pPr>
        <w:overflowPunct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21）</w:t>
      </w:r>
      <w:r>
        <w:rPr>
          <w:rFonts w:hint="eastAsia" w:ascii="Times New Roman" w:hAnsi="Times New Roman" w:eastAsia="宋体" w:cs="Times New Roman"/>
          <w:sz w:val="24"/>
          <w:szCs w:val="24"/>
        </w:rPr>
        <w:t>《淄博市生态环境局临淄分局突发环境事件应急预案》</w:t>
      </w:r>
    </w:p>
    <w:p w14:paraId="3B7C0568">
      <w:pPr>
        <w:overflowPunct w:val="0"/>
        <w:spacing w:line="360" w:lineRule="auto"/>
        <w:ind w:firstLine="480" w:firstLineChars="200"/>
        <w:rPr>
          <w:sz w:val="24"/>
          <w:szCs w:val="24"/>
        </w:rPr>
      </w:pPr>
      <w:r>
        <w:rPr>
          <w:sz w:val="24"/>
          <w:szCs w:val="24"/>
        </w:rPr>
        <w:t>2</w:t>
      </w:r>
      <w:bookmarkStart w:id="20" w:name="_Hlk96347101"/>
      <w:r>
        <w:rPr>
          <w:rFonts w:hint="eastAsia"/>
          <w:sz w:val="24"/>
          <w:szCs w:val="24"/>
          <w:lang w:val="en-US" w:eastAsia="zh-CN"/>
        </w:rPr>
        <w:t>2</w:t>
      </w:r>
      <w:r>
        <w:rPr>
          <w:rFonts w:hint="eastAsia"/>
          <w:sz w:val="24"/>
          <w:szCs w:val="24"/>
          <w:lang w:eastAsia="zh-CN"/>
        </w:rPr>
        <w:t>）</w:t>
      </w:r>
      <w:r>
        <w:rPr>
          <w:rFonts w:hint="eastAsia"/>
          <w:sz w:val="24"/>
          <w:szCs w:val="24"/>
          <w:lang w:val="en-US" w:eastAsia="zh-CN"/>
        </w:rPr>
        <w:t xml:space="preserve"> </w:t>
      </w:r>
      <w:r>
        <w:rPr>
          <w:rFonts w:hint="eastAsia"/>
          <w:sz w:val="24"/>
          <w:szCs w:val="24"/>
        </w:rPr>
        <w:t>《</w:t>
      </w:r>
      <w:r>
        <w:rPr>
          <w:sz w:val="24"/>
          <w:szCs w:val="24"/>
        </w:rPr>
        <w:t>关于进一步加强环境影响评价管理防范环境风险的通知</w:t>
      </w:r>
      <w:r>
        <w:rPr>
          <w:rFonts w:hint="eastAsia"/>
          <w:sz w:val="24"/>
          <w:szCs w:val="24"/>
        </w:rPr>
        <w:t>》</w:t>
      </w:r>
      <w:bookmarkEnd w:id="20"/>
      <w:r>
        <w:rPr>
          <w:rFonts w:hint="eastAsia"/>
          <w:sz w:val="24"/>
          <w:szCs w:val="24"/>
        </w:rPr>
        <w:t>（环发〔2012〕77号）</w:t>
      </w:r>
    </w:p>
    <w:p w14:paraId="6D71E8A0">
      <w:pPr>
        <w:overflowPunct w:val="0"/>
        <w:spacing w:line="360" w:lineRule="auto"/>
        <w:ind w:firstLine="480" w:firstLineChars="200"/>
        <w:jc w:val="both"/>
        <w:rPr>
          <w:sz w:val="24"/>
          <w:szCs w:val="24"/>
        </w:rPr>
      </w:pPr>
      <w:r>
        <w:rPr>
          <w:sz w:val="24"/>
          <w:szCs w:val="24"/>
        </w:rPr>
        <w:t>2</w:t>
      </w:r>
      <w:r>
        <w:rPr>
          <w:rFonts w:hint="eastAsia"/>
          <w:sz w:val="24"/>
          <w:szCs w:val="24"/>
          <w:lang w:val="en-US" w:eastAsia="zh-CN"/>
        </w:rPr>
        <w:t>3</w:t>
      </w:r>
      <w:r>
        <w:rPr>
          <w:rFonts w:hint="eastAsia"/>
          <w:sz w:val="24"/>
          <w:szCs w:val="24"/>
        </w:rPr>
        <w:t>）《关于进一步做好突发环境事件应急预案备案管理工作的通知》（淄环发〔</w:t>
      </w:r>
      <w:r>
        <w:rPr>
          <w:sz w:val="24"/>
          <w:szCs w:val="24"/>
        </w:rPr>
        <w:t>2020〕100号）</w:t>
      </w:r>
    </w:p>
    <w:p w14:paraId="347453F3">
      <w:pPr>
        <w:overflowPunct w:val="0"/>
        <w:spacing w:line="360" w:lineRule="auto"/>
        <w:ind w:firstLine="480" w:firstLineChars="200"/>
        <w:jc w:val="both"/>
        <w:rPr>
          <w:sz w:val="24"/>
          <w:szCs w:val="24"/>
        </w:rPr>
      </w:pPr>
      <w:r>
        <w:rPr>
          <w:rFonts w:hint="eastAsia"/>
          <w:sz w:val="24"/>
          <w:szCs w:val="24"/>
        </w:rPr>
        <w:t>2</w:t>
      </w:r>
      <w:r>
        <w:rPr>
          <w:rFonts w:hint="eastAsia"/>
          <w:sz w:val="24"/>
          <w:szCs w:val="24"/>
          <w:lang w:val="en-US" w:eastAsia="zh-CN"/>
        </w:rPr>
        <w:t>4</w:t>
      </w:r>
      <w:r>
        <w:rPr>
          <w:rFonts w:hint="eastAsia"/>
          <w:sz w:val="24"/>
          <w:szCs w:val="24"/>
        </w:rPr>
        <w:t>）《企事业单位环境信息公开办法》（环境保护部令</w:t>
      </w:r>
      <w:r>
        <w:rPr>
          <w:sz w:val="24"/>
          <w:szCs w:val="24"/>
        </w:rPr>
        <w:t>2014年第31号）</w:t>
      </w:r>
    </w:p>
    <w:p w14:paraId="2AD6A572">
      <w:pPr>
        <w:overflowPunct w:val="0"/>
        <w:spacing w:line="360" w:lineRule="auto"/>
        <w:ind w:firstLine="480" w:firstLineChars="200"/>
        <w:jc w:val="both"/>
        <w:rPr>
          <w:sz w:val="24"/>
          <w:szCs w:val="24"/>
        </w:rPr>
      </w:pPr>
      <w:r>
        <w:rPr>
          <w:rFonts w:hint="eastAsia"/>
          <w:sz w:val="24"/>
          <w:szCs w:val="24"/>
        </w:rPr>
        <w:t>2</w:t>
      </w:r>
      <w:r>
        <w:rPr>
          <w:rFonts w:hint="eastAsia"/>
          <w:sz w:val="24"/>
          <w:szCs w:val="24"/>
          <w:lang w:val="en-US" w:eastAsia="zh-CN"/>
        </w:rPr>
        <w:t>5</w:t>
      </w:r>
      <w:r>
        <w:rPr>
          <w:sz w:val="24"/>
          <w:szCs w:val="24"/>
        </w:rPr>
        <w:t>)</w:t>
      </w:r>
      <w:r>
        <w:rPr>
          <w:rFonts w:hint="eastAsia"/>
          <w:sz w:val="24"/>
          <w:szCs w:val="24"/>
        </w:rPr>
        <w:t xml:space="preserve"> 《突发环境事件应急预案管理暂行办法》（环发〔</w:t>
      </w:r>
      <w:r>
        <w:rPr>
          <w:sz w:val="24"/>
          <w:szCs w:val="24"/>
        </w:rPr>
        <w:t>2010〕113号）</w:t>
      </w:r>
    </w:p>
    <w:p w14:paraId="0FD30F5A">
      <w:pPr>
        <w:pStyle w:val="8"/>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2.2.2</w:t>
      </w:r>
      <w:r>
        <w:rPr>
          <w:rFonts w:hint="eastAsia"/>
          <w:color w:val="000000" w:themeColor="text1"/>
          <w:sz w:val="24"/>
          <w:szCs w:val="24"/>
          <w14:textFill>
            <w14:solidFill>
              <w14:schemeClr w14:val="tx1"/>
            </w14:solidFill>
          </w14:textFill>
        </w:rPr>
        <w:t>技术指南、标准规范</w:t>
      </w:r>
    </w:p>
    <w:p w14:paraId="0F45F176">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《地表水环境质量标准》（</w:t>
      </w:r>
      <w:r>
        <w:rPr>
          <w:color w:val="000000" w:themeColor="text1"/>
          <w:lang w:eastAsia="zh-CN"/>
          <w14:textFill>
            <w14:solidFill>
              <w14:schemeClr w14:val="tx1"/>
            </w14:solidFill>
          </w14:textFill>
        </w:rPr>
        <w:t>GB 3838-2002）</w:t>
      </w:r>
      <w:r>
        <w:rPr>
          <w:rFonts w:hint="eastAsia"/>
          <w:color w:val="000000" w:themeColor="text1"/>
          <w:lang w:eastAsia="zh-CN"/>
          <w14:textFill>
            <w14:solidFill>
              <w14:schemeClr w14:val="tx1"/>
            </w14:solidFill>
          </w14:textFill>
        </w:rPr>
        <w:t>；</w:t>
      </w:r>
    </w:p>
    <w:p w14:paraId="10E7D25E">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《地下水质量标准》（</w:t>
      </w:r>
      <w:r>
        <w:rPr>
          <w:color w:val="000000" w:themeColor="text1"/>
          <w:lang w:eastAsia="zh-CN"/>
          <w14:textFill>
            <w14:solidFill>
              <w14:schemeClr w14:val="tx1"/>
            </w14:solidFill>
          </w14:textFill>
        </w:rPr>
        <w:t>GB/T 14848-2017）</w:t>
      </w:r>
      <w:r>
        <w:rPr>
          <w:rFonts w:hint="eastAsia"/>
          <w:color w:val="000000" w:themeColor="text1"/>
          <w:lang w:eastAsia="zh-CN"/>
          <w14:textFill>
            <w14:solidFill>
              <w14:schemeClr w14:val="tx1"/>
            </w14:solidFill>
          </w14:textFill>
        </w:rPr>
        <w:t>；</w:t>
      </w:r>
    </w:p>
    <w:p w14:paraId="4EAF5274">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《环境空气质量标准》（</w:t>
      </w:r>
      <w:r>
        <w:rPr>
          <w:color w:val="000000" w:themeColor="text1"/>
          <w:lang w:eastAsia="zh-CN"/>
          <w14:textFill>
            <w14:solidFill>
              <w14:schemeClr w14:val="tx1"/>
            </w14:solidFill>
          </w14:textFill>
        </w:rPr>
        <w:t>GB 3095-20</w:t>
      </w:r>
      <w:r>
        <w:rPr>
          <w:rFonts w:hint="eastAsia"/>
          <w:color w:val="000000" w:themeColor="text1"/>
          <w:lang w:val="en-US" w:eastAsia="zh-CN"/>
          <w14:textFill>
            <w14:solidFill>
              <w14:schemeClr w14:val="tx1"/>
            </w14:solidFill>
          </w14:textFill>
        </w:rPr>
        <w:t>26</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w:t>
      </w:r>
    </w:p>
    <w:p w14:paraId="36E7DAA8">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《声环境质量标准》（</w:t>
      </w:r>
      <w:r>
        <w:rPr>
          <w:color w:val="000000" w:themeColor="text1"/>
          <w:lang w:eastAsia="zh-CN"/>
          <w14:textFill>
            <w14:solidFill>
              <w14:schemeClr w14:val="tx1"/>
            </w14:solidFill>
          </w14:textFill>
        </w:rPr>
        <w:t>GB3096-2008）</w:t>
      </w:r>
      <w:r>
        <w:rPr>
          <w:rFonts w:hint="eastAsia"/>
          <w:color w:val="000000" w:themeColor="text1"/>
          <w:lang w:eastAsia="zh-CN"/>
          <w14:textFill>
            <w14:solidFill>
              <w14:schemeClr w14:val="tx1"/>
            </w14:solidFill>
          </w14:textFill>
        </w:rPr>
        <w:t>；</w:t>
      </w:r>
    </w:p>
    <w:p w14:paraId="3C8DCD6B">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《土壤环境质量标准》（</w:t>
      </w:r>
      <w:r>
        <w:rPr>
          <w:color w:val="000000" w:themeColor="text1"/>
          <w:lang w:eastAsia="zh-CN"/>
          <w14:textFill>
            <w14:solidFill>
              <w14:schemeClr w14:val="tx1"/>
            </w14:solidFill>
          </w14:textFill>
        </w:rPr>
        <w:t>GB36600-2018）</w:t>
      </w:r>
      <w:r>
        <w:rPr>
          <w:rFonts w:hint="eastAsia"/>
          <w:color w:val="000000" w:themeColor="text1"/>
          <w:lang w:eastAsia="zh-CN"/>
          <w14:textFill>
            <w14:solidFill>
              <w14:schemeClr w14:val="tx1"/>
            </w14:solidFill>
          </w14:textFill>
        </w:rPr>
        <w:t>；</w:t>
      </w:r>
    </w:p>
    <w:p w14:paraId="7B6A492C">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《大气污染物综合排放标准》（</w:t>
      </w:r>
      <w:r>
        <w:rPr>
          <w:color w:val="000000" w:themeColor="text1"/>
          <w:lang w:eastAsia="zh-CN"/>
          <w14:textFill>
            <w14:solidFill>
              <w14:schemeClr w14:val="tx1"/>
            </w14:solidFill>
          </w14:textFill>
        </w:rPr>
        <w:t>GB 16297-1996）</w:t>
      </w:r>
      <w:r>
        <w:rPr>
          <w:rFonts w:hint="eastAsia"/>
          <w:color w:val="000000" w:themeColor="text1"/>
          <w:lang w:eastAsia="zh-CN"/>
          <w14:textFill>
            <w14:solidFill>
              <w14:schemeClr w14:val="tx1"/>
            </w14:solidFill>
          </w14:textFill>
        </w:rPr>
        <w:t>；</w:t>
      </w:r>
    </w:p>
    <w:p w14:paraId="3079F57B">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《恶臭污染物排放标准》（</w:t>
      </w:r>
      <w:r>
        <w:rPr>
          <w:color w:val="000000" w:themeColor="text1"/>
          <w:lang w:eastAsia="zh-CN"/>
          <w14:textFill>
            <w14:solidFill>
              <w14:schemeClr w14:val="tx1"/>
            </w14:solidFill>
          </w14:textFill>
        </w:rPr>
        <w:t>GB 14554-93）</w:t>
      </w:r>
      <w:r>
        <w:rPr>
          <w:rFonts w:hint="eastAsia"/>
          <w:color w:val="000000" w:themeColor="text1"/>
          <w:lang w:eastAsia="zh-CN"/>
          <w14:textFill>
            <w14:solidFill>
              <w14:schemeClr w14:val="tx1"/>
            </w14:solidFill>
          </w14:textFill>
        </w:rPr>
        <w:t>；</w:t>
      </w:r>
    </w:p>
    <w:p w14:paraId="3BEA6B80">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《储罐区防火提设计规范》（GB 50351-2014）；</w:t>
      </w:r>
    </w:p>
    <w:p w14:paraId="6BAC9237">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《事故状态下水体污染物的预防与控制技术要求》（Q/SY</w:t>
      </w:r>
      <w:r>
        <w:rPr>
          <w:rFonts w:hint="eastAsia"/>
          <w:color w:val="000000" w:themeColor="text1"/>
          <w:lang w:val="en-US" w:eastAsia="zh-CN"/>
          <w14:textFill>
            <w14:solidFill>
              <w14:schemeClr w14:val="tx1"/>
            </w14:solidFill>
          </w14:textFill>
        </w:rPr>
        <w:t>01</w:t>
      </w:r>
      <w:r>
        <w:rPr>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106</w:t>
      </w:r>
      <w:r>
        <w:rPr>
          <w:color w:val="000000" w:themeColor="text1"/>
          <w:lang w:eastAsia="zh-CN"/>
          <w14:textFill>
            <w14:solidFill>
              <w14:schemeClr w14:val="tx1"/>
            </w14:solidFill>
          </w14:textFill>
        </w:rPr>
        <w:t>）；</w:t>
      </w:r>
    </w:p>
    <w:p w14:paraId="6FADFBF5">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《建筑设计防火规范》（GB50016-2014  2018</w:t>
      </w:r>
      <w:r>
        <w:rPr>
          <w:rFonts w:hint="eastAsia"/>
          <w:color w:val="000000" w:themeColor="text1"/>
          <w:lang w:eastAsia="zh-CN"/>
          <w14:textFill>
            <w14:solidFill>
              <w14:schemeClr w14:val="tx1"/>
            </w14:solidFill>
          </w14:textFill>
        </w:rPr>
        <w:t>版）</w:t>
      </w:r>
      <w:r>
        <w:rPr>
          <w:color w:val="000000" w:themeColor="text1"/>
          <w:lang w:eastAsia="zh-CN"/>
          <w14:textFill>
            <w14:solidFill>
              <w14:schemeClr w14:val="tx1"/>
            </w14:solidFill>
          </w14:textFill>
        </w:rPr>
        <w:t>；</w:t>
      </w:r>
    </w:p>
    <w:p w14:paraId="78158A6C">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《化学品分类、警示标签和警示性说明安全规范》（GB20576-GB20602）；</w:t>
      </w:r>
    </w:p>
    <w:p w14:paraId="3A496AD1">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《建设项目环境风险评价技术导则》（HJ/T169-2018）；</w:t>
      </w:r>
    </w:p>
    <w:p w14:paraId="3312532A">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《固定式压力容器安全技术监察规程》（TSG R004-2009）；</w:t>
      </w:r>
    </w:p>
    <w:p w14:paraId="5CEC5F9F">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《危险化学品重大危险源</w:t>
      </w:r>
      <w:r>
        <w:rPr>
          <w:rFonts w:hint="eastAsia"/>
          <w:color w:val="000000" w:themeColor="text1"/>
          <w:lang w:eastAsia="zh-CN"/>
          <w14:textFill>
            <w14:solidFill>
              <w14:schemeClr w14:val="tx1"/>
            </w14:solidFill>
          </w14:textFill>
        </w:rPr>
        <w:t>辨</w:t>
      </w:r>
      <w:r>
        <w:rPr>
          <w:color w:val="000000" w:themeColor="text1"/>
          <w:lang w:eastAsia="zh-CN"/>
          <w14:textFill>
            <w14:solidFill>
              <w14:schemeClr w14:val="tx1"/>
            </w14:solidFill>
          </w14:textFill>
        </w:rPr>
        <w:t>识》（GB18218-2018）；</w:t>
      </w:r>
    </w:p>
    <w:p w14:paraId="5AFD7A6D">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《化学品毒性鉴定技术规范》（ 卫监督发[2005]272号）；</w:t>
      </w:r>
    </w:p>
    <w:p w14:paraId="55C46B04">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《危险废物鉴别标准</w:t>
      </w:r>
      <w:r>
        <w:rPr>
          <w:color w:val="000000" w:themeColor="text1"/>
          <w:lang w:eastAsia="zh-CN"/>
          <w14:textFill>
            <w14:solidFill>
              <w14:schemeClr w14:val="tx1"/>
            </w14:solidFill>
          </w14:textFill>
        </w:rPr>
        <w:t xml:space="preserve"> 通则》（GB 5085.7-2007）；</w:t>
      </w:r>
    </w:p>
    <w:p w14:paraId="10A5BC0D">
      <w:pPr>
        <w:pStyle w:val="124"/>
        <w:numPr>
          <w:ilvl w:val="0"/>
          <w:numId w:val="3"/>
        </w:numPr>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《国家危险废物名录》，202</w:t>
      </w:r>
      <w:r>
        <w:rPr>
          <w:rFonts w:hint="eastAsia"/>
          <w:color w:val="000000" w:themeColor="text1"/>
          <w:lang w:val="en-US" w:eastAsia="zh-CN"/>
          <w14:textFill>
            <w14:solidFill>
              <w14:schemeClr w14:val="tx1"/>
            </w14:solidFill>
          </w14:textFill>
        </w:rPr>
        <w:t>5</w:t>
      </w:r>
      <w:r>
        <w:rPr>
          <w:color w:val="000000" w:themeColor="text1"/>
          <w:lang w:eastAsia="zh-CN"/>
          <w14:textFill>
            <w14:solidFill>
              <w14:schemeClr w14:val="tx1"/>
            </w14:solidFill>
          </w14:textFill>
        </w:rPr>
        <w:t>.1.1施行；</w:t>
      </w:r>
    </w:p>
    <w:p w14:paraId="413A7957">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《突发环境事件应急监测技术规范》（</w:t>
      </w:r>
      <w:r>
        <w:rPr>
          <w:color w:val="000000" w:themeColor="text1"/>
          <w:lang w:eastAsia="zh-CN"/>
          <w14:textFill>
            <w14:solidFill>
              <w14:schemeClr w14:val="tx1"/>
            </w14:solidFill>
          </w14:textFill>
        </w:rPr>
        <w:t>HJ 589-2021，2022年3月1日起实施）；</w:t>
      </w:r>
    </w:p>
    <w:p w14:paraId="43EA29F4">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《重点监管的危险化学品名录》（</w:t>
      </w:r>
      <w:r>
        <w:rPr>
          <w:color w:val="000000" w:themeColor="text1"/>
          <w:lang w:eastAsia="zh-CN"/>
          <w14:textFill>
            <w14:solidFill>
              <w14:schemeClr w14:val="tx1"/>
            </w14:solidFill>
          </w14:textFill>
        </w:rPr>
        <w:t>2013年完整版）；</w:t>
      </w:r>
    </w:p>
    <w:p w14:paraId="0FD5D4EF">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《重点监管危险化工工艺目录》（</w:t>
      </w:r>
      <w:r>
        <w:rPr>
          <w:color w:val="000000" w:themeColor="text1"/>
          <w:lang w:eastAsia="zh-CN"/>
          <w14:textFill>
            <w14:solidFill>
              <w14:schemeClr w14:val="tx1"/>
            </w14:solidFill>
          </w14:textFill>
        </w:rPr>
        <w:t>2013年完整版）；</w:t>
      </w:r>
    </w:p>
    <w:p w14:paraId="62438C9B">
      <w:pPr>
        <w:pStyle w:val="124"/>
        <w:numPr>
          <w:ilvl w:val="0"/>
          <w:numId w:val="3"/>
        </w:numPr>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《危险化学品名录》（</w:t>
      </w:r>
      <w:r>
        <w:rPr>
          <w:color w:val="000000" w:themeColor="text1"/>
          <w:lang w:eastAsia="zh-CN"/>
          <w14:textFill>
            <w14:solidFill>
              <w14:schemeClr w14:val="tx1"/>
            </w14:solidFill>
          </w14:textFill>
        </w:rPr>
        <w:t>2015版）；</w:t>
      </w:r>
    </w:p>
    <w:p w14:paraId="529EFE85">
      <w:pPr>
        <w:pStyle w:val="124"/>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《工业企业设计卫生标准》（GBZ1-2010）；</w:t>
      </w:r>
    </w:p>
    <w:p w14:paraId="0164AA3A">
      <w:pPr>
        <w:pStyle w:val="124"/>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《生产经营单位安全生产事故应急预案编制导则》（GB/T 29639-2020，2021年4月1日实施）；</w:t>
      </w:r>
    </w:p>
    <w:p w14:paraId="248179FC">
      <w:pPr>
        <w:pStyle w:val="124"/>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《社会单位灭火和应急疏散预案编制及实施导则》（GB/T38315-2019）；</w:t>
      </w:r>
    </w:p>
    <w:p w14:paraId="25EBFF26">
      <w:pPr>
        <w:pStyle w:val="124"/>
        <w:numPr>
          <w:ilvl w:val="0"/>
          <w:numId w:val="3"/>
        </w:num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《环境应急资源调查指南（试行）》（环办应急【</w:t>
      </w:r>
      <w:r>
        <w:rPr>
          <w:rFonts w:hint="eastAsia"/>
          <w:color w:val="000000" w:themeColor="text1"/>
          <w:lang w:val="en-US" w:eastAsia="zh-CN"/>
          <w14:textFill>
            <w14:solidFill>
              <w14:schemeClr w14:val="tx1"/>
            </w14:solidFill>
          </w14:textFill>
        </w:rPr>
        <w:t>2019】17号）</w:t>
      </w:r>
    </w:p>
    <w:p w14:paraId="03A83F7C">
      <w:pPr>
        <w:pStyle w:val="6"/>
        <w:keepNext/>
        <w:pageBreakBefore w:val="0"/>
        <w:widowControl w:val="0"/>
        <w:kinsoku/>
        <w:wordWrap/>
        <w:overflowPunct/>
        <w:topLinePunct w:val="0"/>
        <w:autoSpaceDE/>
        <w:autoSpaceDN/>
        <w:bidi w:val="0"/>
        <w:adjustRightInd w:val="0"/>
        <w:snapToGrid w:val="0"/>
        <w:spacing w:beforeLines="0" w:afterLines="0"/>
        <w:textAlignment w:val="auto"/>
        <w:rPr>
          <w:rFonts w:ascii="Times New Roman" w:hAnsi="Times New Roman" w:cs="Times New Roman"/>
          <w:color w:val="000000" w:themeColor="text1"/>
          <w14:textFill>
            <w14:solidFill>
              <w14:schemeClr w14:val="tx1"/>
            </w14:solidFill>
          </w14:textFill>
        </w:rPr>
      </w:pPr>
      <w:bookmarkStart w:id="21" w:name="_Toc31239"/>
      <w:r>
        <w:rPr>
          <w:rFonts w:hint="eastAsia" w:ascii="Times New Roman" w:hAnsi="Times New Roman" w:cs="Times New Roman"/>
          <w:color w:val="000000" w:themeColor="text1"/>
          <w:lang w:val="en-US" w:eastAsia="zh-CN"/>
          <w14:textFill>
            <w14:solidFill>
              <w14:schemeClr w14:val="tx1"/>
            </w14:solidFill>
          </w14:textFill>
        </w:rPr>
        <w:t xml:space="preserve">3 </w:t>
      </w:r>
      <w:r>
        <w:rPr>
          <w:rFonts w:ascii="Times New Roman" w:hAnsi="Times New Roman" w:cs="Times New Roman"/>
          <w:color w:val="000000" w:themeColor="text1"/>
          <w14:textFill>
            <w14:solidFill>
              <w14:schemeClr w14:val="tx1"/>
            </w14:solidFill>
          </w14:textFill>
        </w:rPr>
        <w:t>资料准备与风险识别</w:t>
      </w:r>
      <w:bookmarkEnd w:id="17"/>
      <w:bookmarkEnd w:id="18"/>
      <w:bookmarkEnd w:id="21"/>
    </w:p>
    <w:p w14:paraId="2B4CF333">
      <w:pPr>
        <w:pStyle w:val="7"/>
        <w:keepNext/>
        <w:pageBreakBefore w:val="0"/>
        <w:widowControl w:val="0"/>
        <w:kinsoku/>
        <w:wordWrap/>
        <w:overflowPunct/>
        <w:topLinePunct w:val="0"/>
        <w:autoSpaceDE/>
        <w:autoSpaceDN/>
        <w:bidi w:val="0"/>
        <w:adjustRightInd w:val="0"/>
        <w:snapToGrid w:val="0"/>
        <w:spacing w:before="0" w:after="0"/>
        <w:textAlignment w:val="auto"/>
        <w:rPr>
          <w:rFonts w:cs="Times New Roman"/>
          <w:color w:val="000000" w:themeColor="text1"/>
          <w14:textFill>
            <w14:solidFill>
              <w14:schemeClr w14:val="tx1"/>
            </w14:solidFill>
          </w14:textFill>
        </w:rPr>
      </w:pPr>
      <w:bookmarkStart w:id="22" w:name="_Toc73285814"/>
      <w:bookmarkStart w:id="23" w:name="_Toc15902"/>
      <w:bookmarkStart w:id="24" w:name="_Toc127256772"/>
      <w:r>
        <w:rPr>
          <w:rFonts w:hint="eastAsia" w:cs="Times New Roman"/>
          <w:color w:val="000000" w:themeColor="text1"/>
          <w:lang w:val="en-US" w:eastAsia="zh-CN"/>
          <w14:textFill>
            <w14:solidFill>
              <w14:schemeClr w14:val="tx1"/>
            </w14:solidFill>
          </w14:textFill>
        </w:rPr>
        <w:t>3.1</w:t>
      </w:r>
      <w:r>
        <w:rPr>
          <w:rFonts w:cs="Times New Roman"/>
          <w:color w:val="000000" w:themeColor="text1"/>
          <w14:textFill>
            <w14:solidFill>
              <w14:schemeClr w14:val="tx1"/>
            </w14:solidFill>
          </w14:textFill>
        </w:rPr>
        <w:t>企业基本情况调查</w:t>
      </w:r>
      <w:bookmarkEnd w:id="22"/>
      <w:bookmarkEnd w:id="23"/>
      <w:bookmarkEnd w:id="24"/>
    </w:p>
    <w:p w14:paraId="0AAD1FA7">
      <w:pPr>
        <w:pStyle w:val="8"/>
        <w:keepNext/>
        <w:pageBreakBefore w:val="0"/>
        <w:widowControl w:val="0"/>
        <w:kinsoku/>
        <w:wordWrap/>
        <w:overflowPunct/>
        <w:topLinePunct w:val="0"/>
        <w:autoSpaceDE/>
        <w:autoSpaceDN/>
        <w:bidi w:val="0"/>
        <w:adjustRightInd w:val="0"/>
        <w:snapToGrid w:val="0"/>
        <w:spacing w:before="0" w:after="0"/>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3.1.1</w:t>
      </w:r>
      <w:r>
        <w:rPr>
          <w:color w:val="000000" w:themeColor="text1"/>
          <w:sz w:val="24"/>
          <w:szCs w:val="24"/>
          <w14:textFill>
            <w14:solidFill>
              <w14:schemeClr w14:val="tx1"/>
            </w14:solidFill>
          </w14:textFill>
        </w:rPr>
        <w:t>企业基本信息</w:t>
      </w:r>
    </w:p>
    <w:p w14:paraId="5574621E">
      <w:pPr>
        <w:widowControl/>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单位名称：</w:t>
      </w:r>
      <w:bookmarkStart w:id="25" w:name="_Hlk95392782"/>
      <w:r>
        <w:rPr>
          <w:rFonts w:hint="default" w:ascii="Times New Roman" w:hAnsi="Times New Roman" w:cs="Times New Roman"/>
          <w:color w:val="auto"/>
          <w:kern w:val="0"/>
          <w:sz w:val="24"/>
          <w:highlight w:val="none"/>
          <w:lang w:eastAsia="zh-CN"/>
        </w:rPr>
        <w:t>山东隆盛和助剂</w:t>
      </w:r>
      <w:r>
        <w:rPr>
          <w:rFonts w:hint="default" w:ascii="Times New Roman" w:hAnsi="Times New Roman" w:cs="Times New Roman"/>
          <w:color w:val="auto"/>
          <w:kern w:val="0"/>
          <w:sz w:val="24"/>
          <w:highlight w:val="none"/>
        </w:rPr>
        <w:t>有限公司</w:t>
      </w:r>
    </w:p>
    <w:bookmarkEnd w:id="25"/>
    <w:p w14:paraId="7951D787">
      <w:pPr>
        <w:widowControl/>
        <w:adjustRightInd w:val="0"/>
        <w:snapToGrid w:val="0"/>
        <w:spacing w:line="360" w:lineRule="auto"/>
        <w:ind w:firstLine="480" w:firstLineChars="200"/>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单位性质：有限公司</w:t>
      </w:r>
    </w:p>
    <w:p w14:paraId="232F5627">
      <w:pPr>
        <w:widowControl/>
        <w:adjustRightInd w:val="0"/>
        <w:snapToGrid w:val="0"/>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rPr>
        <w:t>公司地址：</w:t>
      </w:r>
      <w:bookmarkStart w:id="26" w:name="_Hlk122957418"/>
      <w:r>
        <w:rPr>
          <w:rFonts w:hint="default" w:ascii="Times New Roman" w:hAnsi="Times New Roman" w:cs="Times New Roman"/>
          <w:color w:val="auto"/>
          <w:kern w:val="0"/>
          <w:sz w:val="24"/>
          <w:highlight w:val="none"/>
        </w:rPr>
        <w:t>淄博市临淄区</w:t>
      </w:r>
      <w:bookmarkEnd w:id="26"/>
      <w:r>
        <w:rPr>
          <w:rFonts w:hint="default" w:ascii="Times New Roman" w:hAnsi="Times New Roman" w:cs="Times New Roman"/>
          <w:color w:val="auto"/>
          <w:kern w:val="0"/>
          <w:sz w:val="24"/>
          <w:highlight w:val="none"/>
          <w:lang w:eastAsia="zh-CN"/>
        </w:rPr>
        <w:t>乙烯路</w:t>
      </w:r>
      <w:r>
        <w:rPr>
          <w:rFonts w:hint="default" w:ascii="Times New Roman" w:hAnsi="Times New Roman" w:cs="Times New Roman"/>
          <w:color w:val="auto"/>
          <w:kern w:val="0"/>
          <w:sz w:val="24"/>
          <w:highlight w:val="none"/>
          <w:lang w:val="en-US" w:eastAsia="zh-CN"/>
        </w:rPr>
        <w:t>299号</w:t>
      </w:r>
    </w:p>
    <w:p w14:paraId="20AC0D4B">
      <w:pPr>
        <w:widowControl/>
        <w:adjustRightInd w:val="0"/>
        <w:snapToGrid w:val="0"/>
        <w:spacing w:line="360" w:lineRule="auto"/>
        <w:ind w:firstLine="480" w:firstLineChars="200"/>
        <w:rPr>
          <w:rFonts w:hint="default" w:ascii="Times New Roman" w:hAnsi="Times New Roman" w:cs="Times New Roman"/>
          <w:color w:val="auto"/>
          <w:kern w:val="0"/>
          <w:sz w:val="24"/>
          <w:highlight w:val="none"/>
          <w:lang w:eastAsia="zh-CN"/>
        </w:rPr>
      </w:pPr>
      <w:r>
        <w:rPr>
          <w:rFonts w:hint="default" w:ascii="Times New Roman" w:hAnsi="Times New Roman" w:cs="Times New Roman"/>
          <w:color w:val="auto"/>
          <w:kern w:val="0"/>
          <w:sz w:val="24"/>
          <w:highlight w:val="none"/>
        </w:rPr>
        <w:t>公司地理位置：东经：E 118°1</w:t>
      </w:r>
      <w:r>
        <w:rPr>
          <w:rFonts w:hint="default" w:ascii="Times New Roman" w:hAnsi="Times New Roman" w:cs="Times New Roman"/>
          <w:color w:val="auto"/>
          <w:kern w:val="0"/>
          <w:sz w:val="24"/>
          <w:highlight w:val="none"/>
          <w:lang w:val="en-US" w:eastAsia="zh-CN"/>
        </w:rPr>
        <w:t>3</w:t>
      </w:r>
      <w:r>
        <w:rPr>
          <w:rFonts w:hint="default" w:ascii="Times New Roman" w:hAnsi="Times New Roman" w:cs="Times New Roman"/>
          <w:color w:val="auto"/>
          <w:kern w:val="0"/>
          <w:sz w:val="24"/>
          <w:highlight w:val="none"/>
        </w:rPr>
        <w:t>′11″，北纬：N 36°</w:t>
      </w:r>
      <w:r>
        <w:rPr>
          <w:rFonts w:hint="default" w:ascii="Times New Roman" w:hAnsi="Times New Roman" w:cs="Times New Roman"/>
          <w:color w:val="auto"/>
          <w:kern w:val="0"/>
          <w:sz w:val="24"/>
          <w:highlight w:val="none"/>
          <w:lang w:val="en-US" w:eastAsia="zh-CN"/>
        </w:rPr>
        <w:t>46</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val="en-US" w:eastAsia="zh-CN"/>
        </w:rPr>
        <w:t>55</w:t>
      </w:r>
      <w:r>
        <w:rPr>
          <w:rFonts w:hint="default" w:ascii="Times New Roman" w:hAnsi="Times New Roman" w:cs="Times New Roman"/>
          <w:color w:val="auto"/>
          <w:kern w:val="0"/>
          <w:sz w:val="24"/>
          <w:highlight w:val="none"/>
        </w:rPr>
        <w:t>″。</w:t>
      </w:r>
    </w:p>
    <w:p w14:paraId="6BF0F536">
      <w:pPr>
        <w:widowControl/>
        <w:adjustRightInd w:val="0"/>
        <w:snapToGrid w:val="0"/>
        <w:spacing w:line="360" w:lineRule="auto"/>
        <w:ind w:firstLine="480" w:firstLineChars="200"/>
        <w:rPr>
          <w:rFonts w:hint="default" w:ascii="Times New Roman" w:hAnsi="Times New Roman" w:cs="Times New Roman"/>
          <w:color w:val="auto"/>
          <w:kern w:val="0"/>
          <w:sz w:val="24"/>
          <w:highlight w:val="none"/>
          <w:lang w:val="en-US" w:eastAsia="zh-CN"/>
        </w:rPr>
      </w:pPr>
      <w:r>
        <w:rPr>
          <w:rFonts w:hint="default" w:ascii="Times New Roman" w:hAnsi="Times New Roman" w:cs="Times New Roman"/>
          <w:color w:val="auto"/>
          <w:kern w:val="0"/>
          <w:sz w:val="24"/>
          <w:highlight w:val="none"/>
          <w:lang w:val="en-US" w:eastAsia="zh-CN"/>
        </w:rPr>
        <w:t>公司基本情况：山东隆盛和助剂有限公司成立于2008年5月</w:t>
      </w:r>
      <w:r>
        <w:rPr>
          <w:rFonts w:hint="default" w:ascii="Times New Roman" w:hAnsi="Times New Roman" w:cs="Times New Roman"/>
          <w:color w:val="auto"/>
          <w:kern w:val="0"/>
          <w:sz w:val="24"/>
          <w:highlight w:val="none"/>
        </w:rPr>
        <w:t>。</w:t>
      </w:r>
      <w:r>
        <w:rPr>
          <w:rFonts w:hint="default" w:ascii="Times New Roman" w:hAnsi="Times New Roman" w:cs="Times New Roman"/>
          <w:color w:val="auto"/>
          <w:kern w:val="0"/>
          <w:sz w:val="24"/>
          <w:highlight w:val="none"/>
          <w:lang w:eastAsia="zh-CN"/>
        </w:rPr>
        <w:t>注册资本</w:t>
      </w:r>
      <w:r>
        <w:rPr>
          <w:rFonts w:hint="default" w:ascii="Times New Roman" w:hAnsi="Times New Roman" w:cs="Times New Roman"/>
          <w:color w:val="auto"/>
          <w:kern w:val="0"/>
          <w:sz w:val="24"/>
          <w:highlight w:val="none"/>
          <w:lang w:val="en-US" w:eastAsia="zh-CN"/>
        </w:rPr>
        <w:t>1</w:t>
      </w:r>
      <w:r>
        <w:rPr>
          <w:rFonts w:hint="default" w:ascii="Times New Roman" w:hAnsi="Times New Roman" w:cs="Times New Roman"/>
          <w:color w:val="auto"/>
          <w:kern w:val="0"/>
          <w:sz w:val="24"/>
          <w:highlight w:val="none"/>
        </w:rPr>
        <w:t>000万元</w:t>
      </w:r>
      <w:r>
        <w:rPr>
          <w:rFonts w:hint="default" w:ascii="Times New Roman" w:hAnsi="Times New Roman" w:cs="Times New Roman"/>
          <w:color w:val="auto"/>
          <w:kern w:val="0"/>
          <w:sz w:val="24"/>
          <w:highlight w:val="none"/>
          <w:lang w:val="en-US" w:eastAsia="zh-CN"/>
        </w:rPr>
        <w:t>，占地20880平方米，总建筑面积4630.8平方米，现有生产项目10000t/a3,3′-二氯联苯胺盐酸盐项目。是以生产染料中间体为主要产品的有机化工企业。</w:t>
      </w:r>
    </w:p>
    <w:p w14:paraId="2CD74B2F">
      <w:pPr>
        <w:spacing w:line="360" w:lineRule="auto"/>
        <w:ind w:firstLine="482"/>
        <w:rPr>
          <w:rFonts w:ascii="Times New Roman" w:hAnsi="Times New Roman" w:cs="Times New Roman"/>
          <w:color w:val="000000"/>
          <w:sz w:val="24"/>
          <w:szCs w:val="24"/>
        </w:rPr>
      </w:pPr>
      <w:r>
        <w:rPr>
          <w:rFonts w:hint="eastAsia" w:cs="Times New Roman"/>
          <w:color w:val="000000"/>
          <w:sz w:val="24"/>
          <w:szCs w:val="24"/>
          <w:lang w:eastAsia="zh-CN"/>
        </w:rPr>
        <w:t>公司</w:t>
      </w:r>
      <w:r>
        <w:rPr>
          <w:rFonts w:hint="eastAsia" w:ascii="Times New Roman" w:hAnsi="Times New Roman" w:cs="Times New Roman"/>
          <w:color w:val="000000"/>
          <w:sz w:val="24"/>
          <w:szCs w:val="24"/>
        </w:rPr>
        <w:t>基本情况见</w:t>
      </w:r>
      <w:r>
        <w:rPr>
          <w:color w:val="000000"/>
          <w:sz w:val="24"/>
          <w:szCs w:val="24"/>
        </w:rPr>
        <w:fldChar w:fldCharType="begin"/>
      </w:r>
      <w:r>
        <w:rPr>
          <w:rFonts w:ascii="Times New Roman" w:hAnsi="Times New Roman" w:cs="Times New Roman"/>
          <w:color w:val="000000"/>
          <w:sz w:val="24"/>
          <w:szCs w:val="24"/>
        </w:rPr>
        <w:instrText xml:space="preserve"> </w:instrText>
      </w:r>
      <w:r>
        <w:rPr>
          <w:rFonts w:hint="eastAsia" w:ascii="Times New Roman" w:hAnsi="Times New Roman" w:cs="Times New Roman"/>
          <w:color w:val="000000"/>
          <w:sz w:val="24"/>
          <w:szCs w:val="24"/>
        </w:rPr>
        <w:instrText xml:space="preserve">REF _Ref127255610 \h</w:instrText>
      </w:r>
      <w:r>
        <w:rPr>
          <w:rFonts w:ascii="Times New Roman" w:hAnsi="Times New Roman" w:cs="Times New Roman"/>
          <w:color w:val="000000"/>
          <w:sz w:val="24"/>
          <w:szCs w:val="24"/>
        </w:rPr>
        <w:instrText xml:space="preserve"> </w:instrText>
      </w:r>
      <w:r>
        <w:rPr>
          <w:color w:val="000000"/>
          <w:sz w:val="24"/>
          <w:szCs w:val="24"/>
        </w:rPr>
        <w:fldChar w:fldCharType="separate"/>
      </w:r>
      <w:r>
        <w:rPr>
          <w:rFonts w:ascii="Times New Roman" w:hAnsi="Times New Roman" w:eastAsia="黑体" w:cs="Times New Roman"/>
          <w:color w:val="000000"/>
          <w:kern w:val="2"/>
          <w:sz w:val="24"/>
          <w:szCs w:val="24"/>
        </w:rPr>
        <w:t xml:space="preserve">表 </w:t>
      </w:r>
      <w:r>
        <w:rPr>
          <w:rFonts w:hint="eastAsia" w:ascii="Times New Roman" w:hAnsi="Times New Roman" w:eastAsia="黑体" w:cs="Times New Roman"/>
          <w:color w:val="000000"/>
          <w:kern w:val="2"/>
          <w:sz w:val="24"/>
          <w:szCs w:val="24"/>
          <w:lang w:val="en-US" w:eastAsia="zh-CN"/>
        </w:rPr>
        <w:t>3.1</w:t>
      </w:r>
      <w:r>
        <w:rPr>
          <w:rFonts w:ascii="Times New Roman" w:hAnsi="Times New Roman" w:eastAsia="黑体" w:cs="Times New Roman"/>
          <w:color w:val="000000"/>
          <w:kern w:val="2"/>
          <w:sz w:val="24"/>
          <w:szCs w:val="24"/>
        </w:rPr>
        <w:noBreakHyphen/>
      </w:r>
      <w:r>
        <w:rPr>
          <w:rFonts w:ascii="Times New Roman" w:hAnsi="Times New Roman" w:eastAsia="黑体" w:cs="Times New Roman"/>
          <w:color w:val="000000"/>
          <w:kern w:val="2"/>
          <w:sz w:val="24"/>
          <w:szCs w:val="24"/>
        </w:rPr>
        <w:t>1</w:t>
      </w:r>
      <w:r>
        <w:rPr>
          <w:color w:val="000000"/>
          <w:sz w:val="24"/>
          <w:szCs w:val="24"/>
        </w:rPr>
        <w:fldChar w:fldCharType="end"/>
      </w:r>
      <w:r>
        <w:rPr>
          <w:rFonts w:hint="eastAsia" w:ascii="Times New Roman" w:hAnsi="Times New Roman" w:cs="Times New Roman"/>
          <w:color w:val="000000"/>
          <w:sz w:val="24"/>
          <w:szCs w:val="24"/>
        </w:rPr>
        <w:t>。</w:t>
      </w:r>
    </w:p>
    <w:tbl>
      <w:tblPr>
        <w:tblStyle w:val="34"/>
        <w:tblW w:w="5000" w:type="pct"/>
        <w:jc w:val="center"/>
        <w:tblLayout w:type="autofit"/>
        <w:tblCellMar>
          <w:top w:w="0" w:type="dxa"/>
          <w:left w:w="108" w:type="dxa"/>
          <w:bottom w:w="0" w:type="dxa"/>
          <w:right w:w="108" w:type="dxa"/>
        </w:tblCellMar>
      </w:tblPr>
      <w:tblGrid>
        <w:gridCol w:w="1382"/>
        <w:gridCol w:w="3971"/>
        <w:gridCol w:w="1700"/>
        <w:gridCol w:w="2575"/>
      </w:tblGrid>
      <w:tr w14:paraId="12F01BA8">
        <w:tblPrEx>
          <w:tblCellMar>
            <w:top w:w="0" w:type="dxa"/>
            <w:left w:w="108" w:type="dxa"/>
            <w:bottom w:w="0" w:type="dxa"/>
            <w:right w:w="108" w:type="dxa"/>
          </w:tblCellMar>
        </w:tblPrEx>
        <w:trPr>
          <w:trHeight w:val="397" w:hRule="atLeast"/>
          <w:jc w:val="center"/>
        </w:trPr>
        <w:tc>
          <w:tcPr>
            <w:tcW w:w="718" w:type="pct"/>
            <w:tcBorders>
              <w:top w:val="single" w:color="000000" w:sz="4" w:space="0"/>
              <w:left w:val="single" w:color="000000" w:sz="4" w:space="0"/>
              <w:bottom w:val="single" w:color="000000" w:sz="6" w:space="0"/>
              <w:right w:val="single" w:color="000000" w:sz="6" w:space="0"/>
            </w:tcBorders>
            <w:noWrap w:val="0"/>
            <w:vAlign w:val="center"/>
          </w:tcPr>
          <w:p w14:paraId="63607677">
            <w:pPr>
              <w:pStyle w:val="127"/>
              <w:keepNext w:val="0"/>
              <w:keepLines w:val="0"/>
              <w:widowControl/>
              <w:suppressLineNumbers w:val="0"/>
              <w:spacing w:before="0" w:beforeAutospacing="0" w:after="0" w:afterAutospacing="0"/>
              <w:ind w:left="0" w:right="0"/>
              <w:rPr>
                <w:rFonts w:hint="default"/>
                <w:color w:val="000000"/>
              </w:rPr>
            </w:pPr>
            <w:bookmarkStart w:id="27" w:name="_Hlk97726517"/>
            <w:r>
              <w:rPr>
                <w:rFonts w:hint="default"/>
                <w:color w:val="000000"/>
              </w:rPr>
              <w:t>单位名称</w:t>
            </w:r>
          </w:p>
        </w:tc>
        <w:tc>
          <w:tcPr>
            <w:tcW w:w="4282" w:type="pct"/>
            <w:gridSpan w:val="3"/>
            <w:tcBorders>
              <w:top w:val="single" w:color="000000" w:sz="4" w:space="0"/>
              <w:left w:val="single" w:color="000000" w:sz="6" w:space="0"/>
              <w:bottom w:val="single" w:color="000000" w:sz="6" w:space="0"/>
              <w:right w:val="single" w:color="000000" w:sz="4" w:space="0"/>
            </w:tcBorders>
            <w:noWrap w:val="0"/>
            <w:vAlign w:val="center"/>
          </w:tcPr>
          <w:p w14:paraId="1936D45F">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山东隆盛和助剂</w:t>
            </w:r>
            <w:r>
              <w:rPr>
                <w:rFonts w:hint="eastAsia"/>
                <w:color w:val="000000"/>
              </w:rPr>
              <w:t>有限公司</w:t>
            </w:r>
          </w:p>
          <w:p w14:paraId="54D6F9B3">
            <w:pPr>
              <w:pStyle w:val="127"/>
              <w:keepNext w:val="0"/>
              <w:keepLines w:val="0"/>
              <w:widowControl/>
              <w:suppressLineNumbers w:val="0"/>
              <w:spacing w:before="0" w:beforeAutospacing="0" w:after="0" w:afterAutospacing="0"/>
              <w:ind w:left="0" w:right="0"/>
              <w:rPr>
                <w:rFonts w:hint="default"/>
                <w:color w:val="000000"/>
              </w:rPr>
            </w:pPr>
          </w:p>
        </w:tc>
      </w:tr>
      <w:tr w14:paraId="10B732EB">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7CD125F8">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单位地址</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4485E587">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rPr>
              <w:t>淄博市临淄区</w:t>
            </w:r>
            <w:r>
              <w:rPr>
                <w:rFonts w:hint="eastAsia"/>
                <w:color w:val="000000"/>
                <w:lang w:eastAsia="zh-CN"/>
              </w:rPr>
              <w:t>乙烯路</w:t>
            </w:r>
            <w:r>
              <w:rPr>
                <w:rFonts w:hint="eastAsia"/>
                <w:color w:val="000000"/>
                <w:lang w:val="en-US" w:eastAsia="zh-CN"/>
              </w:rPr>
              <w:t>299号</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3907E22C">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所 在 区</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629C8ADA">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临淄区</w:t>
            </w:r>
          </w:p>
        </w:tc>
      </w:tr>
      <w:tr w14:paraId="60CC7CB6">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3B2FAA6C">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企业性质</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2D1A2201">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有限责任公司</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0072D022">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所在街道（镇）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C47FDC9">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辛店街道</w:t>
            </w:r>
          </w:p>
        </w:tc>
      </w:tr>
      <w:tr w14:paraId="2CBE0D26">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7A653C0C">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法人代表</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2302F357">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韩志华</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565948D9">
            <w:pPr>
              <w:pStyle w:val="127"/>
              <w:keepNext w:val="0"/>
              <w:keepLines w:val="0"/>
              <w:widowControl/>
              <w:suppressLineNumbers w:val="0"/>
              <w:spacing w:before="0" w:beforeAutospacing="0" w:after="0" w:afterAutospacing="0"/>
              <w:ind w:left="0" w:right="0"/>
              <w:rPr>
                <w:rFonts w:hint="default"/>
                <w:color w:val="000000"/>
              </w:rPr>
            </w:pPr>
            <w:r>
              <w:rPr>
                <w:rFonts w:hint="eastAsia"/>
              </w:rPr>
              <w:t>职工人数</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6B9D4E82">
            <w:pPr>
              <w:pStyle w:val="127"/>
              <w:keepNext w:val="0"/>
              <w:keepLines w:val="0"/>
              <w:widowControl/>
              <w:suppressLineNumbers w:val="0"/>
              <w:spacing w:before="0" w:beforeAutospacing="0" w:after="0" w:afterAutospacing="0"/>
              <w:ind w:left="0" w:right="0"/>
              <w:rPr>
                <w:rFonts w:hint="default"/>
                <w:color w:val="000000"/>
              </w:rPr>
            </w:pPr>
            <w:r>
              <w:rPr>
                <w:rFonts w:hint="eastAsia"/>
                <w:lang w:val="en-US" w:eastAsia="zh-CN"/>
              </w:rPr>
              <w:t>175</w:t>
            </w:r>
            <w:r>
              <w:rPr>
                <w:rFonts w:hint="default"/>
              </w:rPr>
              <w:t>人</w:t>
            </w:r>
          </w:p>
        </w:tc>
      </w:tr>
      <w:tr w14:paraId="5B52D3B1">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4BA46875">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组织代码</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6FEB4A8B">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default"/>
                <w:color w:val="000000"/>
              </w:rPr>
              <w:t>9137030</w:t>
            </w:r>
            <w:r>
              <w:rPr>
                <w:rFonts w:hint="eastAsia"/>
                <w:color w:val="000000"/>
                <w:lang w:val="en-US" w:eastAsia="zh-CN"/>
              </w:rPr>
              <w:t>06755152134</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55BA35AA">
            <w:pPr>
              <w:pStyle w:val="127"/>
              <w:keepNext w:val="0"/>
              <w:keepLines w:val="0"/>
              <w:widowControl/>
              <w:suppressLineNumbers w:val="0"/>
              <w:spacing w:before="0" w:beforeAutospacing="0" w:after="0" w:afterAutospacing="0"/>
              <w:ind w:left="0" w:right="0"/>
              <w:rPr>
                <w:rFonts w:hint="default"/>
                <w:color w:val="000000"/>
              </w:rPr>
            </w:pPr>
            <w:r>
              <w:rPr>
                <w:rFonts w:hint="eastAsia"/>
              </w:rPr>
              <w:t>占地面积</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B922BC3">
            <w:pPr>
              <w:pStyle w:val="127"/>
              <w:keepNext w:val="0"/>
              <w:keepLines w:val="0"/>
              <w:widowControl/>
              <w:suppressLineNumbers w:val="0"/>
              <w:spacing w:before="0" w:beforeAutospacing="0" w:after="0" w:afterAutospacing="0"/>
              <w:ind w:left="0" w:right="0"/>
              <w:rPr>
                <w:rFonts w:hint="default"/>
                <w:color w:val="000000"/>
              </w:rPr>
            </w:pPr>
            <w:r>
              <w:rPr>
                <w:rFonts w:hint="eastAsia"/>
                <w:lang w:val="en-US" w:eastAsia="zh-CN"/>
              </w:rPr>
              <w:t>20880</w:t>
            </w:r>
            <w:r>
              <w:rPr>
                <w:rFonts w:hint="default"/>
              </w:rPr>
              <w:t xml:space="preserve"> m</w:t>
            </w:r>
            <w:r>
              <w:rPr>
                <w:rFonts w:hint="default"/>
                <w:vertAlign w:val="superscript"/>
              </w:rPr>
              <w:t>2</w:t>
            </w:r>
          </w:p>
        </w:tc>
      </w:tr>
      <w:tr w14:paraId="091C166C">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0FF50560">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联系电话</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69F716A6">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default"/>
                <w:color w:val="000000"/>
              </w:rPr>
              <w:t>0533-7</w:t>
            </w:r>
            <w:r>
              <w:rPr>
                <w:rFonts w:hint="eastAsia"/>
                <w:color w:val="000000"/>
                <w:lang w:val="en-US" w:eastAsia="zh-CN"/>
              </w:rPr>
              <w:t>968026</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7CFB34D1">
            <w:pPr>
              <w:pStyle w:val="127"/>
              <w:keepNext w:val="0"/>
              <w:keepLines w:val="0"/>
              <w:widowControl/>
              <w:suppressLineNumbers w:val="0"/>
              <w:spacing w:before="0" w:beforeAutospacing="0" w:after="0" w:afterAutospacing="0"/>
              <w:ind w:left="0" w:right="0"/>
              <w:rPr>
                <w:rFonts w:hint="default"/>
                <w:color w:val="000000"/>
              </w:rPr>
            </w:pPr>
            <w:r>
              <w:rPr>
                <w:rFonts w:hint="eastAsia"/>
              </w:rPr>
              <w:t>所属行业</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4DE0BB7">
            <w:pPr>
              <w:pStyle w:val="127"/>
              <w:keepNext w:val="0"/>
              <w:keepLines w:val="0"/>
              <w:widowControl/>
              <w:suppressLineNumbers w:val="0"/>
              <w:spacing w:before="0" w:beforeAutospacing="0" w:after="0" w:afterAutospacing="0"/>
              <w:ind w:left="0" w:right="0"/>
              <w:rPr>
                <w:rFonts w:hint="eastAsia" w:eastAsia="宋体"/>
                <w:color w:val="000000"/>
                <w:vertAlign w:val="superscript"/>
                <w:lang w:eastAsia="zh-CN"/>
              </w:rPr>
            </w:pPr>
            <w:r>
              <w:rPr>
                <w:rFonts w:hint="eastAsia"/>
                <w:lang w:eastAsia="zh-CN"/>
              </w:rPr>
              <w:t>有机化学原料制造</w:t>
            </w:r>
          </w:p>
        </w:tc>
      </w:tr>
      <w:tr w14:paraId="3FE0C0E4">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77153C4B">
            <w:pPr>
              <w:pStyle w:val="127"/>
              <w:keepNext w:val="0"/>
              <w:keepLines w:val="0"/>
              <w:widowControl/>
              <w:suppressLineNumbers w:val="0"/>
              <w:spacing w:before="0" w:beforeAutospacing="0" w:after="0" w:afterAutospacing="0"/>
              <w:ind w:left="0" w:right="0"/>
              <w:rPr>
                <w:rFonts w:hint="default"/>
                <w:color w:val="000000"/>
              </w:rPr>
            </w:pPr>
            <w:r>
              <w:rPr>
                <w:rFonts w:hint="eastAsia"/>
              </w:rPr>
              <w:t>主要原料</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5ACEC9AA">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邻氯硝基苯、盐酸、液碱、甲苯</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3D0D68EB">
            <w:pPr>
              <w:pStyle w:val="127"/>
              <w:keepNext w:val="0"/>
              <w:keepLines w:val="0"/>
              <w:widowControl/>
              <w:suppressLineNumbers w:val="0"/>
              <w:spacing w:before="0" w:beforeAutospacing="0" w:after="0" w:afterAutospacing="0"/>
              <w:ind w:left="0" w:right="0"/>
              <w:rPr>
                <w:rFonts w:hint="default"/>
                <w:color w:val="000000"/>
              </w:rPr>
            </w:pPr>
            <w:r>
              <w:rPr>
                <w:rFonts w:hint="eastAsia"/>
              </w:rPr>
              <w:t>经度坐标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4BBAF477">
            <w:pPr>
              <w:pStyle w:val="127"/>
              <w:keepNext w:val="0"/>
              <w:keepLines w:val="0"/>
              <w:widowControl/>
              <w:suppressLineNumbers w:val="0"/>
              <w:spacing w:before="0" w:beforeAutospacing="0" w:after="0" w:afterAutospacing="0"/>
              <w:ind w:left="0" w:right="0"/>
              <w:rPr>
                <w:rFonts w:hint="default"/>
                <w:color w:val="000000"/>
                <w:vertAlign w:val="superscript"/>
              </w:rPr>
            </w:pPr>
            <w:r>
              <w:rPr>
                <w:rFonts w:hint="default"/>
              </w:rPr>
              <w:t>118°18</w:t>
            </w:r>
            <w:r>
              <w:rPr>
                <w:rFonts w:hint="eastAsia"/>
                <w:lang w:val="en-US" w:eastAsia="zh-CN"/>
              </w:rPr>
              <w:t>3</w:t>
            </w:r>
            <w:r>
              <w:rPr>
                <w:rFonts w:hint="default"/>
              </w:rPr>
              <w:t>′11″</w:t>
            </w:r>
          </w:p>
        </w:tc>
      </w:tr>
      <w:tr w14:paraId="5F46C655">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733B3454">
            <w:pPr>
              <w:pStyle w:val="127"/>
              <w:keepNext w:val="0"/>
              <w:keepLines w:val="0"/>
              <w:widowControl/>
              <w:suppressLineNumbers w:val="0"/>
              <w:spacing w:before="0" w:beforeAutospacing="0" w:after="0" w:afterAutospacing="0"/>
              <w:ind w:left="0" w:right="0"/>
              <w:rPr>
                <w:rFonts w:hint="default"/>
                <w:color w:val="000000"/>
              </w:rPr>
            </w:pPr>
            <w:r>
              <w:rPr>
                <w:rFonts w:hint="eastAsia"/>
              </w:rPr>
              <w:t>联</w:t>
            </w:r>
            <w:r>
              <w:rPr>
                <w:rFonts w:hint="default"/>
              </w:rPr>
              <w:t xml:space="preserve"> 系 人</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501BE751">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王鹏超</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2650063D">
            <w:pPr>
              <w:pStyle w:val="127"/>
              <w:keepNext w:val="0"/>
              <w:keepLines w:val="0"/>
              <w:widowControl/>
              <w:suppressLineNumbers w:val="0"/>
              <w:spacing w:before="0" w:beforeAutospacing="0" w:after="0" w:afterAutospacing="0"/>
              <w:ind w:left="0" w:right="0"/>
              <w:rPr>
                <w:rFonts w:hint="default"/>
                <w:color w:val="000000"/>
              </w:rPr>
            </w:pPr>
            <w:r>
              <w:rPr>
                <w:rFonts w:hint="eastAsia"/>
              </w:rPr>
              <w:t>纬度坐标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2421BA29">
            <w:pPr>
              <w:pStyle w:val="127"/>
              <w:keepNext w:val="0"/>
              <w:keepLines w:val="0"/>
              <w:widowControl/>
              <w:suppressLineNumbers w:val="0"/>
              <w:spacing w:before="0" w:beforeAutospacing="0" w:after="0" w:afterAutospacing="0"/>
              <w:ind w:left="0" w:right="0"/>
              <w:rPr>
                <w:rFonts w:hint="default"/>
                <w:color w:val="000000"/>
              </w:rPr>
            </w:pPr>
            <w:r>
              <w:rPr>
                <w:rFonts w:hint="default"/>
              </w:rPr>
              <w:t>36°</w:t>
            </w:r>
            <w:r>
              <w:rPr>
                <w:rFonts w:hint="eastAsia"/>
                <w:lang w:val="en-US" w:eastAsia="zh-CN"/>
              </w:rPr>
              <w:t>46</w:t>
            </w:r>
            <w:r>
              <w:rPr>
                <w:rFonts w:hint="default"/>
              </w:rPr>
              <w:t>′</w:t>
            </w:r>
            <w:r>
              <w:rPr>
                <w:rFonts w:hint="eastAsia"/>
                <w:lang w:val="en-US" w:eastAsia="zh-CN"/>
              </w:rPr>
              <w:t>55</w:t>
            </w:r>
            <w:r>
              <w:rPr>
                <w:rFonts w:hint="default"/>
              </w:rPr>
              <w:t>″</w:t>
            </w:r>
          </w:p>
        </w:tc>
      </w:tr>
      <w:tr w14:paraId="2C2DC96C">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4EFD228A">
            <w:pPr>
              <w:pStyle w:val="127"/>
              <w:keepNext w:val="0"/>
              <w:keepLines w:val="0"/>
              <w:widowControl/>
              <w:suppressLineNumbers w:val="0"/>
              <w:spacing w:before="0" w:beforeAutospacing="0" w:after="0" w:afterAutospacing="0"/>
              <w:ind w:left="0" w:right="0"/>
              <w:rPr>
                <w:rFonts w:hint="default"/>
                <w:color w:val="000000"/>
              </w:rPr>
            </w:pPr>
            <w:r>
              <w:rPr>
                <w:rFonts w:hint="eastAsia"/>
              </w:rPr>
              <w:t>联系电话</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04439838">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lang w:val="en-US" w:eastAsia="zh-CN"/>
              </w:rPr>
              <w:t>18653326898</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03571821">
            <w:pPr>
              <w:pStyle w:val="127"/>
              <w:keepNext w:val="0"/>
              <w:keepLines w:val="0"/>
              <w:widowControl/>
              <w:suppressLineNumbers w:val="0"/>
              <w:spacing w:before="0" w:beforeAutospacing="0" w:after="0" w:afterAutospacing="0"/>
              <w:ind w:left="0" w:right="0"/>
              <w:rPr>
                <w:rFonts w:hint="default"/>
                <w:color w:val="000000"/>
              </w:rPr>
            </w:pPr>
            <w:r>
              <w:rPr>
                <w:rFonts w:hint="eastAsia"/>
              </w:rPr>
              <w:t>历史事故</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680DFDD1">
            <w:pPr>
              <w:pStyle w:val="127"/>
              <w:keepNext w:val="0"/>
              <w:keepLines w:val="0"/>
              <w:widowControl/>
              <w:suppressLineNumbers w:val="0"/>
              <w:spacing w:before="0" w:beforeAutospacing="0" w:after="0" w:afterAutospacing="0"/>
              <w:ind w:left="0" w:right="0"/>
              <w:rPr>
                <w:rFonts w:hint="default"/>
                <w:color w:val="000000"/>
              </w:rPr>
            </w:pPr>
            <w:r>
              <w:rPr>
                <w:rFonts w:hint="default"/>
              </w:rPr>
              <w:t>无</w:t>
            </w:r>
          </w:p>
        </w:tc>
      </w:tr>
      <w:bookmarkEnd w:id="27"/>
    </w:tbl>
    <w:p w14:paraId="54724F98">
      <w:pPr>
        <w:pStyle w:val="2"/>
        <w:rPr>
          <w:rFonts w:hint="default" w:ascii="Times New Roman" w:hAnsi="Times New Roman" w:cs="Times New Roman"/>
          <w:color w:val="FF0000"/>
          <w:kern w:val="0"/>
          <w:sz w:val="24"/>
          <w:highlight w:val="none"/>
        </w:rPr>
      </w:pPr>
    </w:p>
    <w:p w14:paraId="278C6F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山东隆盛和助剂有限公司与山东隆信药业有限公司、淄博元齐生物科技有限公司在同一厂区内。厂区北面为乙烯路，路北为齐鲁石化储运厂；南面为乙烯南路；东面为齐鲁石化变电站和淄博源丰达工贸有限公司；西面为齐鲁石化公司管廊。</w:t>
      </w:r>
    </w:p>
    <w:p w14:paraId="0165B83A">
      <w:pPr>
        <w:pStyle w:val="8"/>
        <w:spacing w:before="24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3.1.2</w:t>
      </w:r>
      <w:r>
        <w:rPr>
          <w:color w:val="000000" w:themeColor="text1"/>
          <w14:textFill>
            <w14:solidFill>
              <w14:schemeClr w14:val="tx1"/>
            </w14:solidFill>
          </w14:textFill>
        </w:rPr>
        <w:t>自然地理概况</w:t>
      </w:r>
    </w:p>
    <w:p w14:paraId="0676E056">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3.1.2.1</w:t>
      </w:r>
      <w:r>
        <w:rPr>
          <w:rFonts w:hint="eastAsia" w:ascii="宋体" w:hAnsi="宋体" w:eastAsia="宋体" w:cs="宋体"/>
          <w:b/>
          <w:bCs/>
          <w:color w:val="auto"/>
          <w:sz w:val="24"/>
          <w:szCs w:val="24"/>
          <w:highlight w:val="none"/>
        </w:rPr>
        <w:t>地理位置</w:t>
      </w:r>
    </w:p>
    <w:p w14:paraId="50A0F5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淄博市位于山东省中部鲁中山地与鲁北平原的交接地带，东邻潍坊市，东北与东营相连，北接滨州市，南靠临沂市，西与济南、莱芜两市接壤。东北部距离渤海湾约50公里。市域范围介于北纬35°55′22″～37°17′14″、东经117°32′15″～118°31′00″南北狭长的地域之间，东西最大横距离87km，南北最大纵距151km，总面积5964.4km2，是中国重要的工业基地和历史文化名城，著名的“陶瓷之都”、“石化之城”。</w:t>
      </w:r>
    </w:p>
    <w:p w14:paraId="53D55C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临淄区位于淄博市东北部，东经118°08′～118°30′，北纬36°39′～37°37′。东</w:t>
      </w:r>
      <w:r>
        <w:rPr>
          <w:rFonts w:hint="eastAsia" w:ascii="宋体" w:hAnsi="宋体" w:cs="宋体"/>
          <w:color w:val="000000" w:themeColor="text1"/>
          <w:sz w:val="24"/>
          <w:szCs w:val="24"/>
          <w:lang w:val="en-US" w:eastAsia="zh-CN"/>
          <w14:textFill>
            <w14:solidFill>
              <w14:schemeClr w14:val="tx1"/>
            </w14:solidFill>
          </w14:textFill>
        </w:rPr>
        <w:t>邻</w:t>
      </w:r>
      <w:r>
        <w:rPr>
          <w:rFonts w:hint="eastAsia" w:ascii="宋体" w:hAnsi="宋体" w:eastAsia="宋体" w:cs="宋体"/>
          <w:color w:val="000000" w:themeColor="text1"/>
          <w:sz w:val="24"/>
          <w:szCs w:val="24"/>
          <w:lang w:val="en-US" w:eastAsia="zh-CN"/>
          <w14:textFill>
            <w14:solidFill>
              <w14:schemeClr w14:val="tx1"/>
            </w14:solidFill>
          </w14:textFill>
        </w:rPr>
        <w:t>青州市，北与厂饶县、博兴县接壤，西与张店区、桓台县相邻，南与淄川区、青州市连接，地理适中，交通发达，是沟通中原地区和山东半岛的咽喉要道。项目位于齐鲁化学工业区乙烯路299号。</w:t>
      </w:r>
    </w:p>
    <w:p w14:paraId="627F0C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bookmarkStart w:id="28" w:name="_Toc462200021"/>
      <w:bookmarkStart w:id="29" w:name="_Toc463584687"/>
      <w:bookmarkStart w:id="30" w:name="_Toc247420431"/>
      <w:bookmarkStart w:id="31" w:name="_Toc247625204"/>
      <w:bookmarkStart w:id="32" w:name="_Toc245261083"/>
      <w:r>
        <w:rPr>
          <w:rFonts w:hint="eastAsia" w:ascii="宋体" w:hAnsi="宋体" w:eastAsia="宋体" w:cs="宋体"/>
          <w:color w:val="000000" w:themeColor="text1"/>
          <w:sz w:val="24"/>
          <w:szCs w:val="24"/>
          <w:lang w:val="en-US" w:eastAsia="zh-CN"/>
          <w14:textFill>
            <w14:solidFill>
              <w14:schemeClr w14:val="tx1"/>
            </w14:solidFill>
          </w14:textFill>
        </w:rPr>
        <w:t>2、地形地貌</w:t>
      </w:r>
    </w:p>
    <w:p w14:paraId="05BA7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淄博市地处华北地台鲁西台北斜鲁中隆断区的北缘，为一向斜构造，称“淄博向斜”。构造特征是褶皱平缓舒展而不甚发育，除较高一级的“淄博向斜”外，其它系与“淄博向斜”相伴生的次级小型褶皱；区内断层构造较为发育，尤以张性正断层为主，纵横切割。岩浆岩石分布面广，并具有多期活动的特点。主要有金岭闪长岩杂岩体、昆仑辉长岩体等。地势南高北低，南部及东西两翼山峦起伏跌宕，中部低陷向北倾伏，南北落差千余米。以胶济铁路为界，以南大部分为山区、丘陵，岩溶地貌发达；以北大部分为山前冲积平原和黄泛平原，土地平坦肥沃。北部有黄河、小清河流经，发源于淄博的河流有沂河、淄河、孝妇河等。全市山区、丘陵、平原面积分别占全市总面积的42%、29.9%和28.1%。</w:t>
      </w:r>
    </w:p>
    <w:p w14:paraId="1E0BAF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在大地构造单元上隶属华北地台区的鲁西断块之鲁中南隆起区的北缘，地层属鲁西地层分区。该区地势由南向北逐渐变缓，西南部为连绵起伏的低山丘陵，东北部为冲积平原，地势西南高、东北低，由西南向东北倾斜。</w:t>
      </w:r>
    </w:p>
    <w:p w14:paraId="5C1D31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项目厂址所在齐鲁化学工业区</w:t>
      </w:r>
      <w:r>
        <w:rPr>
          <w:rFonts w:hint="eastAsia" w:ascii="宋体" w:hAnsi="宋体" w:cs="宋体"/>
          <w:color w:val="000000" w:themeColor="text1"/>
          <w:sz w:val="24"/>
          <w:szCs w:val="24"/>
          <w:lang w:val="en-US" w:eastAsia="zh-CN"/>
          <w14:textFill>
            <w14:solidFill>
              <w14:schemeClr w14:val="tx1"/>
            </w14:solidFill>
          </w14:textFill>
        </w:rPr>
        <w:t>，厂</w:t>
      </w:r>
      <w:r>
        <w:rPr>
          <w:rFonts w:hint="eastAsia" w:ascii="宋体" w:hAnsi="宋体" w:eastAsia="宋体" w:cs="宋体"/>
          <w:color w:val="000000" w:themeColor="text1"/>
          <w:sz w:val="24"/>
          <w:szCs w:val="24"/>
          <w:lang w:val="en-US" w:eastAsia="zh-CN"/>
          <w14:textFill>
            <w14:solidFill>
              <w14:schemeClr w14:val="tx1"/>
            </w14:solidFill>
          </w14:textFill>
        </w:rPr>
        <w:t>位于平原与丘陵的交接地段，厂址以南为低山丘陵，</w:t>
      </w:r>
      <w:r>
        <w:rPr>
          <w:rFonts w:hint="eastAsia" w:ascii="宋体" w:hAnsi="宋体" w:cs="宋体"/>
          <w:color w:val="000000" w:themeColor="text1"/>
          <w:sz w:val="24"/>
          <w:szCs w:val="24"/>
          <w:lang w:val="en-US" w:eastAsia="zh-CN"/>
          <w14:textFill>
            <w14:solidFill>
              <w14:schemeClr w14:val="tx1"/>
            </w14:solidFill>
          </w14:textFill>
        </w:rPr>
        <w:t>呈</w:t>
      </w:r>
      <w:r>
        <w:rPr>
          <w:rFonts w:hint="eastAsia" w:ascii="宋体" w:hAnsi="宋体" w:eastAsia="宋体" w:cs="宋体"/>
          <w:color w:val="000000" w:themeColor="text1"/>
          <w:sz w:val="24"/>
          <w:szCs w:val="24"/>
          <w:lang w:val="en-US" w:eastAsia="zh-CN"/>
          <w14:textFill>
            <w14:solidFill>
              <w14:schemeClr w14:val="tx1"/>
            </w14:solidFill>
          </w14:textFill>
        </w:rPr>
        <w:t>东西向分布，丘陵向北展开，</w:t>
      </w:r>
      <w:r>
        <w:rPr>
          <w:rFonts w:hint="eastAsia" w:ascii="宋体" w:hAnsi="宋体" w:cs="宋体"/>
          <w:color w:val="000000" w:themeColor="text1"/>
          <w:sz w:val="24"/>
          <w:szCs w:val="24"/>
          <w:lang w:val="en-US" w:eastAsia="zh-CN"/>
          <w14:textFill>
            <w14:solidFill>
              <w14:schemeClr w14:val="tx1"/>
            </w14:solidFill>
          </w14:textFill>
        </w:rPr>
        <w:t>地势由西南往东北略有倾斜，属黄河冲积平原与丘陵过渡带。</w:t>
      </w:r>
      <w:r>
        <w:rPr>
          <w:rFonts w:hint="eastAsia" w:ascii="宋体" w:hAnsi="宋体" w:eastAsia="宋体" w:cs="宋体"/>
          <w:color w:val="000000" w:themeColor="text1"/>
          <w:sz w:val="24"/>
          <w:szCs w:val="24"/>
          <w:lang w:val="en-US" w:eastAsia="zh-CN"/>
          <w14:textFill>
            <w14:solidFill>
              <w14:schemeClr w14:val="tx1"/>
            </w14:solidFill>
          </w14:textFill>
        </w:rPr>
        <w:t>区内有多条冲沟纵贯其间，广泛分布第四系覆盖层，东厚西薄，西侧有部分基岩裸露。其地貌按成因类型分为构造剥蚀地貌与剥蚀堆积地貌。</w:t>
      </w:r>
    </w:p>
    <w:p w14:paraId="232FE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区域各岩性层分布及厚度变化相对较稳定，上部砂质粘土厚度9.3～10.5m，粘土厚度3.2～3.5m；中部砂质粘土和粘土厚度变薄，厚度分别为4～5m 和1.5～2.5m；底部粘土胶结碎石层厚度多小于1m，一般0.4～0.7m。碎石成份为石灰岩，棱角、次棱角状，属坡洪积物。</w:t>
      </w:r>
    </w:p>
    <w:bookmarkEnd w:id="28"/>
    <w:bookmarkEnd w:id="29"/>
    <w:p w14:paraId="081598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3、气候气象</w:t>
      </w:r>
    </w:p>
    <w:p w14:paraId="1CAEE0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临淄位于山东省的中部，属暖温带季风</w:t>
      </w:r>
      <w:r>
        <w:rPr>
          <w:rFonts w:hint="eastAsia" w:ascii="宋体" w:hAnsi="宋体" w:cs="宋体"/>
          <w:color w:val="000000" w:themeColor="text1"/>
          <w:sz w:val="24"/>
          <w:szCs w:val="24"/>
          <w:lang w:val="en-US" w:eastAsia="zh-CN"/>
          <w14:textFill>
            <w14:solidFill>
              <w14:schemeClr w14:val="tx1"/>
            </w14:solidFill>
          </w14:textFill>
        </w:rPr>
        <w:t>半湿润</w:t>
      </w:r>
      <w:r>
        <w:rPr>
          <w:rFonts w:hint="eastAsia" w:ascii="宋体" w:hAnsi="宋体" w:eastAsia="宋体" w:cs="宋体"/>
          <w:color w:val="000000" w:themeColor="text1"/>
          <w:sz w:val="24"/>
          <w:szCs w:val="24"/>
          <w:lang w:val="en-US" w:eastAsia="zh-CN"/>
          <w14:textFill>
            <w14:solidFill>
              <w14:schemeClr w14:val="tx1"/>
            </w14:solidFill>
          </w14:textFill>
        </w:rPr>
        <w:t>大陆性气候。冬季寒冷、雨雪稀少；春季回暖快，多风，雨水较少；夏季雨热同季、降水集中；秋季日照充足、多晴好天气。</w:t>
      </w:r>
    </w:p>
    <w:p w14:paraId="01A890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临淄区近五年年均气温为13.7℃，年均降雨量697.7mm，全年平均主导风向为ESE，蒸发量1618.0mm，相对湿度63%，平均风速2.02m/s。</w:t>
      </w:r>
      <w:r>
        <w:rPr>
          <w:rFonts w:hint="eastAsia" w:ascii="宋体" w:hAnsi="宋体" w:cs="宋体"/>
          <w:color w:val="000000" w:themeColor="text1"/>
          <w:sz w:val="24"/>
          <w:szCs w:val="24"/>
          <w:lang w:val="en-US" w:eastAsia="zh-CN"/>
          <w14:textFill>
            <w14:solidFill>
              <w14:schemeClr w14:val="tx1"/>
            </w14:solidFill>
          </w14:textFill>
        </w:rPr>
        <w:t>近年偶发短时强降雨，无持续干旱或洪涝。</w:t>
      </w:r>
    </w:p>
    <w:p w14:paraId="4C364C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历史上极端天气和自然灾害包括：1992年的极端最低气温-23℃，2017年曾出现过40.9℃的高温，2022年7月发布高温橙色预警，随后出现雷阵雨和大雨，局部伴有7-9级雷雨阵风。2023年12月普降大雪并伴有大风降温。</w:t>
      </w:r>
    </w:p>
    <w:p w14:paraId="0589884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淄博市年风向玫瑰图如下：</w:t>
      </w:r>
    </w:p>
    <w:p w14:paraId="46926AFF">
      <w:pPr>
        <w:rPr>
          <w:rFonts w:hint="eastAsia" w:ascii="宋体" w:hAnsi="宋体" w:cs="宋体"/>
          <w:color w:val="000000" w:themeColor="text1"/>
          <w:sz w:val="24"/>
          <w:szCs w:val="24"/>
          <w:lang w:val="en-US" w:eastAsia="zh-CN"/>
          <w14:textFill>
            <w14:solidFill>
              <w14:schemeClr w14:val="tx1"/>
            </w14:solidFill>
          </w14:textFill>
        </w:rPr>
      </w:pPr>
    </w:p>
    <w:p w14:paraId="7A2C1379">
      <w:pPr>
        <w:pStyle w:val="2"/>
        <w:rPr>
          <w:rFonts w:hint="eastAsia" w:ascii="宋体" w:hAnsi="宋体" w:cs="宋体"/>
          <w:color w:val="000000" w:themeColor="text1"/>
          <w:sz w:val="24"/>
          <w:szCs w:val="24"/>
          <w:lang w:val="en-US" w:eastAsia="zh-CN"/>
          <w14:textFill>
            <w14:solidFill>
              <w14:schemeClr w14:val="tx1"/>
            </w14:solidFill>
          </w14:textFill>
        </w:rPr>
      </w:pPr>
      <w:r>
        <w:rPr>
          <w:rFonts w:hint="eastAsia"/>
          <w:lang w:val="en-US" w:eastAsia="zh-CN"/>
        </w:rPr>
        <w:drawing>
          <wp:anchor distT="0" distB="0" distL="114300" distR="114300" simplePos="0" relativeHeight="251669504" behindDoc="0" locked="0" layoutInCell="1" allowOverlap="1">
            <wp:simplePos x="0" y="0"/>
            <wp:positionH relativeFrom="column">
              <wp:posOffset>1162685</wp:posOffset>
            </wp:positionH>
            <wp:positionV relativeFrom="paragraph">
              <wp:posOffset>233680</wp:posOffset>
            </wp:positionV>
            <wp:extent cx="3377565" cy="2028825"/>
            <wp:effectExtent l="0" t="0" r="13335" b="9525"/>
            <wp:wrapSquare wrapText="bothSides"/>
            <wp:docPr id="1" name="图片 1" descr="cda1cbc1cece61966f6de886808ac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a1cbc1cece61966f6de886808acc9d"/>
                    <pic:cNvPicPr>
                      <a:picLocks noChangeAspect="1"/>
                    </pic:cNvPicPr>
                  </pic:nvPicPr>
                  <pic:blipFill>
                    <a:blip r:embed="rId9"/>
                    <a:srcRect l="9719" r="18322" b="13732"/>
                    <a:stretch>
                      <a:fillRect/>
                    </a:stretch>
                  </pic:blipFill>
                  <pic:spPr>
                    <a:xfrm>
                      <a:off x="0" y="0"/>
                      <a:ext cx="3377565" cy="2028825"/>
                    </a:xfrm>
                    <a:prstGeom prst="rect">
                      <a:avLst/>
                    </a:prstGeom>
                  </pic:spPr>
                </pic:pic>
              </a:graphicData>
            </a:graphic>
          </wp:anchor>
        </w:drawing>
      </w:r>
    </w:p>
    <w:p w14:paraId="5455CA31">
      <w:pPr>
        <w:rPr>
          <w:rFonts w:hint="eastAsia" w:ascii="宋体" w:hAnsi="宋体" w:cs="宋体"/>
          <w:color w:val="000000" w:themeColor="text1"/>
          <w:sz w:val="24"/>
          <w:szCs w:val="24"/>
          <w:lang w:val="en-US" w:eastAsia="zh-CN"/>
          <w14:textFill>
            <w14:solidFill>
              <w14:schemeClr w14:val="tx1"/>
            </w14:solidFill>
          </w14:textFill>
        </w:rPr>
      </w:pPr>
    </w:p>
    <w:p w14:paraId="7EA83D60">
      <w:pPr>
        <w:pStyle w:val="2"/>
        <w:rPr>
          <w:rFonts w:hint="eastAsia" w:ascii="宋体" w:hAnsi="宋体" w:cs="宋体"/>
          <w:color w:val="000000" w:themeColor="text1"/>
          <w:sz w:val="24"/>
          <w:szCs w:val="24"/>
          <w:lang w:val="en-US" w:eastAsia="zh-CN"/>
          <w14:textFill>
            <w14:solidFill>
              <w14:schemeClr w14:val="tx1"/>
            </w14:solidFill>
          </w14:textFill>
        </w:rPr>
      </w:pPr>
    </w:p>
    <w:p w14:paraId="3B5D0534">
      <w:pPr>
        <w:rPr>
          <w:rFonts w:hint="eastAsia" w:ascii="宋体" w:hAnsi="宋体" w:cs="宋体"/>
          <w:color w:val="000000" w:themeColor="text1"/>
          <w:sz w:val="24"/>
          <w:szCs w:val="24"/>
          <w:lang w:val="en-US" w:eastAsia="zh-CN"/>
          <w14:textFill>
            <w14:solidFill>
              <w14:schemeClr w14:val="tx1"/>
            </w14:solidFill>
          </w14:textFill>
        </w:rPr>
      </w:pPr>
    </w:p>
    <w:p w14:paraId="22577CC5">
      <w:pPr>
        <w:pStyle w:val="2"/>
        <w:rPr>
          <w:rFonts w:hint="eastAsia" w:ascii="宋体" w:hAnsi="宋体" w:cs="宋体"/>
          <w:color w:val="000000" w:themeColor="text1"/>
          <w:sz w:val="24"/>
          <w:szCs w:val="24"/>
          <w:lang w:val="en-US" w:eastAsia="zh-CN"/>
          <w14:textFill>
            <w14:solidFill>
              <w14:schemeClr w14:val="tx1"/>
            </w14:solidFill>
          </w14:textFill>
        </w:rPr>
      </w:pPr>
    </w:p>
    <w:p w14:paraId="27E57A89">
      <w:pPr>
        <w:rPr>
          <w:rFonts w:hint="eastAsia"/>
          <w:lang w:val="en-US" w:eastAsia="zh-CN"/>
        </w:rPr>
      </w:pPr>
    </w:p>
    <w:p w14:paraId="25D4FF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796901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032BAE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787DF0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170A5F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14:paraId="0BBBB3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4、地表水</w:t>
      </w:r>
    </w:p>
    <w:p w14:paraId="408215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临淄区境内河流属小清河水系，主要有淄河、乌河，另外还有其它小河沟。河流流向受地貌控制，多呈南北向。</w:t>
      </w:r>
    </w:p>
    <w:p w14:paraId="782660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淄河发源分为东西二支：东支发源于鲁山主峰北麓的池上镇境内；西支发源于鲁山西麓、莱芜市常庄乡碌主山东麓，下庄乡境内。该河系沿淄博断裂带发育而成。流经淄博市博山区、淄川区、临淄区，在临淄区白兔丘村北约1.5km 处入广饶县，并于该县北堤村北入小清河，全长178.7km，流域面积1397km2，河宽上游段在20～300m 之间，中、下游段在300～1500m 间，深约2～7m。出境断面以上多年平均径流量为2.18 亿m3，白兔丘站实测多年平均径流量为1.08 亿m3，两者之差主要是河渗漏所致，故素有“淄河十八漏”之说。淄河为季节性河流，雨季多为山洪暴发，洪水突起，来势汹汹，平时多为干涸。</w:t>
      </w:r>
    </w:p>
    <w:p w14:paraId="60BC7E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乌河发源于临淄区大武镇南部山丘地带，流经该区路山镇，在</w:t>
      </w:r>
      <w:r>
        <w:rPr>
          <w:rFonts w:hint="eastAsia" w:ascii="宋体" w:hAnsi="宋体" w:cs="宋体"/>
          <w:color w:val="000000" w:themeColor="text1"/>
          <w:sz w:val="24"/>
          <w:szCs w:val="24"/>
          <w:lang w:val="en-US" w:eastAsia="zh-CN"/>
          <w14:textFill>
            <w14:solidFill>
              <w14:schemeClr w14:val="tx1"/>
            </w14:solidFill>
          </w14:textFill>
        </w:rPr>
        <w:t>凤凰镇</w:t>
      </w:r>
      <w:r>
        <w:rPr>
          <w:rFonts w:hint="eastAsia" w:ascii="宋体" w:hAnsi="宋体" w:eastAsia="宋体" w:cs="宋体"/>
          <w:color w:val="000000" w:themeColor="text1"/>
          <w:sz w:val="24"/>
          <w:szCs w:val="24"/>
          <w:lang w:val="en-US" w:eastAsia="zh-CN"/>
          <w14:textFill>
            <w14:solidFill>
              <w14:schemeClr w14:val="tx1"/>
            </w14:solidFill>
          </w14:textFill>
        </w:rPr>
        <w:t>六天务村西入桓台县，再经桓台县侯庄、索镇、耿桥、起凤等镇，在夏庄村北入小清河入博兴县。河长52.5km，河宽20～50m，河槽深2～3m，乌河属泉水河，目前已无水体，最大洪水流量82.9m3/s。流域面积为462.5km2。</w:t>
      </w:r>
    </w:p>
    <w:p w14:paraId="4324B8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运粮河东起齐都镇古城村，西至朱台镇宋桥村西与乌河相连，全长8.8 公里，流域面积80 余平方公里，系古齐国人工开挖的运粮漕河，故名运粮河。</w:t>
      </w:r>
    </w:p>
    <w:p w14:paraId="7C876E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5、地下水</w:t>
      </w:r>
    </w:p>
    <w:p w14:paraId="38CF1A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根据淄环发[2019]46 号《关于印发淄博市饮用水源保护区划分方案的通知》，目前淄博市主要集中式饮用水水源地18 处，其中地表水3 处，其余为地下水型水源地。本项目不位于淄博市供水水源地保护范围内。距离项目厂区最近的水源地为东北侧</w:t>
      </w:r>
      <w:r>
        <w:rPr>
          <w:rFonts w:hint="eastAsia" w:ascii="宋体" w:hAnsi="宋体" w:cs="宋体"/>
          <w:color w:val="000000" w:themeColor="text1"/>
          <w:sz w:val="24"/>
          <w:szCs w:val="24"/>
          <w:lang w:val="en-US" w:eastAsia="zh-CN"/>
          <w14:textFill>
            <w14:solidFill>
              <w14:schemeClr w14:val="tx1"/>
            </w14:solidFill>
          </w14:textFill>
        </w:rPr>
        <w:t>大武</w:t>
      </w:r>
      <w:r>
        <w:rPr>
          <w:rFonts w:hint="eastAsia" w:ascii="宋体" w:hAnsi="宋体" w:eastAsia="宋体" w:cs="宋体"/>
          <w:color w:val="000000" w:themeColor="text1"/>
          <w:sz w:val="24"/>
          <w:szCs w:val="24"/>
          <w:lang w:val="en-US" w:eastAsia="zh-CN"/>
          <w14:textFill>
            <w14:solidFill>
              <w14:schemeClr w14:val="tx1"/>
            </w14:solidFill>
          </w14:textFill>
        </w:rPr>
        <w:t>饮用水水源保护区。本项目与</w:t>
      </w:r>
      <w:r>
        <w:rPr>
          <w:rFonts w:hint="eastAsia" w:ascii="宋体" w:hAnsi="宋体" w:cs="宋体"/>
          <w:color w:val="000000" w:themeColor="text1"/>
          <w:sz w:val="24"/>
          <w:szCs w:val="24"/>
          <w:lang w:val="en-US" w:eastAsia="zh-CN"/>
          <w14:textFill>
            <w14:solidFill>
              <w14:schemeClr w14:val="tx1"/>
            </w14:solidFill>
          </w14:textFill>
        </w:rPr>
        <w:t>大武</w:t>
      </w:r>
      <w:r>
        <w:rPr>
          <w:rFonts w:hint="eastAsia" w:ascii="宋体" w:hAnsi="宋体" w:eastAsia="宋体" w:cs="宋体"/>
          <w:color w:val="000000" w:themeColor="text1"/>
          <w:sz w:val="24"/>
          <w:szCs w:val="24"/>
          <w:lang w:val="en-US" w:eastAsia="zh-CN"/>
          <w14:textFill>
            <w14:solidFill>
              <w14:schemeClr w14:val="tx1"/>
            </w14:solidFill>
          </w14:textFill>
        </w:rPr>
        <w:t>水源地最近取水井（5#坐标：E118°19′57.0″；N36°49′14.9″）距离约10.8km。</w:t>
      </w:r>
    </w:p>
    <w:p w14:paraId="1B1C48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6、地质及水文地质</w:t>
      </w:r>
    </w:p>
    <w:p w14:paraId="337BD5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临淄区广泛分布奥陶系石灰岩，大气降水部分成地表径流汇于淄河，由淄河渗漏转化为地下水，地表径流在向北运动过程中，由于北部有东西向断裂及煤系地层阻隔聚集成富水地带。</w:t>
      </w:r>
    </w:p>
    <w:p w14:paraId="548B9C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区域含水层主要为第四系松散孔隙含水岩组和奥陶碳酸盐岩裂隙岩溶含水岩组。第四系松散孔隙含水岩组水位埋深为55~90m，含水层厚度在30~80m之间，含水岩层为卵砾石层及含泥砂卵石层，补给来源为区域南部的径流补给、降水下渗等，地下水流向由南向北；奥陶碳酸盐岩裂隙岩溶含水岩组地下水由南部降水补给，向北部径流，含水层岩性主要为灰岩。</w:t>
      </w:r>
    </w:p>
    <w:p w14:paraId="5186AE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区域范围内地下水富集，形成淄博一个重要的大武富水区，大武富水区是我国北方特大型富水区，主要含水层为灰岩水，其补给以大气降水为主，淄河河床的渗漏为辅；其排泄以人工开采为主，径流排泄为辅。本项目位于大武富水区范围内。</w:t>
      </w:r>
    </w:p>
    <w:p w14:paraId="5BA7B8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7、植被</w:t>
      </w:r>
    </w:p>
    <w:p w14:paraId="251499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属华北落叶林区，原始植被已无，现多系人工植被，很少自然植被。自然植被多分布在境内南部的低山丘陵和崖边，沟坡及平原的河滩；人工植被主要分布在低山岭被、近山阶地和沟、渠、河道两旁及庭院四周。</w:t>
      </w:r>
      <w:bookmarkEnd w:id="30"/>
      <w:bookmarkEnd w:id="31"/>
      <w:bookmarkEnd w:id="32"/>
    </w:p>
    <w:p w14:paraId="02B6BB6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3.1.2.2</w:t>
      </w:r>
      <w:r>
        <w:rPr>
          <w:rFonts w:hint="eastAsia" w:ascii="宋体" w:hAnsi="宋体" w:eastAsia="宋体" w:cs="宋体"/>
          <w:b/>
          <w:bCs/>
          <w:color w:val="000000" w:themeColor="text1"/>
          <w:sz w:val="24"/>
          <w:szCs w:val="24"/>
          <w14:textFill>
            <w14:solidFill>
              <w14:schemeClr w14:val="tx1"/>
            </w14:solidFill>
          </w14:textFill>
        </w:rPr>
        <w:t>环境功能区划</w:t>
      </w:r>
    </w:p>
    <w:p w14:paraId="52920367">
      <w:pPr>
        <w:pStyle w:val="124"/>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区域大气环境执行《环境空气质量标准》（GB3095-2018修订版）二级标准，厂区区域地表水执行《地表水环境质量标准》（GB3838-2002）V 类，地下水执行《地下水质量标准》（GB/T 14848-2017）Ⅲ类标准，声环境执行《声环境质量标准》（GB3096-2008）2类标准。</w:t>
      </w:r>
    </w:p>
    <w:p w14:paraId="4CF7AFA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3.2.2.3</w:t>
      </w:r>
      <w:r>
        <w:rPr>
          <w:rFonts w:hint="eastAsia" w:ascii="宋体" w:hAnsi="宋体" w:eastAsia="宋体" w:cs="宋体"/>
          <w:b/>
          <w:bCs/>
          <w:color w:val="000000" w:themeColor="text1"/>
          <w:sz w:val="24"/>
          <w:szCs w:val="24"/>
          <w14:textFill>
            <w14:solidFill>
              <w14:schemeClr w14:val="tx1"/>
            </w14:solidFill>
          </w14:textFill>
        </w:rPr>
        <w:t>环境质量现状</w:t>
      </w:r>
    </w:p>
    <w:p w14:paraId="776F3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1、环境空气质量现状</w:t>
      </w:r>
    </w:p>
    <w:p w14:paraId="741F7FB9">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w:t>
      </w:r>
      <w:r>
        <w:rPr>
          <w:rFonts w:hint="eastAsia" w:ascii="宋体" w:hAnsi="宋体" w:cs="宋体"/>
          <w:color w:val="000000" w:themeColor="text1"/>
          <w:sz w:val="24"/>
          <w:szCs w:val="24"/>
          <w:lang w:eastAsia="zh-CN"/>
          <w14:textFill>
            <w14:solidFill>
              <w14:schemeClr w14:val="tx1"/>
            </w14:solidFill>
          </w14:textFill>
        </w:rPr>
        <w:t>《淄博市</w:t>
      </w:r>
      <w:r>
        <w:rPr>
          <w:rFonts w:hint="eastAsia" w:ascii="宋体" w:hAnsi="宋体" w:cs="宋体"/>
          <w:color w:val="000000" w:themeColor="text1"/>
          <w:sz w:val="24"/>
          <w:szCs w:val="24"/>
          <w:lang w:val="en-US" w:eastAsia="zh-CN"/>
          <w14:textFill>
            <w14:solidFill>
              <w14:schemeClr w14:val="tx1"/>
            </w14:solidFill>
          </w14:textFill>
        </w:rPr>
        <w:t>2026年国民经济</w:t>
      </w:r>
      <w:r>
        <w:rPr>
          <w:rFonts w:hint="eastAsia" w:ascii="宋体" w:hAnsi="宋体" w:eastAsia="宋体" w:cs="宋体"/>
          <w:color w:val="000000" w:themeColor="text1"/>
          <w:sz w:val="24"/>
          <w:szCs w:val="24"/>
          <w:lang w:val="en-US" w:eastAsia="zh-CN"/>
          <w14:textFill>
            <w14:solidFill>
              <w14:schemeClr w14:val="tx1"/>
            </w14:solidFill>
          </w14:textFill>
        </w:rPr>
        <w:t>和社会发展计划》，2026年全年空气质量优良天数达278天，同比增加40天</w:t>
      </w:r>
      <w:r>
        <w:rPr>
          <w:rFonts w:hint="eastAsia" w:ascii="宋体" w:hAnsi="宋体" w:eastAsia="宋体" w:cs="宋体"/>
          <w:color w:val="000000" w:themeColor="text1"/>
          <w:sz w:val="24"/>
          <w:szCs w:val="24"/>
          <w14:textFill>
            <w14:solidFill>
              <w14:schemeClr w14:val="tx1"/>
            </w14:solidFill>
          </w14:textFill>
        </w:rPr>
        <w:t>。</w:t>
      </w:r>
    </w:p>
    <w:p w14:paraId="396CF508">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颗粒物浓度保持低位</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2024年全年PM2.5平均浓度为40微克/立方米，PM10为</w:t>
      </w:r>
      <w:r>
        <w:rPr>
          <w:rFonts w:hint="eastAsia" w:ascii="宋体" w:hAnsi="宋体" w:cs="宋体"/>
          <w:color w:val="000000" w:themeColor="text1"/>
          <w:sz w:val="24"/>
          <w:szCs w:val="24"/>
          <w:lang w:val="en-US" w:eastAsia="zh-CN"/>
          <w14:textFill>
            <w14:solidFill>
              <w14:schemeClr w14:val="tx1"/>
            </w14:solidFill>
          </w14:textFill>
        </w:rPr>
        <w:t>70</w:t>
      </w:r>
      <w:r>
        <w:rPr>
          <w:rFonts w:hint="eastAsia" w:ascii="宋体" w:hAnsi="宋体" w:eastAsia="宋体" w:cs="宋体"/>
          <w:color w:val="000000" w:themeColor="text1"/>
          <w:sz w:val="24"/>
          <w:szCs w:val="24"/>
          <w14:textFill>
            <w14:solidFill>
              <w14:schemeClr w14:val="tx1"/>
            </w14:solidFill>
          </w14:textFill>
        </w:rPr>
        <w:t>微克/立方米，</w:t>
      </w:r>
      <w:r>
        <w:rPr>
          <w:rFonts w:hint="eastAsia" w:ascii="宋体" w:hAnsi="宋体" w:cs="宋体"/>
          <w:color w:val="000000" w:themeColor="text1"/>
          <w:sz w:val="24"/>
          <w:szCs w:val="24"/>
          <w:lang w:eastAsia="zh-CN"/>
          <w14:textFill>
            <w14:solidFill>
              <w14:schemeClr w14:val="tx1"/>
            </w14:solidFill>
          </w14:textFill>
        </w:rPr>
        <w:t>环境空气质量综合指数为</w:t>
      </w:r>
      <w:r>
        <w:rPr>
          <w:rFonts w:hint="eastAsia" w:ascii="宋体" w:hAnsi="宋体" w:cs="宋体"/>
          <w:color w:val="000000" w:themeColor="text1"/>
          <w:sz w:val="24"/>
          <w:szCs w:val="24"/>
          <w:lang w:val="en-US" w:eastAsia="zh-CN"/>
          <w14:textFill>
            <w14:solidFill>
              <w14:schemeClr w14:val="tx1"/>
            </w14:solidFill>
          </w14:textFill>
        </w:rPr>
        <w:t>4.68，</w:t>
      </w:r>
      <w:r>
        <w:rPr>
          <w:rFonts w:hint="eastAsia" w:ascii="宋体" w:hAnsi="宋体" w:eastAsia="宋体" w:cs="宋体"/>
          <w:color w:val="000000" w:themeColor="text1"/>
          <w:sz w:val="24"/>
          <w:szCs w:val="24"/>
          <w14:textFill>
            <w14:solidFill>
              <w14:schemeClr w14:val="tx1"/>
            </w14:solidFill>
          </w14:textFill>
        </w:rPr>
        <w:t>2026年4月PM2.5均值为32.2微克/立方米，PM10为61微克/立方米，同比分别下降13.0%和持平。</w:t>
      </w:r>
    </w:p>
    <w:p w14:paraId="267565FC">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‌臭氧（O3）‌：夏季臭氧污染仍是防控重点。2024年</w:t>
      </w: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月全市臭氧均值为</w:t>
      </w:r>
      <w:r>
        <w:rPr>
          <w:rFonts w:hint="eastAsia" w:ascii="宋体" w:hAnsi="宋体" w:cs="宋体"/>
          <w:color w:val="000000" w:themeColor="text1"/>
          <w:sz w:val="24"/>
          <w:szCs w:val="24"/>
          <w:lang w:val="en-US" w:eastAsia="zh-CN"/>
          <w14:textFill>
            <w14:solidFill>
              <w14:schemeClr w14:val="tx1"/>
            </w14:solidFill>
          </w14:textFill>
        </w:rPr>
        <w:t>194</w:t>
      </w:r>
      <w:r>
        <w:rPr>
          <w:rFonts w:hint="eastAsia" w:ascii="宋体" w:hAnsi="宋体" w:eastAsia="宋体" w:cs="宋体"/>
          <w:color w:val="000000" w:themeColor="text1"/>
          <w:sz w:val="24"/>
          <w:szCs w:val="24"/>
          <w14:textFill>
            <w14:solidFill>
              <w14:schemeClr w14:val="tx1"/>
            </w14:solidFill>
          </w14:textFill>
        </w:rPr>
        <w:t>微克/立方米，</w:t>
      </w:r>
      <w:r>
        <w:rPr>
          <w:rFonts w:hint="eastAsia" w:ascii="宋体" w:hAnsi="宋体" w:cs="宋体"/>
          <w:color w:val="000000" w:themeColor="text1"/>
          <w:sz w:val="24"/>
          <w:szCs w:val="24"/>
          <w:lang w:val="en-US" w:eastAsia="zh-CN"/>
          <w14:textFill>
            <w14:solidFill>
              <w14:schemeClr w14:val="tx1"/>
            </w14:solidFill>
          </w14:textFill>
        </w:rPr>
        <w:t>2024年8月201</w:t>
      </w: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cs="宋体"/>
          <w:color w:val="000000" w:themeColor="text1"/>
          <w:sz w:val="24"/>
          <w:szCs w:val="24"/>
          <w:lang w:val="en-US" w:eastAsia="zh-CN"/>
          <w14:textFill>
            <w14:solidFill>
              <w14:schemeClr w14:val="tx1"/>
            </w14:solidFill>
          </w14:textFill>
        </w:rPr>
        <w:t>194</w:t>
      </w:r>
      <w:r>
        <w:rPr>
          <w:rFonts w:hint="eastAsia" w:ascii="宋体" w:hAnsi="宋体" w:eastAsia="宋体" w:cs="宋体"/>
          <w:color w:val="000000" w:themeColor="text1"/>
          <w:sz w:val="24"/>
          <w:szCs w:val="24"/>
          <w14:textFill>
            <w14:solidFill>
              <w14:schemeClr w14:val="tx1"/>
            </w14:solidFill>
          </w14:textFill>
        </w:rPr>
        <w:t>微克/立方米，部分区县臭氧浓度较高</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如高青县（208µg/m3）、周村区（204µg/m3）、高新区（204µg/m3）。</w:t>
      </w:r>
    </w:p>
    <w:p w14:paraId="3D09DA20">
      <w:pPr>
        <w:pageBreakBefore w:val="0"/>
        <w:kinsoku/>
        <w:wordWrap/>
        <w:overflowPunct/>
        <w:topLinePunct w:val="0"/>
        <w:autoSpaceDE/>
        <w:autoSpaceDN/>
        <w:bidi w:val="0"/>
        <w:adjustRightInd/>
        <w:snapToGrid w:val="0"/>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‌二氧化硫（SO2）与二氧化氮（NO2）‌：浓度维持在较低水平。2024年全年SO2为13微克/立方米，NO2为33微克/立方米。</w:t>
      </w:r>
    </w:p>
    <w:p w14:paraId="37F741B4">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2024年12月临淄区PM10为93微克/立方米，CO为1.8毫克/立方米，在市内排名靠后。‌‌</w:t>
      </w:r>
    </w:p>
    <w:p w14:paraId="0B6D3649">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2、地表水环境质量现状</w:t>
      </w:r>
    </w:p>
    <w:p w14:paraId="14F958F3">
      <w:pPr>
        <w:pageBreakBefore w:val="0"/>
        <w:kinsoku/>
        <w:wordWrap/>
        <w:overflowPunct/>
        <w:topLinePunct w:val="0"/>
        <w:autoSpaceDE/>
        <w:autoSpaceDN/>
        <w:bidi w:val="0"/>
        <w:adjustRightInd/>
        <w:spacing w:line="360" w:lineRule="auto"/>
        <w:ind w:firstLine="464" w:firstLineChars="200"/>
        <w:textAlignment w:val="auto"/>
        <w:outlineLvl w:val="9"/>
        <w:rPr>
          <w:rFonts w:hint="eastAsia" w:ascii="宋体" w:hAnsi="宋体" w:eastAsia="宋体" w:cs="宋体"/>
          <w:color w:val="000000" w:themeColor="text1"/>
          <w:spacing w:val="-4"/>
          <w:sz w:val="24"/>
          <w:szCs w:val="24"/>
          <w:lang w:eastAsia="zh-CN"/>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厂区</w:t>
      </w:r>
      <w:r>
        <w:rPr>
          <w:rFonts w:hint="eastAsia" w:ascii="宋体" w:hAnsi="宋体" w:cs="宋体"/>
          <w:color w:val="000000" w:themeColor="text1"/>
          <w:spacing w:val="-4"/>
          <w:sz w:val="24"/>
          <w:szCs w:val="24"/>
          <w:lang w:eastAsia="zh-CN"/>
          <w14:textFill>
            <w14:solidFill>
              <w14:schemeClr w14:val="tx1"/>
            </w14:solidFill>
          </w14:textFill>
        </w:rPr>
        <w:t>临近乌河，乌河在桓台县“乌河入预备河处”东沙断面，根据临淄区地表水环境质量现状调查报告显示，</w:t>
      </w:r>
      <w:r>
        <w:rPr>
          <w:rFonts w:hint="eastAsia" w:ascii="宋体" w:hAnsi="宋体" w:cs="宋体"/>
          <w:color w:val="000000" w:themeColor="text1"/>
          <w:spacing w:val="-4"/>
          <w:sz w:val="24"/>
          <w:szCs w:val="24"/>
          <w:lang w:val="en-US" w:eastAsia="zh-CN"/>
          <w14:textFill>
            <w14:solidFill>
              <w14:schemeClr w14:val="tx1"/>
            </w14:solidFill>
          </w14:textFill>
        </w:rPr>
        <w:t>COD、氨氮、总磷浓度较往年同期有所下降。</w:t>
      </w:r>
      <w:r>
        <w:rPr>
          <w:rFonts w:hint="eastAsia" w:ascii="宋体" w:hAnsi="宋体" w:cs="宋体"/>
          <w:color w:val="000000" w:themeColor="text1"/>
          <w:spacing w:val="-4"/>
          <w:sz w:val="24"/>
          <w:szCs w:val="24"/>
          <w:lang w:eastAsia="zh-CN"/>
          <w14:textFill>
            <w14:solidFill>
              <w14:schemeClr w14:val="tx1"/>
            </w14:solidFill>
          </w14:textFill>
        </w:rPr>
        <w:t>乌河临淄段各断面水质基本稳定在</w:t>
      </w:r>
      <w:r>
        <w:rPr>
          <w:rFonts w:hint="eastAsia" w:ascii="宋体" w:hAnsi="宋体" w:eastAsia="宋体" w:cs="宋体"/>
          <w:color w:val="000000" w:themeColor="text1"/>
          <w:spacing w:val="-4"/>
          <w:sz w:val="24"/>
          <w:szCs w:val="24"/>
          <w14:textFill>
            <w14:solidFill>
              <w14:schemeClr w14:val="tx1"/>
            </w14:solidFill>
          </w14:textFill>
        </w:rPr>
        <w:t>《地表水环境质量标准》</w:t>
      </w:r>
      <w:r>
        <w:rPr>
          <w:rFonts w:hint="eastAsia" w:ascii="宋体" w:hAnsi="宋体" w:eastAsia="宋体" w:cs="宋体"/>
          <w:color w:val="000000" w:themeColor="text1"/>
          <w:sz w:val="24"/>
          <w:szCs w:val="24"/>
          <w14:textFill>
            <w14:solidFill>
              <w14:schemeClr w14:val="tx1"/>
            </w14:solidFill>
          </w14:textFill>
        </w:rPr>
        <w:t>Ⅲ类</w:t>
      </w:r>
      <w:r>
        <w:rPr>
          <w:rFonts w:hint="eastAsia" w:ascii="宋体" w:hAnsi="宋体" w:cs="宋体"/>
          <w:color w:val="000000" w:themeColor="text1"/>
          <w:sz w:val="24"/>
          <w:szCs w:val="24"/>
          <w:lang w:eastAsia="zh-CN"/>
          <w14:textFill>
            <w14:solidFill>
              <w14:schemeClr w14:val="tx1"/>
            </w14:solidFill>
          </w14:textFill>
        </w:rPr>
        <w:t>至</w:t>
      </w:r>
      <w:r>
        <w:rPr>
          <w:rFonts w:hint="eastAsia" w:ascii="宋体" w:hAnsi="宋体" w:eastAsia="宋体" w:cs="宋体"/>
          <w:color w:val="000000" w:themeColor="text1"/>
          <w:sz w:val="24"/>
          <w:szCs w:val="24"/>
          <w:lang w:eastAsia="zh-CN"/>
          <w14:textFill>
            <w14:solidFill>
              <w14:schemeClr w14:val="tx1"/>
            </w14:solidFill>
          </w14:textFill>
        </w:rPr>
        <w:t>Ⅳ</w:t>
      </w:r>
      <w:r>
        <w:rPr>
          <w:rFonts w:hint="eastAsia" w:ascii="宋体" w:hAnsi="宋体" w:cs="宋体"/>
          <w:color w:val="000000" w:themeColor="text1"/>
          <w:sz w:val="24"/>
          <w:szCs w:val="24"/>
          <w:lang w:eastAsia="zh-CN"/>
          <w14:textFill>
            <w14:solidFill>
              <w14:schemeClr w14:val="tx1"/>
            </w14:solidFill>
          </w14:textFill>
        </w:rPr>
        <w:t>类标准之间。</w:t>
      </w:r>
    </w:p>
    <w:p w14:paraId="57D85F12">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3、地下水环境质量现状</w:t>
      </w:r>
    </w:p>
    <w:p w14:paraId="73B567DA">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2026年2月淄博市监测的15个县级地下水水源中含临淄部分（刘征水源地），水质均达</w:t>
      </w:r>
      <w:r>
        <w:rPr>
          <w:rFonts w:hint="eastAsia" w:ascii="宋体" w:hAnsi="宋体" w:eastAsia="宋体" w:cs="宋体"/>
          <w:color w:val="000000" w:themeColor="text1"/>
          <w:sz w:val="24"/>
          <w:szCs w:val="24"/>
          <w14:textFill>
            <w14:solidFill>
              <w14:schemeClr w14:val="tx1"/>
            </w14:solidFill>
          </w14:textFill>
        </w:rPr>
        <w:t>Ⅲ类</w:t>
      </w:r>
      <w:r>
        <w:rPr>
          <w:rFonts w:hint="eastAsia" w:ascii="宋体" w:hAnsi="宋体" w:cs="宋体"/>
          <w:color w:val="000000" w:themeColor="text1"/>
          <w:sz w:val="24"/>
          <w:szCs w:val="24"/>
          <w:lang w:eastAsia="zh-CN"/>
          <w14:textFill>
            <w14:solidFill>
              <w14:schemeClr w14:val="tx1"/>
            </w14:solidFill>
          </w14:textFill>
        </w:rPr>
        <w:t>标准。齐鲁化学工业园区正推进</w:t>
      </w:r>
      <w:r>
        <w:rPr>
          <w:rFonts w:hint="eastAsia" w:ascii="宋体" w:hAnsi="宋体" w:cs="宋体"/>
          <w:color w:val="000000" w:themeColor="text1"/>
          <w:sz w:val="24"/>
          <w:szCs w:val="24"/>
          <w:lang w:val="en-US" w:eastAsia="zh-CN"/>
          <w14:textFill>
            <w14:solidFill>
              <w14:schemeClr w14:val="tx1"/>
            </w14:solidFill>
          </w14:textFill>
        </w:rPr>
        <w:t>2025-2026年地下水环境详细调查，尚未公开完整评估结果。</w:t>
      </w:r>
    </w:p>
    <w:p w14:paraId="157E9E4D">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4、土壤环境质量现状</w:t>
      </w:r>
    </w:p>
    <w:p w14:paraId="0E81E0E8">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厂区所在区域土壤环境质量可满足《土壤环境质量 建设用地土壤污染风险管控标准》（GB36600-2018）筛选值第二类用地要求。</w:t>
      </w:r>
      <w:bookmarkStart w:id="33" w:name="_Toc127256773"/>
      <w:bookmarkStart w:id="34" w:name="_Toc73285815"/>
    </w:p>
    <w:p w14:paraId="0D69E3EC">
      <w:pPr>
        <w:pStyle w:val="7"/>
        <w:keepNext/>
        <w:pageBreakBefore w:val="0"/>
        <w:widowControl w:val="0"/>
        <w:kinsoku/>
        <w:wordWrap/>
        <w:overflowPunct/>
        <w:topLinePunct w:val="0"/>
        <w:autoSpaceDE/>
        <w:autoSpaceDN/>
        <w:bidi w:val="0"/>
        <w:adjustRightInd w:val="0"/>
        <w:snapToGrid w:val="0"/>
        <w:spacing w:before="0" w:after="0"/>
        <w:textAlignment w:val="auto"/>
        <w:rPr>
          <w:rFonts w:hint="eastAsia" w:eastAsia="宋体" w:cs="Times New Roman"/>
          <w:color w:val="000000" w:themeColor="text1"/>
          <w:lang w:val="en-US" w:eastAsia="zh-CN"/>
          <w14:textFill>
            <w14:solidFill>
              <w14:schemeClr w14:val="tx1"/>
            </w14:solidFill>
          </w14:textFill>
        </w:rPr>
      </w:pPr>
      <w:bookmarkStart w:id="146" w:name="_GoBack"/>
      <w:bookmarkEnd w:id="146"/>
      <w:bookmarkStart w:id="35" w:name="_Toc22240"/>
      <w:r>
        <w:rPr>
          <w:rFonts w:hint="eastAsia" w:eastAsia="宋体" w:cs="Times New Roman"/>
          <w:color w:val="000000" w:themeColor="text1"/>
          <w:lang w:val="en-US" w:eastAsia="zh-CN"/>
          <w14:textFill>
            <w14:solidFill>
              <w14:schemeClr w14:val="tx1"/>
            </w14:solidFill>
          </w14:textFill>
        </w:rPr>
        <w:t>3.2企业周边环境风险受体情况</w:t>
      </w:r>
      <w:bookmarkEnd w:id="33"/>
      <w:bookmarkEnd w:id="34"/>
      <w:bookmarkEnd w:id="35"/>
    </w:p>
    <w:p w14:paraId="34D03A34">
      <w:pPr>
        <w:pStyle w:val="124"/>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环境风险受体分为大气环境风险受体、土壤环境风险受体和水环境风险受体。其中，大气环境风险受体主要包括居住、医疗卫生、文化教育、科研、行政办公、重要基础设施</w:t>
      </w:r>
      <w:r>
        <w:rPr>
          <w:rFonts w:hint="eastAsia"/>
          <w:color w:val="000000" w:themeColor="text1"/>
          <w:lang w:eastAsia="zh-CN"/>
          <w14:textFill>
            <w14:solidFill>
              <w14:schemeClr w14:val="tx1"/>
            </w14:solidFill>
          </w14:textFill>
        </w:rPr>
        <w:t>、山东隆信药业有限公司、淄博元齐生物科技有限公司、淄博鲁格宝化工有限公司</w:t>
      </w:r>
      <w:r>
        <w:rPr>
          <w:color w:val="000000" w:themeColor="text1"/>
          <w:lang w:eastAsia="zh-CN"/>
          <w14:textFill>
            <w14:solidFill>
              <w14:schemeClr w14:val="tx1"/>
            </w14:solidFill>
          </w14:textFill>
        </w:rPr>
        <w:t>等主要功能区域内的人群、保护单位、植被等，按人口数量进行指标量化；土壤环境风险受体主要为企业周边的基本农田保护区、居住商用地等区域；水环境风险受体主要包括饮用水水源保护区、自来水厂取水口、自然保护区、重要湿地、特殊生态系统、水产养殖区、鱼虾产卵场、天然渔场等区域，可按其脆弱性和敏感性进行级别划分。</w:t>
      </w:r>
    </w:p>
    <w:p w14:paraId="13B97685">
      <w:pPr>
        <w:pStyle w:val="124"/>
        <w:rPr>
          <w:color w:val="000000" w:themeColor="text1"/>
          <w:spacing w:val="-2"/>
          <w14:textFill>
            <w14:solidFill>
              <w14:schemeClr w14:val="tx1"/>
            </w14:solidFill>
          </w14:textFill>
        </w:rPr>
      </w:pPr>
      <w:r>
        <w:rPr>
          <w:rFonts w:hint="eastAsia"/>
          <w:color w:val="000000" w:themeColor="text1"/>
          <w:spacing w:val="-2"/>
          <w:lang w:eastAsia="zh-CN"/>
          <w14:textFill>
            <w14:solidFill>
              <w14:schemeClr w14:val="tx1"/>
            </w14:solidFill>
          </w14:textFill>
        </w:rPr>
        <w:t>公司</w:t>
      </w:r>
      <w:r>
        <w:rPr>
          <w:color w:val="000000" w:themeColor="text1"/>
          <w:spacing w:val="-2"/>
          <w:lang w:eastAsia="zh-CN"/>
          <w14:textFill>
            <w14:solidFill>
              <w14:schemeClr w14:val="tx1"/>
            </w14:solidFill>
          </w14:textFill>
        </w:rPr>
        <w:t>周边环境风险受体见</w:t>
      </w:r>
      <w:r>
        <w:rPr>
          <w:color w:val="000000" w:themeColor="text1"/>
          <w:spacing w:val="-2"/>
          <w14:textFill>
            <w14:solidFill>
              <w14:schemeClr w14:val="tx1"/>
            </w14:solidFill>
          </w14:textFill>
        </w:rPr>
        <w:fldChar w:fldCharType="begin"/>
      </w:r>
      <w:r>
        <w:rPr>
          <w:color w:val="000000" w:themeColor="text1"/>
          <w:spacing w:val="-2"/>
          <w:lang w:eastAsia="zh-CN"/>
          <w14:textFill>
            <w14:solidFill>
              <w14:schemeClr w14:val="tx1"/>
            </w14:solidFill>
          </w14:textFill>
        </w:rPr>
        <w:instrText xml:space="preserve"> REF _Ref95201769 \h  \* MERGEFORMAT </w:instrText>
      </w:r>
      <w:r>
        <w:rPr>
          <w:color w:val="000000" w:themeColor="text1"/>
          <w:spacing w:val="-2"/>
          <w14:textFill>
            <w14:solidFill>
              <w14:schemeClr w14:val="tx1"/>
            </w14:solidFill>
          </w14:textFill>
        </w:rPr>
        <w:fldChar w:fldCharType="separate"/>
      </w:r>
      <w:r>
        <w:rPr>
          <w:color w:val="000000" w:themeColor="text1"/>
          <w:lang w:eastAsia="zh-CN"/>
          <w14:textFill>
            <w14:solidFill>
              <w14:schemeClr w14:val="tx1"/>
            </w14:solidFill>
          </w14:textFill>
        </w:rPr>
        <w:t>表3.2</w:t>
      </w:r>
      <w:r>
        <w:rPr>
          <w:color w:val="000000" w:themeColor="text1"/>
          <w:lang w:eastAsia="zh-CN"/>
          <w14:textFill>
            <w14:solidFill>
              <w14:schemeClr w14:val="tx1"/>
            </w14:solidFill>
          </w14:textFill>
        </w:rPr>
        <w:noBreakHyphen/>
      </w:r>
      <w:r>
        <w:rPr>
          <w:color w:val="000000" w:themeColor="text1"/>
          <w:lang w:eastAsia="zh-CN"/>
          <w14:textFill>
            <w14:solidFill>
              <w14:schemeClr w14:val="tx1"/>
            </w14:solidFill>
          </w14:textFill>
        </w:rPr>
        <w:t>1</w:t>
      </w:r>
      <w:r>
        <w:rPr>
          <w:color w:val="000000" w:themeColor="text1"/>
          <w:spacing w:val="-2"/>
          <w14:textFill>
            <w14:solidFill>
              <w14:schemeClr w14:val="tx1"/>
            </w14:solidFill>
          </w14:textFill>
        </w:rPr>
        <w:fldChar w:fldCharType="end"/>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3104"/>
        <w:gridCol w:w="1129"/>
        <w:gridCol w:w="1267"/>
        <w:gridCol w:w="1028"/>
        <w:gridCol w:w="2594"/>
      </w:tblGrid>
      <w:tr w14:paraId="24A1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DE99B30">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序号</w:t>
            </w:r>
          </w:p>
        </w:tc>
        <w:tc>
          <w:tcPr>
            <w:tcW w:w="1612" w:type="pct"/>
            <w:noWrap w:val="0"/>
            <w:vAlign w:val="center"/>
          </w:tcPr>
          <w:p w14:paraId="751F4FAA">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目标名称</w:t>
            </w:r>
          </w:p>
        </w:tc>
        <w:tc>
          <w:tcPr>
            <w:tcW w:w="586" w:type="pct"/>
            <w:noWrap w:val="0"/>
            <w:vAlign w:val="center"/>
          </w:tcPr>
          <w:p w14:paraId="003E3DFB">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位于该项目相对方位</w:t>
            </w:r>
          </w:p>
        </w:tc>
        <w:tc>
          <w:tcPr>
            <w:tcW w:w="657" w:type="pct"/>
            <w:noWrap w:val="0"/>
            <w:vAlign w:val="center"/>
          </w:tcPr>
          <w:p w14:paraId="63670B56">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与该项目距离（m）</w:t>
            </w:r>
          </w:p>
        </w:tc>
        <w:tc>
          <w:tcPr>
            <w:tcW w:w="534" w:type="pct"/>
            <w:noWrap w:val="0"/>
            <w:vAlign w:val="center"/>
          </w:tcPr>
          <w:p w14:paraId="3C8ECB78">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lang w:eastAsia="zh-CN"/>
              </w:rPr>
            </w:pPr>
            <w:r>
              <w:rPr>
                <w:rFonts w:hint="default" w:ascii="Times New Roman" w:hAnsi="Times New Roman" w:eastAsia="宋体" w:cs="Times New Roman"/>
                <w:b/>
                <w:bCs/>
                <w:caps w:val="0"/>
                <w:smallCaps w:val="0"/>
                <w:color w:val="auto"/>
                <w:spacing w:val="0"/>
                <w:position w:val="0"/>
                <w:sz w:val="21"/>
                <w:szCs w:val="21"/>
                <w:lang w:eastAsia="zh-CN"/>
              </w:rPr>
              <w:t>人</w:t>
            </w:r>
            <w:r>
              <w:rPr>
                <w:rFonts w:hint="eastAsia" w:ascii="Times New Roman" w:hAnsi="Times New Roman" w:eastAsia="宋体" w:cs="Times New Roman"/>
                <w:b/>
                <w:bCs/>
                <w:caps w:val="0"/>
                <w:smallCaps w:val="0"/>
                <w:color w:val="auto"/>
                <w:spacing w:val="0"/>
                <w:position w:val="0"/>
                <w:sz w:val="21"/>
                <w:szCs w:val="21"/>
                <w:lang w:eastAsia="zh-CN"/>
              </w:rPr>
              <w:t>口</w:t>
            </w:r>
            <w:r>
              <w:rPr>
                <w:rFonts w:hint="default" w:ascii="Times New Roman" w:hAnsi="Times New Roman" w:eastAsia="宋体" w:cs="Times New Roman"/>
                <w:b/>
                <w:bCs/>
                <w:caps w:val="0"/>
                <w:smallCaps w:val="0"/>
                <w:color w:val="auto"/>
                <w:spacing w:val="0"/>
                <w:position w:val="0"/>
                <w:sz w:val="21"/>
                <w:szCs w:val="21"/>
                <w:lang w:eastAsia="zh-CN"/>
              </w:rPr>
              <w:t>数</w:t>
            </w:r>
          </w:p>
        </w:tc>
        <w:tc>
          <w:tcPr>
            <w:tcW w:w="1347" w:type="pct"/>
            <w:noWrap w:val="0"/>
            <w:vAlign w:val="center"/>
          </w:tcPr>
          <w:p w14:paraId="79F8672C">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lang w:eastAsia="zh-CN"/>
              </w:rPr>
            </w:pPr>
            <w:r>
              <w:rPr>
                <w:rFonts w:hint="eastAsia" w:ascii="Times New Roman" w:hAnsi="Times New Roman" w:eastAsia="宋体" w:cs="Times New Roman"/>
                <w:b/>
                <w:bCs/>
                <w:caps w:val="0"/>
                <w:smallCaps w:val="0"/>
                <w:color w:val="auto"/>
                <w:spacing w:val="0"/>
                <w:position w:val="0"/>
                <w:sz w:val="21"/>
                <w:szCs w:val="21"/>
                <w:lang w:eastAsia="zh-CN"/>
              </w:rPr>
              <w:t>执行标准</w:t>
            </w:r>
          </w:p>
        </w:tc>
      </w:tr>
      <w:tr w14:paraId="3FD3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62" w:type="pct"/>
            <w:noWrap w:val="0"/>
            <w:vAlign w:val="center"/>
          </w:tcPr>
          <w:p w14:paraId="4C6A1599">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w:t>
            </w:r>
          </w:p>
        </w:tc>
        <w:tc>
          <w:tcPr>
            <w:tcW w:w="1612" w:type="pct"/>
            <w:noWrap w:val="0"/>
            <w:vAlign w:val="center"/>
          </w:tcPr>
          <w:p w14:paraId="449326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金岭一村</w:t>
            </w:r>
          </w:p>
        </w:tc>
        <w:tc>
          <w:tcPr>
            <w:tcW w:w="586" w:type="pct"/>
            <w:noWrap w:val="0"/>
            <w:vAlign w:val="center"/>
          </w:tcPr>
          <w:p w14:paraId="63A290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CBC82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1900</w:t>
            </w:r>
          </w:p>
        </w:tc>
        <w:tc>
          <w:tcPr>
            <w:tcW w:w="911" w:type="dxa"/>
            <w:noWrap w:val="0"/>
            <w:vAlign w:val="center"/>
          </w:tcPr>
          <w:p w14:paraId="568A12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1421</w:t>
            </w:r>
          </w:p>
        </w:tc>
        <w:tc>
          <w:tcPr>
            <w:tcW w:w="1347" w:type="pct"/>
            <w:vMerge w:val="restart"/>
            <w:noWrap w:val="0"/>
            <w:vAlign w:val="center"/>
          </w:tcPr>
          <w:p w14:paraId="3F41E4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《环境空气质量标准》（GB3095-20</w:t>
            </w:r>
            <w:r>
              <w:rPr>
                <w:rFonts w:hint="eastAsia" w:cs="Times New Roman"/>
                <w:caps w:val="0"/>
                <w:smallCaps w:val="0"/>
                <w:color w:val="auto"/>
                <w:spacing w:val="0"/>
                <w:position w:val="0"/>
                <w:sz w:val="21"/>
                <w:szCs w:val="21"/>
                <w:lang w:val="en-US" w:eastAsia="zh-CN"/>
              </w:rPr>
              <w:t>26</w:t>
            </w:r>
            <w:r>
              <w:rPr>
                <w:rFonts w:hint="default" w:ascii="Times New Roman" w:hAnsi="Times New Roman" w:eastAsia="宋体" w:cs="Times New Roman"/>
                <w:caps w:val="0"/>
                <w:smallCaps w:val="0"/>
                <w:color w:val="auto"/>
                <w:spacing w:val="0"/>
                <w:position w:val="0"/>
                <w:sz w:val="21"/>
                <w:szCs w:val="21"/>
                <w:lang w:val="en-US" w:eastAsia="zh-CN"/>
              </w:rPr>
              <w:t>）</w:t>
            </w:r>
          </w:p>
        </w:tc>
      </w:tr>
      <w:tr w14:paraId="4C92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F2F9BAC">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w:t>
            </w:r>
          </w:p>
        </w:tc>
        <w:tc>
          <w:tcPr>
            <w:tcW w:w="1612" w:type="pct"/>
            <w:noWrap w:val="0"/>
            <w:vAlign w:val="center"/>
          </w:tcPr>
          <w:p w14:paraId="204292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金岭三村</w:t>
            </w:r>
          </w:p>
        </w:tc>
        <w:tc>
          <w:tcPr>
            <w:tcW w:w="586" w:type="pct"/>
            <w:noWrap w:val="0"/>
            <w:vAlign w:val="center"/>
          </w:tcPr>
          <w:p w14:paraId="2CD6CF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4F4643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1800</w:t>
            </w:r>
          </w:p>
        </w:tc>
        <w:tc>
          <w:tcPr>
            <w:tcW w:w="911" w:type="dxa"/>
            <w:noWrap w:val="0"/>
            <w:vAlign w:val="center"/>
          </w:tcPr>
          <w:p w14:paraId="0DA604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1502</w:t>
            </w:r>
          </w:p>
        </w:tc>
        <w:tc>
          <w:tcPr>
            <w:tcW w:w="1347" w:type="pct"/>
            <w:vMerge w:val="continue"/>
            <w:noWrap w:val="0"/>
            <w:vAlign w:val="center"/>
          </w:tcPr>
          <w:p w14:paraId="43C48D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0731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2744BFB">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3</w:t>
            </w:r>
          </w:p>
        </w:tc>
        <w:tc>
          <w:tcPr>
            <w:tcW w:w="1612" w:type="pct"/>
            <w:noWrap w:val="0"/>
            <w:vAlign w:val="center"/>
          </w:tcPr>
          <w:p w14:paraId="0454BD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金岭二村</w:t>
            </w:r>
          </w:p>
        </w:tc>
        <w:tc>
          <w:tcPr>
            <w:tcW w:w="586" w:type="pct"/>
            <w:noWrap w:val="0"/>
            <w:vAlign w:val="center"/>
          </w:tcPr>
          <w:p w14:paraId="511DB0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6F4E86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2500</w:t>
            </w:r>
          </w:p>
        </w:tc>
        <w:tc>
          <w:tcPr>
            <w:tcW w:w="911" w:type="dxa"/>
            <w:noWrap w:val="0"/>
            <w:vAlign w:val="center"/>
          </w:tcPr>
          <w:p w14:paraId="63185C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1</w:t>
            </w:r>
            <w:r>
              <w:rPr>
                <w:rFonts w:hint="eastAsia" w:cs="Times New Roman"/>
                <w:caps w:val="0"/>
                <w:smallCaps w:val="0"/>
                <w:color w:val="auto"/>
                <w:spacing w:val="0"/>
                <w:position w:val="0"/>
                <w:sz w:val="21"/>
                <w:szCs w:val="21"/>
                <w:lang w:val="en-US" w:eastAsia="zh-CN"/>
              </w:rPr>
              <w:t>473</w:t>
            </w:r>
          </w:p>
        </w:tc>
        <w:tc>
          <w:tcPr>
            <w:tcW w:w="1347" w:type="pct"/>
            <w:vMerge w:val="continue"/>
            <w:noWrap w:val="0"/>
            <w:vAlign w:val="center"/>
          </w:tcPr>
          <w:p w14:paraId="631DDC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67C9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38D16B7">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4</w:t>
            </w:r>
          </w:p>
        </w:tc>
        <w:tc>
          <w:tcPr>
            <w:tcW w:w="1612" w:type="pct"/>
            <w:noWrap w:val="0"/>
            <w:vAlign w:val="center"/>
          </w:tcPr>
          <w:p w14:paraId="408ED8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金岭南村</w:t>
            </w:r>
          </w:p>
        </w:tc>
        <w:tc>
          <w:tcPr>
            <w:tcW w:w="586" w:type="pct"/>
            <w:noWrap w:val="0"/>
            <w:vAlign w:val="center"/>
          </w:tcPr>
          <w:p w14:paraId="414218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NW</w:t>
            </w:r>
          </w:p>
        </w:tc>
        <w:tc>
          <w:tcPr>
            <w:tcW w:w="1122" w:type="dxa"/>
            <w:noWrap w:val="0"/>
            <w:vAlign w:val="center"/>
          </w:tcPr>
          <w:p w14:paraId="1312C8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2200</w:t>
            </w:r>
          </w:p>
        </w:tc>
        <w:tc>
          <w:tcPr>
            <w:tcW w:w="911" w:type="dxa"/>
            <w:noWrap w:val="0"/>
            <w:vAlign w:val="center"/>
          </w:tcPr>
          <w:p w14:paraId="19D975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2990</w:t>
            </w:r>
          </w:p>
        </w:tc>
        <w:tc>
          <w:tcPr>
            <w:tcW w:w="1347" w:type="pct"/>
            <w:vMerge w:val="continue"/>
            <w:noWrap w:val="0"/>
            <w:vAlign w:val="center"/>
          </w:tcPr>
          <w:p w14:paraId="7526CE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001F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C3ADAB6">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5</w:t>
            </w:r>
          </w:p>
        </w:tc>
        <w:tc>
          <w:tcPr>
            <w:tcW w:w="1612" w:type="pct"/>
            <w:noWrap w:val="0"/>
            <w:vAlign w:val="center"/>
          </w:tcPr>
          <w:p w14:paraId="28C97D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金岭四村</w:t>
            </w:r>
          </w:p>
        </w:tc>
        <w:tc>
          <w:tcPr>
            <w:tcW w:w="586" w:type="pct"/>
            <w:noWrap w:val="0"/>
            <w:vAlign w:val="center"/>
          </w:tcPr>
          <w:p w14:paraId="42199A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BDD51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w:t>
            </w:r>
            <w:r>
              <w:rPr>
                <w:rFonts w:hint="eastAsia" w:cs="Times New Roman"/>
                <w:caps w:val="0"/>
                <w:smallCaps w:val="0"/>
                <w:color w:val="auto"/>
                <w:spacing w:val="0"/>
                <w:position w:val="0"/>
                <w:sz w:val="21"/>
                <w:szCs w:val="21"/>
                <w:lang w:val="en-US" w:eastAsia="zh-CN"/>
              </w:rPr>
              <w:t>300</w:t>
            </w:r>
          </w:p>
        </w:tc>
        <w:tc>
          <w:tcPr>
            <w:tcW w:w="911" w:type="dxa"/>
            <w:noWrap w:val="0"/>
            <w:vAlign w:val="center"/>
          </w:tcPr>
          <w:p w14:paraId="3990DA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1371</w:t>
            </w:r>
          </w:p>
        </w:tc>
        <w:tc>
          <w:tcPr>
            <w:tcW w:w="1347" w:type="pct"/>
            <w:vMerge w:val="continue"/>
            <w:noWrap w:val="0"/>
            <w:vAlign w:val="center"/>
          </w:tcPr>
          <w:p w14:paraId="48D091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3E91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3B1494D">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6</w:t>
            </w:r>
          </w:p>
        </w:tc>
        <w:tc>
          <w:tcPr>
            <w:tcW w:w="1612" w:type="pct"/>
            <w:noWrap w:val="0"/>
            <w:vAlign w:val="center"/>
          </w:tcPr>
          <w:p w14:paraId="0CFDBA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金岭五村</w:t>
            </w:r>
          </w:p>
        </w:tc>
        <w:tc>
          <w:tcPr>
            <w:tcW w:w="586" w:type="pct"/>
            <w:noWrap w:val="0"/>
            <w:vAlign w:val="center"/>
          </w:tcPr>
          <w:p w14:paraId="0A03D1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4B9BB8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w:t>
            </w:r>
            <w:r>
              <w:rPr>
                <w:rFonts w:hint="eastAsia" w:cs="Times New Roman"/>
                <w:caps w:val="0"/>
                <w:smallCaps w:val="0"/>
                <w:color w:val="auto"/>
                <w:spacing w:val="0"/>
                <w:position w:val="0"/>
                <w:sz w:val="21"/>
                <w:szCs w:val="21"/>
                <w:lang w:val="en-US" w:eastAsia="zh-CN"/>
              </w:rPr>
              <w:t>75</w:t>
            </w:r>
            <w:r>
              <w:rPr>
                <w:rFonts w:hint="default" w:ascii="Times New Roman" w:hAnsi="Times New Roman" w:eastAsia="宋体" w:cs="Times New Roman"/>
                <w:caps w:val="0"/>
                <w:smallCaps w:val="0"/>
                <w:color w:val="auto"/>
                <w:spacing w:val="0"/>
                <w:position w:val="0"/>
                <w:sz w:val="21"/>
                <w:szCs w:val="21"/>
                <w:lang w:val="en-US" w:eastAsia="zh-CN"/>
              </w:rPr>
              <w:t>0</w:t>
            </w:r>
          </w:p>
        </w:tc>
        <w:tc>
          <w:tcPr>
            <w:tcW w:w="911" w:type="dxa"/>
            <w:noWrap w:val="0"/>
            <w:vAlign w:val="center"/>
          </w:tcPr>
          <w:p w14:paraId="22CCDB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1256</w:t>
            </w:r>
          </w:p>
        </w:tc>
        <w:tc>
          <w:tcPr>
            <w:tcW w:w="1347" w:type="pct"/>
            <w:vMerge w:val="continue"/>
            <w:noWrap w:val="0"/>
            <w:vAlign w:val="center"/>
          </w:tcPr>
          <w:p w14:paraId="1B35B9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6380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38F90E6">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7</w:t>
            </w:r>
          </w:p>
        </w:tc>
        <w:tc>
          <w:tcPr>
            <w:tcW w:w="1612" w:type="pct"/>
            <w:noWrap w:val="0"/>
            <w:vAlign w:val="center"/>
          </w:tcPr>
          <w:p w14:paraId="385558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金岭六村</w:t>
            </w:r>
          </w:p>
        </w:tc>
        <w:tc>
          <w:tcPr>
            <w:tcW w:w="586" w:type="pct"/>
            <w:noWrap w:val="0"/>
            <w:vAlign w:val="center"/>
          </w:tcPr>
          <w:p w14:paraId="6EF2E4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54C72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2880</w:t>
            </w:r>
          </w:p>
        </w:tc>
        <w:tc>
          <w:tcPr>
            <w:tcW w:w="911" w:type="dxa"/>
            <w:noWrap w:val="0"/>
            <w:vAlign w:val="center"/>
          </w:tcPr>
          <w:p w14:paraId="5C0200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1</w:t>
            </w:r>
            <w:r>
              <w:rPr>
                <w:rFonts w:hint="eastAsia" w:cs="Times New Roman"/>
                <w:caps w:val="0"/>
                <w:smallCaps w:val="0"/>
                <w:color w:val="auto"/>
                <w:spacing w:val="0"/>
                <w:position w:val="0"/>
                <w:sz w:val="21"/>
                <w:szCs w:val="21"/>
                <w:lang w:val="en-US" w:eastAsia="zh-CN"/>
              </w:rPr>
              <w:t>379</w:t>
            </w:r>
          </w:p>
        </w:tc>
        <w:tc>
          <w:tcPr>
            <w:tcW w:w="1347" w:type="pct"/>
            <w:vMerge w:val="continue"/>
            <w:noWrap w:val="0"/>
            <w:vAlign w:val="center"/>
          </w:tcPr>
          <w:p w14:paraId="514D12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1F29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2" w:type="pct"/>
            <w:noWrap w:val="0"/>
            <w:vAlign w:val="center"/>
          </w:tcPr>
          <w:p w14:paraId="2B3588EA">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8</w:t>
            </w:r>
          </w:p>
        </w:tc>
        <w:tc>
          <w:tcPr>
            <w:tcW w:w="1612" w:type="pct"/>
            <w:noWrap w:val="0"/>
            <w:vAlign w:val="center"/>
          </w:tcPr>
          <w:p w14:paraId="1D5AA3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朱家庄</w:t>
            </w:r>
          </w:p>
        </w:tc>
        <w:tc>
          <w:tcPr>
            <w:tcW w:w="586" w:type="pct"/>
            <w:noWrap w:val="0"/>
            <w:vAlign w:val="center"/>
          </w:tcPr>
          <w:p w14:paraId="38D675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yellow"/>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621CCB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46</w:t>
            </w:r>
            <w:r>
              <w:rPr>
                <w:rFonts w:hint="eastAsia" w:cs="Times New Roman"/>
                <w:color w:val="auto"/>
                <w:spacing w:val="0"/>
                <w:position w:val="0"/>
                <w:sz w:val="21"/>
                <w:szCs w:val="21"/>
                <w:highlight w:val="none"/>
                <w:lang w:val="en-US" w:eastAsia="zh-CN"/>
              </w:rPr>
              <w:t>80</w:t>
            </w:r>
          </w:p>
        </w:tc>
        <w:tc>
          <w:tcPr>
            <w:tcW w:w="911" w:type="dxa"/>
            <w:noWrap w:val="0"/>
            <w:vAlign w:val="center"/>
          </w:tcPr>
          <w:p w14:paraId="6292E7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8</w:t>
            </w:r>
            <w:r>
              <w:rPr>
                <w:rFonts w:hint="default" w:ascii="Times New Roman" w:hAnsi="Times New Roman" w:eastAsia="宋体" w:cs="Times New Roman"/>
                <w:color w:val="auto"/>
                <w:spacing w:val="0"/>
                <w:position w:val="0"/>
                <w:sz w:val="21"/>
                <w:szCs w:val="21"/>
                <w:highlight w:val="none"/>
                <w:lang w:val="en-US" w:eastAsia="zh-CN"/>
              </w:rPr>
              <w:t>59</w:t>
            </w:r>
          </w:p>
        </w:tc>
        <w:tc>
          <w:tcPr>
            <w:tcW w:w="1347" w:type="pct"/>
            <w:vMerge w:val="restart"/>
            <w:noWrap w:val="0"/>
            <w:vAlign w:val="center"/>
          </w:tcPr>
          <w:p w14:paraId="5F1FDB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《环境空气质量标准》（GB3095-20</w:t>
            </w:r>
            <w:r>
              <w:rPr>
                <w:rFonts w:hint="eastAsia" w:cs="Times New Roman"/>
                <w:caps w:val="0"/>
                <w:smallCaps w:val="0"/>
                <w:color w:val="auto"/>
                <w:spacing w:val="0"/>
                <w:position w:val="0"/>
                <w:sz w:val="21"/>
                <w:szCs w:val="21"/>
                <w:lang w:val="en-US" w:eastAsia="zh-CN"/>
              </w:rPr>
              <w:t>26</w:t>
            </w:r>
            <w:r>
              <w:rPr>
                <w:rFonts w:hint="default" w:ascii="Times New Roman" w:hAnsi="Times New Roman" w:eastAsia="宋体" w:cs="Times New Roman"/>
                <w:caps w:val="0"/>
                <w:smallCaps w:val="0"/>
                <w:color w:val="auto"/>
                <w:spacing w:val="0"/>
                <w:position w:val="0"/>
                <w:sz w:val="21"/>
                <w:szCs w:val="21"/>
                <w:lang w:val="en-US" w:eastAsia="zh-CN"/>
              </w:rPr>
              <w:t>）</w:t>
            </w:r>
          </w:p>
        </w:tc>
      </w:tr>
      <w:tr w14:paraId="56DC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2" w:type="pct"/>
            <w:noWrap w:val="0"/>
            <w:vAlign w:val="center"/>
          </w:tcPr>
          <w:p w14:paraId="6A8F2137">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9</w:t>
            </w:r>
          </w:p>
        </w:tc>
        <w:tc>
          <w:tcPr>
            <w:tcW w:w="1612" w:type="pct"/>
            <w:noWrap w:val="0"/>
            <w:vAlign w:val="center"/>
          </w:tcPr>
          <w:p w14:paraId="1FEFB3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于家村</w:t>
            </w:r>
          </w:p>
        </w:tc>
        <w:tc>
          <w:tcPr>
            <w:tcW w:w="586" w:type="pct"/>
            <w:noWrap w:val="0"/>
            <w:vAlign w:val="center"/>
          </w:tcPr>
          <w:p w14:paraId="553564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75C125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2900</w:t>
            </w:r>
          </w:p>
        </w:tc>
        <w:tc>
          <w:tcPr>
            <w:tcW w:w="911" w:type="dxa"/>
            <w:noWrap w:val="0"/>
            <w:vAlign w:val="center"/>
          </w:tcPr>
          <w:p w14:paraId="60B04C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70</w:t>
            </w:r>
          </w:p>
        </w:tc>
        <w:tc>
          <w:tcPr>
            <w:tcW w:w="1347" w:type="pct"/>
            <w:vMerge w:val="continue"/>
            <w:noWrap w:val="0"/>
            <w:vAlign w:val="center"/>
          </w:tcPr>
          <w:p w14:paraId="22C8A7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70E7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F8DB49F">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10</w:t>
            </w:r>
          </w:p>
        </w:tc>
        <w:tc>
          <w:tcPr>
            <w:tcW w:w="1612" w:type="pct"/>
            <w:noWrap w:val="0"/>
            <w:vAlign w:val="center"/>
          </w:tcPr>
          <w:p w14:paraId="0A753B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矮槐村</w:t>
            </w:r>
          </w:p>
        </w:tc>
        <w:tc>
          <w:tcPr>
            <w:tcW w:w="586" w:type="pct"/>
            <w:noWrap w:val="0"/>
            <w:vAlign w:val="center"/>
          </w:tcPr>
          <w:p w14:paraId="4762CA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NE</w:t>
            </w:r>
          </w:p>
        </w:tc>
        <w:tc>
          <w:tcPr>
            <w:tcW w:w="1122" w:type="dxa"/>
            <w:noWrap w:val="0"/>
            <w:vAlign w:val="center"/>
          </w:tcPr>
          <w:p w14:paraId="714CBF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3680</w:t>
            </w:r>
          </w:p>
        </w:tc>
        <w:tc>
          <w:tcPr>
            <w:tcW w:w="911" w:type="dxa"/>
            <w:noWrap w:val="0"/>
            <w:vAlign w:val="center"/>
          </w:tcPr>
          <w:p w14:paraId="13E607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8</w:t>
            </w:r>
            <w:r>
              <w:rPr>
                <w:rFonts w:hint="eastAsia" w:cs="Times New Roman"/>
                <w:color w:val="auto"/>
                <w:spacing w:val="0"/>
                <w:position w:val="0"/>
                <w:sz w:val="21"/>
                <w:szCs w:val="21"/>
                <w:highlight w:val="none"/>
                <w:lang w:val="en-US" w:eastAsia="zh-CN"/>
              </w:rPr>
              <w:t>1</w:t>
            </w:r>
            <w:r>
              <w:rPr>
                <w:rFonts w:hint="default" w:ascii="Times New Roman" w:hAnsi="Times New Roman" w:eastAsia="宋体" w:cs="Times New Roman"/>
                <w:color w:val="auto"/>
                <w:spacing w:val="0"/>
                <w:position w:val="0"/>
                <w:sz w:val="21"/>
                <w:szCs w:val="21"/>
                <w:highlight w:val="none"/>
                <w:lang w:val="en-US" w:eastAsia="zh-CN"/>
              </w:rPr>
              <w:t>0</w:t>
            </w:r>
          </w:p>
        </w:tc>
        <w:tc>
          <w:tcPr>
            <w:tcW w:w="1347" w:type="pct"/>
            <w:vMerge w:val="continue"/>
            <w:noWrap w:val="0"/>
            <w:vAlign w:val="center"/>
          </w:tcPr>
          <w:p w14:paraId="644C4D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5BB4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37C446A3">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11</w:t>
            </w:r>
          </w:p>
        </w:tc>
        <w:tc>
          <w:tcPr>
            <w:tcW w:w="1612" w:type="pct"/>
            <w:noWrap w:val="0"/>
            <w:vAlign w:val="center"/>
          </w:tcPr>
          <w:p w14:paraId="1839EF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董褚村</w:t>
            </w:r>
          </w:p>
        </w:tc>
        <w:tc>
          <w:tcPr>
            <w:tcW w:w="586" w:type="pct"/>
            <w:noWrap w:val="0"/>
            <w:vAlign w:val="center"/>
          </w:tcPr>
          <w:p w14:paraId="1D4290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57041D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30</w:t>
            </w:r>
          </w:p>
        </w:tc>
        <w:tc>
          <w:tcPr>
            <w:tcW w:w="911" w:type="dxa"/>
            <w:noWrap w:val="0"/>
            <w:vAlign w:val="center"/>
          </w:tcPr>
          <w:p w14:paraId="6DC071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40</w:t>
            </w:r>
          </w:p>
        </w:tc>
        <w:tc>
          <w:tcPr>
            <w:tcW w:w="1347" w:type="pct"/>
            <w:vMerge w:val="continue"/>
            <w:noWrap w:val="0"/>
            <w:vAlign w:val="center"/>
          </w:tcPr>
          <w:p w14:paraId="65D842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3250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E5E28B3">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12</w:t>
            </w:r>
          </w:p>
        </w:tc>
        <w:tc>
          <w:tcPr>
            <w:tcW w:w="1612" w:type="pct"/>
            <w:noWrap w:val="0"/>
            <w:vAlign w:val="center"/>
          </w:tcPr>
          <w:p w14:paraId="79330B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闫家村</w:t>
            </w:r>
          </w:p>
        </w:tc>
        <w:tc>
          <w:tcPr>
            <w:tcW w:w="586" w:type="pct"/>
            <w:noWrap w:val="0"/>
            <w:vAlign w:val="center"/>
          </w:tcPr>
          <w:p w14:paraId="3F051F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25E183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4700</w:t>
            </w:r>
          </w:p>
        </w:tc>
        <w:tc>
          <w:tcPr>
            <w:tcW w:w="911" w:type="dxa"/>
            <w:noWrap w:val="0"/>
            <w:vAlign w:val="center"/>
          </w:tcPr>
          <w:p w14:paraId="37DC68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0</w:t>
            </w:r>
            <w:r>
              <w:rPr>
                <w:rFonts w:hint="eastAsia" w:cs="Times New Roman"/>
                <w:color w:val="auto"/>
                <w:spacing w:val="0"/>
                <w:position w:val="0"/>
                <w:sz w:val="21"/>
                <w:szCs w:val="21"/>
                <w:highlight w:val="none"/>
                <w:lang w:val="en-US" w:eastAsia="zh-CN"/>
              </w:rPr>
              <w:t>6</w:t>
            </w:r>
          </w:p>
        </w:tc>
        <w:tc>
          <w:tcPr>
            <w:tcW w:w="1347" w:type="pct"/>
            <w:vMerge w:val="continue"/>
            <w:noWrap w:val="0"/>
            <w:vAlign w:val="center"/>
          </w:tcPr>
          <w:p w14:paraId="22531A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4897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673D18F">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13</w:t>
            </w:r>
          </w:p>
        </w:tc>
        <w:tc>
          <w:tcPr>
            <w:tcW w:w="1612" w:type="pct"/>
            <w:noWrap w:val="0"/>
            <w:vAlign w:val="center"/>
          </w:tcPr>
          <w:p w14:paraId="48EAED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高家庄</w:t>
            </w:r>
          </w:p>
        </w:tc>
        <w:tc>
          <w:tcPr>
            <w:tcW w:w="586" w:type="pct"/>
            <w:noWrap w:val="0"/>
            <w:vAlign w:val="center"/>
          </w:tcPr>
          <w:p w14:paraId="578EDE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79038D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eastAsia"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700</w:t>
            </w:r>
          </w:p>
        </w:tc>
        <w:tc>
          <w:tcPr>
            <w:tcW w:w="911" w:type="dxa"/>
            <w:noWrap w:val="0"/>
            <w:vAlign w:val="center"/>
          </w:tcPr>
          <w:p w14:paraId="11112E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92</w:t>
            </w:r>
          </w:p>
        </w:tc>
        <w:tc>
          <w:tcPr>
            <w:tcW w:w="1347" w:type="pct"/>
            <w:vMerge w:val="continue"/>
            <w:noWrap w:val="0"/>
            <w:vAlign w:val="center"/>
          </w:tcPr>
          <w:p w14:paraId="5D3F1B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1410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DD23A3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14</w:t>
            </w:r>
          </w:p>
        </w:tc>
        <w:tc>
          <w:tcPr>
            <w:tcW w:w="1612" w:type="pct"/>
            <w:noWrap w:val="0"/>
            <w:vAlign w:val="center"/>
          </w:tcPr>
          <w:p w14:paraId="107797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曹家社区</w:t>
            </w:r>
          </w:p>
        </w:tc>
        <w:tc>
          <w:tcPr>
            <w:tcW w:w="586" w:type="pct"/>
            <w:noWrap w:val="0"/>
            <w:vAlign w:val="center"/>
          </w:tcPr>
          <w:p w14:paraId="4DE7F8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5AA07D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2800</w:t>
            </w:r>
          </w:p>
        </w:tc>
        <w:tc>
          <w:tcPr>
            <w:tcW w:w="911" w:type="dxa"/>
            <w:noWrap w:val="0"/>
            <w:vAlign w:val="center"/>
          </w:tcPr>
          <w:p w14:paraId="1C62E7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10</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w:t>
            </w:r>
          </w:p>
        </w:tc>
        <w:tc>
          <w:tcPr>
            <w:tcW w:w="1347" w:type="pct"/>
            <w:vMerge w:val="continue"/>
            <w:noWrap w:val="0"/>
            <w:vAlign w:val="center"/>
          </w:tcPr>
          <w:p w14:paraId="4DDB65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40EB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4DB747A">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15</w:t>
            </w:r>
          </w:p>
        </w:tc>
        <w:tc>
          <w:tcPr>
            <w:tcW w:w="1612" w:type="pct"/>
            <w:noWrap w:val="0"/>
            <w:vAlign w:val="center"/>
          </w:tcPr>
          <w:p w14:paraId="1DDE03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毛托村</w:t>
            </w:r>
          </w:p>
        </w:tc>
        <w:tc>
          <w:tcPr>
            <w:tcW w:w="586" w:type="pct"/>
            <w:noWrap w:val="0"/>
            <w:vAlign w:val="center"/>
          </w:tcPr>
          <w:p w14:paraId="736FAB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w:t>
            </w:r>
          </w:p>
        </w:tc>
        <w:tc>
          <w:tcPr>
            <w:tcW w:w="1122" w:type="dxa"/>
            <w:noWrap w:val="0"/>
            <w:vAlign w:val="center"/>
          </w:tcPr>
          <w:p w14:paraId="5DBE16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eastAsia"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900</w:t>
            </w:r>
          </w:p>
        </w:tc>
        <w:tc>
          <w:tcPr>
            <w:tcW w:w="911" w:type="dxa"/>
            <w:noWrap w:val="0"/>
            <w:vAlign w:val="center"/>
          </w:tcPr>
          <w:p w14:paraId="328665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1</w:t>
            </w:r>
            <w:r>
              <w:rPr>
                <w:rFonts w:hint="default" w:ascii="Times New Roman" w:hAnsi="Times New Roman" w:eastAsia="宋体" w:cs="Times New Roman"/>
                <w:color w:val="auto"/>
                <w:spacing w:val="0"/>
                <w:position w:val="0"/>
                <w:sz w:val="21"/>
                <w:szCs w:val="21"/>
                <w:highlight w:val="none"/>
                <w:lang w:val="en-US" w:eastAsia="zh-CN"/>
              </w:rPr>
              <w:t>208</w:t>
            </w:r>
          </w:p>
        </w:tc>
        <w:tc>
          <w:tcPr>
            <w:tcW w:w="1347" w:type="pct"/>
            <w:vMerge w:val="continue"/>
            <w:noWrap w:val="0"/>
            <w:vAlign w:val="center"/>
          </w:tcPr>
          <w:p w14:paraId="00675D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0D68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6F4DB64">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16</w:t>
            </w:r>
          </w:p>
        </w:tc>
        <w:tc>
          <w:tcPr>
            <w:tcW w:w="1612" w:type="pct"/>
            <w:noWrap w:val="0"/>
            <w:vAlign w:val="center"/>
          </w:tcPr>
          <w:p w14:paraId="0197DA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傅家庄</w:t>
            </w:r>
          </w:p>
        </w:tc>
        <w:tc>
          <w:tcPr>
            <w:tcW w:w="586" w:type="pct"/>
            <w:noWrap w:val="0"/>
            <w:vAlign w:val="center"/>
          </w:tcPr>
          <w:p w14:paraId="5EA45D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4DA860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4140</w:t>
            </w:r>
          </w:p>
        </w:tc>
        <w:tc>
          <w:tcPr>
            <w:tcW w:w="911" w:type="dxa"/>
            <w:noWrap w:val="0"/>
            <w:vAlign w:val="center"/>
          </w:tcPr>
          <w:p w14:paraId="193AEF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650</w:t>
            </w:r>
          </w:p>
        </w:tc>
        <w:tc>
          <w:tcPr>
            <w:tcW w:w="1347" w:type="pct"/>
            <w:vMerge w:val="continue"/>
            <w:noWrap w:val="0"/>
            <w:vAlign w:val="center"/>
          </w:tcPr>
          <w:p w14:paraId="1D71CB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4C65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F006CEC">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17</w:t>
            </w:r>
          </w:p>
        </w:tc>
        <w:tc>
          <w:tcPr>
            <w:tcW w:w="1612" w:type="pct"/>
            <w:noWrap w:val="0"/>
            <w:vAlign w:val="center"/>
          </w:tcPr>
          <w:p w14:paraId="28D3F1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段家庄</w:t>
            </w:r>
          </w:p>
        </w:tc>
        <w:tc>
          <w:tcPr>
            <w:tcW w:w="586" w:type="pct"/>
            <w:noWrap w:val="0"/>
            <w:vAlign w:val="center"/>
          </w:tcPr>
          <w:p w14:paraId="299C76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15D61E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4550</w:t>
            </w:r>
          </w:p>
        </w:tc>
        <w:tc>
          <w:tcPr>
            <w:tcW w:w="911" w:type="dxa"/>
            <w:noWrap w:val="0"/>
            <w:vAlign w:val="center"/>
          </w:tcPr>
          <w:p w14:paraId="368CDA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582</w:t>
            </w:r>
          </w:p>
        </w:tc>
        <w:tc>
          <w:tcPr>
            <w:tcW w:w="1347" w:type="pct"/>
            <w:vMerge w:val="continue"/>
            <w:noWrap w:val="0"/>
            <w:vAlign w:val="center"/>
          </w:tcPr>
          <w:p w14:paraId="548953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1AC9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484AC7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18</w:t>
            </w:r>
          </w:p>
        </w:tc>
        <w:tc>
          <w:tcPr>
            <w:tcW w:w="1612" w:type="pct"/>
            <w:noWrap w:val="0"/>
            <w:vAlign w:val="center"/>
          </w:tcPr>
          <w:p w14:paraId="697215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槐行村</w:t>
            </w:r>
          </w:p>
        </w:tc>
        <w:tc>
          <w:tcPr>
            <w:tcW w:w="586" w:type="pct"/>
            <w:noWrap w:val="0"/>
            <w:vAlign w:val="center"/>
          </w:tcPr>
          <w:p w14:paraId="0393B2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NE</w:t>
            </w:r>
          </w:p>
        </w:tc>
        <w:tc>
          <w:tcPr>
            <w:tcW w:w="1122" w:type="dxa"/>
            <w:noWrap w:val="0"/>
            <w:vAlign w:val="center"/>
          </w:tcPr>
          <w:p w14:paraId="2EFB52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4000</w:t>
            </w:r>
          </w:p>
        </w:tc>
        <w:tc>
          <w:tcPr>
            <w:tcW w:w="911" w:type="dxa"/>
            <w:noWrap w:val="0"/>
            <w:vAlign w:val="center"/>
          </w:tcPr>
          <w:p w14:paraId="170C8A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800</w:t>
            </w:r>
          </w:p>
        </w:tc>
        <w:tc>
          <w:tcPr>
            <w:tcW w:w="1347" w:type="pct"/>
            <w:vMerge w:val="continue"/>
            <w:noWrap w:val="0"/>
            <w:vAlign w:val="center"/>
          </w:tcPr>
          <w:p w14:paraId="56436F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656E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1B58B8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19</w:t>
            </w:r>
          </w:p>
        </w:tc>
        <w:tc>
          <w:tcPr>
            <w:tcW w:w="1612" w:type="pct"/>
            <w:noWrap w:val="0"/>
            <w:vAlign w:val="center"/>
          </w:tcPr>
          <w:p w14:paraId="6E690C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大杨庄村</w:t>
            </w:r>
          </w:p>
        </w:tc>
        <w:tc>
          <w:tcPr>
            <w:tcW w:w="586" w:type="pct"/>
            <w:noWrap w:val="0"/>
            <w:vAlign w:val="center"/>
          </w:tcPr>
          <w:p w14:paraId="3E60C0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06835E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3600</w:t>
            </w:r>
          </w:p>
        </w:tc>
        <w:tc>
          <w:tcPr>
            <w:tcW w:w="911" w:type="dxa"/>
            <w:noWrap w:val="0"/>
            <w:vAlign w:val="center"/>
          </w:tcPr>
          <w:p w14:paraId="573ABB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804</w:t>
            </w:r>
          </w:p>
        </w:tc>
        <w:tc>
          <w:tcPr>
            <w:tcW w:w="1347" w:type="pct"/>
            <w:vMerge w:val="continue"/>
            <w:noWrap w:val="0"/>
            <w:vAlign w:val="center"/>
          </w:tcPr>
          <w:p w14:paraId="2E14FD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203E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8B3703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20</w:t>
            </w:r>
          </w:p>
        </w:tc>
        <w:tc>
          <w:tcPr>
            <w:tcW w:w="1612" w:type="pct"/>
            <w:noWrap w:val="0"/>
            <w:vAlign w:val="center"/>
          </w:tcPr>
          <w:p w14:paraId="798684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小杨庄村</w:t>
            </w:r>
          </w:p>
        </w:tc>
        <w:tc>
          <w:tcPr>
            <w:tcW w:w="586" w:type="pct"/>
            <w:noWrap w:val="0"/>
            <w:vAlign w:val="center"/>
          </w:tcPr>
          <w:p w14:paraId="133D28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7CA137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3500</w:t>
            </w:r>
          </w:p>
        </w:tc>
        <w:tc>
          <w:tcPr>
            <w:tcW w:w="911" w:type="dxa"/>
            <w:noWrap w:val="0"/>
            <w:vAlign w:val="center"/>
          </w:tcPr>
          <w:p w14:paraId="7BA26A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800</w:t>
            </w:r>
          </w:p>
        </w:tc>
        <w:tc>
          <w:tcPr>
            <w:tcW w:w="1347" w:type="pct"/>
            <w:vMerge w:val="continue"/>
            <w:noWrap w:val="0"/>
            <w:vAlign w:val="center"/>
          </w:tcPr>
          <w:p w14:paraId="681C11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55F5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DA5B015">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21</w:t>
            </w:r>
          </w:p>
        </w:tc>
        <w:tc>
          <w:tcPr>
            <w:tcW w:w="1612" w:type="pct"/>
            <w:noWrap w:val="0"/>
            <w:vAlign w:val="center"/>
          </w:tcPr>
          <w:p w14:paraId="1A34C0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侯家屯</w:t>
            </w:r>
          </w:p>
        </w:tc>
        <w:tc>
          <w:tcPr>
            <w:tcW w:w="586" w:type="pct"/>
            <w:noWrap w:val="0"/>
            <w:vAlign w:val="center"/>
          </w:tcPr>
          <w:p w14:paraId="3C77EE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w:t>
            </w:r>
          </w:p>
        </w:tc>
        <w:tc>
          <w:tcPr>
            <w:tcW w:w="1122" w:type="dxa"/>
            <w:noWrap w:val="0"/>
            <w:vAlign w:val="center"/>
          </w:tcPr>
          <w:p w14:paraId="4AD848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eastAsia" w:cs="Times New Roman"/>
                <w:caps w:val="0"/>
                <w:smallCaps w:val="0"/>
                <w:color w:val="auto"/>
                <w:spacing w:val="0"/>
                <w:position w:val="0"/>
                <w:sz w:val="21"/>
                <w:szCs w:val="21"/>
                <w:highlight w:val="none"/>
                <w:lang w:val="en-US" w:eastAsia="zh-CN"/>
              </w:rPr>
              <w:t>5</w:t>
            </w:r>
            <w:r>
              <w:rPr>
                <w:rFonts w:hint="default" w:ascii="Times New Roman" w:hAnsi="Times New Roman" w:eastAsia="宋体" w:cs="Times New Roman"/>
                <w:caps w:val="0"/>
                <w:smallCaps w:val="0"/>
                <w:color w:val="auto"/>
                <w:spacing w:val="0"/>
                <w:position w:val="0"/>
                <w:sz w:val="21"/>
                <w:szCs w:val="21"/>
                <w:highlight w:val="none"/>
                <w:lang w:val="en-US" w:eastAsia="zh-CN"/>
              </w:rPr>
              <w:t>170</w:t>
            </w:r>
          </w:p>
        </w:tc>
        <w:tc>
          <w:tcPr>
            <w:tcW w:w="911" w:type="dxa"/>
            <w:noWrap w:val="0"/>
            <w:vAlign w:val="center"/>
          </w:tcPr>
          <w:p w14:paraId="4CFE38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3000</w:t>
            </w:r>
          </w:p>
        </w:tc>
        <w:tc>
          <w:tcPr>
            <w:tcW w:w="1347" w:type="pct"/>
            <w:vMerge w:val="continue"/>
            <w:noWrap w:val="0"/>
            <w:vAlign w:val="center"/>
          </w:tcPr>
          <w:p w14:paraId="521E4FF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3AFA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33E5847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22</w:t>
            </w:r>
          </w:p>
        </w:tc>
        <w:tc>
          <w:tcPr>
            <w:tcW w:w="1612" w:type="pct"/>
            <w:noWrap w:val="0"/>
            <w:vAlign w:val="center"/>
          </w:tcPr>
          <w:p w14:paraId="16B12E0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李家屯</w:t>
            </w:r>
          </w:p>
        </w:tc>
        <w:tc>
          <w:tcPr>
            <w:tcW w:w="586" w:type="pct"/>
            <w:noWrap w:val="0"/>
            <w:vAlign w:val="center"/>
          </w:tcPr>
          <w:p w14:paraId="60428B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w:t>
            </w:r>
          </w:p>
        </w:tc>
        <w:tc>
          <w:tcPr>
            <w:tcW w:w="1122" w:type="dxa"/>
            <w:noWrap w:val="0"/>
            <w:vAlign w:val="center"/>
          </w:tcPr>
          <w:p w14:paraId="70F2BF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4350</w:t>
            </w:r>
          </w:p>
        </w:tc>
        <w:tc>
          <w:tcPr>
            <w:tcW w:w="911" w:type="dxa"/>
            <w:noWrap w:val="0"/>
            <w:vAlign w:val="center"/>
          </w:tcPr>
          <w:p w14:paraId="7B49ED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350</w:t>
            </w:r>
          </w:p>
        </w:tc>
        <w:tc>
          <w:tcPr>
            <w:tcW w:w="1347" w:type="pct"/>
            <w:vMerge w:val="continue"/>
            <w:noWrap w:val="0"/>
            <w:vAlign w:val="center"/>
          </w:tcPr>
          <w:p w14:paraId="0A0116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536F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8DB776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23</w:t>
            </w:r>
          </w:p>
        </w:tc>
        <w:tc>
          <w:tcPr>
            <w:tcW w:w="1612" w:type="pct"/>
            <w:noWrap w:val="0"/>
            <w:vAlign w:val="center"/>
          </w:tcPr>
          <w:p w14:paraId="066D14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乌河</w:t>
            </w:r>
          </w:p>
        </w:tc>
        <w:tc>
          <w:tcPr>
            <w:tcW w:w="586" w:type="pct"/>
            <w:noWrap w:val="0"/>
            <w:vAlign w:val="center"/>
          </w:tcPr>
          <w:p w14:paraId="0AC6DD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NE</w:t>
            </w:r>
          </w:p>
        </w:tc>
        <w:tc>
          <w:tcPr>
            <w:tcW w:w="1122" w:type="dxa"/>
            <w:noWrap w:val="0"/>
            <w:vAlign w:val="center"/>
          </w:tcPr>
          <w:p w14:paraId="4795A7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eastAsia" w:cs="Times New Roman"/>
                <w:caps w:val="0"/>
                <w:smallCaps w:val="0"/>
                <w:color w:val="auto"/>
                <w:spacing w:val="0"/>
                <w:position w:val="0"/>
                <w:sz w:val="21"/>
                <w:szCs w:val="21"/>
                <w:lang w:val="en-US" w:eastAsia="zh-CN"/>
              </w:rPr>
              <w:t>4200</w:t>
            </w:r>
          </w:p>
        </w:tc>
        <w:tc>
          <w:tcPr>
            <w:tcW w:w="911" w:type="dxa"/>
            <w:noWrap w:val="0"/>
            <w:vAlign w:val="center"/>
          </w:tcPr>
          <w:p w14:paraId="2F6E0A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w:t>
            </w:r>
          </w:p>
        </w:tc>
        <w:tc>
          <w:tcPr>
            <w:tcW w:w="1347" w:type="pct"/>
            <w:vMerge w:val="continue"/>
            <w:noWrap w:val="0"/>
            <w:vAlign w:val="center"/>
          </w:tcPr>
          <w:p w14:paraId="74997E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5082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C895898">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24</w:t>
            </w:r>
          </w:p>
        </w:tc>
        <w:tc>
          <w:tcPr>
            <w:tcW w:w="1612" w:type="pct"/>
            <w:noWrap w:val="0"/>
            <w:vAlign w:val="center"/>
          </w:tcPr>
          <w:p w14:paraId="52C3FD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山东隆信药业有限公司</w:t>
            </w:r>
          </w:p>
        </w:tc>
        <w:tc>
          <w:tcPr>
            <w:tcW w:w="586" w:type="pct"/>
            <w:noWrap w:val="0"/>
            <w:vAlign w:val="center"/>
          </w:tcPr>
          <w:p w14:paraId="5F7A2F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olor w:val="auto"/>
                <w:kern w:val="0"/>
                <w:sz w:val="21"/>
                <w:szCs w:val="21"/>
                <w:highlight w:val="none"/>
                <w:lang w:val="en-US" w:eastAsia="zh-CN" w:bidi="ar"/>
              </w:rPr>
              <w:t>W</w:t>
            </w:r>
          </w:p>
        </w:tc>
        <w:tc>
          <w:tcPr>
            <w:tcW w:w="1122" w:type="dxa"/>
            <w:noWrap w:val="0"/>
            <w:vAlign w:val="center"/>
          </w:tcPr>
          <w:p w14:paraId="0B65E0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50</w:t>
            </w:r>
          </w:p>
        </w:tc>
        <w:tc>
          <w:tcPr>
            <w:tcW w:w="911" w:type="dxa"/>
            <w:noWrap w:val="0"/>
            <w:vAlign w:val="center"/>
          </w:tcPr>
          <w:p w14:paraId="530BC5C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240</w:t>
            </w:r>
          </w:p>
        </w:tc>
        <w:tc>
          <w:tcPr>
            <w:tcW w:w="1347" w:type="pct"/>
            <w:vMerge w:val="continue"/>
            <w:noWrap w:val="0"/>
            <w:vAlign w:val="center"/>
          </w:tcPr>
          <w:p w14:paraId="7D279D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701D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20C182F">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25</w:t>
            </w:r>
          </w:p>
        </w:tc>
        <w:tc>
          <w:tcPr>
            <w:tcW w:w="1612" w:type="pct"/>
            <w:noWrap w:val="0"/>
            <w:vAlign w:val="center"/>
          </w:tcPr>
          <w:p w14:paraId="52A709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淄博元齐生物科技有限公司</w:t>
            </w:r>
          </w:p>
        </w:tc>
        <w:tc>
          <w:tcPr>
            <w:tcW w:w="586" w:type="pct"/>
            <w:noWrap w:val="0"/>
            <w:vAlign w:val="center"/>
          </w:tcPr>
          <w:p w14:paraId="2576518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highlight w:val="none"/>
                <w:lang w:val="en-US" w:eastAsia="zh-CN"/>
              </w:rPr>
              <w:t>S</w:t>
            </w:r>
          </w:p>
        </w:tc>
        <w:tc>
          <w:tcPr>
            <w:tcW w:w="1122" w:type="dxa"/>
            <w:noWrap w:val="0"/>
            <w:vAlign w:val="center"/>
          </w:tcPr>
          <w:p w14:paraId="1E301BE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4</w:t>
            </w:r>
            <w:r>
              <w:rPr>
                <w:rFonts w:hint="eastAsia" w:ascii="Times New Roman" w:hAnsi="Times New Roman" w:eastAsia="宋体" w:cs="Times New Roman"/>
                <w:caps w:val="0"/>
                <w:smallCaps w:val="0"/>
                <w:color w:val="auto"/>
                <w:spacing w:val="0"/>
                <w:position w:val="0"/>
                <w:sz w:val="21"/>
                <w:szCs w:val="21"/>
                <w:lang w:val="en-US" w:eastAsia="zh-CN"/>
              </w:rPr>
              <w:t>0</w:t>
            </w:r>
          </w:p>
        </w:tc>
        <w:tc>
          <w:tcPr>
            <w:tcW w:w="911" w:type="dxa"/>
            <w:noWrap w:val="0"/>
            <w:vAlign w:val="center"/>
          </w:tcPr>
          <w:p w14:paraId="1A478B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35</w:t>
            </w:r>
          </w:p>
        </w:tc>
        <w:tc>
          <w:tcPr>
            <w:tcW w:w="1347" w:type="pct"/>
            <w:vMerge w:val="continue"/>
            <w:noWrap w:val="0"/>
            <w:vAlign w:val="center"/>
          </w:tcPr>
          <w:p w14:paraId="7F874E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37A7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CFF7067">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26</w:t>
            </w:r>
          </w:p>
        </w:tc>
        <w:tc>
          <w:tcPr>
            <w:tcW w:w="1612" w:type="pct"/>
            <w:noWrap w:val="0"/>
            <w:vAlign w:val="center"/>
          </w:tcPr>
          <w:p w14:paraId="2054F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000000" w:themeColor="text1"/>
                <w:lang w:eastAsia="zh-CN"/>
                <w14:textFill>
                  <w14:solidFill>
                    <w14:schemeClr w14:val="tx1"/>
                  </w14:solidFill>
                </w14:textFill>
              </w:rPr>
              <w:t>淄博鲁格宝化工有限公司</w:t>
            </w:r>
          </w:p>
        </w:tc>
        <w:tc>
          <w:tcPr>
            <w:tcW w:w="586" w:type="pct"/>
            <w:noWrap w:val="0"/>
            <w:vAlign w:val="center"/>
          </w:tcPr>
          <w:p w14:paraId="655016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081106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443</w:t>
            </w:r>
          </w:p>
        </w:tc>
        <w:tc>
          <w:tcPr>
            <w:tcW w:w="911" w:type="dxa"/>
            <w:noWrap w:val="0"/>
            <w:vAlign w:val="center"/>
          </w:tcPr>
          <w:p w14:paraId="2D0FFC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22</w:t>
            </w:r>
          </w:p>
        </w:tc>
        <w:tc>
          <w:tcPr>
            <w:tcW w:w="1347" w:type="pct"/>
            <w:vMerge w:val="continue"/>
            <w:noWrap w:val="0"/>
            <w:vAlign w:val="center"/>
          </w:tcPr>
          <w:p w14:paraId="3747AD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0BC1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A1868F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27</w:t>
            </w:r>
          </w:p>
        </w:tc>
        <w:tc>
          <w:tcPr>
            <w:tcW w:w="1612" w:type="pct"/>
            <w:noWrap w:val="0"/>
            <w:vAlign w:val="center"/>
          </w:tcPr>
          <w:p w14:paraId="23D4A9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山东旭益强化工有限公司</w:t>
            </w:r>
          </w:p>
        </w:tc>
        <w:tc>
          <w:tcPr>
            <w:tcW w:w="586" w:type="pct"/>
            <w:noWrap w:val="0"/>
            <w:vAlign w:val="center"/>
          </w:tcPr>
          <w:p w14:paraId="4C41A7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W</w:t>
            </w:r>
            <w:r>
              <w:rPr>
                <w:rFonts w:hint="eastAsia" w:ascii="Times New Roman" w:hAnsi="Times New Roman" w:eastAsia="宋体" w:cs="Times New Roman"/>
                <w:caps w:val="0"/>
                <w:smallCaps w:val="0"/>
                <w:color w:val="auto"/>
                <w:spacing w:val="0"/>
                <w:position w:val="0"/>
                <w:sz w:val="21"/>
                <w:szCs w:val="21"/>
                <w:highlight w:val="none"/>
                <w:lang w:val="en-US" w:eastAsia="zh-CN"/>
              </w:rPr>
              <w:t>S</w:t>
            </w:r>
          </w:p>
        </w:tc>
        <w:tc>
          <w:tcPr>
            <w:tcW w:w="1122" w:type="dxa"/>
            <w:noWrap w:val="0"/>
            <w:vAlign w:val="center"/>
          </w:tcPr>
          <w:p w14:paraId="7C7472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289</w:t>
            </w:r>
          </w:p>
        </w:tc>
        <w:tc>
          <w:tcPr>
            <w:tcW w:w="911" w:type="dxa"/>
            <w:noWrap w:val="0"/>
            <w:vAlign w:val="center"/>
          </w:tcPr>
          <w:p w14:paraId="46A160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30</w:t>
            </w:r>
          </w:p>
        </w:tc>
        <w:tc>
          <w:tcPr>
            <w:tcW w:w="1347" w:type="pct"/>
            <w:vMerge w:val="continue"/>
            <w:noWrap w:val="0"/>
            <w:vAlign w:val="center"/>
          </w:tcPr>
          <w:p w14:paraId="53D11E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098A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24FBE0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地表水</w:t>
            </w:r>
          </w:p>
        </w:tc>
        <w:tc>
          <w:tcPr>
            <w:tcW w:w="586" w:type="pct"/>
            <w:noWrap w:val="0"/>
            <w:vAlign w:val="center"/>
          </w:tcPr>
          <w:p w14:paraId="2FC2CB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lang w:eastAsia="zh-CN"/>
              </w:rPr>
              <w:t>淄</w:t>
            </w:r>
            <w:r>
              <w:rPr>
                <w:rFonts w:hint="eastAsia"/>
              </w:rPr>
              <w:t>河</w:t>
            </w:r>
          </w:p>
        </w:tc>
        <w:tc>
          <w:tcPr>
            <w:tcW w:w="2538" w:type="pct"/>
            <w:gridSpan w:val="3"/>
            <w:noWrap w:val="0"/>
            <w:vAlign w:val="center"/>
          </w:tcPr>
          <w:p w14:paraId="7222D2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 xml:space="preserve">《地表水环境质量标准》(GB3838-2002) </w:t>
            </w:r>
            <w:r>
              <w:rPr>
                <w:rFonts w:hint="eastAsia" w:ascii="宋体" w:hAnsi="宋体" w:eastAsia="宋体" w:cs="宋体"/>
                <w:color w:val="000000" w:themeColor="text1"/>
                <w:sz w:val="24"/>
                <w:szCs w:val="24"/>
                <w:lang w:eastAsia="zh-CN"/>
                <w14:textFill>
                  <w14:solidFill>
                    <w14:schemeClr w14:val="tx1"/>
                  </w14:solidFill>
                </w14:textFill>
              </w:rPr>
              <w:t>Ⅳ</w:t>
            </w:r>
            <w:r>
              <w:rPr>
                <w:rFonts w:hint="default" w:ascii="Times New Roman" w:hAnsi="Times New Roman" w:eastAsia="宋体" w:cs="Times New Roman"/>
                <w:caps w:val="0"/>
                <w:smallCaps w:val="0"/>
                <w:color w:val="auto"/>
                <w:spacing w:val="0"/>
                <w:position w:val="0"/>
                <w:sz w:val="21"/>
                <w:szCs w:val="21"/>
                <w:lang w:val="en-US" w:eastAsia="zh-CN"/>
              </w:rPr>
              <w:t xml:space="preserve"> 类标准</w:t>
            </w:r>
          </w:p>
        </w:tc>
      </w:tr>
      <w:tr w14:paraId="4CDE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28BB52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地下水</w:t>
            </w:r>
          </w:p>
        </w:tc>
        <w:tc>
          <w:tcPr>
            <w:tcW w:w="586" w:type="pct"/>
            <w:noWrap w:val="0"/>
            <w:vAlign w:val="center"/>
          </w:tcPr>
          <w:p w14:paraId="5965A6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自备井</w:t>
            </w:r>
          </w:p>
        </w:tc>
        <w:tc>
          <w:tcPr>
            <w:tcW w:w="2538" w:type="pct"/>
            <w:gridSpan w:val="3"/>
            <w:noWrap w:val="0"/>
            <w:vAlign w:val="center"/>
          </w:tcPr>
          <w:p w14:paraId="2C3E0F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《地下水质量标准》（GB/T14848-2017）III 类区</w:t>
            </w:r>
          </w:p>
        </w:tc>
      </w:tr>
      <w:tr w14:paraId="7B39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4300D96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土壤</w:t>
            </w:r>
          </w:p>
        </w:tc>
        <w:tc>
          <w:tcPr>
            <w:tcW w:w="586" w:type="pct"/>
            <w:noWrap w:val="0"/>
            <w:vAlign w:val="center"/>
          </w:tcPr>
          <w:p w14:paraId="7B8133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厂界周边</w:t>
            </w:r>
          </w:p>
        </w:tc>
        <w:tc>
          <w:tcPr>
            <w:tcW w:w="2538" w:type="pct"/>
            <w:gridSpan w:val="3"/>
            <w:noWrap w:val="0"/>
            <w:vAlign w:val="center"/>
          </w:tcPr>
          <w:p w14:paraId="5653C8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《土壤环境质量标准》（GB36600-2018）第二类用地筛选值</w:t>
            </w:r>
          </w:p>
        </w:tc>
      </w:tr>
    </w:tbl>
    <w:p w14:paraId="3E325C7D">
      <w:pPr>
        <w:keepNext w:val="0"/>
        <w:keepLines w:val="0"/>
        <w:pageBreakBefore w:val="0"/>
        <w:widowControl w:val="0"/>
        <w:kinsoku/>
        <w:wordWrap/>
        <w:overflowPunct/>
        <w:topLinePunct w:val="0"/>
        <w:autoSpaceDE/>
        <w:autoSpaceDN/>
        <w:bidi w:val="0"/>
        <w:adjustRightInd/>
        <w:snapToGrid/>
        <w:spacing w:before="240" w:beforeLines="100" w:line="360" w:lineRule="auto"/>
        <w:ind w:firstLine="480" w:firstLineChars="200"/>
        <w:textAlignment w:val="auto"/>
        <w:outlineLvl w:val="9"/>
        <w:rPr>
          <w:rFonts w:hint="default" w:cs="Times New Roman"/>
          <w:b w:val="0"/>
          <w:bCs/>
          <w:color w:val="000000" w:themeColor="text1"/>
          <w:sz w:val="24"/>
          <w:szCs w:val="18"/>
          <w:lang w:val="en-US" w:eastAsia="zh-CN"/>
          <w14:textFill>
            <w14:solidFill>
              <w14:schemeClr w14:val="tx1"/>
            </w14:solidFill>
          </w14:textFill>
        </w:rPr>
      </w:pPr>
      <w:bookmarkStart w:id="36" w:name="_Toc127256774"/>
      <w:bookmarkStart w:id="37" w:name="_Toc73285817"/>
      <w:bookmarkStart w:id="38" w:name="_Toc11383"/>
      <w:r>
        <w:rPr>
          <w:rFonts w:hint="eastAsia" w:cs="Times New Roman"/>
          <w:b w:val="0"/>
          <w:bCs/>
          <w:color w:val="000000" w:themeColor="text1"/>
          <w:sz w:val="24"/>
          <w:szCs w:val="18"/>
          <w:lang w:val="en-US" w:eastAsia="zh-CN"/>
          <w14:textFill>
            <w14:solidFill>
              <w14:schemeClr w14:val="tx1"/>
            </w14:solidFill>
          </w14:textFill>
        </w:rPr>
        <w:t>通过现场勘查，山东隆盛和助剂有限公司主要周边500米风险受体影响人数为327人，5km风险受体影响人数为24683人。</w:t>
      </w:r>
    </w:p>
    <w:p w14:paraId="463D324A">
      <w:pPr>
        <w:pStyle w:val="7"/>
        <w:spacing w:before="240" w:beforeLines="100"/>
        <w:rPr>
          <w:rFonts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3.3</w:t>
      </w:r>
      <w:r>
        <w:rPr>
          <w:rFonts w:cs="Times New Roman"/>
          <w:color w:val="000000" w:themeColor="text1"/>
          <w14:textFill>
            <w14:solidFill>
              <w14:schemeClr w14:val="tx1"/>
            </w14:solidFill>
          </w14:textFill>
        </w:rPr>
        <w:t>涉及环境风险物质情况</w:t>
      </w:r>
      <w:bookmarkEnd w:id="36"/>
      <w:bookmarkEnd w:id="37"/>
      <w:bookmarkEnd w:id="38"/>
    </w:p>
    <w:p w14:paraId="3CAA12AA">
      <w:pPr>
        <w:pStyle w:val="124"/>
        <w:rPr>
          <w:color w:val="000000" w:themeColor="text1"/>
          <w:lang w:eastAsia="zh-CN"/>
          <w14:textFill>
            <w14:solidFill>
              <w14:schemeClr w14:val="tx1"/>
            </w14:solidFill>
          </w14:textFill>
        </w:rPr>
      </w:pPr>
      <w:bookmarkStart w:id="39" w:name="_Hlk73514848"/>
      <w:r>
        <w:rPr>
          <w:color w:val="000000" w:themeColor="text1"/>
          <w:lang w:eastAsia="zh-CN"/>
          <w14:textFill>
            <w14:solidFill>
              <w14:schemeClr w14:val="tx1"/>
            </w14:solidFill>
          </w14:textFill>
        </w:rPr>
        <w:t>公司</w:t>
      </w:r>
      <w:r>
        <w:rPr>
          <w:rFonts w:hint="eastAsia"/>
          <w:color w:val="000000" w:themeColor="text1"/>
          <w:lang w:eastAsia="zh-CN"/>
          <w14:textFill>
            <w14:solidFill>
              <w14:schemeClr w14:val="tx1"/>
            </w14:solidFill>
          </w14:textFill>
        </w:rPr>
        <w:t>涉及环境</w:t>
      </w:r>
      <w:r>
        <w:rPr>
          <w:color w:val="000000" w:themeColor="text1"/>
          <w:lang w:eastAsia="zh-CN"/>
          <w14:textFill>
            <w14:solidFill>
              <w14:schemeClr w14:val="tx1"/>
            </w14:solidFill>
          </w14:textFill>
        </w:rPr>
        <w:t>风险物质</w:t>
      </w:r>
      <w:r>
        <w:rPr>
          <w:rFonts w:hint="eastAsia"/>
          <w:color w:val="000000" w:themeColor="text1"/>
          <w:lang w:eastAsia="zh-CN"/>
          <w14:textFill>
            <w14:solidFill>
              <w14:schemeClr w14:val="tx1"/>
            </w14:solidFill>
          </w14:textFill>
        </w:rPr>
        <w:t>情况</w:t>
      </w:r>
      <w:r>
        <w:rPr>
          <w:color w:val="000000" w:themeColor="text1"/>
          <w:lang w:eastAsia="zh-CN"/>
          <w14:textFill>
            <w14:solidFill>
              <w14:schemeClr w14:val="tx1"/>
            </w14:solidFill>
          </w14:textFill>
        </w:rPr>
        <w:t>见</w:t>
      </w:r>
      <w:r>
        <w:rPr>
          <w:color w:val="000000" w:themeColor="text1"/>
          <w:lang w:eastAsia="zh-CN"/>
          <w14:textFill>
            <w14:solidFill>
              <w14:schemeClr w14:val="tx1"/>
            </w14:solidFill>
          </w14:textFill>
        </w:rPr>
        <w:fldChar w:fldCharType="begin"/>
      </w:r>
      <w:r>
        <w:rPr>
          <w:color w:val="000000" w:themeColor="text1"/>
          <w:lang w:eastAsia="zh-CN"/>
          <w14:textFill>
            <w14:solidFill>
              <w14:schemeClr w14:val="tx1"/>
            </w14:solidFill>
          </w14:textFill>
        </w:rPr>
        <w:instrText xml:space="preserve"> REF _Ref95201787 \h  \* MERGEFORMAT </w:instrText>
      </w:r>
      <w:r>
        <w:rPr>
          <w:color w:val="000000" w:themeColor="text1"/>
          <w:lang w:eastAsia="zh-CN"/>
          <w14:textFill>
            <w14:solidFill>
              <w14:schemeClr w14:val="tx1"/>
            </w14:solidFill>
          </w14:textFill>
        </w:rPr>
        <w:fldChar w:fldCharType="separate"/>
      </w:r>
      <w:r>
        <w:rPr>
          <w:color w:val="000000" w:themeColor="text1"/>
          <w:lang w:eastAsia="zh-CN"/>
          <w14:textFill>
            <w14:solidFill>
              <w14:schemeClr w14:val="tx1"/>
            </w14:solidFill>
          </w14:textFill>
        </w:rPr>
        <w:t>表3.3</w:t>
      </w:r>
      <w:r>
        <w:rPr>
          <w:color w:val="000000" w:themeColor="text1"/>
          <w:lang w:eastAsia="zh-CN"/>
          <w14:textFill>
            <w14:solidFill>
              <w14:schemeClr w14:val="tx1"/>
            </w14:solidFill>
          </w14:textFill>
        </w:rPr>
        <w:noBreakHyphen/>
      </w:r>
      <w:r>
        <w:rPr>
          <w:color w:val="000000" w:themeColor="text1"/>
          <w:lang w:eastAsia="zh-CN"/>
          <w14:textFill>
            <w14:solidFill>
              <w14:schemeClr w14:val="tx1"/>
            </w14:solidFill>
          </w14:textFill>
        </w:rPr>
        <w:t>1</w:t>
      </w:r>
      <w:r>
        <w:rPr>
          <w:color w:val="000000" w:themeColor="text1"/>
          <w:lang w:eastAsia="zh-CN"/>
          <w14:textFill>
            <w14:solidFill>
              <w14:schemeClr w14:val="tx1"/>
            </w14:solidFill>
          </w14:textFill>
        </w:rPr>
        <w:fldChar w:fldCharType="end"/>
      </w:r>
      <w:r>
        <w:rPr>
          <w:color w:val="000000" w:themeColor="text1"/>
          <w:lang w:eastAsia="zh-CN"/>
          <w14:textFill>
            <w14:solidFill>
              <w14:schemeClr w14:val="tx1"/>
            </w14:solidFill>
          </w14:textFill>
        </w:rPr>
        <w:t>。</w:t>
      </w:r>
    </w:p>
    <w:bookmarkEnd w:id="39"/>
    <w:p w14:paraId="73DD062B">
      <w:pPr>
        <w:pStyle w:val="128"/>
        <w:spacing w:before="240" w:beforeLines="100" w:after="120" w:afterLines="50"/>
        <w:rPr>
          <w:color w:val="000000" w:themeColor="text1"/>
          <w14:textFill>
            <w14:solidFill>
              <w14:schemeClr w14:val="tx1"/>
            </w14:solidFill>
          </w14:textFill>
        </w:rPr>
      </w:pPr>
      <w:bookmarkStart w:id="40" w:name="_Ref95201787"/>
      <w:bookmarkStart w:id="41" w:name="_Hlk73514921"/>
      <w:r>
        <w:rPr>
          <w:color w:val="000000" w:themeColor="text1"/>
          <w14:textFill>
            <w14:solidFill>
              <w14:schemeClr w14:val="tx1"/>
            </w14:solidFill>
          </w14:textFill>
        </w:rPr>
        <w:t>表</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STYLEREF 2 \s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noBreakHyphen/>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SEQ 表格 \* ARABIC \s 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bookmarkEnd w:id="40"/>
      <w:r>
        <w:rPr>
          <w:color w:val="000000" w:themeColor="text1"/>
          <w14:textFill>
            <w14:solidFill>
              <w14:schemeClr w14:val="tx1"/>
            </w14:solidFill>
          </w14:textFill>
        </w:rPr>
        <w:t xml:space="preserve"> </w:t>
      </w:r>
      <w:bookmarkEnd w:id="41"/>
      <w:r>
        <w:rPr>
          <w:rFonts w:hint="eastAsia"/>
          <w:color w:val="000000" w:themeColor="text1"/>
          <w14:textFill>
            <w14:solidFill>
              <w14:schemeClr w14:val="tx1"/>
            </w14:solidFill>
          </w14:textFill>
        </w:rPr>
        <w:t>公司涉及风险物质情况一览表</w:t>
      </w:r>
    </w:p>
    <w:tbl>
      <w:tblPr>
        <w:tblStyle w:val="34"/>
        <w:tblW w:w="50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44"/>
        <w:gridCol w:w="1062"/>
        <w:gridCol w:w="955"/>
        <w:gridCol w:w="958"/>
        <w:gridCol w:w="990"/>
        <w:gridCol w:w="885"/>
        <w:gridCol w:w="557"/>
        <w:gridCol w:w="1125"/>
        <w:gridCol w:w="853"/>
        <w:gridCol w:w="870"/>
      </w:tblGrid>
      <w:tr w14:paraId="66F44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53" w:hRule="atLeast"/>
          <w:tblHeader/>
          <w:jc w:val="center"/>
        </w:trPr>
        <w:tc>
          <w:tcPr>
            <w:tcW w:w="4546" w:type="pct"/>
            <w:gridSpan w:val="9"/>
            <w:tcBorders>
              <w:tl2br w:val="nil"/>
              <w:tr2bl w:val="nil"/>
            </w:tcBorders>
            <w:noWrap/>
            <w:vAlign w:val="center"/>
          </w:tcPr>
          <w:p w14:paraId="524797D2">
            <w:pPr>
              <w:pStyle w:val="129"/>
              <w:keepNext w:val="0"/>
              <w:keepLines w:val="0"/>
              <w:suppressLineNumbers w:val="0"/>
              <w:spacing w:before="0" w:beforeAutospacing="0" w:after="0" w:afterAutospacing="0" w:line="360" w:lineRule="auto"/>
              <w:ind w:right="0"/>
              <w:jc w:val="center"/>
              <w:rPr>
                <w:rFonts w:hint="eastAsia" w:eastAsia="宋体"/>
                <w:b w:val="0"/>
                <w:bCs/>
                <w:lang w:eastAsia="zh-CN"/>
              </w:rPr>
            </w:pPr>
            <w:bookmarkStart w:id="42" w:name="_Hlk126329453"/>
            <w:r>
              <w:rPr>
                <w:rFonts w:hint="eastAsia" w:eastAsia="宋体"/>
                <w:b w:val="0"/>
                <w:bCs/>
                <w:lang w:eastAsia="zh-CN"/>
              </w:rPr>
              <w:t>原辅材料</w:t>
            </w:r>
          </w:p>
        </w:tc>
        <w:tc>
          <w:tcPr>
            <w:tcW w:w="453" w:type="pct"/>
            <w:tcBorders>
              <w:tl2br w:val="nil"/>
              <w:tr2bl w:val="nil"/>
            </w:tcBorders>
            <w:noWrap/>
            <w:vAlign w:val="center"/>
          </w:tcPr>
          <w:p w14:paraId="4B21C6E5">
            <w:pPr>
              <w:pStyle w:val="129"/>
              <w:keepNext w:val="0"/>
              <w:keepLines w:val="0"/>
              <w:suppressLineNumbers w:val="0"/>
              <w:spacing w:before="0" w:beforeAutospacing="0" w:after="0" w:afterAutospacing="0" w:line="360" w:lineRule="auto"/>
              <w:ind w:right="0"/>
              <w:jc w:val="center"/>
              <w:rPr>
                <w:rFonts w:hint="eastAsia" w:eastAsia="宋体"/>
                <w:b w:val="0"/>
                <w:bCs/>
                <w:lang w:eastAsia="zh-CN"/>
              </w:rPr>
            </w:pPr>
          </w:p>
        </w:tc>
      </w:tr>
      <w:tr w14:paraId="19C0D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2" w:hRule="atLeast"/>
          <w:tblHeader/>
          <w:jc w:val="center"/>
        </w:trPr>
        <w:tc>
          <w:tcPr>
            <w:tcW w:w="700" w:type="pct"/>
            <w:tcBorders>
              <w:tl2br w:val="nil"/>
              <w:tr2bl w:val="nil"/>
            </w:tcBorders>
            <w:noWrap/>
            <w:vAlign w:val="center"/>
          </w:tcPr>
          <w:p w14:paraId="0D79ED31">
            <w:pPr>
              <w:pStyle w:val="129"/>
              <w:keepNext w:val="0"/>
              <w:keepLines w:val="0"/>
              <w:suppressLineNumbers w:val="0"/>
              <w:spacing w:before="0" w:beforeAutospacing="0" w:after="0" w:afterAutospacing="0" w:line="360" w:lineRule="auto"/>
              <w:ind w:left="6" w:leftChars="0" w:right="0" w:hanging="6" w:hangingChars="3"/>
              <w:jc w:val="center"/>
              <w:rPr>
                <w:rFonts w:hint="eastAsia" w:ascii="Times New Roman" w:hAnsi="Times New Roman" w:eastAsia="宋体" w:cs="Times New Roman"/>
                <w:b/>
                <w:color w:val="000000"/>
                <w:kern w:val="2"/>
                <w:sz w:val="24"/>
                <w:szCs w:val="21"/>
                <w:lang w:val="zh-CN" w:eastAsia="zh-CN" w:bidi="ar-SA"/>
              </w:rPr>
            </w:pPr>
            <w:r>
              <w:rPr>
                <w:rFonts w:hint="eastAsia" w:eastAsia="宋体"/>
                <w:b w:val="0"/>
                <w:bCs/>
              </w:rPr>
              <w:t>风险物质名称</w:t>
            </w:r>
          </w:p>
        </w:tc>
        <w:tc>
          <w:tcPr>
            <w:tcW w:w="553" w:type="pct"/>
            <w:tcBorders>
              <w:tl2br w:val="nil"/>
              <w:tr2bl w:val="nil"/>
            </w:tcBorders>
            <w:noWrap w:val="0"/>
            <w:vAlign w:val="center"/>
          </w:tcPr>
          <w:p w14:paraId="2CB9503C">
            <w:pPr>
              <w:pStyle w:val="12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CAS号</w:t>
            </w:r>
          </w:p>
        </w:tc>
        <w:tc>
          <w:tcPr>
            <w:tcW w:w="497" w:type="pct"/>
            <w:tcBorders>
              <w:tl2br w:val="nil"/>
              <w:tr2bl w:val="nil"/>
            </w:tcBorders>
            <w:shd w:val="clear" w:color="auto" w:fill="auto"/>
            <w:noWrap w:val="0"/>
            <w:vAlign w:val="center"/>
          </w:tcPr>
          <w:p w14:paraId="3BF3058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SA"/>
              </w:rPr>
            </w:pPr>
            <w:r>
              <w:rPr>
                <w:rFonts w:hint="eastAsia"/>
                <w:color w:val="auto"/>
              </w:rPr>
              <w:t>储存位置</w:t>
            </w:r>
          </w:p>
        </w:tc>
        <w:tc>
          <w:tcPr>
            <w:tcW w:w="499" w:type="pct"/>
            <w:tcBorders>
              <w:tl2br w:val="nil"/>
              <w:tr2bl w:val="nil"/>
            </w:tcBorders>
            <w:shd w:val="clear" w:color="auto" w:fill="auto"/>
            <w:noWrap w:val="0"/>
            <w:vAlign w:val="center"/>
          </w:tcPr>
          <w:p w14:paraId="469CADB5">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zh-CN" w:eastAsia="zh-CN" w:bidi="ar-SA"/>
              </w:rPr>
            </w:pPr>
            <w:r>
              <w:rPr>
                <w:rFonts w:hint="eastAsia"/>
                <w:color w:val="auto"/>
              </w:rPr>
              <w:t>储存方式</w:t>
            </w:r>
          </w:p>
        </w:tc>
        <w:tc>
          <w:tcPr>
            <w:tcW w:w="515" w:type="pct"/>
            <w:tcBorders>
              <w:tl2br w:val="nil"/>
              <w:tr2bl w:val="nil"/>
            </w:tcBorders>
            <w:shd w:val="clear" w:color="auto" w:fill="auto"/>
            <w:noWrap w:val="0"/>
            <w:vAlign w:val="center"/>
          </w:tcPr>
          <w:p w14:paraId="2DA22889">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储罐数量</w:t>
            </w:r>
          </w:p>
        </w:tc>
        <w:tc>
          <w:tcPr>
            <w:tcW w:w="460" w:type="pct"/>
            <w:tcBorders>
              <w:tl2br w:val="nil"/>
              <w:tr2bl w:val="nil"/>
            </w:tcBorders>
            <w:shd w:val="clear" w:color="auto" w:fill="auto"/>
            <w:noWrap w:val="0"/>
            <w:vAlign w:val="center"/>
          </w:tcPr>
          <w:p w14:paraId="441A0EF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m³</w:t>
            </w:r>
          </w:p>
        </w:tc>
        <w:tc>
          <w:tcPr>
            <w:tcW w:w="290" w:type="pct"/>
            <w:tcBorders>
              <w:tl2br w:val="nil"/>
              <w:tr2bl w:val="nil"/>
            </w:tcBorders>
            <w:shd w:val="clear" w:color="auto" w:fill="auto"/>
            <w:noWrap w:val="0"/>
            <w:vAlign w:val="center"/>
          </w:tcPr>
          <w:p w14:paraId="4E228F11">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585" w:type="pct"/>
            <w:tcBorders>
              <w:tl2br w:val="nil"/>
              <w:tr2bl w:val="nil"/>
            </w:tcBorders>
            <w:shd w:val="clear" w:color="auto" w:fill="auto"/>
            <w:noWrap w:val="0"/>
            <w:vAlign w:val="center"/>
          </w:tcPr>
          <w:p w14:paraId="33BF74FD">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最大储量t</w:t>
            </w:r>
          </w:p>
        </w:tc>
        <w:tc>
          <w:tcPr>
            <w:tcW w:w="444" w:type="pct"/>
            <w:tcBorders>
              <w:tl2br w:val="nil"/>
              <w:tr2bl w:val="nil"/>
            </w:tcBorders>
            <w:shd w:val="clear" w:color="auto" w:fill="auto"/>
            <w:noWrap w:val="0"/>
            <w:vAlign w:val="center"/>
          </w:tcPr>
          <w:p w14:paraId="723E9B1E">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eastAsia="宋体"/>
                <w:b w:val="0"/>
                <w:bCs/>
                <w:lang w:val="en-US" w:eastAsia="zh-CN"/>
              </w:rPr>
            </w:pPr>
            <w:r>
              <w:rPr>
                <w:rFonts w:hint="eastAsia" w:eastAsia="宋体"/>
                <w:b w:val="0"/>
                <w:bCs/>
                <w:sz w:val="20"/>
                <w:szCs w:val="20"/>
                <w:lang w:eastAsia="zh-CN"/>
              </w:rPr>
              <w:t>临界量</w:t>
            </w:r>
            <w:r>
              <w:rPr>
                <w:rFonts w:hint="eastAsia" w:eastAsia="宋体"/>
                <w:b w:val="0"/>
                <w:bCs/>
                <w:sz w:val="20"/>
                <w:szCs w:val="20"/>
                <w:lang w:val="en-US" w:eastAsia="zh-CN"/>
              </w:rPr>
              <w:t>t</w:t>
            </w:r>
          </w:p>
        </w:tc>
        <w:tc>
          <w:tcPr>
            <w:tcW w:w="453" w:type="pct"/>
            <w:tcBorders>
              <w:tl2br w:val="nil"/>
              <w:tr2bl w:val="nil"/>
            </w:tcBorders>
            <w:shd w:val="clear" w:color="auto" w:fill="auto"/>
            <w:noWrap w:val="0"/>
            <w:vAlign w:val="center"/>
          </w:tcPr>
          <w:p w14:paraId="20306922">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eastAsia="宋体"/>
                <w:b w:val="0"/>
                <w:bCs/>
                <w:sz w:val="20"/>
                <w:szCs w:val="20"/>
                <w:lang w:eastAsia="zh-CN"/>
              </w:rPr>
            </w:pPr>
            <w:r>
              <w:rPr>
                <w:rFonts w:hint="eastAsia" w:eastAsia="宋体"/>
                <w:b w:val="0"/>
                <w:bCs/>
                <w:sz w:val="20"/>
                <w:szCs w:val="20"/>
                <w:lang w:eastAsia="zh-CN"/>
              </w:rPr>
              <w:t>依据</w:t>
            </w:r>
          </w:p>
        </w:tc>
      </w:tr>
      <w:tr w14:paraId="05381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6442BFDB">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default" w:ascii="Times New Roman" w:hAnsi="Times New Roman" w:eastAsia="宋体" w:cs="Times New Roman"/>
                <w:color w:val="000000"/>
                <w:kern w:val="2"/>
                <w:sz w:val="21"/>
                <w:szCs w:val="20"/>
                <w:lang w:val="en-US" w:eastAsia="zh-CN" w:bidi="ar-SA"/>
              </w:rPr>
              <w:t>邻氯硝基苯</w:t>
            </w:r>
          </w:p>
        </w:tc>
        <w:tc>
          <w:tcPr>
            <w:tcW w:w="553" w:type="pct"/>
            <w:tcBorders>
              <w:tl2br w:val="nil"/>
              <w:tr2bl w:val="nil"/>
            </w:tcBorders>
            <w:noWrap/>
            <w:vAlign w:val="center"/>
          </w:tcPr>
          <w:p w14:paraId="1DBBD7D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Cs w:val="21"/>
                <w:lang w:val="en-US" w:eastAsia="zh-CN"/>
              </w:rPr>
            </w:pPr>
            <w:r>
              <w:rPr>
                <w:rFonts w:hint="eastAsia" w:ascii="宋体" w:hAnsi="宋体" w:eastAsia="宋体" w:cs="宋体"/>
                <w:bCs/>
                <w:color w:val="auto"/>
                <w:sz w:val="21"/>
                <w:szCs w:val="21"/>
              </w:rPr>
              <w:t>88-73-3</w:t>
            </w:r>
          </w:p>
        </w:tc>
        <w:tc>
          <w:tcPr>
            <w:tcW w:w="497" w:type="pct"/>
            <w:tcBorders>
              <w:tl2br w:val="nil"/>
              <w:tr2bl w:val="nil"/>
            </w:tcBorders>
            <w:shd w:val="clear" w:color="auto" w:fill="auto"/>
            <w:noWrap/>
            <w:vAlign w:val="center"/>
          </w:tcPr>
          <w:p w14:paraId="7213429D">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color w:val="auto"/>
              </w:rPr>
              <w:t>罐区</w:t>
            </w:r>
          </w:p>
        </w:tc>
        <w:tc>
          <w:tcPr>
            <w:tcW w:w="499" w:type="pct"/>
            <w:tcBorders>
              <w:tl2br w:val="nil"/>
              <w:tr2bl w:val="nil"/>
            </w:tcBorders>
            <w:shd w:val="clear" w:color="auto" w:fill="auto"/>
            <w:noWrap/>
            <w:vAlign w:val="center"/>
          </w:tcPr>
          <w:p w14:paraId="43A0AE32">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15" w:type="pct"/>
            <w:tcBorders>
              <w:tl2br w:val="nil"/>
              <w:tr2bl w:val="nil"/>
            </w:tcBorders>
            <w:shd w:val="clear" w:color="auto" w:fill="auto"/>
            <w:noWrap/>
            <w:vAlign w:val="center"/>
          </w:tcPr>
          <w:p w14:paraId="0A91EAF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w:t>
            </w:r>
          </w:p>
        </w:tc>
        <w:tc>
          <w:tcPr>
            <w:tcW w:w="460" w:type="pct"/>
            <w:tcBorders>
              <w:tl2br w:val="nil"/>
              <w:tr2bl w:val="nil"/>
            </w:tcBorders>
            <w:shd w:val="clear" w:color="auto" w:fill="auto"/>
            <w:noWrap/>
            <w:vAlign w:val="center"/>
          </w:tcPr>
          <w:p w14:paraId="3051DE94">
            <w:pPr>
              <w:pStyle w:val="127"/>
              <w:keepNext w:val="0"/>
              <w:keepLines w:val="0"/>
              <w:widowControl/>
              <w:suppressLineNumbers w:val="0"/>
              <w:spacing w:before="0" w:beforeAutospacing="0" w:after="0" w:afterAutospacing="0"/>
              <w:ind w:left="0" w:right="0"/>
              <w:jc w:val="center"/>
              <w:rPr>
                <w:rFonts w:hint="eastAsia"/>
                <w:color w:val="auto"/>
                <w:lang w:val="en-US" w:eastAsia="zh-CN"/>
              </w:rPr>
            </w:pPr>
            <w:r>
              <w:rPr>
                <w:rFonts w:hint="eastAsia"/>
                <w:color w:val="auto"/>
                <w:lang w:val="en-US" w:eastAsia="zh-CN"/>
              </w:rPr>
              <w:t>2*960</w:t>
            </w:r>
          </w:p>
          <w:p w14:paraId="63DE698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2*300</w:t>
            </w:r>
          </w:p>
        </w:tc>
        <w:tc>
          <w:tcPr>
            <w:tcW w:w="290" w:type="pct"/>
            <w:tcBorders>
              <w:tl2br w:val="nil"/>
              <w:tr2bl w:val="nil"/>
            </w:tcBorders>
            <w:shd w:val="clear" w:color="auto" w:fill="auto"/>
            <w:noWrap/>
            <w:vAlign w:val="center"/>
          </w:tcPr>
          <w:p w14:paraId="24F990FE">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585" w:type="pct"/>
            <w:tcBorders>
              <w:tl2br w:val="nil"/>
              <w:tr2bl w:val="nil"/>
            </w:tcBorders>
            <w:shd w:val="clear" w:color="auto" w:fill="auto"/>
            <w:noWrap/>
            <w:vAlign w:val="center"/>
          </w:tcPr>
          <w:p w14:paraId="21997F8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Cs w:val="21"/>
              </w:rPr>
              <w:t>2121.6</w:t>
            </w:r>
          </w:p>
        </w:tc>
        <w:tc>
          <w:tcPr>
            <w:tcW w:w="444" w:type="pct"/>
            <w:tcBorders>
              <w:tl2br w:val="nil"/>
              <w:tr2bl w:val="nil"/>
            </w:tcBorders>
            <w:shd w:val="clear" w:color="auto" w:fill="auto"/>
            <w:noWrap/>
            <w:vAlign w:val="center"/>
          </w:tcPr>
          <w:p w14:paraId="42ED006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w:t>
            </w:r>
          </w:p>
        </w:tc>
        <w:tc>
          <w:tcPr>
            <w:tcW w:w="453" w:type="pct"/>
            <w:tcBorders>
              <w:tl2br w:val="nil"/>
              <w:tr2bl w:val="nil"/>
            </w:tcBorders>
            <w:shd w:val="clear" w:color="auto" w:fill="auto"/>
            <w:noWrap/>
            <w:vAlign w:val="center"/>
          </w:tcPr>
          <w:p w14:paraId="73FE433F">
            <w:pPr>
              <w:keepNext w:val="0"/>
              <w:keepLines w:val="0"/>
              <w:suppressLineNumbers w:val="0"/>
              <w:spacing w:before="0" w:beforeAutospacing="0" w:after="0" w:afterAutospacing="0"/>
              <w:ind w:left="0" w:leftChars="0" w:right="0" w:rightChars="0"/>
              <w:jc w:val="both"/>
              <w:rPr>
                <w:rFonts w:hint="default" w:ascii="宋体" w:hAnsi="宋体" w:eastAsia="宋体" w:cs="宋体"/>
                <w:color w:val="auto"/>
                <w:szCs w:val="21"/>
                <w:lang w:val="en-US" w:eastAsia="zh-CN"/>
              </w:rPr>
            </w:pPr>
            <w:r>
              <w:rPr>
                <w:rFonts w:hint="eastAsia" w:ascii="宋体" w:hAnsi="宋体" w:cs="宋体"/>
                <w:color w:val="auto"/>
                <w:sz w:val="20"/>
                <w:szCs w:val="20"/>
                <w:lang w:val="en-US" w:eastAsia="zh-CN"/>
              </w:rPr>
              <w:t>HJ941-2018附录A</w:t>
            </w:r>
          </w:p>
        </w:tc>
      </w:tr>
      <w:tr w14:paraId="7D362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2EC53759">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default" w:ascii="Times New Roman" w:hAnsi="Times New Roman" w:eastAsia="宋体" w:cs="Times New Roman"/>
                <w:color w:val="000000"/>
                <w:kern w:val="2"/>
                <w:sz w:val="21"/>
                <w:szCs w:val="20"/>
                <w:lang w:val="en-US" w:eastAsia="zh-CN" w:bidi="ar-SA"/>
              </w:rPr>
              <w:t>甲苯</w:t>
            </w:r>
          </w:p>
        </w:tc>
        <w:tc>
          <w:tcPr>
            <w:tcW w:w="553" w:type="pct"/>
            <w:tcBorders>
              <w:tl2br w:val="nil"/>
              <w:tr2bl w:val="nil"/>
            </w:tcBorders>
            <w:noWrap/>
            <w:vAlign w:val="center"/>
          </w:tcPr>
          <w:p w14:paraId="0C43E4D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Cs w:val="21"/>
                <w:lang w:val="en-US" w:eastAsia="zh-CN"/>
              </w:rPr>
            </w:pPr>
            <w:r>
              <w:rPr>
                <w:rFonts w:hint="eastAsia" w:ascii="宋体" w:hAnsi="宋体" w:eastAsia="宋体" w:cs="宋体"/>
                <w:bCs/>
                <w:color w:val="auto"/>
                <w:sz w:val="21"/>
                <w:szCs w:val="21"/>
              </w:rPr>
              <w:t>108-88-3</w:t>
            </w:r>
          </w:p>
        </w:tc>
        <w:tc>
          <w:tcPr>
            <w:tcW w:w="497" w:type="pct"/>
            <w:tcBorders>
              <w:tl2br w:val="nil"/>
              <w:tr2bl w:val="nil"/>
            </w:tcBorders>
            <w:shd w:val="clear" w:color="auto" w:fill="auto"/>
            <w:noWrap/>
            <w:vAlign w:val="center"/>
          </w:tcPr>
          <w:p w14:paraId="21BCBD1E">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color w:val="auto"/>
              </w:rPr>
              <w:t>罐区</w:t>
            </w:r>
          </w:p>
        </w:tc>
        <w:tc>
          <w:tcPr>
            <w:tcW w:w="499" w:type="pct"/>
            <w:tcBorders>
              <w:tl2br w:val="nil"/>
              <w:tr2bl w:val="nil"/>
            </w:tcBorders>
            <w:shd w:val="clear" w:color="auto" w:fill="auto"/>
            <w:noWrap/>
            <w:vAlign w:val="center"/>
          </w:tcPr>
          <w:p w14:paraId="19009E5B">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15" w:type="pct"/>
            <w:tcBorders>
              <w:tl2br w:val="nil"/>
              <w:tr2bl w:val="nil"/>
            </w:tcBorders>
            <w:shd w:val="clear" w:color="auto" w:fill="auto"/>
            <w:noWrap/>
            <w:vAlign w:val="center"/>
          </w:tcPr>
          <w:p w14:paraId="694ADD9B">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460" w:type="pct"/>
            <w:tcBorders>
              <w:tl2br w:val="nil"/>
              <w:tr2bl w:val="nil"/>
            </w:tcBorders>
            <w:shd w:val="clear" w:color="auto" w:fill="auto"/>
            <w:noWrap/>
            <w:vAlign w:val="center"/>
          </w:tcPr>
          <w:p w14:paraId="77DD5A0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100</w:t>
            </w:r>
          </w:p>
        </w:tc>
        <w:tc>
          <w:tcPr>
            <w:tcW w:w="290" w:type="pct"/>
            <w:tcBorders>
              <w:tl2br w:val="nil"/>
              <w:tr2bl w:val="nil"/>
            </w:tcBorders>
            <w:shd w:val="clear" w:color="auto" w:fill="auto"/>
            <w:noWrap/>
            <w:vAlign w:val="center"/>
          </w:tcPr>
          <w:p w14:paraId="09CB7DB5">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585" w:type="pct"/>
            <w:tcBorders>
              <w:tl2br w:val="nil"/>
              <w:tr2bl w:val="nil"/>
            </w:tcBorders>
            <w:shd w:val="clear" w:color="auto" w:fill="auto"/>
            <w:noWrap/>
            <w:vAlign w:val="center"/>
          </w:tcPr>
          <w:p w14:paraId="7A09DF9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Cs w:val="21"/>
              </w:rPr>
              <w:t>74</w:t>
            </w:r>
          </w:p>
        </w:tc>
        <w:tc>
          <w:tcPr>
            <w:tcW w:w="444" w:type="pct"/>
            <w:tcBorders>
              <w:tl2br w:val="nil"/>
              <w:tr2bl w:val="nil"/>
            </w:tcBorders>
            <w:shd w:val="clear" w:color="auto" w:fill="auto"/>
            <w:noWrap/>
            <w:vAlign w:val="center"/>
          </w:tcPr>
          <w:p w14:paraId="25EFAE52">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w:t>
            </w:r>
          </w:p>
        </w:tc>
        <w:tc>
          <w:tcPr>
            <w:tcW w:w="453" w:type="pct"/>
            <w:tcBorders>
              <w:tl2br w:val="nil"/>
              <w:tr2bl w:val="nil"/>
            </w:tcBorders>
            <w:shd w:val="clear" w:color="auto" w:fill="auto"/>
            <w:noWrap/>
            <w:vAlign w:val="center"/>
          </w:tcPr>
          <w:p w14:paraId="00AEFD3B">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szCs w:val="21"/>
                <w:lang w:val="en-US"/>
              </w:rPr>
            </w:pPr>
            <w:r>
              <w:rPr>
                <w:rFonts w:hint="eastAsia" w:ascii="宋体" w:hAnsi="宋体" w:cs="宋体"/>
                <w:color w:val="auto"/>
                <w:sz w:val="20"/>
                <w:szCs w:val="20"/>
                <w:lang w:val="en-US" w:eastAsia="zh-CN"/>
              </w:rPr>
              <w:t>HJ941-2018附录A</w:t>
            </w:r>
          </w:p>
        </w:tc>
      </w:tr>
      <w:tr w14:paraId="4D97F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67" w:hRule="atLeast"/>
          <w:tblHeader/>
          <w:jc w:val="center"/>
        </w:trPr>
        <w:tc>
          <w:tcPr>
            <w:tcW w:w="700" w:type="pct"/>
            <w:tcBorders>
              <w:tl2br w:val="nil"/>
              <w:tr2bl w:val="nil"/>
            </w:tcBorders>
            <w:noWrap/>
            <w:vAlign w:val="center"/>
          </w:tcPr>
          <w:p w14:paraId="32B5FBA0">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default" w:ascii="Times New Roman" w:hAnsi="Times New Roman" w:eastAsia="宋体" w:cs="Times New Roman"/>
                <w:color w:val="000000"/>
                <w:kern w:val="2"/>
                <w:sz w:val="21"/>
                <w:szCs w:val="20"/>
                <w:lang w:val="en-US" w:eastAsia="zh-CN" w:bidi="ar-SA"/>
              </w:rPr>
              <w:t>氢氧化钠</w:t>
            </w:r>
            <w:r>
              <w:rPr>
                <w:rStyle w:val="36"/>
                <w:rFonts w:hint="eastAsia" w:ascii="Times New Roman" w:hAnsi="Times New Roman" w:eastAsia="宋体" w:cs="Times New Roman"/>
                <w:color w:val="000000"/>
                <w:kern w:val="2"/>
                <w:sz w:val="21"/>
                <w:szCs w:val="20"/>
                <w:lang w:val="en-US" w:eastAsia="zh-CN" w:bidi="ar-SA"/>
              </w:rPr>
              <w:t>（31%）</w:t>
            </w:r>
          </w:p>
        </w:tc>
        <w:tc>
          <w:tcPr>
            <w:tcW w:w="553" w:type="pct"/>
            <w:tcBorders>
              <w:tl2br w:val="nil"/>
              <w:tr2bl w:val="nil"/>
            </w:tcBorders>
            <w:noWrap/>
            <w:vAlign w:val="center"/>
          </w:tcPr>
          <w:p w14:paraId="721A17E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Cs w:val="21"/>
                <w:lang w:val="en-US" w:eastAsia="zh-CN"/>
              </w:rPr>
            </w:pPr>
            <w:r>
              <w:rPr>
                <w:rFonts w:hint="eastAsia" w:ascii="宋体" w:hAnsi="宋体" w:eastAsia="宋体" w:cs="宋体"/>
                <w:color w:val="auto"/>
                <w:sz w:val="21"/>
                <w:szCs w:val="21"/>
              </w:rPr>
              <w:t>1310-73-2</w:t>
            </w:r>
          </w:p>
        </w:tc>
        <w:tc>
          <w:tcPr>
            <w:tcW w:w="497" w:type="pct"/>
            <w:tcBorders>
              <w:tl2br w:val="nil"/>
              <w:tr2bl w:val="nil"/>
            </w:tcBorders>
            <w:shd w:val="clear" w:color="auto" w:fill="auto"/>
            <w:noWrap/>
            <w:vAlign w:val="center"/>
          </w:tcPr>
          <w:p w14:paraId="0F5122B9">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color w:val="auto"/>
              </w:rPr>
              <w:t>罐区</w:t>
            </w:r>
          </w:p>
        </w:tc>
        <w:tc>
          <w:tcPr>
            <w:tcW w:w="499" w:type="pct"/>
            <w:tcBorders>
              <w:tl2br w:val="nil"/>
              <w:tr2bl w:val="nil"/>
            </w:tcBorders>
            <w:shd w:val="clear" w:color="auto" w:fill="auto"/>
            <w:noWrap/>
            <w:vAlign w:val="center"/>
          </w:tcPr>
          <w:p w14:paraId="3F7C04EB">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15" w:type="pct"/>
            <w:tcBorders>
              <w:tl2br w:val="nil"/>
              <w:tr2bl w:val="nil"/>
            </w:tcBorders>
            <w:shd w:val="clear" w:color="auto" w:fill="auto"/>
            <w:noWrap/>
            <w:vAlign w:val="center"/>
          </w:tcPr>
          <w:p w14:paraId="79173D8C">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w:t>
            </w:r>
          </w:p>
        </w:tc>
        <w:tc>
          <w:tcPr>
            <w:tcW w:w="460" w:type="pct"/>
            <w:tcBorders>
              <w:tl2br w:val="nil"/>
              <w:tr2bl w:val="nil"/>
            </w:tcBorders>
            <w:shd w:val="clear" w:color="auto" w:fill="auto"/>
            <w:noWrap/>
            <w:vAlign w:val="center"/>
          </w:tcPr>
          <w:p w14:paraId="5045317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300</w:t>
            </w:r>
          </w:p>
        </w:tc>
        <w:tc>
          <w:tcPr>
            <w:tcW w:w="290" w:type="pct"/>
            <w:tcBorders>
              <w:tl2br w:val="nil"/>
              <w:tr2bl w:val="nil"/>
            </w:tcBorders>
            <w:shd w:val="clear" w:color="auto" w:fill="auto"/>
            <w:noWrap/>
            <w:vAlign w:val="center"/>
          </w:tcPr>
          <w:p w14:paraId="7CE4AF88">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585" w:type="pct"/>
            <w:tcBorders>
              <w:tl2br w:val="nil"/>
              <w:tr2bl w:val="nil"/>
            </w:tcBorders>
            <w:shd w:val="clear" w:color="auto" w:fill="auto"/>
            <w:noWrap/>
            <w:vAlign w:val="center"/>
          </w:tcPr>
          <w:p w14:paraId="6486569A">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Cs w:val="21"/>
              </w:rPr>
              <w:t>3</w:t>
            </w:r>
            <w:r>
              <w:rPr>
                <w:rFonts w:hint="eastAsia" w:ascii="宋体" w:hAnsi="宋体" w:eastAsia="宋体" w:cs="宋体"/>
                <w:color w:val="auto"/>
                <w:szCs w:val="21"/>
                <w:lang w:val="en-US" w:eastAsia="zh-CN"/>
              </w:rPr>
              <w:t>41.7</w:t>
            </w:r>
          </w:p>
        </w:tc>
        <w:tc>
          <w:tcPr>
            <w:tcW w:w="444" w:type="pct"/>
            <w:tcBorders>
              <w:tl2br w:val="nil"/>
              <w:tr2bl w:val="nil"/>
            </w:tcBorders>
            <w:shd w:val="clear" w:color="auto" w:fill="auto"/>
            <w:noWrap/>
            <w:vAlign w:val="center"/>
          </w:tcPr>
          <w:p w14:paraId="6A652803">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50</w:t>
            </w:r>
          </w:p>
        </w:tc>
        <w:tc>
          <w:tcPr>
            <w:tcW w:w="453" w:type="pct"/>
            <w:tcBorders>
              <w:tl2br w:val="nil"/>
              <w:tr2bl w:val="nil"/>
            </w:tcBorders>
            <w:shd w:val="clear" w:color="auto" w:fill="auto"/>
            <w:noWrap/>
            <w:vAlign w:val="center"/>
          </w:tcPr>
          <w:p w14:paraId="0CB860D7">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Cs w:val="21"/>
                <w:lang w:val="en-US"/>
              </w:rPr>
            </w:pPr>
            <w:r>
              <w:rPr>
                <w:rFonts w:hint="eastAsia" w:ascii="宋体" w:hAnsi="宋体" w:cs="宋体"/>
                <w:color w:val="auto"/>
                <w:sz w:val="20"/>
                <w:szCs w:val="20"/>
                <w:lang w:val="en-US" w:eastAsia="zh-CN"/>
              </w:rPr>
              <w:t>HJ941-2018附录A</w:t>
            </w:r>
          </w:p>
        </w:tc>
      </w:tr>
      <w:tr w14:paraId="51067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3462639E">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default" w:ascii="Times New Roman" w:hAnsi="Times New Roman" w:eastAsia="宋体" w:cs="Times New Roman"/>
                <w:color w:val="000000"/>
                <w:kern w:val="2"/>
                <w:sz w:val="21"/>
                <w:szCs w:val="20"/>
                <w:lang w:val="en-US" w:eastAsia="zh-CN" w:bidi="ar-SA"/>
              </w:rPr>
              <w:t>盐酸</w:t>
            </w:r>
            <w:r>
              <w:rPr>
                <w:rStyle w:val="36"/>
                <w:rFonts w:hint="eastAsia" w:ascii="Times New Roman" w:hAnsi="Times New Roman" w:eastAsia="宋体" w:cs="Times New Roman"/>
                <w:color w:val="000000"/>
                <w:kern w:val="2"/>
                <w:sz w:val="21"/>
                <w:szCs w:val="20"/>
                <w:lang w:val="en-US" w:eastAsia="zh-CN" w:bidi="ar-SA"/>
              </w:rPr>
              <w:t>（32%）</w:t>
            </w:r>
          </w:p>
        </w:tc>
        <w:tc>
          <w:tcPr>
            <w:tcW w:w="553" w:type="pct"/>
            <w:tcBorders>
              <w:tl2br w:val="nil"/>
              <w:tr2bl w:val="nil"/>
            </w:tcBorders>
            <w:noWrap/>
            <w:vAlign w:val="center"/>
          </w:tcPr>
          <w:p w14:paraId="3262651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Cs w:val="21"/>
                <w:lang w:val="en-US" w:eastAsia="zh-CN"/>
              </w:rPr>
            </w:pPr>
            <w:r>
              <w:rPr>
                <w:rFonts w:hint="eastAsia" w:ascii="宋体" w:hAnsi="宋体" w:eastAsia="宋体" w:cs="宋体"/>
                <w:bCs/>
                <w:color w:val="auto"/>
                <w:sz w:val="21"/>
                <w:szCs w:val="21"/>
              </w:rPr>
              <w:t>7647-01-0</w:t>
            </w:r>
          </w:p>
        </w:tc>
        <w:tc>
          <w:tcPr>
            <w:tcW w:w="497" w:type="pct"/>
            <w:tcBorders>
              <w:tl2br w:val="nil"/>
              <w:tr2bl w:val="nil"/>
            </w:tcBorders>
            <w:shd w:val="clear" w:color="auto" w:fill="auto"/>
            <w:noWrap/>
            <w:vAlign w:val="center"/>
          </w:tcPr>
          <w:p w14:paraId="32ED7EE3">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color w:val="auto"/>
              </w:rPr>
              <w:t>罐区</w:t>
            </w:r>
          </w:p>
        </w:tc>
        <w:tc>
          <w:tcPr>
            <w:tcW w:w="499" w:type="pct"/>
            <w:tcBorders>
              <w:tl2br w:val="nil"/>
              <w:tr2bl w:val="nil"/>
            </w:tcBorders>
            <w:shd w:val="clear" w:color="auto" w:fill="auto"/>
            <w:noWrap/>
            <w:vAlign w:val="center"/>
          </w:tcPr>
          <w:p w14:paraId="05BF9068">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15" w:type="pct"/>
            <w:tcBorders>
              <w:tl2br w:val="nil"/>
              <w:tr2bl w:val="nil"/>
            </w:tcBorders>
            <w:shd w:val="clear" w:color="auto" w:fill="auto"/>
            <w:noWrap/>
            <w:vAlign w:val="center"/>
          </w:tcPr>
          <w:p w14:paraId="42FE4A3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w:t>
            </w:r>
          </w:p>
        </w:tc>
        <w:tc>
          <w:tcPr>
            <w:tcW w:w="460" w:type="pct"/>
            <w:tcBorders>
              <w:tl2br w:val="nil"/>
              <w:tr2bl w:val="nil"/>
            </w:tcBorders>
            <w:shd w:val="clear" w:color="auto" w:fill="auto"/>
            <w:noWrap/>
            <w:vAlign w:val="center"/>
          </w:tcPr>
          <w:p w14:paraId="65C92B8F">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100</w:t>
            </w:r>
          </w:p>
        </w:tc>
        <w:tc>
          <w:tcPr>
            <w:tcW w:w="290" w:type="pct"/>
            <w:tcBorders>
              <w:tl2br w:val="nil"/>
              <w:tr2bl w:val="nil"/>
            </w:tcBorders>
            <w:shd w:val="clear" w:color="auto" w:fill="auto"/>
            <w:noWrap/>
            <w:vAlign w:val="center"/>
          </w:tcPr>
          <w:p w14:paraId="4C019A49">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585" w:type="pct"/>
            <w:tcBorders>
              <w:tl2br w:val="nil"/>
              <w:tr2bl w:val="nil"/>
            </w:tcBorders>
            <w:shd w:val="clear" w:color="auto" w:fill="auto"/>
            <w:noWrap/>
            <w:vAlign w:val="center"/>
          </w:tcPr>
          <w:p w14:paraId="0C83AFDA">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Cs w:val="21"/>
              </w:rPr>
              <w:t>374</w:t>
            </w:r>
          </w:p>
        </w:tc>
        <w:tc>
          <w:tcPr>
            <w:tcW w:w="444" w:type="pct"/>
            <w:tcBorders>
              <w:tl2br w:val="nil"/>
              <w:tr2bl w:val="nil"/>
            </w:tcBorders>
            <w:shd w:val="clear" w:color="auto" w:fill="auto"/>
            <w:noWrap/>
            <w:vAlign w:val="center"/>
          </w:tcPr>
          <w:p w14:paraId="716E6E63">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7.5</w:t>
            </w:r>
          </w:p>
        </w:tc>
        <w:tc>
          <w:tcPr>
            <w:tcW w:w="453" w:type="pct"/>
            <w:tcBorders>
              <w:tl2br w:val="nil"/>
              <w:tr2bl w:val="nil"/>
            </w:tcBorders>
            <w:shd w:val="clear" w:color="auto" w:fill="auto"/>
            <w:noWrap/>
            <w:vAlign w:val="center"/>
          </w:tcPr>
          <w:p w14:paraId="3E23390E">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Cs w:val="21"/>
                <w:lang w:val="en-US"/>
              </w:rPr>
            </w:pPr>
            <w:r>
              <w:rPr>
                <w:rFonts w:hint="eastAsia" w:ascii="宋体" w:hAnsi="宋体" w:cs="宋体"/>
                <w:color w:val="auto"/>
                <w:sz w:val="20"/>
                <w:szCs w:val="20"/>
                <w:lang w:val="en-US" w:eastAsia="zh-CN"/>
              </w:rPr>
              <w:t>HJ941-2018附录A</w:t>
            </w:r>
          </w:p>
        </w:tc>
      </w:tr>
      <w:tr w14:paraId="0D862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4546" w:type="pct"/>
            <w:gridSpan w:val="9"/>
            <w:tcBorders>
              <w:tl2br w:val="nil"/>
              <w:tr2bl w:val="nil"/>
            </w:tcBorders>
            <w:noWrap/>
            <w:vAlign w:val="center"/>
          </w:tcPr>
          <w:p w14:paraId="034DC0FC">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color w:val="000000"/>
                <w:kern w:val="24"/>
                <w:szCs w:val="21"/>
                <w:highlight w:val="none"/>
                <w:lang w:val="en-US" w:eastAsia="zh-CN"/>
              </w:rPr>
            </w:pPr>
            <w:r>
              <w:rPr>
                <w:rFonts w:hint="eastAsia" w:ascii="Times New Roman" w:hAnsi="Times New Roman" w:eastAsia="宋体" w:cs="Times New Roman"/>
                <w:color w:val="000000"/>
                <w:kern w:val="24"/>
                <w:szCs w:val="21"/>
                <w:highlight w:val="none"/>
                <w:lang w:val="en-US" w:eastAsia="zh-CN"/>
              </w:rPr>
              <w:t>危险废物</w:t>
            </w:r>
          </w:p>
        </w:tc>
        <w:tc>
          <w:tcPr>
            <w:tcW w:w="453" w:type="pct"/>
            <w:tcBorders>
              <w:tl2br w:val="nil"/>
              <w:tr2bl w:val="nil"/>
            </w:tcBorders>
            <w:noWrap/>
            <w:vAlign w:val="center"/>
          </w:tcPr>
          <w:p w14:paraId="5E19C2E0">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color w:val="000000"/>
                <w:kern w:val="24"/>
                <w:szCs w:val="21"/>
                <w:highlight w:val="none"/>
                <w:lang w:val="en-US" w:eastAsia="zh-CN"/>
              </w:rPr>
            </w:pPr>
          </w:p>
        </w:tc>
      </w:tr>
      <w:tr w14:paraId="55650F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2AA25FE3">
            <w:pPr>
              <w:keepNext w:val="0"/>
              <w:keepLines w:val="0"/>
              <w:suppressLineNumbers w:val="0"/>
              <w:spacing w:before="0" w:beforeAutospacing="0" w:after="0" w:afterAutospacing="0" w:line="240" w:lineRule="auto"/>
              <w:ind w:left="0" w:right="0" w:firstLine="0" w:firstLineChars="0"/>
              <w:jc w:val="center"/>
              <w:rPr>
                <w:rStyle w:val="36"/>
                <w:rFonts w:hint="default" w:ascii="Times New Roman" w:hAnsi="Times New Roman" w:eastAsia="宋体" w:cs="Times New Roman"/>
                <w:color w:val="000000"/>
                <w:kern w:val="2"/>
                <w:sz w:val="21"/>
                <w:szCs w:val="20"/>
                <w:lang w:val="en-US" w:eastAsia="zh-CN" w:bidi="ar-SA"/>
              </w:rPr>
            </w:pPr>
            <w:r>
              <w:rPr>
                <w:rFonts w:hint="eastAsia" w:eastAsia="宋体"/>
                <w:b w:val="0"/>
                <w:bCs/>
              </w:rPr>
              <w:t>风险物质</w:t>
            </w:r>
            <w:r>
              <w:rPr>
                <w:rStyle w:val="36"/>
                <w:rFonts w:hint="eastAsia" w:ascii="Times New Roman" w:hAnsi="Times New Roman" w:eastAsia="宋体" w:cs="Times New Roman"/>
                <w:color w:val="000000"/>
                <w:kern w:val="2"/>
                <w:sz w:val="21"/>
                <w:szCs w:val="20"/>
                <w:lang w:val="en-US" w:eastAsia="zh-CN" w:bidi="ar-SA"/>
              </w:rPr>
              <w:t>名称</w:t>
            </w:r>
          </w:p>
        </w:tc>
        <w:tc>
          <w:tcPr>
            <w:tcW w:w="553" w:type="pct"/>
            <w:tcBorders>
              <w:tl2br w:val="nil"/>
              <w:tr2bl w:val="nil"/>
            </w:tcBorders>
            <w:noWrap/>
            <w:vAlign w:val="center"/>
          </w:tcPr>
          <w:p w14:paraId="051138CD">
            <w:pPr>
              <w:pStyle w:val="127"/>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000000"/>
                <w:kern w:val="2"/>
                <w:sz w:val="21"/>
                <w:szCs w:val="21"/>
                <w:lang w:val="en-US" w:eastAsia="zh-CN" w:bidi="ar-SA"/>
              </w:rPr>
              <w:t>CAS号</w:t>
            </w:r>
          </w:p>
        </w:tc>
        <w:tc>
          <w:tcPr>
            <w:tcW w:w="497" w:type="pct"/>
            <w:tcBorders>
              <w:tl2br w:val="nil"/>
              <w:tr2bl w:val="nil"/>
            </w:tcBorders>
            <w:shd w:val="clear" w:color="auto" w:fill="auto"/>
            <w:noWrap/>
            <w:vAlign w:val="center"/>
          </w:tcPr>
          <w:p w14:paraId="3ADB185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储存位置</w:t>
            </w:r>
          </w:p>
        </w:tc>
        <w:tc>
          <w:tcPr>
            <w:tcW w:w="499" w:type="pct"/>
            <w:tcBorders>
              <w:tl2br w:val="nil"/>
              <w:tr2bl w:val="nil"/>
            </w:tcBorders>
            <w:shd w:val="clear" w:color="auto" w:fill="auto"/>
            <w:noWrap/>
            <w:vAlign w:val="center"/>
          </w:tcPr>
          <w:p w14:paraId="537C8679">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贮存方式</w:t>
            </w:r>
          </w:p>
        </w:tc>
        <w:tc>
          <w:tcPr>
            <w:tcW w:w="515" w:type="pct"/>
            <w:tcBorders>
              <w:tl2br w:val="nil"/>
              <w:tr2bl w:val="nil"/>
            </w:tcBorders>
            <w:shd w:val="clear" w:color="auto" w:fill="auto"/>
            <w:noWrap/>
            <w:vAlign w:val="center"/>
          </w:tcPr>
          <w:p w14:paraId="024D99C5">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rPr>
              <w:t>产生量（t</w:t>
            </w:r>
            <w:r>
              <w:rPr>
                <w:rFonts w:hint="default"/>
                <w:color w:val="auto"/>
              </w:rPr>
              <w:t>/</w:t>
            </w:r>
            <w:r>
              <w:rPr>
                <w:rFonts w:hint="eastAsia"/>
                <w:color w:val="auto"/>
              </w:rPr>
              <w:t>a）</w:t>
            </w:r>
          </w:p>
        </w:tc>
        <w:tc>
          <w:tcPr>
            <w:tcW w:w="460" w:type="pct"/>
            <w:tcBorders>
              <w:tl2br w:val="nil"/>
              <w:tr2bl w:val="nil"/>
            </w:tcBorders>
            <w:shd w:val="clear" w:color="auto" w:fill="auto"/>
            <w:noWrap/>
            <w:vAlign w:val="center"/>
          </w:tcPr>
          <w:p w14:paraId="0E28C2C5">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L</w:t>
            </w:r>
          </w:p>
        </w:tc>
        <w:tc>
          <w:tcPr>
            <w:tcW w:w="290" w:type="pct"/>
            <w:tcBorders>
              <w:tl2br w:val="nil"/>
              <w:tr2bl w:val="nil"/>
            </w:tcBorders>
            <w:shd w:val="clear" w:color="auto" w:fill="auto"/>
            <w:noWrap/>
            <w:vAlign w:val="center"/>
          </w:tcPr>
          <w:p w14:paraId="5001E781">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585" w:type="pct"/>
            <w:tcBorders>
              <w:tl2br w:val="nil"/>
              <w:tr2bl w:val="nil"/>
            </w:tcBorders>
            <w:shd w:val="clear" w:color="auto" w:fill="auto"/>
            <w:noWrap/>
            <w:vAlign w:val="center"/>
          </w:tcPr>
          <w:p w14:paraId="02826BEC">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最大储量t</w:t>
            </w:r>
          </w:p>
        </w:tc>
        <w:tc>
          <w:tcPr>
            <w:tcW w:w="444" w:type="pct"/>
            <w:tcBorders>
              <w:tl2br w:val="nil"/>
              <w:tr2bl w:val="nil"/>
            </w:tcBorders>
            <w:shd w:val="clear" w:color="auto" w:fill="auto"/>
            <w:noWrap/>
            <w:vAlign w:val="center"/>
          </w:tcPr>
          <w:p w14:paraId="2BDF7B44">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eastAsia="宋体"/>
                <w:b w:val="0"/>
                <w:bCs/>
                <w:lang w:val="en-US" w:eastAsia="zh-CN"/>
              </w:rPr>
            </w:pPr>
            <w:r>
              <w:rPr>
                <w:rFonts w:hint="eastAsia" w:eastAsia="宋体"/>
                <w:b w:val="0"/>
                <w:bCs/>
                <w:lang w:val="en-US" w:eastAsia="zh-CN"/>
              </w:rPr>
              <w:t>/</w:t>
            </w:r>
          </w:p>
        </w:tc>
        <w:tc>
          <w:tcPr>
            <w:tcW w:w="453" w:type="pct"/>
            <w:tcBorders>
              <w:tl2br w:val="nil"/>
              <w:tr2bl w:val="nil"/>
            </w:tcBorders>
            <w:shd w:val="clear" w:color="auto" w:fill="auto"/>
            <w:noWrap/>
            <w:vAlign w:val="center"/>
          </w:tcPr>
          <w:p w14:paraId="5DF3410C">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eastAsia="宋体"/>
                <w:b w:val="0"/>
                <w:bCs/>
                <w:lang w:val="en-US" w:eastAsia="zh-CN"/>
              </w:rPr>
            </w:pPr>
            <w:r>
              <w:rPr>
                <w:rFonts w:hint="eastAsia" w:eastAsia="宋体"/>
                <w:b w:val="0"/>
                <w:bCs/>
                <w:lang w:val="en-US" w:eastAsia="zh-CN"/>
              </w:rPr>
              <w:t>/</w:t>
            </w:r>
          </w:p>
        </w:tc>
      </w:tr>
      <w:tr w14:paraId="4C12F6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03" w:hRule="atLeast"/>
          <w:tblHeader/>
          <w:jc w:val="center"/>
        </w:trPr>
        <w:tc>
          <w:tcPr>
            <w:tcW w:w="700" w:type="pct"/>
            <w:tcBorders>
              <w:tl2br w:val="nil"/>
              <w:tr2bl w:val="nil"/>
            </w:tcBorders>
            <w:noWrap/>
            <w:vAlign w:val="center"/>
          </w:tcPr>
          <w:p w14:paraId="42D6FA4B">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废催化剂</w:t>
            </w:r>
          </w:p>
        </w:tc>
        <w:tc>
          <w:tcPr>
            <w:tcW w:w="553" w:type="pct"/>
            <w:vMerge w:val="restart"/>
            <w:tcBorders>
              <w:tl2br w:val="nil"/>
              <w:tr2bl w:val="nil"/>
            </w:tcBorders>
            <w:noWrap/>
            <w:vAlign w:val="center"/>
          </w:tcPr>
          <w:p w14:paraId="55A7F4B6">
            <w:pPr>
              <w:pStyle w:val="127"/>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color w:val="auto"/>
                <w:lang w:val="en-US" w:eastAsia="zh-CN"/>
              </w:rPr>
              <w:t>/</w:t>
            </w:r>
          </w:p>
        </w:tc>
        <w:tc>
          <w:tcPr>
            <w:tcW w:w="497" w:type="pct"/>
            <w:vMerge w:val="restart"/>
            <w:tcBorders>
              <w:tl2br w:val="nil"/>
              <w:tr2bl w:val="nil"/>
            </w:tcBorders>
            <w:shd w:val="clear" w:color="auto" w:fill="auto"/>
            <w:noWrap/>
            <w:vAlign w:val="center"/>
          </w:tcPr>
          <w:p w14:paraId="7DD14D6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危废</w:t>
            </w:r>
            <w:r>
              <w:rPr>
                <w:rFonts w:hint="eastAsia"/>
                <w:color w:val="auto"/>
                <w:lang w:eastAsia="zh-CN"/>
              </w:rPr>
              <w:t>暂存间</w:t>
            </w:r>
          </w:p>
        </w:tc>
        <w:tc>
          <w:tcPr>
            <w:tcW w:w="499" w:type="pct"/>
            <w:tcBorders>
              <w:tl2br w:val="nil"/>
              <w:tr2bl w:val="nil"/>
            </w:tcBorders>
            <w:shd w:val="clear" w:color="auto" w:fill="auto"/>
            <w:noWrap/>
            <w:vAlign w:val="center"/>
          </w:tcPr>
          <w:p w14:paraId="1CCEB86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桶装</w:t>
            </w:r>
          </w:p>
        </w:tc>
        <w:tc>
          <w:tcPr>
            <w:tcW w:w="515" w:type="pct"/>
            <w:tcBorders>
              <w:tl2br w:val="nil"/>
              <w:tr2bl w:val="nil"/>
            </w:tcBorders>
            <w:shd w:val="clear" w:color="auto" w:fill="auto"/>
            <w:noWrap/>
            <w:vAlign w:val="center"/>
          </w:tcPr>
          <w:p w14:paraId="132CDF2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1.2</w:t>
            </w:r>
          </w:p>
        </w:tc>
        <w:tc>
          <w:tcPr>
            <w:tcW w:w="460" w:type="pct"/>
            <w:tcBorders>
              <w:tl2br w:val="nil"/>
              <w:tr2bl w:val="nil"/>
            </w:tcBorders>
            <w:shd w:val="clear" w:color="auto" w:fill="auto"/>
            <w:noWrap/>
            <w:vAlign w:val="center"/>
          </w:tcPr>
          <w:p w14:paraId="7B4C3E8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290" w:type="pct"/>
            <w:tcBorders>
              <w:tl2br w:val="nil"/>
              <w:tr2bl w:val="nil"/>
            </w:tcBorders>
            <w:shd w:val="clear" w:color="auto" w:fill="auto"/>
            <w:noWrap/>
            <w:vAlign w:val="center"/>
          </w:tcPr>
          <w:p w14:paraId="6627819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585" w:type="pct"/>
            <w:tcBorders>
              <w:tl2br w:val="nil"/>
              <w:tr2bl w:val="nil"/>
            </w:tcBorders>
            <w:shd w:val="clear" w:color="auto" w:fill="auto"/>
            <w:noWrap/>
            <w:vAlign w:val="center"/>
          </w:tcPr>
          <w:p w14:paraId="65A1E72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w:t>
            </w:r>
          </w:p>
        </w:tc>
        <w:tc>
          <w:tcPr>
            <w:tcW w:w="444" w:type="pct"/>
            <w:tcBorders>
              <w:tl2br w:val="nil"/>
              <w:tr2bl w:val="nil"/>
            </w:tcBorders>
            <w:shd w:val="clear" w:color="auto" w:fill="auto"/>
            <w:noWrap/>
            <w:vAlign w:val="center"/>
          </w:tcPr>
          <w:p w14:paraId="53AA9D92">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c>
          <w:tcPr>
            <w:tcW w:w="453" w:type="pct"/>
            <w:tcBorders>
              <w:tl2br w:val="nil"/>
              <w:tr2bl w:val="nil"/>
            </w:tcBorders>
            <w:shd w:val="clear" w:color="auto" w:fill="auto"/>
            <w:noWrap/>
            <w:vAlign w:val="center"/>
          </w:tcPr>
          <w:p w14:paraId="6C4E56F6">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r>
      <w:tr w14:paraId="44E530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4B6B06A6">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废活性炭</w:t>
            </w:r>
          </w:p>
        </w:tc>
        <w:tc>
          <w:tcPr>
            <w:tcW w:w="553" w:type="pct"/>
            <w:vMerge w:val="continue"/>
            <w:tcBorders>
              <w:tl2br w:val="nil"/>
              <w:tr2bl w:val="nil"/>
            </w:tcBorders>
            <w:noWrap/>
            <w:vAlign w:val="center"/>
          </w:tcPr>
          <w:p w14:paraId="5F5F1153">
            <w:pPr>
              <w:pStyle w:val="127"/>
              <w:keepNext w:val="0"/>
              <w:keepLines w:val="0"/>
              <w:widowControl/>
              <w:suppressLineNumbers w:val="0"/>
              <w:spacing w:before="0" w:beforeAutospacing="0" w:after="0" w:afterAutospacing="0"/>
              <w:ind w:left="0" w:right="0"/>
              <w:jc w:val="center"/>
              <w:rPr>
                <w:rFonts w:hint="eastAsia"/>
                <w:color w:val="auto"/>
              </w:rPr>
            </w:pPr>
          </w:p>
        </w:tc>
        <w:tc>
          <w:tcPr>
            <w:tcW w:w="497" w:type="pct"/>
            <w:vMerge w:val="continue"/>
            <w:tcBorders>
              <w:tl2br w:val="nil"/>
              <w:tr2bl w:val="nil"/>
            </w:tcBorders>
            <w:noWrap/>
            <w:vAlign w:val="center"/>
          </w:tcPr>
          <w:p w14:paraId="5FE46EE1">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499" w:type="pct"/>
            <w:tcBorders>
              <w:tl2br w:val="nil"/>
              <w:tr2bl w:val="nil"/>
            </w:tcBorders>
            <w:shd w:val="clear" w:color="auto" w:fill="auto"/>
            <w:noWrap/>
            <w:vAlign w:val="center"/>
          </w:tcPr>
          <w:p w14:paraId="3A9A2913">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15" w:type="pct"/>
            <w:tcBorders>
              <w:tl2br w:val="nil"/>
              <w:tr2bl w:val="nil"/>
            </w:tcBorders>
            <w:shd w:val="clear" w:color="auto" w:fill="auto"/>
            <w:noWrap/>
            <w:vAlign w:val="center"/>
          </w:tcPr>
          <w:p w14:paraId="1EBD8731">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600</w:t>
            </w:r>
          </w:p>
        </w:tc>
        <w:tc>
          <w:tcPr>
            <w:tcW w:w="460" w:type="pct"/>
            <w:tcBorders>
              <w:tl2br w:val="nil"/>
              <w:tr2bl w:val="nil"/>
            </w:tcBorders>
            <w:shd w:val="clear" w:color="auto" w:fill="auto"/>
            <w:noWrap/>
            <w:vAlign w:val="center"/>
          </w:tcPr>
          <w:p w14:paraId="7FE54411">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290" w:type="pct"/>
            <w:tcBorders>
              <w:tl2br w:val="nil"/>
              <w:tr2bl w:val="nil"/>
            </w:tcBorders>
            <w:shd w:val="clear" w:color="auto" w:fill="auto"/>
            <w:noWrap/>
            <w:vAlign w:val="center"/>
          </w:tcPr>
          <w:p w14:paraId="10EDAEE8">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585" w:type="pct"/>
            <w:tcBorders>
              <w:tl2br w:val="nil"/>
              <w:tr2bl w:val="nil"/>
            </w:tcBorders>
            <w:shd w:val="clear" w:color="auto" w:fill="auto"/>
            <w:noWrap/>
            <w:vAlign w:val="center"/>
          </w:tcPr>
          <w:p w14:paraId="2F1D38A2">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25.8</w:t>
            </w:r>
          </w:p>
        </w:tc>
        <w:tc>
          <w:tcPr>
            <w:tcW w:w="444" w:type="pct"/>
            <w:tcBorders>
              <w:tl2br w:val="nil"/>
              <w:tr2bl w:val="nil"/>
            </w:tcBorders>
            <w:shd w:val="clear" w:color="auto" w:fill="auto"/>
            <w:noWrap/>
            <w:vAlign w:val="center"/>
          </w:tcPr>
          <w:p w14:paraId="2C4F7979">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c>
          <w:tcPr>
            <w:tcW w:w="453" w:type="pct"/>
            <w:tcBorders>
              <w:tl2br w:val="nil"/>
              <w:tr2bl w:val="nil"/>
            </w:tcBorders>
            <w:shd w:val="clear" w:color="auto" w:fill="auto"/>
            <w:noWrap/>
            <w:vAlign w:val="center"/>
          </w:tcPr>
          <w:p w14:paraId="7C9F1F1B">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r>
      <w:tr w14:paraId="61094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28F2A2BF">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废机油</w:t>
            </w:r>
          </w:p>
        </w:tc>
        <w:tc>
          <w:tcPr>
            <w:tcW w:w="553" w:type="pct"/>
            <w:vMerge w:val="continue"/>
            <w:tcBorders>
              <w:tl2br w:val="nil"/>
              <w:tr2bl w:val="nil"/>
            </w:tcBorders>
            <w:noWrap/>
            <w:vAlign w:val="center"/>
          </w:tcPr>
          <w:p w14:paraId="0053F0DE">
            <w:pPr>
              <w:pStyle w:val="127"/>
              <w:keepNext w:val="0"/>
              <w:keepLines w:val="0"/>
              <w:widowControl/>
              <w:suppressLineNumbers w:val="0"/>
              <w:spacing w:before="0" w:beforeAutospacing="0" w:after="0" w:afterAutospacing="0"/>
              <w:ind w:left="0" w:right="0"/>
              <w:jc w:val="center"/>
              <w:rPr>
                <w:rFonts w:hint="eastAsia"/>
                <w:color w:val="auto"/>
              </w:rPr>
            </w:pPr>
          </w:p>
        </w:tc>
        <w:tc>
          <w:tcPr>
            <w:tcW w:w="497" w:type="pct"/>
            <w:vMerge w:val="continue"/>
            <w:tcBorders>
              <w:tl2br w:val="nil"/>
              <w:tr2bl w:val="nil"/>
            </w:tcBorders>
            <w:noWrap/>
            <w:vAlign w:val="center"/>
          </w:tcPr>
          <w:p w14:paraId="392C5595">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499" w:type="pct"/>
            <w:tcBorders>
              <w:tl2br w:val="nil"/>
              <w:tr2bl w:val="nil"/>
            </w:tcBorders>
            <w:shd w:val="clear" w:color="auto" w:fill="auto"/>
            <w:noWrap/>
            <w:vAlign w:val="center"/>
          </w:tcPr>
          <w:p w14:paraId="6ECC086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桶装</w:t>
            </w:r>
          </w:p>
        </w:tc>
        <w:tc>
          <w:tcPr>
            <w:tcW w:w="515" w:type="pct"/>
            <w:tcBorders>
              <w:tl2br w:val="nil"/>
              <w:tr2bl w:val="nil"/>
            </w:tcBorders>
            <w:shd w:val="clear" w:color="auto" w:fill="auto"/>
            <w:noWrap/>
            <w:vAlign w:val="center"/>
          </w:tcPr>
          <w:p w14:paraId="6564894E">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1.0</w:t>
            </w:r>
          </w:p>
        </w:tc>
        <w:tc>
          <w:tcPr>
            <w:tcW w:w="460" w:type="pct"/>
            <w:tcBorders>
              <w:tl2br w:val="nil"/>
              <w:tr2bl w:val="nil"/>
            </w:tcBorders>
            <w:shd w:val="clear" w:color="auto" w:fill="auto"/>
            <w:noWrap/>
            <w:vAlign w:val="center"/>
          </w:tcPr>
          <w:p w14:paraId="49A09CF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230</w:t>
            </w:r>
          </w:p>
        </w:tc>
        <w:tc>
          <w:tcPr>
            <w:tcW w:w="290" w:type="pct"/>
            <w:tcBorders>
              <w:tl2br w:val="nil"/>
              <w:tr2bl w:val="nil"/>
            </w:tcBorders>
            <w:shd w:val="clear" w:color="auto" w:fill="auto"/>
            <w:noWrap/>
            <w:vAlign w:val="center"/>
          </w:tcPr>
          <w:p w14:paraId="3F682151">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585" w:type="pct"/>
            <w:tcBorders>
              <w:tl2br w:val="nil"/>
              <w:tr2bl w:val="nil"/>
            </w:tcBorders>
            <w:shd w:val="clear" w:color="auto" w:fill="auto"/>
            <w:noWrap/>
            <w:vAlign w:val="center"/>
          </w:tcPr>
          <w:p w14:paraId="133E3421">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w:t>
            </w:r>
          </w:p>
        </w:tc>
        <w:tc>
          <w:tcPr>
            <w:tcW w:w="444" w:type="pct"/>
            <w:tcBorders>
              <w:tl2br w:val="nil"/>
              <w:tr2bl w:val="nil"/>
            </w:tcBorders>
            <w:shd w:val="clear" w:color="auto" w:fill="auto"/>
            <w:noWrap/>
            <w:vAlign w:val="center"/>
          </w:tcPr>
          <w:p w14:paraId="2B9F8E00">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c>
          <w:tcPr>
            <w:tcW w:w="453" w:type="pct"/>
            <w:tcBorders>
              <w:tl2br w:val="nil"/>
              <w:tr2bl w:val="nil"/>
            </w:tcBorders>
            <w:shd w:val="clear" w:color="auto" w:fill="auto"/>
            <w:noWrap/>
            <w:vAlign w:val="center"/>
          </w:tcPr>
          <w:p w14:paraId="3EC342E4">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r>
      <w:tr w14:paraId="17D73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717136F5">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沾染物料的包装物</w:t>
            </w:r>
          </w:p>
        </w:tc>
        <w:tc>
          <w:tcPr>
            <w:tcW w:w="553" w:type="pct"/>
            <w:vMerge w:val="continue"/>
            <w:tcBorders>
              <w:tl2br w:val="nil"/>
              <w:tr2bl w:val="nil"/>
            </w:tcBorders>
            <w:noWrap/>
            <w:vAlign w:val="center"/>
          </w:tcPr>
          <w:p w14:paraId="2F3DD40C">
            <w:pPr>
              <w:pStyle w:val="127"/>
              <w:keepNext w:val="0"/>
              <w:keepLines w:val="0"/>
              <w:widowControl/>
              <w:suppressLineNumbers w:val="0"/>
              <w:spacing w:before="0" w:beforeAutospacing="0" w:after="0" w:afterAutospacing="0"/>
              <w:ind w:left="0" w:right="0"/>
              <w:jc w:val="center"/>
              <w:rPr>
                <w:rFonts w:hint="eastAsia"/>
                <w:color w:val="auto"/>
              </w:rPr>
            </w:pPr>
          </w:p>
        </w:tc>
        <w:tc>
          <w:tcPr>
            <w:tcW w:w="497" w:type="pct"/>
            <w:vMerge w:val="continue"/>
            <w:tcBorders>
              <w:tl2br w:val="nil"/>
              <w:tr2bl w:val="nil"/>
            </w:tcBorders>
            <w:noWrap/>
            <w:vAlign w:val="center"/>
          </w:tcPr>
          <w:p w14:paraId="7E9D1368">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499" w:type="pct"/>
            <w:tcBorders>
              <w:tl2br w:val="nil"/>
              <w:tr2bl w:val="nil"/>
            </w:tcBorders>
            <w:shd w:val="clear" w:color="auto" w:fill="auto"/>
            <w:noWrap/>
            <w:vAlign w:val="center"/>
          </w:tcPr>
          <w:p w14:paraId="28D39C7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15" w:type="pct"/>
            <w:tcBorders>
              <w:tl2br w:val="nil"/>
              <w:tr2bl w:val="nil"/>
            </w:tcBorders>
            <w:shd w:val="clear" w:color="auto" w:fill="auto"/>
            <w:noWrap/>
            <w:vAlign w:val="center"/>
          </w:tcPr>
          <w:p w14:paraId="62FB81DC">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18</w:t>
            </w:r>
          </w:p>
        </w:tc>
        <w:tc>
          <w:tcPr>
            <w:tcW w:w="460" w:type="pct"/>
            <w:tcBorders>
              <w:tl2br w:val="nil"/>
              <w:tr2bl w:val="nil"/>
            </w:tcBorders>
            <w:shd w:val="clear" w:color="auto" w:fill="auto"/>
            <w:noWrap/>
            <w:vAlign w:val="center"/>
          </w:tcPr>
          <w:p w14:paraId="143AE8E5">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290" w:type="pct"/>
            <w:tcBorders>
              <w:tl2br w:val="nil"/>
              <w:tr2bl w:val="nil"/>
            </w:tcBorders>
            <w:shd w:val="clear" w:color="auto" w:fill="auto"/>
            <w:noWrap/>
            <w:vAlign w:val="center"/>
          </w:tcPr>
          <w:p w14:paraId="4C810C1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585" w:type="pct"/>
            <w:tcBorders>
              <w:tl2br w:val="nil"/>
              <w:tr2bl w:val="nil"/>
            </w:tcBorders>
            <w:shd w:val="clear" w:color="auto" w:fill="auto"/>
            <w:noWrap/>
            <w:vAlign w:val="center"/>
          </w:tcPr>
          <w:p w14:paraId="3604FE12">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1.05</w:t>
            </w:r>
          </w:p>
        </w:tc>
        <w:tc>
          <w:tcPr>
            <w:tcW w:w="444" w:type="pct"/>
            <w:tcBorders>
              <w:tl2br w:val="nil"/>
              <w:tr2bl w:val="nil"/>
            </w:tcBorders>
            <w:shd w:val="clear" w:color="auto" w:fill="auto"/>
            <w:noWrap/>
            <w:vAlign w:val="center"/>
          </w:tcPr>
          <w:p w14:paraId="2B24C8F3">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c>
          <w:tcPr>
            <w:tcW w:w="453" w:type="pct"/>
            <w:tcBorders>
              <w:tl2br w:val="nil"/>
              <w:tr2bl w:val="nil"/>
            </w:tcBorders>
            <w:shd w:val="clear" w:color="auto" w:fill="auto"/>
            <w:noWrap/>
            <w:vAlign w:val="center"/>
          </w:tcPr>
          <w:p w14:paraId="6131581C">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r>
      <w:tr w14:paraId="51512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4532C08C">
            <w:pPr>
              <w:keepNext w:val="0"/>
              <w:keepLines w:val="0"/>
              <w:suppressLineNumbers w:val="0"/>
              <w:spacing w:before="0" w:beforeAutospacing="0" w:after="0" w:afterAutospacing="0" w:line="240" w:lineRule="auto"/>
              <w:ind w:left="0" w:right="0" w:firstLine="0" w:firstLineChars="0"/>
              <w:jc w:val="center"/>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蒸馏残渣</w:t>
            </w:r>
          </w:p>
        </w:tc>
        <w:tc>
          <w:tcPr>
            <w:tcW w:w="553" w:type="pct"/>
            <w:tcBorders>
              <w:tl2br w:val="nil"/>
              <w:tr2bl w:val="nil"/>
            </w:tcBorders>
            <w:noWrap/>
            <w:vAlign w:val="center"/>
          </w:tcPr>
          <w:p w14:paraId="00EA4D3E">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497" w:type="pct"/>
            <w:tcBorders>
              <w:tl2br w:val="nil"/>
              <w:tr2bl w:val="nil"/>
            </w:tcBorders>
            <w:shd w:val="clear" w:color="auto" w:fill="auto"/>
            <w:noWrap/>
            <w:vAlign w:val="center"/>
          </w:tcPr>
          <w:p w14:paraId="1D7B6B31">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危废储罐</w:t>
            </w:r>
          </w:p>
        </w:tc>
        <w:tc>
          <w:tcPr>
            <w:tcW w:w="499" w:type="pct"/>
            <w:tcBorders>
              <w:tl2br w:val="nil"/>
              <w:tr2bl w:val="nil"/>
            </w:tcBorders>
            <w:shd w:val="clear" w:color="auto" w:fill="auto"/>
            <w:noWrap/>
            <w:vAlign w:val="center"/>
          </w:tcPr>
          <w:p w14:paraId="470668DF">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槽罐</w:t>
            </w:r>
          </w:p>
        </w:tc>
        <w:tc>
          <w:tcPr>
            <w:tcW w:w="515" w:type="pct"/>
            <w:tcBorders>
              <w:tl2br w:val="nil"/>
              <w:tr2bl w:val="nil"/>
            </w:tcBorders>
            <w:noWrap/>
            <w:vAlign w:val="center"/>
          </w:tcPr>
          <w:p w14:paraId="31D6D82C">
            <w:pPr>
              <w:pStyle w:val="127"/>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color w:val="auto"/>
                <w:lang w:val="en-US" w:eastAsia="zh-CN"/>
              </w:rPr>
              <w:t>1360</w:t>
            </w:r>
          </w:p>
        </w:tc>
        <w:tc>
          <w:tcPr>
            <w:tcW w:w="460" w:type="pct"/>
            <w:tcBorders>
              <w:tl2br w:val="nil"/>
              <w:tr2bl w:val="nil"/>
            </w:tcBorders>
            <w:shd w:val="clear" w:color="auto" w:fill="auto"/>
            <w:noWrap/>
            <w:vAlign w:val="center"/>
          </w:tcPr>
          <w:p w14:paraId="78AA977C">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100m³</w:t>
            </w:r>
          </w:p>
        </w:tc>
        <w:tc>
          <w:tcPr>
            <w:tcW w:w="290" w:type="pct"/>
            <w:tcBorders>
              <w:tl2br w:val="nil"/>
              <w:tr2bl w:val="nil"/>
            </w:tcBorders>
            <w:shd w:val="clear" w:color="auto" w:fill="auto"/>
            <w:noWrap/>
            <w:vAlign w:val="center"/>
          </w:tcPr>
          <w:p w14:paraId="0887A2C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000000"/>
                <w:kern w:val="24"/>
                <w:szCs w:val="21"/>
                <w:lang w:val="en-US" w:eastAsia="zh-CN"/>
              </w:rPr>
              <w:t>液</w:t>
            </w:r>
          </w:p>
        </w:tc>
        <w:tc>
          <w:tcPr>
            <w:tcW w:w="585" w:type="pct"/>
            <w:tcBorders>
              <w:tl2br w:val="nil"/>
              <w:tr2bl w:val="nil"/>
            </w:tcBorders>
            <w:shd w:val="clear" w:color="auto" w:fill="auto"/>
            <w:noWrap/>
            <w:vAlign w:val="center"/>
          </w:tcPr>
          <w:p w14:paraId="43E9C240">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80</w:t>
            </w:r>
          </w:p>
        </w:tc>
        <w:tc>
          <w:tcPr>
            <w:tcW w:w="444" w:type="pct"/>
            <w:tcBorders>
              <w:tl2br w:val="nil"/>
              <w:tr2bl w:val="nil"/>
            </w:tcBorders>
            <w:shd w:val="clear" w:color="auto" w:fill="auto"/>
            <w:noWrap/>
            <w:vAlign w:val="center"/>
          </w:tcPr>
          <w:p w14:paraId="301C9740">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c>
          <w:tcPr>
            <w:tcW w:w="453" w:type="pct"/>
            <w:tcBorders>
              <w:tl2br w:val="nil"/>
              <w:tr2bl w:val="nil"/>
            </w:tcBorders>
            <w:shd w:val="clear" w:color="auto" w:fill="auto"/>
            <w:noWrap/>
            <w:vAlign w:val="center"/>
          </w:tcPr>
          <w:p w14:paraId="752062E4">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w:t>
            </w:r>
          </w:p>
        </w:tc>
      </w:tr>
      <w:tr w14:paraId="58AA8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4546" w:type="pct"/>
            <w:gridSpan w:val="9"/>
            <w:tcBorders>
              <w:tl2br w:val="nil"/>
              <w:tr2bl w:val="nil"/>
            </w:tcBorders>
            <w:noWrap/>
            <w:vAlign w:val="center"/>
          </w:tcPr>
          <w:p w14:paraId="7C5C545E">
            <w:pPr>
              <w:pStyle w:val="127"/>
              <w:keepNext w:val="0"/>
              <w:keepLines w:val="0"/>
              <w:widowControl/>
              <w:suppressLineNumbers w:val="0"/>
              <w:spacing w:before="0" w:beforeAutospacing="0" w:after="0" w:afterAutospacing="0"/>
              <w:ind w:left="0" w:right="0"/>
              <w:jc w:val="center"/>
              <w:rPr>
                <w:rFonts w:hint="eastAsia"/>
                <w:color w:val="auto"/>
                <w:lang w:eastAsia="zh-CN"/>
              </w:rPr>
            </w:pPr>
            <w:r>
              <w:rPr>
                <w:rFonts w:hint="eastAsia"/>
                <w:color w:val="auto"/>
                <w:lang w:eastAsia="zh-CN"/>
              </w:rPr>
              <w:t>产品</w:t>
            </w:r>
          </w:p>
        </w:tc>
        <w:tc>
          <w:tcPr>
            <w:tcW w:w="453" w:type="pct"/>
            <w:tcBorders>
              <w:tl2br w:val="nil"/>
              <w:tr2bl w:val="nil"/>
            </w:tcBorders>
            <w:noWrap/>
            <w:vAlign w:val="center"/>
          </w:tcPr>
          <w:p w14:paraId="3ADCD0E6">
            <w:pPr>
              <w:pStyle w:val="127"/>
              <w:keepNext w:val="0"/>
              <w:keepLines w:val="0"/>
              <w:widowControl/>
              <w:suppressLineNumbers w:val="0"/>
              <w:spacing w:before="0" w:beforeAutospacing="0" w:after="0" w:afterAutospacing="0"/>
              <w:ind w:left="0" w:right="0"/>
              <w:jc w:val="center"/>
              <w:rPr>
                <w:rFonts w:hint="eastAsia"/>
                <w:color w:val="auto"/>
                <w:lang w:eastAsia="zh-CN"/>
              </w:rPr>
            </w:pPr>
          </w:p>
        </w:tc>
      </w:tr>
      <w:tr w14:paraId="23CF8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noWrap/>
            <w:vAlign w:val="center"/>
          </w:tcPr>
          <w:p w14:paraId="0A79B2F3">
            <w:pPr>
              <w:keepNext w:val="0"/>
              <w:keepLines w:val="0"/>
              <w:suppressLineNumbers w:val="0"/>
              <w:spacing w:before="0" w:beforeAutospacing="0" w:after="0" w:afterAutospacing="0" w:line="240" w:lineRule="auto"/>
              <w:ind w:left="0" w:right="0" w:firstLine="0" w:firstLineChars="0"/>
              <w:jc w:val="center"/>
              <w:rPr>
                <w:rStyle w:val="36"/>
                <w:rFonts w:hint="default" w:ascii="Times New Roman" w:hAnsi="Times New Roman" w:eastAsia="宋体" w:cs="Times New Roman"/>
                <w:color w:val="000000"/>
                <w:kern w:val="2"/>
                <w:sz w:val="21"/>
                <w:szCs w:val="20"/>
                <w:lang w:val="en-US" w:eastAsia="zh-CN" w:bidi="ar-SA"/>
              </w:rPr>
            </w:pPr>
            <w:r>
              <w:rPr>
                <w:rFonts w:hint="eastAsia" w:eastAsia="宋体"/>
                <w:b w:val="0"/>
                <w:bCs/>
              </w:rPr>
              <w:t>风险物质</w:t>
            </w:r>
            <w:r>
              <w:rPr>
                <w:rStyle w:val="36"/>
                <w:rFonts w:hint="eastAsia" w:cs="Times New Roman"/>
                <w:color w:val="000000"/>
                <w:kern w:val="2"/>
                <w:sz w:val="21"/>
                <w:szCs w:val="20"/>
                <w:lang w:val="en-US" w:eastAsia="zh-CN" w:bidi="ar-SA"/>
              </w:rPr>
              <w:t>名称</w:t>
            </w:r>
          </w:p>
        </w:tc>
        <w:tc>
          <w:tcPr>
            <w:tcW w:w="553" w:type="pct"/>
            <w:tcBorders>
              <w:tl2br w:val="nil"/>
              <w:tr2bl w:val="nil"/>
            </w:tcBorders>
            <w:shd w:val="clear" w:color="auto" w:fill="auto"/>
            <w:noWrap/>
            <w:vAlign w:val="center"/>
          </w:tcPr>
          <w:p w14:paraId="2489A9E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000000"/>
                <w:kern w:val="2"/>
                <w:sz w:val="21"/>
                <w:szCs w:val="21"/>
                <w:lang w:val="en-US" w:eastAsia="zh-CN" w:bidi="ar-SA"/>
              </w:rPr>
              <w:t>CAS号</w:t>
            </w:r>
          </w:p>
        </w:tc>
        <w:tc>
          <w:tcPr>
            <w:tcW w:w="497" w:type="pct"/>
            <w:tcBorders>
              <w:tl2br w:val="nil"/>
              <w:tr2bl w:val="nil"/>
            </w:tcBorders>
            <w:shd w:val="clear" w:color="auto" w:fill="auto"/>
            <w:noWrap/>
            <w:vAlign w:val="center"/>
          </w:tcPr>
          <w:p w14:paraId="3D3CFB0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储存位置</w:t>
            </w:r>
          </w:p>
        </w:tc>
        <w:tc>
          <w:tcPr>
            <w:tcW w:w="499" w:type="pct"/>
            <w:tcBorders>
              <w:tl2br w:val="nil"/>
              <w:tr2bl w:val="nil"/>
            </w:tcBorders>
            <w:shd w:val="clear" w:color="auto" w:fill="auto"/>
            <w:noWrap/>
            <w:vAlign w:val="center"/>
          </w:tcPr>
          <w:p w14:paraId="000F6CAF">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贮存方式</w:t>
            </w:r>
          </w:p>
        </w:tc>
        <w:tc>
          <w:tcPr>
            <w:tcW w:w="515" w:type="pct"/>
            <w:tcBorders>
              <w:tl2br w:val="nil"/>
              <w:tr2bl w:val="nil"/>
            </w:tcBorders>
            <w:shd w:val="clear" w:color="auto" w:fill="auto"/>
            <w:noWrap/>
            <w:vAlign w:val="center"/>
          </w:tcPr>
          <w:p w14:paraId="7EEBC08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产生量（t</w:t>
            </w:r>
            <w:r>
              <w:rPr>
                <w:rFonts w:hint="default"/>
                <w:color w:val="auto"/>
              </w:rPr>
              <w:t>/</w:t>
            </w:r>
            <w:r>
              <w:rPr>
                <w:rFonts w:hint="eastAsia"/>
                <w:color w:val="auto"/>
              </w:rPr>
              <w:t>a）</w:t>
            </w:r>
          </w:p>
        </w:tc>
        <w:tc>
          <w:tcPr>
            <w:tcW w:w="460" w:type="pct"/>
            <w:tcBorders>
              <w:tl2br w:val="nil"/>
              <w:tr2bl w:val="nil"/>
            </w:tcBorders>
            <w:shd w:val="clear" w:color="auto" w:fill="auto"/>
            <w:noWrap/>
            <w:vAlign w:val="center"/>
          </w:tcPr>
          <w:p w14:paraId="5A96842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L</w:t>
            </w:r>
          </w:p>
        </w:tc>
        <w:tc>
          <w:tcPr>
            <w:tcW w:w="290" w:type="pct"/>
            <w:tcBorders>
              <w:tl2br w:val="nil"/>
              <w:tr2bl w:val="nil"/>
            </w:tcBorders>
            <w:shd w:val="clear" w:color="auto" w:fill="auto"/>
            <w:noWrap/>
            <w:vAlign w:val="center"/>
          </w:tcPr>
          <w:p w14:paraId="641235E2">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585" w:type="pct"/>
            <w:tcBorders>
              <w:tl2br w:val="nil"/>
              <w:tr2bl w:val="nil"/>
            </w:tcBorders>
            <w:shd w:val="clear" w:color="auto" w:fill="auto"/>
            <w:noWrap/>
            <w:vAlign w:val="center"/>
          </w:tcPr>
          <w:p w14:paraId="5825EB5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lang w:val="en-US" w:eastAsia="zh-CN" w:bidi="ar-SA"/>
              </w:rPr>
            </w:pPr>
            <w:r>
              <w:rPr>
                <w:rFonts w:hint="default" w:eastAsia="宋体"/>
                <w:b w:val="0"/>
                <w:bCs/>
              </w:rPr>
              <w:t>最大储量t</w:t>
            </w:r>
          </w:p>
        </w:tc>
        <w:tc>
          <w:tcPr>
            <w:tcW w:w="444" w:type="pct"/>
            <w:tcBorders>
              <w:tl2br w:val="nil"/>
              <w:tr2bl w:val="nil"/>
            </w:tcBorders>
            <w:shd w:val="clear" w:color="auto" w:fill="auto"/>
            <w:noWrap/>
            <w:vAlign w:val="center"/>
          </w:tcPr>
          <w:p w14:paraId="499BF6DB">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1"/>
                <w:szCs w:val="21"/>
                <w:lang w:val="en-US" w:eastAsia="zh-CN" w:bidi="ar-SA"/>
              </w:rPr>
            </w:pPr>
            <w:r>
              <w:rPr>
                <w:rFonts w:hint="eastAsia" w:eastAsia="宋体"/>
                <w:b w:val="0"/>
                <w:bCs/>
                <w:sz w:val="20"/>
                <w:szCs w:val="20"/>
                <w:lang w:eastAsia="zh-CN"/>
              </w:rPr>
              <w:t>临界量</w:t>
            </w:r>
            <w:r>
              <w:rPr>
                <w:rFonts w:hint="eastAsia" w:eastAsia="宋体"/>
                <w:b w:val="0"/>
                <w:bCs/>
                <w:sz w:val="20"/>
                <w:szCs w:val="20"/>
                <w:lang w:val="en-US" w:eastAsia="zh-CN"/>
              </w:rPr>
              <w:t>t</w:t>
            </w:r>
          </w:p>
        </w:tc>
        <w:tc>
          <w:tcPr>
            <w:tcW w:w="453" w:type="pct"/>
            <w:tcBorders>
              <w:tl2br w:val="nil"/>
              <w:tr2bl w:val="nil"/>
            </w:tcBorders>
            <w:shd w:val="clear" w:color="auto" w:fill="auto"/>
            <w:noWrap/>
            <w:vAlign w:val="center"/>
          </w:tcPr>
          <w:p w14:paraId="4BC6D5AD">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1"/>
                <w:szCs w:val="21"/>
                <w:lang w:val="en-US" w:eastAsia="zh-CN" w:bidi="ar-SA"/>
              </w:rPr>
            </w:pPr>
            <w:r>
              <w:rPr>
                <w:rFonts w:hint="eastAsia" w:eastAsia="宋体"/>
                <w:b w:val="0"/>
                <w:bCs/>
                <w:sz w:val="20"/>
                <w:szCs w:val="20"/>
                <w:lang w:eastAsia="zh-CN"/>
              </w:rPr>
              <w:t>依据</w:t>
            </w:r>
          </w:p>
        </w:tc>
      </w:tr>
      <w:tr w14:paraId="379F3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shd w:val="clear" w:color="auto" w:fill="auto"/>
            <w:noWrap/>
            <w:vAlign w:val="center"/>
          </w:tcPr>
          <w:p w14:paraId="21EA3DAE">
            <w:pPr>
              <w:keepNext w:val="0"/>
              <w:keepLines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3.3-二氯联苯胺盐酸盐</w:t>
            </w:r>
          </w:p>
        </w:tc>
        <w:tc>
          <w:tcPr>
            <w:tcW w:w="553" w:type="pct"/>
            <w:tcBorders>
              <w:tl2br w:val="nil"/>
              <w:tr2bl w:val="nil"/>
            </w:tcBorders>
            <w:shd w:val="clear" w:color="auto" w:fill="auto"/>
            <w:noWrap/>
            <w:vAlign w:val="center"/>
          </w:tcPr>
          <w:p w14:paraId="649AC187">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宋体"/>
                <w:bCs/>
                <w:color w:val="auto"/>
                <w:sz w:val="21"/>
                <w:szCs w:val="21"/>
              </w:rPr>
              <w:t>612-83-9</w:t>
            </w:r>
          </w:p>
        </w:tc>
        <w:tc>
          <w:tcPr>
            <w:tcW w:w="497" w:type="pct"/>
            <w:tcBorders>
              <w:tl2br w:val="nil"/>
              <w:tr2bl w:val="nil"/>
            </w:tcBorders>
            <w:shd w:val="clear" w:color="auto" w:fill="auto"/>
            <w:noWrap/>
            <w:vAlign w:val="center"/>
          </w:tcPr>
          <w:p w14:paraId="4871C5D2">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成品仓库</w:t>
            </w:r>
          </w:p>
        </w:tc>
        <w:tc>
          <w:tcPr>
            <w:tcW w:w="499" w:type="pct"/>
            <w:tcBorders>
              <w:tl2br w:val="nil"/>
              <w:tr2bl w:val="nil"/>
            </w:tcBorders>
            <w:shd w:val="clear" w:color="auto" w:fill="auto"/>
            <w:noWrap/>
            <w:vAlign w:val="center"/>
          </w:tcPr>
          <w:p w14:paraId="281F1D00">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15" w:type="pct"/>
            <w:tcBorders>
              <w:tl2br w:val="nil"/>
              <w:tr2bl w:val="nil"/>
            </w:tcBorders>
            <w:shd w:val="clear" w:color="auto" w:fill="auto"/>
            <w:noWrap/>
            <w:vAlign w:val="center"/>
          </w:tcPr>
          <w:p w14:paraId="41384890">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10000</w:t>
            </w:r>
          </w:p>
        </w:tc>
        <w:tc>
          <w:tcPr>
            <w:tcW w:w="460" w:type="pct"/>
            <w:tcBorders>
              <w:tl2br w:val="nil"/>
              <w:tr2bl w:val="nil"/>
            </w:tcBorders>
            <w:shd w:val="clear" w:color="auto" w:fill="auto"/>
            <w:noWrap/>
            <w:vAlign w:val="center"/>
          </w:tcPr>
          <w:p w14:paraId="6BC86714">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290" w:type="pct"/>
            <w:tcBorders>
              <w:tl2br w:val="nil"/>
              <w:tr2bl w:val="nil"/>
            </w:tcBorders>
            <w:shd w:val="clear" w:color="auto" w:fill="auto"/>
            <w:noWrap/>
            <w:vAlign w:val="center"/>
          </w:tcPr>
          <w:p w14:paraId="3B01328C">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固</w:t>
            </w:r>
          </w:p>
        </w:tc>
        <w:tc>
          <w:tcPr>
            <w:tcW w:w="585" w:type="pct"/>
            <w:tcBorders>
              <w:tl2br w:val="nil"/>
              <w:tr2bl w:val="nil"/>
            </w:tcBorders>
            <w:shd w:val="clear" w:color="auto" w:fill="auto"/>
            <w:noWrap/>
            <w:vAlign w:val="center"/>
          </w:tcPr>
          <w:p w14:paraId="268ACBB9">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宋体"/>
                <w:color w:val="auto"/>
                <w:sz w:val="21"/>
                <w:szCs w:val="21"/>
              </w:rPr>
              <w:t>500</w:t>
            </w:r>
          </w:p>
        </w:tc>
        <w:tc>
          <w:tcPr>
            <w:tcW w:w="444" w:type="pct"/>
            <w:tcBorders>
              <w:tl2br w:val="nil"/>
              <w:tr2bl w:val="nil"/>
            </w:tcBorders>
            <w:shd w:val="clear" w:color="auto" w:fill="auto"/>
            <w:noWrap/>
            <w:vAlign w:val="center"/>
          </w:tcPr>
          <w:p w14:paraId="7CA43842">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宋体" w:hAnsi="宋体" w:eastAsia="宋体" w:cs="宋体"/>
                <w:color w:val="auto"/>
                <w:sz w:val="21"/>
                <w:szCs w:val="21"/>
                <w:lang w:val="en-US"/>
              </w:rPr>
            </w:pPr>
            <w:r>
              <w:rPr>
                <w:rFonts w:hint="eastAsia" w:eastAsia="宋体"/>
                <w:b w:val="0"/>
                <w:bCs/>
                <w:lang w:val="en-US" w:eastAsia="zh-CN"/>
              </w:rPr>
              <w:t>100</w:t>
            </w:r>
          </w:p>
        </w:tc>
        <w:tc>
          <w:tcPr>
            <w:tcW w:w="453" w:type="pct"/>
            <w:tcBorders>
              <w:tl2br w:val="nil"/>
              <w:tr2bl w:val="nil"/>
            </w:tcBorders>
            <w:shd w:val="clear" w:color="auto" w:fill="auto"/>
            <w:noWrap/>
            <w:vAlign w:val="center"/>
          </w:tcPr>
          <w:p w14:paraId="477000E1">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宋体" w:hAnsi="宋体" w:eastAsia="宋体" w:cs="宋体"/>
                <w:b w:val="0"/>
                <w:bCs/>
                <w:color w:val="auto"/>
                <w:sz w:val="21"/>
                <w:szCs w:val="21"/>
                <w:lang w:val="en-US"/>
              </w:rPr>
            </w:pPr>
            <w:r>
              <w:rPr>
                <w:rFonts w:hint="eastAsia" w:ascii="宋体" w:hAnsi="宋体" w:eastAsia="宋体" w:cs="宋体"/>
                <w:b w:val="0"/>
                <w:bCs/>
                <w:color w:val="auto"/>
                <w:sz w:val="20"/>
                <w:szCs w:val="20"/>
                <w:lang w:val="en-US" w:eastAsia="zh-CN"/>
              </w:rPr>
              <w:t>HJ941-2018附录A</w:t>
            </w:r>
          </w:p>
        </w:tc>
      </w:tr>
      <w:tr w14:paraId="6D9245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700" w:type="pct"/>
            <w:tcBorders>
              <w:tl2br w:val="nil"/>
              <w:tr2bl w:val="nil"/>
            </w:tcBorders>
            <w:shd w:val="clear" w:color="auto" w:fill="auto"/>
            <w:noWrap/>
            <w:vAlign w:val="center"/>
          </w:tcPr>
          <w:p w14:paraId="6B77C5C4">
            <w:pPr>
              <w:keepNext w:val="0"/>
              <w:keepLines w:val="0"/>
              <w:suppressLineNumbers w:val="0"/>
              <w:spacing w:before="0" w:beforeAutospacing="0" w:after="0" w:afterAutospacing="0" w:line="240" w:lineRule="auto"/>
              <w:ind w:left="0" w:leftChars="0" w:right="0" w:rightChars="0" w:firstLine="0" w:firstLineChars="0"/>
              <w:jc w:val="center"/>
              <w:rPr>
                <w:rStyle w:val="36"/>
                <w:rFonts w:hint="eastAsia"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邻氯苯胺</w:t>
            </w:r>
          </w:p>
        </w:tc>
        <w:tc>
          <w:tcPr>
            <w:tcW w:w="553" w:type="pct"/>
            <w:tcBorders>
              <w:tl2br w:val="nil"/>
              <w:tr2bl w:val="nil"/>
            </w:tcBorders>
            <w:shd w:val="clear" w:color="auto" w:fill="auto"/>
            <w:noWrap/>
            <w:vAlign w:val="center"/>
          </w:tcPr>
          <w:p w14:paraId="6435C95B">
            <w:pPr>
              <w:pStyle w:val="127"/>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ascii="宋体" w:hAnsi="宋体" w:eastAsia="宋体" w:cs="宋体"/>
                <w:bCs/>
                <w:color w:val="auto"/>
                <w:sz w:val="21"/>
                <w:szCs w:val="21"/>
              </w:rPr>
              <w:t>95-51-2</w:t>
            </w:r>
          </w:p>
        </w:tc>
        <w:tc>
          <w:tcPr>
            <w:tcW w:w="497" w:type="pct"/>
            <w:tcBorders>
              <w:tl2br w:val="nil"/>
              <w:tr2bl w:val="nil"/>
            </w:tcBorders>
            <w:shd w:val="clear" w:color="auto" w:fill="auto"/>
            <w:noWrap/>
            <w:vAlign w:val="center"/>
          </w:tcPr>
          <w:p w14:paraId="6C2674D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储罐</w:t>
            </w:r>
          </w:p>
        </w:tc>
        <w:tc>
          <w:tcPr>
            <w:tcW w:w="499" w:type="pct"/>
            <w:tcBorders>
              <w:tl2br w:val="nil"/>
              <w:tr2bl w:val="nil"/>
            </w:tcBorders>
            <w:shd w:val="clear" w:color="auto" w:fill="auto"/>
            <w:noWrap/>
            <w:vAlign w:val="center"/>
          </w:tcPr>
          <w:p w14:paraId="32AF68F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000000"/>
                <w:kern w:val="24"/>
                <w:szCs w:val="21"/>
                <w:lang w:eastAsia="zh-CN"/>
              </w:rPr>
              <w:t>罐装</w:t>
            </w:r>
          </w:p>
        </w:tc>
        <w:tc>
          <w:tcPr>
            <w:tcW w:w="515" w:type="pct"/>
            <w:tcBorders>
              <w:tl2br w:val="nil"/>
              <w:tr2bl w:val="nil"/>
            </w:tcBorders>
            <w:shd w:val="clear" w:color="auto" w:fill="auto"/>
            <w:noWrap/>
            <w:vAlign w:val="center"/>
          </w:tcPr>
          <w:p w14:paraId="5BA9BF8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000000"/>
                <w:kern w:val="24"/>
                <w:szCs w:val="21"/>
                <w:lang w:val="en-US" w:eastAsia="zh-CN"/>
              </w:rPr>
              <w:t>300</w:t>
            </w:r>
          </w:p>
        </w:tc>
        <w:tc>
          <w:tcPr>
            <w:tcW w:w="460" w:type="pct"/>
            <w:tcBorders>
              <w:tl2br w:val="nil"/>
              <w:tr2bl w:val="nil"/>
            </w:tcBorders>
            <w:shd w:val="clear" w:color="auto" w:fill="auto"/>
            <w:noWrap/>
            <w:vAlign w:val="center"/>
          </w:tcPr>
          <w:p w14:paraId="5BDEA213">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50</w:t>
            </w:r>
            <w:r>
              <w:rPr>
                <w:rFonts w:hint="eastAsia"/>
                <w:lang w:val="en-US" w:eastAsia="zh-CN"/>
              </w:rPr>
              <w:t>m³</w:t>
            </w:r>
          </w:p>
        </w:tc>
        <w:tc>
          <w:tcPr>
            <w:tcW w:w="290" w:type="pct"/>
            <w:tcBorders>
              <w:tl2br w:val="nil"/>
              <w:tr2bl w:val="nil"/>
            </w:tcBorders>
            <w:shd w:val="clear" w:color="auto" w:fill="auto"/>
            <w:noWrap/>
            <w:vAlign w:val="center"/>
          </w:tcPr>
          <w:p w14:paraId="19EB3FE3">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液</w:t>
            </w:r>
          </w:p>
        </w:tc>
        <w:tc>
          <w:tcPr>
            <w:tcW w:w="585" w:type="pct"/>
            <w:tcBorders>
              <w:tl2br w:val="nil"/>
              <w:tr2bl w:val="nil"/>
            </w:tcBorders>
            <w:shd w:val="clear" w:color="auto" w:fill="auto"/>
            <w:noWrap/>
            <w:vAlign w:val="center"/>
          </w:tcPr>
          <w:p w14:paraId="4572EBD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35</w:t>
            </w:r>
          </w:p>
        </w:tc>
        <w:tc>
          <w:tcPr>
            <w:tcW w:w="444" w:type="pct"/>
            <w:tcBorders>
              <w:tl2br w:val="nil"/>
              <w:tr2bl w:val="nil"/>
            </w:tcBorders>
            <w:shd w:val="clear" w:color="auto" w:fill="auto"/>
            <w:noWrap/>
            <w:vAlign w:val="center"/>
          </w:tcPr>
          <w:p w14:paraId="72EFB01E">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color w:val="auto"/>
                <w:lang w:val="en-US" w:eastAsia="zh-CN"/>
              </w:rPr>
            </w:pPr>
            <w:r>
              <w:rPr>
                <w:rFonts w:hint="eastAsia" w:eastAsia="宋体"/>
                <w:b w:val="0"/>
                <w:bCs/>
                <w:lang w:val="en-US" w:eastAsia="zh-CN"/>
              </w:rPr>
              <w:t>5</w:t>
            </w:r>
          </w:p>
        </w:tc>
        <w:tc>
          <w:tcPr>
            <w:tcW w:w="453" w:type="pct"/>
            <w:tcBorders>
              <w:tl2br w:val="nil"/>
              <w:tr2bl w:val="nil"/>
            </w:tcBorders>
            <w:shd w:val="clear" w:color="auto" w:fill="auto"/>
            <w:noWrap/>
            <w:vAlign w:val="center"/>
          </w:tcPr>
          <w:p w14:paraId="7B404017">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b w:val="0"/>
                <w:bCs/>
                <w:color w:val="auto"/>
                <w:lang w:val="en-US" w:eastAsia="zh-CN"/>
              </w:rPr>
            </w:pPr>
            <w:r>
              <w:rPr>
                <w:rFonts w:hint="eastAsia" w:ascii="宋体" w:hAnsi="宋体" w:eastAsia="宋体" w:cs="宋体"/>
                <w:b w:val="0"/>
                <w:bCs/>
                <w:color w:val="auto"/>
                <w:sz w:val="20"/>
                <w:szCs w:val="20"/>
                <w:lang w:val="en-US" w:eastAsia="zh-CN"/>
              </w:rPr>
              <w:t>HJ941-2018附录A</w:t>
            </w:r>
          </w:p>
        </w:tc>
      </w:tr>
      <w:bookmarkEnd w:id="42"/>
    </w:tbl>
    <w:p w14:paraId="1A81F699">
      <w:pPr>
        <w:pStyle w:val="128"/>
        <w:spacing w:before="240" w:beforeLines="100" w:after="48"/>
        <w:ind w:firstLine="3150" w:firstLineChars="1500"/>
        <w:jc w:val="both"/>
        <w:rPr>
          <w:rFonts w:hint="eastAsia"/>
        </w:rPr>
      </w:pPr>
      <w:r>
        <w:rPr>
          <w:color w:val="000000" w:themeColor="text1"/>
          <w14:textFill>
            <w14:solidFill>
              <w14:schemeClr w14:val="tx1"/>
            </w14:solidFill>
          </w14:textFill>
        </w:rPr>
        <w:t>表</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STYLEREF 2 \s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noBreakHyphen/>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SEQ 表格 \* ARABIC \s 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 xml:space="preserve"> 环境风</w:t>
      </w:r>
      <w:r>
        <w:rPr>
          <w:rFonts w:hint="eastAsia"/>
        </w:rPr>
        <w:t>险单元一览表</w:t>
      </w:r>
    </w:p>
    <w:tbl>
      <w:tblPr>
        <w:tblStyle w:val="34"/>
        <w:tblW w:w="5164" w:type="pct"/>
        <w:jc w:val="center"/>
        <w:tblLayout w:type="autofit"/>
        <w:tblCellMar>
          <w:top w:w="0" w:type="dxa"/>
          <w:left w:w="0" w:type="dxa"/>
          <w:bottom w:w="0" w:type="dxa"/>
          <w:right w:w="0" w:type="dxa"/>
        </w:tblCellMar>
      </w:tblPr>
      <w:tblGrid>
        <w:gridCol w:w="602"/>
        <w:gridCol w:w="1720"/>
        <w:gridCol w:w="2511"/>
        <w:gridCol w:w="1848"/>
        <w:gridCol w:w="1521"/>
        <w:gridCol w:w="1529"/>
      </w:tblGrid>
      <w:tr w14:paraId="632AEC83">
        <w:tblPrEx>
          <w:tblCellMar>
            <w:top w:w="0" w:type="dxa"/>
            <w:left w:w="0" w:type="dxa"/>
            <w:bottom w:w="0" w:type="dxa"/>
            <w:right w:w="0" w:type="dxa"/>
          </w:tblCellMar>
        </w:tblPrEx>
        <w:trPr>
          <w:trHeight w:val="397" w:hRule="atLeast"/>
          <w:jc w:val="center"/>
        </w:trPr>
        <w:tc>
          <w:tcPr>
            <w:tcW w:w="309" w:type="pct"/>
            <w:tcBorders>
              <w:top w:val="single" w:color="000000" w:sz="4" w:space="0"/>
              <w:left w:val="single" w:color="000000" w:sz="4" w:space="0"/>
              <w:bottom w:val="single" w:color="000000" w:sz="4" w:space="0"/>
              <w:right w:val="single" w:color="000000" w:sz="4" w:space="0"/>
            </w:tcBorders>
            <w:noWrap w:val="0"/>
            <w:vAlign w:val="center"/>
          </w:tcPr>
          <w:p w14:paraId="6F120286">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序号</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14:paraId="224561AD">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危险单元</w:t>
            </w: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3B533F07">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风险源</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412A5D72">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主要</w:t>
            </w:r>
            <w:r>
              <w:rPr>
                <w:rFonts w:hint="eastAsia"/>
                <w:color w:val="000000"/>
                <w:lang w:eastAsia="zh-CN"/>
              </w:rPr>
              <w:t>风险</w:t>
            </w:r>
            <w:r>
              <w:rPr>
                <w:rFonts w:hint="eastAsia"/>
                <w:color w:val="000000"/>
              </w:rPr>
              <w:t>物质</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09D8A206">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环境风险类型</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14:paraId="67D1B08B">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环境影响途径</w:t>
            </w:r>
          </w:p>
        </w:tc>
      </w:tr>
      <w:tr w14:paraId="6053FB03">
        <w:tblPrEx>
          <w:tblCellMar>
            <w:top w:w="0" w:type="dxa"/>
            <w:left w:w="0" w:type="dxa"/>
            <w:bottom w:w="0" w:type="dxa"/>
            <w:right w:w="0" w:type="dxa"/>
          </w:tblCellMar>
        </w:tblPrEx>
        <w:trPr>
          <w:trHeight w:val="397" w:hRule="atLeast"/>
          <w:jc w:val="center"/>
        </w:trPr>
        <w:tc>
          <w:tcPr>
            <w:tcW w:w="309" w:type="pct"/>
            <w:vMerge w:val="restart"/>
            <w:tcBorders>
              <w:top w:val="single" w:color="000000" w:sz="4" w:space="0"/>
              <w:left w:val="single" w:color="000000" w:sz="4" w:space="0"/>
              <w:right w:val="single" w:color="000000" w:sz="4" w:space="0"/>
            </w:tcBorders>
            <w:noWrap w:val="0"/>
            <w:vAlign w:val="center"/>
          </w:tcPr>
          <w:p w14:paraId="29605C34">
            <w:pPr>
              <w:pStyle w:val="127"/>
              <w:keepNext w:val="0"/>
              <w:keepLines w:val="0"/>
              <w:widowControl/>
              <w:suppressLineNumbers w:val="0"/>
              <w:spacing w:before="0" w:beforeAutospacing="0" w:after="0" w:afterAutospacing="0"/>
              <w:ind w:left="0" w:right="0"/>
              <w:rPr>
                <w:rFonts w:hint="eastAsia" w:eastAsia="宋体" w:cs="Times New Roman"/>
                <w:color w:val="000000"/>
                <w:lang w:val="en-US" w:eastAsia="zh-CN"/>
              </w:rPr>
            </w:pPr>
            <w:r>
              <w:rPr>
                <w:rFonts w:hint="eastAsia" w:cs="Times New Roman"/>
                <w:color w:val="000000"/>
                <w:lang w:val="en-US" w:eastAsia="zh-CN"/>
              </w:rPr>
              <w:t>1</w:t>
            </w:r>
          </w:p>
        </w:tc>
        <w:tc>
          <w:tcPr>
            <w:tcW w:w="883" w:type="pct"/>
            <w:vMerge w:val="restart"/>
            <w:tcBorders>
              <w:top w:val="single" w:color="000000" w:sz="4" w:space="0"/>
              <w:left w:val="single" w:color="000000" w:sz="4" w:space="0"/>
              <w:right w:val="single" w:color="000000" w:sz="4" w:space="0"/>
            </w:tcBorders>
            <w:noWrap w:val="0"/>
            <w:vAlign w:val="center"/>
          </w:tcPr>
          <w:p w14:paraId="2B51C3A9">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储罐区</w:t>
            </w: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2F20FC25">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邻氯硝基苯</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7ECDF8BE">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邻氯硝基苯</w:t>
            </w:r>
          </w:p>
        </w:tc>
        <w:tc>
          <w:tcPr>
            <w:tcW w:w="781" w:type="pct"/>
            <w:vMerge w:val="restart"/>
            <w:tcBorders>
              <w:top w:val="single" w:color="000000" w:sz="4" w:space="0"/>
              <w:left w:val="single" w:color="000000" w:sz="4" w:space="0"/>
              <w:right w:val="single" w:color="000000" w:sz="4" w:space="0"/>
            </w:tcBorders>
            <w:noWrap w:val="0"/>
            <w:vAlign w:val="center"/>
          </w:tcPr>
          <w:p w14:paraId="33F9397A">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785" w:type="pct"/>
            <w:vMerge w:val="restart"/>
            <w:tcBorders>
              <w:top w:val="single" w:color="000000" w:sz="4" w:space="0"/>
              <w:left w:val="single" w:color="000000" w:sz="4" w:space="0"/>
              <w:right w:val="single" w:color="000000" w:sz="4" w:space="0"/>
            </w:tcBorders>
            <w:noWrap w:val="0"/>
            <w:vAlign w:val="center"/>
          </w:tcPr>
          <w:p w14:paraId="17BE2A0B">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eastAsia"/>
                <w:color w:val="000000"/>
              </w:rPr>
              <w:t>土壤、水环境</w:t>
            </w:r>
          </w:p>
        </w:tc>
      </w:tr>
      <w:tr w14:paraId="47D10134">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6AF50724">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53B3F38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17C04027">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rPr>
              <w:t>盐酸</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0EB0C7B3">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盐酸</w:t>
            </w:r>
          </w:p>
        </w:tc>
        <w:tc>
          <w:tcPr>
            <w:tcW w:w="781" w:type="pct"/>
            <w:vMerge w:val="continue"/>
            <w:tcBorders>
              <w:left w:val="single" w:color="000000" w:sz="4" w:space="0"/>
              <w:bottom w:val="single" w:color="auto" w:sz="4" w:space="0"/>
              <w:right w:val="single" w:color="000000" w:sz="4" w:space="0"/>
            </w:tcBorders>
            <w:noWrap w:val="0"/>
            <w:vAlign w:val="center"/>
          </w:tcPr>
          <w:p w14:paraId="1B35F39B">
            <w:pPr>
              <w:pStyle w:val="127"/>
              <w:keepNext w:val="0"/>
              <w:keepLines w:val="0"/>
              <w:widowControl/>
              <w:suppressLineNumbers w:val="0"/>
              <w:spacing w:before="0" w:beforeAutospacing="0" w:after="0" w:afterAutospacing="0"/>
              <w:ind w:left="0" w:right="0"/>
              <w:rPr>
                <w:rFonts w:hint="eastAsia"/>
                <w:color w:val="000000"/>
              </w:rPr>
            </w:pPr>
          </w:p>
        </w:tc>
        <w:tc>
          <w:tcPr>
            <w:tcW w:w="785" w:type="pct"/>
            <w:vMerge w:val="continue"/>
            <w:tcBorders>
              <w:left w:val="single" w:color="000000" w:sz="4" w:space="0"/>
              <w:right w:val="single" w:color="000000" w:sz="4" w:space="0"/>
            </w:tcBorders>
            <w:noWrap w:val="0"/>
            <w:vAlign w:val="center"/>
          </w:tcPr>
          <w:p w14:paraId="6FE282B8">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7E479A32">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5292EF6D">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399AFD9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3367D1FD">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甲苯</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4A98073D">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甲苯</w:t>
            </w:r>
          </w:p>
        </w:tc>
        <w:tc>
          <w:tcPr>
            <w:tcW w:w="781" w:type="pct"/>
            <w:tcBorders>
              <w:top w:val="single" w:color="auto" w:sz="4" w:space="0"/>
              <w:left w:val="single" w:color="000000" w:sz="4" w:space="0"/>
              <w:bottom w:val="single" w:color="auto" w:sz="4" w:space="0"/>
              <w:right w:val="single" w:color="000000" w:sz="4" w:space="0"/>
            </w:tcBorders>
            <w:noWrap w:val="0"/>
            <w:vAlign w:val="center"/>
          </w:tcPr>
          <w:p w14:paraId="52F407F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785" w:type="pct"/>
            <w:vMerge w:val="continue"/>
            <w:tcBorders>
              <w:left w:val="single" w:color="000000" w:sz="4" w:space="0"/>
              <w:right w:val="single" w:color="000000" w:sz="4" w:space="0"/>
            </w:tcBorders>
            <w:noWrap w:val="0"/>
            <w:vAlign w:val="center"/>
          </w:tcPr>
          <w:p w14:paraId="2307317F">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085073A2">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bottom w:val="single" w:color="000000" w:sz="4" w:space="0"/>
              <w:right w:val="single" w:color="000000" w:sz="4" w:space="0"/>
            </w:tcBorders>
            <w:noWrap w:val="0"/>
            <w:vAlign w:val="center"/>
          </w:tcPr>
          <w:p w14:paraId="7C8BF55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bottom w:val="single" w:color="000000" w:sz="4" w:space="0"/>
              <w:right w:val="single" w:color="000000" w:sz="4" w:space="0"/>
            </w:tcBorders>
            <w:noWrap w:val="0"/>
            <w:vAlign w:val="center"/>
          </w:tcPr>
          <w:p w14:paraId="716C8730">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1B71B9B0">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液碱</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1EA040BB">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液碱</w:t>
            </w:r>
          </w:p>
        </w:tc>
        <w:tc>
          <w:tcPr>
            <w:tcW w:w="781" w:type="pct"/>
            <w:tcBorders>
              <w:top w:val="single" w:color="auto" w:sz="4" w:space="0"/>
              <w:left w:val="single" w:color="000000" w:sz="4" w:space="0"/>
              <w:bottom w:val="single" w:color="auto" w:sz="4" w:space="0"/>
              <w:right w:val="single" w:color="000000" w:sz="4" w:space="0"/>
            </w:tcBorders>
            <w:noWrap w:val="0"/>
            <w:vAlign w:val="center"/>
          </w:tcPr>
          <w:p w14:paraId="6F48EA08">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bottom w:val="single" w:color="000000" w:sz="4" w:space="0"/>
              <w:right w:val="single" w:color="000000" w:sz="4" w:space="0"/>
            </w:tcBorders>
            <w:noWrap w:val="0"/>
            <w:vAlign w:val="center"/>
          </w:tcPr>
          <w:p w14:paraId="31AF5D2F">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723AD6A3">
        <w:tblPrEx>
          <w:tblCellMar>
            <w:top w:w="0" w:type="dxa"/>
            <w:left w:w="0" w:type="dxa"/>
            <w:bottom w:w="0" w:type="dxa"/>
            <w:right w:w="0" w:type="dxa"/>
          </w:tblCellMar>
        </w:tblPrEx>
        <w:trPr>
          <w:trHeight w:val="397" w:hRule="atLeast"/>
          <w:jc w:val="center"/>
        </w:trPr>
        <w:tc>
          <w:tcPr>
            <w:tcW w:w="309" w:type="pct"/>
            <w:vMerge w:val="restart"/>
            <w:tcBorders>
              <w:top w:val="single" w:color="000000" w:sz="4" w:space="0"/>
              <w:left w:val="single" w:color="000000" w:sz="4" w:space="0"/>
              <w:right w:val="single" w:color="000000" w:sz="4" w:space="0"/>
            </w:tcBorders>
            <w:noWrap w:val="0"/>
            <w:vAlign w:val="center"/>
          </w:tcPr>
          <w:p w14:paraId="6CD03AB4">
            <w:pPr>
              <w:pStyle w:val="127"/>
              <w:keepNext w:val="0"/>
              <w:keepLines w:val="0"/>
              <w:widowControl/>
              <w:suppressLineNumbers w:val="0"/>
              <w:spacing w:before="0" w:beforeAutospacing="0" w:after="0" w:afterAutospacing="0"/>
              <w:ind w:left="0" w:right="0"/>
              <w:rPr>
                <w:rFonts w:hint="eastAsia" w:eastAsia="宋体" w:cs="Times New Roman"/>
                <w:color w:val="000000"/>
                <w:lang w:eastAsia="zh-CN"/>
              </w:rPr>
            </w:pPr>
            <w:r>
              <w:rPr>
                <w:rFonts w:hint="eastAsia" w:cs="Times New Roman"/>
                <w:color w:val="000000"/>
                <w:lang w:val="en-US" w:eastAsia="zh-CN"/>
              </w:rPr>
              <w:t>2</w:t>
            </w:r>
          </w:p>
        </w:tc>
        <w:tc>
          <w:tcPr>
            <w:tcW w:w="883" w:type="pct"/>
            <w:vMerge w:val="restart"/>
            <w:tcBorders>
              <w:top w:val="single" w:color="000000" w:sz="4" w:space="0"/>
              <w:left w:val="single" w:color="000000" w:sz="4" w:space="0"/>
              <w:right w:val="single" w:color="000000" w:sz="4" w:space="0"/>
            </w:tcBorders>
            <w:noWrap w:val="0"/>
            <w:vAlign w:val="center"/>
          </w:tcPr>
          <w:p w14:paraId="2A3A8C58">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危废暂存</w:t>
            </w:r>
            <w:r>
              <w:rPr>
                <w:rFonts w:hint="eastAsia"/>
                <w:color w:val="000000"/>
                <w:lang w:eastAsia="zh-CN"/>
              </w:rPr>
              <w:t>间</w:t>
            </w:r>
            <w:r>
              <w:rPr>
                <w:rFonts w:hint="eastAsia"/>
                <w:color w:val="000000"/>
              </w:rPr>
              <w:t>库</w:t>
            </w:r>
          </w:p>
        </w:tc>
        <w:tc>
          <w:tcPr>
            <w:tcW w:w="1289" w:type="pct"/>
            <w:vMerge w:val="restart"/>
            <w:tcBorders>
              <w:top w:val="single" w:color="000000" w:sz="4" w:space="0"/>
              <w:left w:val="single" w:color="000000" w:sz="4" w:space="0"/>
              <w:right w:val="single" w:color="000000" w:sz="4" w:space="0"/>
            </w:tcBorders>
            <w:noWrap w:val="0"/>
            <w:vAlign w:val="center"/>
          </w:tcPr>
          <w:p w14:paraId="5E3A2E8B">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危险废物</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3FECED8A">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废</w:t>
            </w:r>
            <w:r>
              <w:rPr>
                <w:rFonts w:hint="eastAsia"/>
                <w:color w:val="000000"/>
                <w:lang w:eastAsia="zh-CN"/>
              </w:rPr>
              <w:t>活性炭</w:t>
            </w:r>
          </w:p>
        </w:tc>
        <w:tc>
          <w:tcPr>
            <w:tcW w:w="781" w:type="pct"/>
            <w:vMerge w:val="restart"/>
            <w:tcBorders>
              <w:top w:val="single" w:color="auto" w:sz="4" w:space="0"/>
              <w:left w:val="single" w:color="000000" w:sz="4" w:space="0"/>
              <w:bottom w:val="single" w:color="auto" w:sz="4" w:space="0"/>
              <w:right w:val="single" w:color="000000" w:sz="4" w:space="0"/>
            </w:tcBorders>
            <w:noWrap w:val="0"/>
            <w:vAlign w:val="center"/>
          </w:tcPr>
          <w:p w14:paraId="59F77C62">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785" w:type="pct"/>
            <w:vMerge w:val="restart"/>
            <w:tcBorders>
              <w:top w:val="single" w:color="000000" w:sz="4" w:space="0"/>
              <w:left w:val="single" w:color="000000" w:sz="4" w:space="0"/>
              <w:right w:val="single" w:color="000000" w:sz="4" w:space="0"/>
            </w:tcBorders>
            <w:noWrap w:val="0"/>
            <w:vAlign w:val="center"/>
          </w:tcPr>
          <w:p w14:paraId="5F4BEF09">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default"/>
                <w:color w:val="000000"/>
              </w:rPr>
              <w:t>土壤、水环境</w:t>
            </w:r>
          </w:p>
        </w:tc>
      </w:tr>
      <w:tr w14:paraId="59F0BA00">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1FA27B36">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367AC8E1">
            <w:pPr>
              <w:pStyle w:val="127"/>
              <w:keepNext w:val="0"/>
              <w:keepLines w:val="0"/>
              <w:widowControl/>
              <w:suppressLineNumbers w:val="0"/>
              <w:spacing w:before="0" w:beforeAutospacing="0" w:after="0" w:afterAutospacing="0"/>
              <w:ind w:left="0" w:right="0"/>
              <w:rPr>
                <w:rFonts w:hint="eastAsia"/>
                <w:color w:val="000000"/>
              </w:rPr>
            </w:pPr>
          </w:p>
        </w:tc>
        <w:tc>
          <w:tcPr>
            <w:tcW w:w="1289" w:type="pct"/>
            <w:vMerge w:val="continue"/>
            <w:tcBorders>
              <w:left w:val="single" w:color="000000" w:sz="4" w:space="0"/>
              <w:right w:val="single" w:color="000000" w:sz="4" w:space="0"/>
            </w:tcBorders>
            <w:noWrap w:val="0"/>
            <w:vAlign w:val="center"/>
          </w:tcPr>
          <w:p w14:paraId="001611A9">
            <w:pPr>
              <w:pStyle w:val="127"/>
              <w:keepNext w:val="0"/>
              <w:keepLines w:val="0"/>
              <w:widowControl/>
              <w:suppressLineNumbers w:val="0"/>
              <w:spacing w:before="0" w:beforeAutospacing="0" w:after="0" w:afterAutospacing="0"/>
              <w:ind w:left="0" w:right="0"/>
              <w:rPr>
                <w:rFonts w:hint="eastAsia"/>
                <w:color w:val="000000"/>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5D55BDE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蒸馏残渣</w:t>
            </w:r>
          </w:p>
        </w:tc>
        <w:tc>
          <w:tcPr>
            <w:tcW w:w="781" w:type="pct"/>
            <w:vMerge w:val="continue"/>
            <w:tcBorders>
              <w:top w:val="single" w:color="auto" w:sz="4" w:space="0"/>
              <w:left w:val="single" w:color="000000" w:sz="4" w:space="0"/>
              <w:bottom w:val="single" w:color="auto" w:sz="4" w:space="0"/>
              <w:right w:val="single" w:color="000000" w:sz="4" w:space="0"/>
            </w:tcBorders>
            <w:noWrap w:val="0"/>
            <w:vAlign w:val="center"/>
          </w:tcPr>
          <w:p w14:paraId="1E83994A">
            <w:pPr>
              <w:pStyle w:val="127"/>
              <w:keepNext w:val="0"/>
              <w:keepLines w:val="0"/>
              <w:widowControl/>
              <w:suppressLineNumbers w:val="0"/>
              <w:spacing w:before="0" w:beforeAutospacing="0" w:after="0" w:afterAutospacing="0"/>
              <w:ind w:left="0" w:right="0"/>
              <w:rPr>
                <w:rFonts w:hint="eastAsia"/>
                <w:color w:val="000000"/>
              </w:rPr>
            </w:pPr>
          </w:p>
        </w:tc>
        <w:tc>
          <w:tcPr>
            <w:tcW w:w="785" w:type="pct"/>
            <w:vMerge w:val="continue"/>
            <w:tcBorders>
              <w:left w:val="single" w:color="000000" w:sz="4" w:space="0"/>
              <w:right w:val="single" w:color="000000" w:sz="4" w:space="0"/>
            </w:tcBorders>
            <w:noWrap w:val="0"/>
            <w:vAlign w:val="center"/>
          </w:tcPr>
          <w:p w14:paraId="011E46C0">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71B97BDC">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5F050EE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6471CA43">
            <w:pPr>
              <w:pStyle w:val="127"/>
              <w:keepNext w:val="0"/>
              <w:keepLines w:val="0"/>
              <w:widowControl/>
              <w:suppressLineNumbers w:val="0"/>
              <w:spacing w:before="0" w:beforeAutospacing="0" w:after="0" w:afterAutospacing="0"/>
              <w:ind w:left="0" w:right="0"/>
              <w:rPr>
                <w:rFonts w:hint="eastAsia"/>
                <w:color w:val="000000"/>
              </w:rPr>
            </w:pPr>
          </w:p>
        </w:tc>
        <w:tc>
          <w:tcPr>
            <w:tcW w:w="1289" w:type="pct"/>
            <w:vMerge w:val="continue"/>
            <w:tcBorders>
              <w:left w:val="single" w:color="000000" w:sz="4" w:space="0"/>
              <w:right w:val="single" w:color="000000" w:sz="4" w:space="0"/>
            </w:tcBorders>
            <w:noWrap w:val="0"/>
            <w:vAlign w:val="center"/>
          </w:tcPr>
          <w:p w14:paraId="594D3003">
            <w:pPr>
              <w:pStyle w:val="127"/>
              <w:keepNext w:val="0"/>
              <w:keepLines w:val="0"/>
              <w:widowControl/>
              <w:suppressLineNumbers w:val="0"/>
              <w:spacing w:before="0" w:beforeAutospacing="0" w:after="0" w:afterAutospacing="0"/>
              <w:ind w:left="0" w:right="0"/>
              <w:rPr>
                <w:rFonts w:hint="eastAsia"/>
                <w:color w:val="000000"/>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73D086A1">
            <w:pPr>
              <w:pStyle w:val="127"/>
              <w:keepNext w:val="0"/>
              <w:keepLines w:val="0"/>
              <w:widowControl/>
              <w:suppressLineNumbers w:val="0"/>
              <w:spacing w:before="0" w:beforeAutospacing="0" w:after="0" w:afterAutospacing="0"/>
              <w:ind w:left="0" w:right="0"/>
              <w:rPr>
                <w:rFonts w:hint="eastAsia"/>
                <w:color w:val="000000"/>
                <w:lang w:eastAsia="zh-CN"/>
              </w:rPr>
            </w:pPr>
            <w:r>
              <w:rPr>
                <w:rStyle w:val="36"/>
                <w:rFonts w:hint="eastAsia" w:ascii="Times New Roman" w:hAnsi="Times New Roman" w:eastAsia="宋体" w:cs="Times New Roman"/>
                <w:color w:val="000000"/>
                <w:kern w:val="2"/>
                <w:sz w:val="21"/>
                <w:szCs w:val="20"/>
                <w:lang w:val="en-US" w:eastAsia="zh-CN" w:bidi="ar-SA"/>
              </w:rPr>
              <w:t>废机油</w:t>
            </w:r>
          </w:p>
        </w:tc>
        <w:tc>
          <w:tcPr>
            <w:tcW w:w="781" w:type="pct"/>
            <w:vMerge w:val="continue"/>
            <w:tcBorders>
              <w:top w:val="single" w:color="auto" w:sz="4" w:space="0"/>
              <w:left w:val="single" w:color="000000" w:sz="4" w:space="0"/>
              <w:bottom w:val="single" w:color="auto" w:sz="4" w:space="0"/>
              <w:right w:val="single" w:color="000000" w:sz="4" w:space="0"/>
            </w:tcBorders>
            <w:noWrap w:val="0"/>
            <w:vAlign w:val="center"/>
          </w:tcPr>
          <w:p w14:paraId="0CDDC801">
            <w:pPr>
              <w:pStyle w:val="127"/>
              <w:keepNext w:val="0"/>
              <w:keepLines w:val="0"/>
              <w:widowControl/>
              <w:suppressLineNumbers w:val="0"/>
              <w:spacing w:before="0" w:beforeAutospacing="0" w:after="0" w:afterAutospacing="0"/>
              <w:ind w:left="0" w:right="0"/>
              <w:rPr>
                <w:rFonts w:hint="eastAsia"/>
                <w:color w:val="000000"/>
              </w:rPr>
            </w:pPr>
          </w:p>
        </w:tc>
        <w:tc>
          <w:tcPr>
            <w:tcW w:w="785" w:type="pct"/>
            <w:vMerge w:val="continue"/>
            <w:tcBorders>
              <w:left w:val="single" w:color="000000" w:sz="4" w:space="0"/>
              <w:right w:val="single" w:color="000000" w:sz="4" w:space="0"/>
            </w:tcBorders>
            <w:noWrap w:val="0"/>
            <w:vAlign w:val="center"/>
          </w:tcPr>
          <w:p w14:paraId="400B6DC4">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62DDD744">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bottom w:val="single" w:color="000000" w:sz="4" w:space="0"/>
              <w:right w:val="single" w:color="000000" w:sz="4" w:space="0"/>
            </w:tcBorders>
            <w:noWrap w:val="0"/>
            <w:vAlign w:val="center"/>
          </w:tcPr>
          <w:p w14:paraId="2577854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bottom w:val="single" w:color="000000" w:sz="4" w:space="0"/>
              <w:right w:val="single" w:color="000000" w:sz="4" w:space="0"/>
            </w:tcBorders>
            <w:noWrap w:val="0"/>
            <w:vAlign w:val="center"/>
          </w:tcPr>
          <w:p w14:paraId="4DE7B115">
            <w:pPr>
              <w:pStyle w:val="127"/>
              <w:keepNext w:val="0"/>
              <w:keepLines w:val="0"/>
              <w:widowControl/>
              <w:suppressLineNumbers w:val="0"/>
              <w:spacing w:before="0" w:beforeAutospacing="0" w:after="0" w:afterAutospacing="0"/>
              <w:ind w:left="0" w:right="0"/>
              <w:rPr>
                <w:rFonts w:hint="eastAsia"/>
                <w:color w:val="000000"/>
              </w:rPr>
            </w:pPr>
          </w:p>
        </w:tc>
        <w:tc>
          <w:tcPr>
            <w:tcW w:w="1289" w:type="pct"/>
            <w:vMerge w:val="continue"/>
            <w:tcBorders>
              <w:left w:val="single" w:color="000000" w:sz="4" w:space="0"/>
              <w:bottom w:val="single" w:color="000000" w:sz="4" w:space="0"/>
              <w:right w:val="single" w:color="000000" w:sz="4" w:space="0"/>
            </w:tcBorders>
            <w:noWrap w:val="0"/>
            <w:vAlign w:val="center"/>
          </w:tcPr>
          <w:p w14:paraId="509C78B8">
            <w:pPr>
              <w:pStyle w:val="127"/>
              <w:keepNext w:val="0"/>
              <w:keepLines w:val="0"/>
              <w:widowControl/>
              <w:suppressLineNumbers w:val="0"/>
              <w:spacing w:before="0" w:beforeAutospacing="0" w:after="0" w:afterAutospacing="0"/>
              <w:ind w:left="0" w:right="0"/>
              <w:rPr>
                <w:rFonts w:hint="eastAsia"/>
                <w:color w:val="000000"/>
              </w:rPr>
            </w:pP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5B02B38C">
            <w:pPr>
              <w:pStyle w:val="127"/>
              <w:keepNext w:val="0"/>
              <w:keepLines w:val="0"/>
              <w:widowControl/>
              <w:suppressLineNumbers w:val="0"/>
              <w:spacing w:before="0" w:beforeAutospacing="0" w:after="0" w:afterAutospacing="0"/>
              <w:ind w:left="0" w:right="0"/>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废催化剂</w:t>
            </w:r>
          </w:p>
        </w:tc>
        <w:tc>
          <w:tcPr>
            <w:tcW w:w="781" w:type="pct"/>
            <w:vMerge w:val="continue"/>
            <w:tcBorders>
              <w:top w:val="single" w:color="auto" w:sz="4" w:space="0"/>
              <w:left w:val="single" w:color="000000" w:sz="4" w:space="0"/>
              <w:bottom w:val="single" w:color="auto" w:sz="4" w:space="0"/>
              <w:right w:val="single" w:color="000000" w:sz="4" w:space="0"/>
            </w:tcBorders>
            <w:noWrap w:val="0"/>
            <w:vAlign w:val="center"/>
          </w:tcPr>
          <w:p w14:paraId="3468B70E">
            <w:pPr>
              <w:pStyle w:val="127"/>
              <w:keepNext w:val="0"/>
              <w:keepLines w:val="0"/>
              <w:widowControl/>
              <w:suppressLineNumbers w:val="0"/>
              <w:spacing w:before="0" w:beforeAutospacing="0" w:after="0" w:afterAutospacing="0"/>
              <w:ind w:left="0" w:right="0"/>
              <w:rPr>
                <w:rFonts w:hint="eastAsia"/>
                <w:color w:val="000000"/>
              </w:rPr>
            </w:pPr>
          </w:p>
        </w:tc>
        <w:tc>
          <w:tcPr>
            <w:tcW w:w="785" w:type="pct"/>
            <w:vMerge w:val="continue"/>
            <w:tcBorders>
              <w:left w:val="single" w:color="000000" w:sz="4" w:space="0"/>
              <w:bottom w:val="single" w:color="000000" w:sz="4" w:space="0"/>
              <w:right w:val="single" w:color="000000" w:sz="4" w:space="0"/>
            </w:tcBorders>
            <w:noWrap w:val="0"/>
            <w:vAlign w:val="center"/>
          </w:tcPr>
          <w:p w14:paraId="09F5CDC1">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3B5F94E3">
        <w:tblPrEx>
          <w:tblCellMar>
            <w:top w:w="0" w:type="dxa"/>
            <w:left w:w="0" w:type="dxa"/>
            <w:bottom w:w="0" w:type="dxa"/>
            <w:right w:w="0" w:type="dxa"/>
          </w:tblCellMar>
        </w:tblPrEx>
        <w:trPr>
          <w:trHeight w:val="397" w:hRule="atLeast"/>
          <w:jc w:val="center"/>
        </w:trPr>
        <w:tc>
          <w:tcPr>
            <w:tcW w:w="309" w:type="pct"/>
            <w:vMerge w:val="restart"/>
            <w:tcBorders>
              <w:top w:val="single" w:color="000000" w:sz="4" w:space="0"/>
              <w:left w:val="single" w:color="000000" w:sz="4" w:space="0"/>
              <w:right w:val="single" w:color="000000" w:sz="4" w:space="0"/>
            </w:tcBorders>
            <w:noWrap w:val="0"/>
            <w:vAlign w:val="center"/>
          </w:tcPr>
          <w:p w14:paraId="55AC9F80">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3</w:t>
            </w:r>
          </w:p>
        </w:tc>
        <w:tc>
          <w:tcPr>
            <w:tcW w:w="883" w:type="pct"/>
            <w:vMerge w:val="restart"/>
            <w:tcBorders>
              <w:top w:val="single" w:color="000000" w:sz="4" w:space="0"/>
              <w:left w:val="single" w:color="000000" w:sz="4" w:space="0"/>
              <w:right w:val="single" w:color="000000" w:sz="4" w:space="0"/>
            </w:tcBorders>
            <w:noWrap w:val="0"/>
            <w:vAlign w:val="center"/>
          </w:tcPr>
          <w:p w14:paraId="2A9060E9">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生产装置</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13B31B">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邻氯硝基苯</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394194">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邻氯硝基苯</w:t>
            </w:r>
          </w:p>
        </w:tc>
        <w:tc>
          <w:tcPr>
            <w:tcW w:w="781" w:type="pct"/>
            <w:tcBorders>
              <w:top w:val="single" w:color="auto" w:sz="4" w:space="0"/>
              <w:left w:val="single" w:color="000000" w:sz="4" w:space="0"/>
              <w:bottom w:val="single" w:color="000000" w:sz="4" w:space="0"/>
              <w:right w:val="single" w:color="000000" w:sz="4" w:space="0"/>
            </w:tcBorders>
            <w:noWrap w:val="0"/>
            <w:vAlign w:val="center"/>
          </w:tcPr>
          <w:p w14:paraId="3B5BEB25">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restart"/>
            <w:tcBorders>
              <w:top w:val="single" w:color="000000" w:sz="4" w:space="0"/>
              <w:left w:val="single" w:color="000000" w:sz="4" w:space="0"/>
              <w:right w:val="single" w:color="000000" w:sz="4" w:space="0"/>
            </w:tcBorders>
            <w:noWrap w:val="0"/>
            <w:vAlign w:val="center"/>
          </w:tcPr>
          <w:p w14:paraId="0C15CC90">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r>
      <w:tr w14:paraId="386B76D2">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0924E9A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685456F6">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0672A">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盐酸</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C7C2AC">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盐酸</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3F0AB386">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right w:val="single" w:color="000000" w:sz="4" w:space="0"/>
            </w:tcBorders>
            <w:noWrap w:val="0"/>
            <w:vAlign w:val="center"/>
          </w:tcPr>
          <w:p w14:paraId="46516FE3">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7109F807">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13A43EB9">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142B8420">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AEF56">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甲苯</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FE48CC">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甲苯</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7A760436">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火灾、爆炸</w:t>
            </w:r>
          </w:p>
        </w:tc>
        <w:tc>
          <w:tcPr>
            <w:tcW w:w="785" w:type="pct"/>
            <w:vMerge w:val="continue"/>
            <w:tcBorders>
              <w:left w:val="single" w:color="000000" w:sz="4" w:space="0"/>
              <w:right w:val="single" w:color="000000" w:sz="4" w:space="0"/>
            </w:tcBorders>
            <w:noWrap w:val="0"/>
            <w:vAlign w:val="center"/>
          </w:tcPr>
          <w:p w14:paraId="25186EB5">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1C59EE56">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5A71E4D2">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050CCACE">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AADF9F">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液碱</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4B98E7">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液碱</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208AA10F">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right w:val="single" w:color="000000" w:sz="4" w:space="0"/>
            </w:tcBorders>
            <w:noWrap w:val="0"/>
            <w:vAlign w:val="center"/>
          </w:tcPr>
          <w:p w14:paraId="2D8A1225">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7CE9F2E9">
        <w:tblPrEx>
          <w:tblCellMar>
            <w:top w:w="0" w:type="dxa"/>
            <w:left w:w="0" w:type="dxa"/>
            <w:bottom w:w="0" w:type="dxa"/>
            <w:right w:w="0" w:type="dxa"/>
          </w:tblCellMar>
        </w:tblPrEx>
        <w:trPr>
          <w:trHeight w:val="397" w:hRule="atLeast"/>
          <w:jc w:val="center"/>
        </w:trPr>
        <w:tc>
          <w:tcPr>
            <w:tcW w:w="309" w:type="pct"/>
            <w:vMerge w:val="restart"/>
            <w:tcBorders>
              <w:top w:val="single" w:color="000000" w:sz="4" w:space="0"/>
              <w:left w:val="single" w:color="000000" w:sz="4" w:space="0"/>
              <w:right w:val="single" w:color="000000" w:sz="4" w:space="0"/>
            </w:tcBorders>
            <w:noWrap w:val="0"/>
            <w:vAlign w:val="center"/>
          </w:tcPr>
          <w:p w14:paraId="0A180CE2">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4</w:t>
            </w:r>
          </w:p>
        </w:tc>
        <w:tc>
          <w:tcPr>
            <w:tcW w:w="883" w:type="pct"/>
            <w:vMerge w:val="restart"/>
            <w:tcBorders>
              <w:top w:val="single" w:color="000000" w:sz="4" w:space="0"/>
              <w:left w:val="single" w:color="000000" w:sz="4" w:space="0"/>
              <w:right w:val="single" w:color="000000" w:sz="4" w:space="0"/>
            </w:tcBorders>
            <w:noWrap w:val="0"/>
            <w:vAlign w:val="center"/>
          </w:tcPr>
          <w:p w14:paraId="6530D1A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污水处理装置</w:t>
            </w: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77642BCC">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Fonts w:hint="eastAsia"/>
                <w:color w:val="000000"/>
              </w:rPr>
              <w:t>盐酸</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085D4B">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0"/>
                <w:lang w:val="en-US" w:eastAsia="zh-CN" w:bidi="ar-SA"/>
              </w:rPr>
            </w:pPr>
            <w:r>
              <w:rPr>
                <w:rFonts w:hint="eastAsia"/>
                <w:color w:val="000000"/>
              </w:rPr>
              <w:t>盐酸</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02D5F82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restart"/>
            <w:tcBorders>
              <w:top w:val="single" w:color="000000" w:sz="4" w:space="0"/>
              <w:left w:val="single" w:color="000000" w:sz="4" w:space="0"/>
              <w:right w:val="single" w:color="000000" w:sz="4" w:space="0"/>
            </w:tcBorders>
            <w:noWrap w:val="0"/>
            <w:vAlign w:val="center"/>
          </w:tcPr>
          <w:p w14:paraId="7C2D5BA7">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r>
      <w:tr w14:paraId="44B9F0D2">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0F39CB88">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02A0838D">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37ADD242">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Fonts w:hint="eastAsia"/>
                <w:color w:val="000000"/>
                <w:lang w:eastAsia="zh-CN"/>
              </w:rPr>
              <w:t>液碱</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D71CE7">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0"/>
                <w:lang w:val="en-US" w:eastAsia="zh-CN" w:bidi="ar-SA"/>
              </w:rPr>
            </w:pPr>
            <w:r>
              <w:rPr>
                <w:rFonts w:hint="eastAsia"/>
                <w:color w:val="000000"/>
                <w:lang w:eastAsia="zh-CN"/>
              </w:rPr>
              <w:t>液碱</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76A7A29F">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right w:val="single" w:color="000000" w:sz="4" w:space="0"/>
            </w:tcBorders>
            <w:noWrap w:val="0"/>
            <w:vAlign w:val="center"/>
          </w:tcPr>
          <w:p w14:paraId="61AC0CDE">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7FED50C4">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32397200">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434EFF65">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52C84978">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甲苯</w:t>
            </w:r>
          </w:p>
        </w:tc>
        <w:tc>
          <w:tcPr>
            <w:tcW w:w="94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6F2853">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甲苯</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6C59A67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785" w:type="pct"/>
            <w:vMerge w:val="continue"/>
            <w:tcBorders>
              <w:left w:val="single" w:color="000000" w:sz="4" w:space="0"/>
              <w:right w:val="single" w:color="000000" w:sz="4" w:space="0"/>
            </w:tcBorders>
            <w:noWrap w:val="0"/>
            <w:vAlign w:val="center"/>
          </w:tcPr>
          <w:p w14:paraId="3B01D771">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240E86C2">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1FE681DE">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6362D116">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7263F0FA">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邻氯苯胺</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4B3B68D6">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邻氯苯胺</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55A65895">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right w:val="single" w:color="000000" w:sz="4" w:space="0"/>
            </w:tcBorders>
            <w:noWrap w:val="0"/>
            <w:vAlign w:val="center"/>
          </w:tcPr>
          <w:p w14:paraId="6490E424">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36E99D9C">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right w:val="single" w:color="000000" w:sz="4" w:space="0"/>
            </w:tcBorders>
            <w:noWrap w:val="0"/>
            <w:vAlign w:val="center"/>
          </w:tcPr>
          <w:p w14:paraId="5756F95A">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right w:val="single" w:color="000000" w:sz="4" w:space="0"/>
            </w:tcBorders>
            <w:noWrap w:val="0"/>
            <w:vAlign w:val="center"/>
          </w:tcPr>
          <w:p w14:paraId="76D60100">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0E9D2288">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蒸馏残渣</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1AC2D23D">
            <w:pPr>
              <w:pStyle w:val="127"/>
              <w:keepNext w:val="0"/>
              <w:keepLines w:val="0"/>
              <w:widowControl/>
              <w:suppressLineNumbers w:val="0"/>
              <w:spacing w:before="0" w:beforeAutospacing="0" w:after="0" w:afterAutospacing="0"/>
              <w:ind w:left="0" w:right="0"/>
              <w:rPr>
                <w:rStyle w:val="36"/>
                <w:rFonts w:hint="eastAsia" w:cs="Times New Roman"/>
                <w:color w:val="000000"/>
                <w:kern w:val="2"/>
                <w:sz w:val="21"/>
                <w:szCs w:val="20"/>
                <w:lang w:val="en-US" w:eastAsia="zh-CN" w:bidi="ar-SA"/>
              </w:rPr>
            </w:pPr>
            <w:r>
              <w:rPr>
                <w:rStyle w:val="36"/>
                <w:rFonts w:hint="eastAsia" w:cs="Times New Roman"/>
                <w:color w:val="000000"/>
                <w:kern w:val="2"/>
                <w:sz w:val="21"/>
                <w:szCs w:val="20"/>
                <w:lang w:val="en-US" w:eastAsia="zh-CN" w:bidi="ar-SA"/>
              </w:rPr>
              <w:t>苯胺类</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5FF6060C">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right w:val="single" w:color="000000" w:sz="4" w:space="0"/>
            </w:tcBorders>
            <w:noWrap w:val="0"/>
            <w:vAlign w:val="center"/>
          </w:tcPr>
          <w:p w14:paraId="59ACCF83">
            <w:pPr>
              <w:pStyle w:val="127"/>
              <w:keepNext w:val="0"/>
              <w:keepLines w:val="0"/>
              <w:widowControl/>
              <w:suppressLineNumbers w:val="0"/>
              <w:spacing w:before="0" w:beforeAutospacing="0" w:after="0" w:afterAutospacing="0"/>
              <w:ind w:left="0" w:right="0"/>
              <w:rPr>
                <w:rFonts w:hint="eastAsia"/>
                <w:color w:val="000000"/>
                <w:lang w:eastAsia="zh-CN"/>
              </w:rPr>
            </w:pPr>
          </w:p>
        </w:tc>
      </w:tr>
      <w:tr w14:paraId="25907A1C">
        <w:tblPrEx>
          <w:tblCellMar>
            <w:top w:w="0" w:type="dxa"/>
            <w:left w:w="0" w:type="dxa"/>
            <w:bottom w:w="0" w:type="dxa"/>
            <w:right w:w="0" w:type="dxa"/>
          </w:tblCellMar>
        </w:tblPrEx>
        <w:trPr>
          <w:trHeight w:val="397" w:hRule="atLeast"/>
          <w:jc w:val="center"/>
        </w:trPr>
        <w:tc>
          <w:tcPr>
            <w:tcW w:w="309" w:type="pct"/>
            <w:vMerge w:val="restart"/>
            <w:tcBorders>
              <w:top w:val="single" w:color="000000" w:sz="4" w:space="0"/>
              <w:left w:val="single" w:color="000000" w:sz="4" w:space="0"/>
              <w:right w:val="single" w:color="000000" w:sz="4" w:space="0"/>
            </w:tcBorders>
            <w:noWrap w:val="0"/>
            <w:vAlign w:val="center"/>
          </w:tcPr>
          <w:p w14:paraId="385D8733">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5</w:t>
            </w:r>
          </w:p>
        </w:tc>
        <w:tc>
          <w:tcPr>
            <w:tcW w:w="883" w:type="pct"/>
            <w:vMerge w:val="restart"/>
            <w:tcBorders>
              <w:top w:val="single" w:color="000000" w:sz="4" w:space="0"/>
              <w:left w:val="single" w:color="000000" w:sz="4" w:space="0"/>
              <w:right w:val="single" w:color="000000" w:sz="4" w:space="0"/>
            </w:tcBorders>
            <w:noWrap w:val="0"/>
            <w:vAlign w:val="center"/>
          </w:tcPr>
          <w:p w14:paraId="037260EF">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产品</w:t>
            </w: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5AB5E37B">
            <w:pPr>
              <w:pStyle w:val="127"/>
              <w:keepNext w:val="0"/>
              <w:keepLines w:val="0"/>
              <w:widowControl/>
              <w:suppressLineNumbers w:val="0"/>
              <w:spacing w:before="0" w:beforeAutospacing="0" w:after="0" w:afterAutospacing="0"/>
              <w:ind w:left="0" w:right="0"/>
              <w:rPr>
                <w:rFonts w:hint="eastAsia"/>
                <w:color w:val="000000"/>
              </w:rPr>
            </w:pPr>
            <w:r>
              <w:rPr>
                <w:rStyle w:val="36"/>
                <w:rFonts w:hint="eastAsia" w:cs="Times New Roman"/>
                <w:color w:val="000000"/>
                <w:kern w:val="2"/>
                <w:sz w:val="21"/>
                <w:szCs w:val="20"/>
                <w:lang w:val="en-US" w:eastAsia="zh-CN" w:bidi="ar-SA"/>
              </w:rPr>
              <w:t>3.3-二氯联苯胺盐酸盐</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1018F683">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Style w:val="36"/>
                <w:rFonts w:hint="eastAsia" w:cs="Times New Roman"/>
                <w:color w:val="000000"/>
                <w:kern w:val="2"/>
                <w:sz w:val="21"/>
                <w:szCs w:val="20"/>
                <w:lang w:val="en-US" w:eastAsia="zh-CN" w:bidi="ar-SA"/>
              </w:rPr>
              <w:t>苯胺类</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6EA52B44">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restart"/>
            <w:tcBorders>
              <w:top w:val="single" w:color="000000" w:sz="4" w:space="0"/>
              <w:left w:val="single" w:color="000000" w:sz="4" w:space="0"/>
              <w:right w:val="single" w:color="000000" w:sz="4" w:space="0"/>
            </w:tcBorders>
            <w:noWrap w:val="0"/>
            <w:vAlign w:val="center"/>
          </w:tcPr>
          <w:p w14:paraId="6297EAFD">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r>
      <w:tr w14:paraId="2DF6887B">
        <w:tblPrEx>
          <w:tblCellMar>
            <w:top w:w="0" w:type="dxa"/>
            <w:left w:w="0" w:type="dxa"/>
            <w:bottom w:w="0" w:type="dxa"/>
            <w:right w:w="0" w:type="dxa"/>
          </w:tblCellMar>
        </w:tblPrEx>
        <w:trPr>
          <w:trHeight w:val="397" w:hRule="atLeast"/>
          <w:jc w:val="center"/>
        </w:trPr>
        <w:tc>
          <w:tcPr>
            <w:tcW w:w="309" w:type="pct"/>
            <w:vMerge w:val="continue"/>
            <w:tcBorders>
              <w:left w:val="single" w:color="000000" w:sz="4" w:space="0"/>
              <w:bottom w:val="single" w:color="000000" w:sz="4" w:space="0"/>
              <w:right w:val="single" w:color="000000" w:sz="4" w:space="0"/>
            </w:tcBorders>
            <w:noWrap w:val="0"/>
            <w:vAlign w:val="center"/>
          </w:tcPr>
          <w:p w14:paraId="4D28C7EC">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883" w:type="pct"/>
            <w:vMerge w:val="continue"/>
            <w:tcBorders>
              <w:left w:val="single" w:color="000000" w:sz="4" w:space="0"/>
              <w:bottom w:val="single" w:color="000000" w:sz="4" w:space="0"/>
              <w:right w:val="single" w:color="000000" w:sz="4" w:space="0"/>
            </w:tcBorders>
            <w:noWrap w:val="0"/>
            <w:vAlign w:val="center"/>
          </w:tcPr>
          <w:p w14:paraId="55D211C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289" w:type="pct"/>
            <w:tcBorders>
              <w:top w:val="single" w:color="000000" w:sz="4" w:space="0"/>
              <w:left w:val="single" w:color="000000" w:sz="4" w:space="0"/>
              <w:bottom w:val="single" w:color="000000" w:sz="4" w:space="0"/>
              <w:right w:val="single" w:color="000000" w:sz="4" w:space="0"/>
            </w:tcBorders>
            <w:noWrap w:val="0"/>
            <w:vAlign w:val="center"/>
          </w:tcPr>
          <w:p w14:paraId="603F473A">
            <w:pPr>
              <w:pStyle w:val="127"/>
              <w:keepNext w:val="0"/>
              <w:keepLines w:val="0"/>
              <w:widowControl/>
              <w:suppressLineNumbers w:val="0"/>
              <w:spacing w:before="0" w:beforeAutospacing="0" w:after="0" w:afterAutospacing="0"/>
              <w:ind w:left="0" w:right="0"/>
              <w:rPr>
                <w:rFonts w:hint="eastAsia"/>
                <w:color w:val="000000"/>
              </w:rPr>
            </w:pPr>
            <w:r>
              <w:rPr>
                <w:rStyle w:val="36"/>
                <w:rFonts w:hint="eastAsia" w:cs="Times New Roman"/>
                <w:color w:val="000000"/>
                <w:kern w:val="2"/>
                <w:sz w:val="21"/>
                <w:szCs w:val="20"/>
                <w:lang w:val="en-US" w:eastAsia="zh-CN" w:bidi="ar-SA"/>
              </w:rPr>
              <w:t>邻氯苯胺</w:t>
            </w:r>
          </w:p>
        </w:tc>
        <w:tc>
          <w:tcPr>
            <w:tcW w:w="949" w:type="pct"/>
            <w:tcBorders>
              <w:top w:val="single" w:color="000000" w:sz="4" w:space="0"/>
              <w:left w:val="single" w:color="000000" w:sz="4" w:space="0"/>
              <w:bottom w:val="single" w:color="000000" w:sz="4" w:space="0"/>
              <w:right w:val="single" w:color="000000" w:sz="4" w:space="0"/>
            </w:tcBorders>
            <w:noWrap w:val="0"/>
            <w:vAlign w:val="center"/>
          </w:tcPr>
          <w:p w14:paraId="4DBBD520">
            <w:pPr>
              <w:pStyle w:val="127"/>
              <w:keepNext w:val="0"/>
              <w:keepLines w:val="0"/>
              <w:widowControl/>
              <w:suppressLineNumbers w:val="0"/>
              <w:spacing w:before="0" w:beforeAutospacing="0" w:after="0" w:afterAutospacing="0"/>
              <w:ind w:left="0" w:right="0"/>
              <w:rPr>
                <w:rFonts w:hint="eastAsia"/>
                <w:color w:val="000000"/>
              </w:rPr>
            </w:pPr>
            <w:r>
              <w:rPr>
                <w:rStyle w:val="36"/>
                <w:rFonts w:hint="eastAsia" w:cs="Times New Roman"/>
                <w:color w:val="000000"/>
                <w:kern w:val="2"/>
                <w:sz w:val="21"/>
                <w:szCs w:val="20"/>
                <w:lang w:val="en-US" w:eastAsia="zh-CN" w:bidi="ar-SA"/>
              </w:rPr>
              <w:t>邻氯苯胺</w:t>
            </w:r>
          </w:p>
        </w:tc>
        <w:tc>
          <w:tcPr>
            <w:tcW w:w="781" w:type="pct"/>
            <w:tcBorders>
              <w:top w:val="single" w:color="000000" w:sz="4" w:space="0"/>
              <w:left w:val="single" w:color="000000" w:sz="4" w:space="0"/>
              <w:bottom w:val="single" w:color="000000" w:sz="4" w:space="0"/>
              <w:right w:val="single" w:color="000000" w:sz="4" w:space="0"/>
            </w:tcBorders>
            <w:noWrap w:val="0"/>
            <w:vAlign w:val="center"/>
          </w:tcPr>
          <w:p w14:paraId="1364F225">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85" w:type="pct"/>
            <w:vMerge w:val="continue"/>
            <w:tcBorders>
              <w:left w:val="single" w:color="000000" w:sz="4" w:space="0"/>
              <w:bottom w:val="single" w:color="000000" w:sz="4" w:space="0"/>
              <w:right w:val="single" w:color="000000" w:sz="4" w:space="0"/>
            </w:tcBorders>
            <w:noWrap w:val="0"/>
            <w:vAlign w:val="center"/>
          </w:tcPr>
          <w:p w14:paraId="0594ACE5">
            <w:pPr>
              <w:pStyle w:val="127"/>
              <w:keepNext w:val="0"/>
              <w:keepLines w:val="0"/>
              <w:widowControl/>
              <w:suppressLineNumbers w:val="0"/>
              <w:spacing w:before="0" w:beforeAutospacing="0" w:after="0" w:afterAutospacing="0"/>
              <w:ind w:left="0" w:right="0"/>
              <w:rPr>
                <w:rFonts w:hint="eastAsia"/>
                <w:color w:val="000000"/>
                <w:lang w:eastAsia="zh-CN"/>
              </w:rPr>
            </w:pPr>
          </w:p>
        </w:tc>
      </w:tr>
    </w:tbl>
    <w:p w14:paraId="3C43571B"/>
    <w:p w14:paraId="52BDFEA8">
      <w:pPr>
        <w:pStyle w:val="7"/>
        <w:pageBreakBefore w:val="0"/>
        <w:kinsoku/>
        <w:wordWrap/>
        <w:overflowPunct/>
        <w:topLinePunct w:val="0"/>
        <w:autoSpaceDE/>
        <w:autoSpaceDN/>
        <w:bidi w:val="0"/>
        <w:adjustRightInd/>
        <w:snapToGrid/>
        <w:spacing w:before="0" w:beforeLines="0" w:after="0" w:afterLines="0" w:line="360" w:lineRule="auto"/>
        <w:textAlignment w:val="auto"/>
      </w:pPr>
      <w:bookmarkStart w:id="43" w:name="_Toc8016"/>
      <w:r>
        <w:rPr>
          <w:rFonts w:hint="eastAsia"/>
          <w:lang w:val="en-US" w:eastAsia="zh-CN"/>
        </w:rPr>
        <w:t>3.4</w:t>
      </w:r>
      <w:r>
        <w:rPr>
          <w:rFonts w:hint="eastAsia"/>
        </w:rPr>
        <w:t>生产工艺</w:t>
      </w:r>
      <w:bookmarkEnd w:id="43"/>
    </w:p>
    <w:p w14:paraId="63DA43C5">
      <w:pPr>
        <w:pStyle w:val="124"/>
        <w:keepNext w:val="0"/>
        <w:keepLines w:val="0"/>
        <w:pageBreakBefore w:val="0"/>
        <w:widowControl/>
        <w:kinsoku/>
        <w:wordWrap/>
        <w:overflowPunct/>
        <w:topLinePunct w:val="0"/>
        <w:autoSpaceDE/>
        <w:autoSpaceDN/>
        <w:bidi w:val="0"/>
        <w:adjustRightInd/>
        <w:snapToGrid/>
        <w:spacing w:line="360" w:lineRule="auto"/>
        <w:ind w:firstLine="482"/>
        <w:textAlignment w:val="auto"/>
        <w:outlineLvl w:val="2"/>
        <w:rPr>
          <w:b/>
          <w:bCs/>
        </w:rPr>
      </w:pPr>
      <w:r>
        <w:rPr>
          <w:rFonts w:hint="eastAsia"/>
          <w:b/>
          <w:bCs/>
        </w:rPr>
        <w:t>一、工艺流程</w:t>
      </w:r>
    </w:p>
    <w:p w14:paraId="383255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default" w:ascii="Times New Roman" w:hAnsi="Times New Roman" w:cs="Times New Roman"/>
          <w:color w:val="000000"/>
          <w:sz w:val="24"/>
          <w:szCs w:val="24"/>
          <w:highlight w:val="none"/>
        </w:rPr>
        <w:t>生产装置以邻硝基氯化苯为原料，以氢气作为还原剂，在碱性条件下对邻硝基氯苯进行液相加氢还原制备2，2-二氯氢化偶氮苯，再在酸性介质中进行转位重排得到3，3-二氯联苯胺盐酸盐。主要生产工序介绍如下：</w:t>
      </w:r>
    </w:p>
    <w:p w14:paraId="63EAFB8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color w:val="auto"/>
          <w:sz w:val="24"/>
          <w:highlight w:val="none"/>
          <w:lang w:val="en-US" w:eastAsia="zh-CN"/>
        </w:rPr>
      </w:pPr>
      <w:r>
        <w:rPr>
          <w:rFonts w:hint="eastAsia"/>
          <w:b w:val="0"/>
          <w:bCs w:val="0"/>
          <w:lang w:eastAsia="zh-CN"/>
        </w:rPr>
        <w:t>（一</w:t>
      </w:r>
      <w:r>
        <w:rPr>
          <w:b w:val="0"/>
          <w:bCs w:val="0"/>
          <w:lang w:eastAsia="zh-CN"/>
        </w:rPr>
        <w:t>）</w:t>
      </w:r>
      <w:r>
        <w:rPr>
          <w:rFonts w:hint="default" w:ascii="Times New Roman" w:hAnsi="Times New Roman" w:cs="Times New Roman"/>
          <w:color w:val="auto"/>
          <w:sz w:val="24"/>
          <w:highlight w:val="none"/>
          <w:lang w:val="en-US" w:eastAsia="zh-CN"/>
        </w:rPr>
        <w:t>加氢还原工序</w:t>
      </w:r>
    </w:p>
    <w:p w14:paraId="249480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用氮气置换还原釜内的空气，向配料釜V206a内加入甲苯、邻氯硝基苯，向配料釜V206b加入碱液和助催化剂、水，搅拌均匀后将V206a、V206b内物料打入还原反应釜R101a-q，反应过程中还原反应釜内部温度上升（蒸汽作为备用），注入氢气，通过循环水控制温度在40-83℃，反应压力控制在0.5-0.6MPa。反应8-11小时，然后将反应物放至中间罐。</w:t>
      </w:r>
    </w:p>
    <w:p w14:paraId="01CBA8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用全密闭过滤机过滤催化剂套用，滤液进入还原液分离槽，静止分层，废碱去废碱罐待处理，有机层放入转位釜R105 1-33。废碱罐中的碱液废水含加氢反应生成的副产物邻氯苯胺，去污水处理</w:t>
      </w:r>
      <w:r>
        <w:rPr>
          <w:rFonts w:hint="eastAsia" w:cs="Times New Roman"/>
          <w:color w:val="auto"/>
          <w:sz w:val="24"/>
          <w:highlight w:val="none"/>
          <w:lang w:val="en-US" w:eastAsia="zh-CN"/>
        </w:rPr>
        <w:t>装置经过蒸馏塔提取邻氯苯胺，</w:t>
      </w:r>
      <w:r>
        <w:rPr>
          <w:rFonts w:hint="eastAsia" w:ascii="Times New Roman" w:hAnsi="Times New Roman" w:cs="Times New Roman"/>
          <w:color w:val="auto"/>
          <w:sz w:val="24"/>
          <w:highlight w:val="none"/>
          <w:lang w:val="en-US" w:eastAsia="zh-CN"/>
        </w:rPr>
        <w:t>外售</w:t>
      </w:r>
      <w:r>
        <w:rPr>
          <w:rFonts w:hint="default" w:ascii="Times New Roman" w:hAnsi="Times New Roman" w:cs="Times New Roman"/>
          <w:color w:val="auto"/>
          <w:sz w:val="24"/>
          <w:highlight w:val="none"/>
          <w:lang w:val="en-US" w:eastAsia="zh-CN"/>
        </w:rPr>
        <w:t>。</w:t>
      </w:r>
    </w:p>
    <w:p w14:paraId="04BC01A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color w:val="auto"/>
          <w:sz w:val="24"/>
          <w:highlight w:val="none"/>
          <w:lang w:val="en-US" w:eastAsia="zh-CN"/>
        </w:rPr>
      </w:pPr>
      <w:r>
        <w:rPr>
          <w:rFonts w:hint="eastAsia"/>
          <w:b w:val="0"/>
          <w:bCs w:val="0"/>
          <w:lang w:eastAsia="zh-CN"/>
        </w:rPr>
        <w:t>（二</w:t>
      </w:r>
      <w:r>
        <w:rPr>
          <w:b w:val="0"/>
          <w:bCs w:val="0"/>
          <w:lang w:eastAsia="zh-CN"/>
        </w:rPr>
        <w:t>）</w:t>
      </w:r>
      <w:r>
        <w:rPr>
          <w:rFonts w:hint="default" w:ascii="Times New Roman" w:hAnsi="Times New Roman" w:cs="Times New Roman"/>
          <w:color w:val="auto"/>
          <w:sz w:val="24"/>
          <w:highlight w:val="none"/>
          <w:lang w:val="en-US" w:eastAsia="zh-CN"/>
        </w:rPr>
        <w:t>转位工序</w:t>
      </w:r>
    </w:p>
    <w:p w14:paraId="13BC385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有机层放入转位釜R105 1-33后，向转位釜加入乳化剂，控制压力在0.1MPa下边搅拌边滴加23.0-23.5%盐酸进行转位反应，用循环水控制温度20-55℃在常压下反应18-19个小时。反应结束后通过进入溶解分离釜V106a-k,加入适量水升温使物料完全溶解后与甲苯分离，分离后的甲苯层去污水处理车间处理，蒸馏回收套用，水层放入脱色槽V107a-d。</w:t>
      </w:r>
    </w:p>
    <w:p w14:paraId="054C2C3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（三）</w:t>
      </w:r>
      <w:r>
        <w:rPr>
          <w:rFonts w:hint="default" w:ascii="Times New Roman" w:hAnsi="Times New Roman" w:cs="Times New Roman"/>
          <w:color w:val="auto"/>
          <w:sz w:val="24"/>
          <w:highlight w:val="none"/>
          <w:lang w:val="en-US" w:eastAsia="zh-CN"/>
        </w:rPr>
        <w:t>脱色工序</w:t>
      </w:r>
    </w:p>
    <w:p w14:paraId="5301C3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水层放至脱色槽V107a-d中，在常压下通入蒸汽维持90-92℃搅拌30分钟，用活性炭脱色，过滤活性炭，过滤后的清液送至析出槽V109a-d,活性炭定期回收处理。</w:t>
      </w:r>
    </w:p>
    <w:p w14:paraId="66388D1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（四）</w:t>
      </w:r>
      <w:r>
        <w:rPr>
          <w:rFonts w:hint="default" w:ascii="Times New Roman" w:hAnsi="Times New Roman" w:cs="Times New Roman"/>
          <w:color w:val="auto"/>
          <w:sz w:val="24"/>
          <w:highlight w:val="none"/>
          <w:lang w:val="en-US" w:eastAsia="zh-CN"/>
        </w:rPr>
        <w:t>结晶工序</w:t>
      </w:r>
    </w:p>
    <w:p w14:paraId="449BCB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析出槽V109a-d加入30%盐酸，在常压下通冷却水至析出组粒子，析出组温度在80℃时投入饱和盐水，至65-75℃时停止盐水加入，冬季冷却至40-42℃、夏季冷却至40-48℃，反应结束。析出浆料用泵打入DCB中间罐。</w:t>
      </w:r>
    </w:p>
    <w:p w14:paraId="2575958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（五）</w:t>
      </w:r>
      <w:r>
        <w:rPr>
          <w:rFonts w:hint="default" w:ascii="Times New Roman" w:hAnsi="Times New Roman" w:cs="Times New Roman"/>
          <w:color w:val="auto"/>
          <w:sz w:val="24"/>
          <w:highlight w:val="none"/>
          <w:lang w:val="en-US" w:eastAsia="zh-CN"/>
        </w:rPr>
        <w:t>脱水工序</w:t>
      </w:r>
    </w:p>
    <w:p w14:paraId="201D4F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将DCB中间罐的浆料放入压滤机脱水，脱水时间为1-1.5小时，得到成品DCB。分离后的母液放入中和槽V126,在常压下加入NaOH中和至pH值在1.5-3.0之间，二次过滤回收2级品，2级品送至脱色槽，在常压下重新精制。</w:t>
      </w:r>
    </w:p>
    <w:p w14:paraId="0B28D39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（六）</w:t>
      </w:r>
      <w:r>
        <w:rPr>
          <w:rFonts w:hint="default" w:ascii="Times New Roman" w:hAnsi="Times New Roman" w:cs="Times New Roman"/>
          <w:color w:val="auto"/>
          <w:sz w:val="24"/>
          <w:highlight w:val="none"/>
          <w:lang w:val="en-US" w:eastAsia="zh-CN"/>
        </w:rPr>
        <w:t>甲苯回收工序</w:t>
      </w:r>
    </w:p>
    <w:p w14:paraId="40CBE4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来自DCB生产车间溶解分离工段的甲苯（会带有少量盐酸），经管道送入污水处理装置甲苯中和罐，加入适量液碱进行中和，然后经泵打入甲苯蒸馏釜进行常压蒸馏，进入蒸馏釜的甲苯加热至80℃蒸发，甲苯蒸汽经冷凝器冷凝后放入甲苯分离罐，达到规定量时将底部水分导入热水槽，上层甲苯用泵送回DCB生产车间甲苯中间罐循环使用。</w:t>
      </w:r>
    </w:p>
    <w:p w14:paraId="30AD7F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该项目工艺主要反应原理如下：</w:t>
      </w:r>
    </w:p>
    <w:p w14:paraId="0298FA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sz w:val="24"/>
          <w:szCs w:val="24"/>
          <w:highlight w:val="none"/>
        </w:rPr>
        <w:object>
          <v:shape id="_x0000_i1025" o:spt="75" type="#_x0000_t75" style="height:46.5pt;width:226.55pt;" o:ole="t" filled="f" o:preferrelative="t" stroked="f" coordsize="21600,21600">
            <v:path/>
            <v:fill on="f" focussize="0,0"/>
            <v:stroke on="f"/>
            <v:imagedata r:id="rId11" o:title=""/>
            <o:lock v:ext="edit" grouping="f" rotation="f" text="f" aspectratio="t"/>
            <w10:wrap type="none"/>
            <w10:anchorlock/>
          </v:shape>
          <o:OLEObject Type="Embed" ProgID="ChemWindow.Document" ShapeID="_x0000_i1025" DrawAspect="Content" ObjectID="_1468075725" r:id="rId10">
            <o:LockedField>false</o:LockedField>
          </o:OLEObject>
        </w:object>
      </w:r>
      <w:r>
        <w:rPr>
          <w:rFonts w:hint="default" w:ascii="Times New Roman" w:hAnsi="Times New Roman" w:cs="Times New Roman"/>
          <w:sz w:val="24"/>
          <w:szCs w:val="24"/>
          <w:highlight w:val="none"/>
        </w:rPr>
        <w:object>
          <v:shape id="_x0000_i1026" o:spt="75" type="#_x0000_t75" style="height:42pt;width:134.95pt;" o:ole="t" filled="f" o:preferrelative="t" stroked="f" coordsize="21600,21600">
            <v:path/>
            <v:fill on="f" focussize="0,0"/>
            <v:stroke on="f"/>
            <v:imagedata r:id="rId13" o:title=""/>
            <o:lock v:ext="edit" grouping="f" rotation="f" text="f" aspectratio="t"/>
            <w10:wrap type="none"/>
            <w10:anchorlock/>
          </v:shape>
          <o:OLEObject Type="Embed" ProgID="ChemWindow.Document" ShapeID="_x0000_i1026" DrawAspect="Content" ObjectID="_1468075726" r:id="rId12">
            <o:LockedField>false</o:LockedField>
          </o:OLEObject>
        </w:object>
      </w:r>
    </w:p>
    <w:p w14:paraId="1DA8B3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sz w:val="24"/>
          <w:szCs w:val="24"/>
          <w:highlight w:val="none"/>
        </w:rPr>
        <w:object>
          <v:shape id="_x0000_i1027" o:spt="75" type="#_x0000_t75" style="height:40.55pt;width:216.15pt;" o:ole="t" filled="f" o:preferrelative="t" stroked="f" coordsize="21600,21600">
            <v:path/>
            <v:fill on="f" focussize="0,0"/>
            <v:stroke on="f"/>
            <v:imagedata r:id="rId15" o:title=""/>
            <o:lock v:ext="edit" grouping="f" rotation="f" text="f" aspectratio="t"/>
            <w10:wrap type="none"/>
            <w10:anchorlock/>
          </v:shape>
          <o:OLEObject Type="Embed" ProgID="ChemWindow.Document" ShapeID="_x0000_i1027" DrawAspect="Content" ObjectID="_1468075727" r:id="rId14">
            <o:LockedField>false</o:LockedField>
          </o:OLEObject>
        </w:object>
      </w:r>
      <w:r>
        <w:rPr>
          <w:rFonts w:hint="default" w:ascii="Times New Roman" w:hAnsi="Times New Roman" w:cs="Times New Roman"/>
          <w:sz w:val="24"/>
          <w:szCs w:val="24"/>
          <w:highlight w:val="none"/>
        </w:rPr>
        <w:object>
          <v:shape id="_x0000_i1028" o:spt="75" type="#_x0000_t75" style="height:44.3pt;width:152.95pt;" o:ole="t" filled="f" o:preferrelative="t" stroked="f" coordsize="21600,21600">
            <v:path/>
            <v:fill on="f" focussize="0,0"/>
            <v:stroke on="f"/>
            <v:imagedata r:id="rId17" o:title=""/>
            <o:lock v:ext="edit" grouping="f" rotation="f" text="f" aspectratio="t"/>
            <w10:wrap type="none"/>
            <w10:anchorlock/>
          </v:shape>
          <o:OLEObject Type="Embed" ProgID="ChemWindow.Document" ShapeID="_x0000_i1028" DrawAspect="Content" ObjectID="_1468075728" r:id="rId16">
            <o:LockedField>false</o:LockedField>
          </o:OLEObject>
        </w:object>
      </w:r>
    </w:p>
    <w:p w14:paraId="019D8FDD">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outlineLvl w:val="9"/>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2，2-二氯氢化偶氮苯</w:t>
      </w:r>
      <w:r>
        <w:rPr>
          <w:rFonts w:hint="eastAsia" w:ascii="Times New Roman" w:hAnsi="Times New Roman" w:cs="Times New Roman"/>
          <w:color w:val="000000"/>
          <w:sz w:val="24"/>
          <w:szCs w:val="24"/>
          <w:highlight w:val="none"/>
          <w:lang w:val="en-US" w:eastAsia="zh-CN"/>
        </w:rPr>
        <w:t xml:space="preserve">             </w:t>
      </w:r>
      <w:r>
        <w:rPr>
          <w:rFonts w:hint="default" w:ascii="Times New Roman" w:hAnsi="Times New Roman" w:cs="Times New Roman"/>
          <w:color w:val="000000"/>
          <w:sz w:val="24"/>
          <w:szCs w:val="24"/>
          <w:highlight w:val="none"/>
        </w:rPr>
        <w:t>3，3-二氯联苯胺盐酸盐</w:t>
      </w:r>
    </w:p>
    <w:p w14:paraId="790E5DB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ascii="Times New Roman" w:hAnsi="Times New Roman" w:cs="Times New Roman"/>
          <w:b/>
          <w:bCs/>
          <w:color w:val="FF0000"/>
          <w:sz w:val="24"/>
          <w:highlight w:val="none"/>
        </w:rPr>
      </w:pPr>
      <w:r>
        <w:rPr>
          <w:rFonts w:hint="default" w:ascii="Times New Roman" w:hAnsi="Times New Roman" w:cs="Times New Roman"/>
          <w:color w:val="000000"/>
          <w:sz w:val="24"/>
          <w:szCs w:val="24"/>
          <w:highlight w:val="none"/>
        </w:rPr>
        <w:t>生产工艺流程及产污环节见图</w:t>
      </w:r>
      <w:r>
        <w:rPr>
          <w:rFonts w:hint="eastAsia" w:ascii="Times New Roman" w:hAnsi="Times New Roman" w:cs="Times New Roman"/>
          <w:color w:val="000000"/>
          <w:sz w:val="24"/>
          <w:szCs w:val="24"/>
          <w:highlight w:val="none"/>
          <w:lang w:eastAsia="zh-CN"/>
        </w:rPr>
        <w:t>：</w:t>
      </w:r>
    </w:p>
    <w:p w14:paraId="4FF36B8E">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r>
        <w:rPr>
          <w:rFonts w:hint="default" w:ascii="Times New Roman" w:hAnsi="Times New Roman" w:cs="Times New Roman"/>
          <w:b/>
          <w:color w:val="000000"/>
          <w:sz w:val="24"/>
          <w:highlight w:val="yellow"/>
        </w:rPr>
        <mc:AlternateContent>
          <mc:Choice Requires="wpg">
            <w:drawing>
              <wp:anchor distT="0" distB="0" distL="114300" distR="114300" simplePos="0" relativeHeight="251660288" behindDoc="0" locked="0" layoutInCell="1" allowOverlap="1">
                <wp:simplePos x="0" y="0"/>
                <wp:positionH relativeFrom="column">
                  <wp:posOffset>840105</wp:posOffset>
                </wp:positionH>
                <wp:positionV relativeFrom="paragraph">
                  <wp:posOffset>194310</wp:posOffset>
                </wp:positionV>
                <wp:extent cx="4239260" cy="6745605"/>
                <wp:effectExtent l="0" t="0" r="8890" b="17145"/>
                <wp:wrapSquare wrapText="bothSides"/>
                <wp:docPr id="12" name="组合 12"/>
                <wp:cNvGraphicFramePr/>
                <a:graphic xmlns:a="http://schemas.openxmlformats.org/drawingml/2006/main">
                  <a:graphicData uri="http://schemas.microsoft.com/office/word/2010/wordprocessingGroup">
                    <wpg:wgp>
                      <wpg:cNvGrpSpPr/>
                      <wpg:grpSpPr>
                        <a:xfrm>
                          <a:off x="0" y="0"/>
                          <a:ext cx="4239260" cy="6745605"/>
                          <a:chOff x="1967" y="1147"/>
                          <a:chExt cx="7154" cy="13470"/>
                        </a:xfrm>
                        <a:effectLst/>
                      </wpg:grpSpPr>
                      <wps:wsp>
                        <wps:cNvPr id="14" name="矩形 28"/>
                        <wps:cNvSpPr/>
                        <wps:spPr>
                          <a:xfrm>
                            <a:off x="2027" y="1217"/>
                            <a:ext cx="1738" cy="2604"/>
                          </a:xfrm>
                          <a:prstGeom prst="rect">
                            <a:avLst/>
                          </a:prstGeom>
                          <a:solidFill>
                            <a:srgbClr val="FFFFFF"/>
                          </a:solidFill>
                          <a:ln>
                            <a:noFill/>
                          </a:ln>
                          <a:effectLst/>
                        </wps:spPr>
                        <wps:txbx>
                          <w:txbxContent>
                            <w:p w14:paraId="2A26FF63">
                              <w:r>
                                <w:rPr>
                                  <w:rFonts w:hint="eastAsia"/>
                                </w:rPr>
                                <w:t>邻硝基氯化苯</w:t>
                              </w:r>
                            </w:p>
                            <w:p w14:paraId="760ABD84">
                              <w:r>
                                <w:rPr>
                                  <w:rFonts w:hint="eastAsia"/>
                                </w:rPr>
                                <w:t>甲苯</w:t>
                              </w:r>
                            </w:p>
                            <w:p w14:paraId="7B26F9B6">
                              <w:r>
                                <w:rPr>
                                  <w:rFonts w:hint="eastAsia"/>
                                </w:rPr>
                                <w:t>氢氧化钠（31%）</w:t>
                              </w:r>
                            </w:p>
                            <w:p w14:paraId="1D9582C0">
                              <w:r>
                                <w:rPr>
                                  <w:rFonts w:hint="eastAsia"/>
                                </w:rPr>
                                <w:t>软水</w:t>
                              </w:r>
                            </w:p>
                            <w:p w14:paraId="0262F2A3">
                              <w:r>
                                <w:t>Pt/C</w:t>
                              </w:r>
                            </w:p>
                            <w:p w14:paraId="34EE409D">
                              <w:r>
                                <w:t>SDBS</w:t>
                              </w:r>
                            </w:p>
                            <w:p w14:paraId="6DACD7EB">
                              <w:r>
                                <w:t>DCNQ</w:t>
                              </w:r>
                            </w:p>
                            <w:p w14:paraId="27EC3A3E">
                              <w:r>
                                <w:t>H</w:t>
                              </w:r>
                              <w:r>
                                <w:rPr>
                                  <w:szCs w:val="21"/>
                                  <w:vertAlign w:val="subscript"/>
                                </w:rPr>
                                <w:t>2</w:t>
                              </w:r>
                            </w:p>
                          </w:txbxContent>
                        </wps:txbx>
                        <wps:bodyPr upright="1"/>
                      </wps:wsp>
                      <wps:wsp>
                        <wps:cNvPr id="15" name="直接连接符 32"/>
                        <wps:cNvCnPr/>
                        <wps:spPr>
                          <a:xfrm>
                            <a:off x="3767" y="2241"/>
                            <a:ext cx="720" cy="0"/>
                          </a:xfrm>
                          <a:prstGeom prst="line">
                            <a:avLst/>
                          </a:prstGeom>
                          <a:ln w="9525" cap="flat" cmpd="sng">
                            <a:solidFill>
                              <a:srgbClr val="000000"/>
                            </a:solidFill>
                            <a:prstDash val="solid"/>
                            <a:headEnd type="none" w="med" len="med"/>
                            <a:tailEnd type="triangle" w="med" len="med"/>
                          </a:ln>
                          <a:effectLst/>
                        </wps:spPr>
                        <wps:bodyPr upright="1"/>
                      </wps:wsp>
                      <wps:wsp>
                        <wps:cNvPr id="16" name="矩形 34"/>
                        <wps:cNvSpPr/>
                        <wps:spPr>
                          <a:xfrm>
                            <a:off x="4487" y="2003"/>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73C0410">
                              <w:pPr>
                                <w:jc w:val="center"/>
                              </w:pPr>
                              <w:r>
                                <w:rPr>
                                  <w:rFonts w:hint="eastAsia"/>
                                </w:rPr>
                                <w:t>还</w:t>
                              </w:r>
                              <w:r>
                                <w:t xml:space="preserve">  </w:t>
                              </w:r>
                              <w:r>
                                <w:rPr>
                                  <w:rFonts w:hint="eastAsia"/>
                                </w:rPr>
                                <w:t>原</w:t>
                              </w:r>
                            </w:p>
                          </w:txbxContent>
                        </wps:txbx>
                        <wps:bodyPr upright="1"/>
                      </wps:wsp>
                      <wps:wsp>
                        <wps:cNvPr id="17" name="直接连接符 35"/>
                        <wps:cNvCnPr/>
                        <wps:spPr>
                          <a:xfrm>
                            <a:off x="5144" y="2471"/>
                            <a:ext cx="1" cy="312"/>
                          </a:xfrm>
                          <a:prstGeom prst="line">
                            <a:avLst/>
                          </a:prstGeom>
                          <a:ln w="9525" cap="flat" cmpd="sng">
                            <a:solidFill>
                              <a:srgbClr val="000000"/>
                            </a:solidFill>
                            <a:prstDash val="solid"/>
                            <a:headEnd type="none" w="med" len="med"/>
                            <a:tailEnd type="triangle" w="med" len="med"/>
                          </a:ln>
                          <a:effectLst/>
                        </wps:spPr>
                        <wps:bodyPr upright="1"/>
                      </wps:wsp>
                      <wps:wsp>
                        <wps:cNvPr id="18" name="矩形 41"/>
                        <wps:cNvSpPr/>
                        <wps:spPr>
                          <a:xfrm>
                            <a:off x="4487" y="2783"/>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DA9BA2">
                              <w:pPr>
                                <w:jc w:val="center"/>
                              </w:pPr>
                              <w:r>
                                <w:rPr>
                                  <w:rFonts w:hint="eastAsia"/>
                                </w:rPr>
                                <w:t>过</w:t>
                              </w:r>
                              <w:r>
                                <w:t xml:space="preserve">  </w:t>
                              </w:r>
                              <w:r>
                                <w:rPr>
                                  <w:rFonts w:hint="eastAsia"/>
                                </w:rPr>
                                <w:t>滤</w:t>
                              </w:r>
                            </w:p>
                          </w:txbxContent>
                        </wps:txbx>
                        <wps:bodyPr upright="1"/>
                      </wps:wsp>
                      <wps:wsp>
                        <wps:cNvPr id="19" name="直接连接符 42"/>
                        <wps:cNvCnPr/>
                        <wps:spPr>
                          <a:xfrm flipH="1">
                            <a:off x="5130" y="3242"/>
                            <a:ext cx="2" cy="1188"/>
                          </a:xfrm>
                          <a:prstGeom prst="line">
                            <a:avLst/>
                          </a:prstGeom>
                          <a:ln w="9525" cap="flat" cmpd="sng">
                            <a:solidFill>
                              <a:srgbClr val="000000"/>
                            </a:solidFill>
                            <a:prstDash val="solid"/>
                            <a:headEnd type="none" w="med" len="med"/>
                            <a:tailEnd type="triangle" w="med" len="med"/>
                          </a:ln>
                          <a:effectLst/>
                        </wps:spPr>
                        <wps:bodyPr upright="1"/>
                      </wps:wsp>
                      <wps:wsp>
                        <wps:cNvPr id="20" name="矩形 50"/>
                        <wps:cNvSpPr/>
                        <wps:spPr>
                          <a:xfrm>
                            <a:off x="4487" y="4447"/>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B2B463">
                              <w:pPr>
                                <w:jc w:val="center"/>
                              </w:pPr>
                              <w:r>
                                <w:rPr>
                                  <w:rFonts w:hint="eastAsia"/>
                                </w:rPr>
                                <w:t>转</w:t>
                              </w:r>
                              <w:r>
                                <w:t xml:space="preserve">  </w:t>
                              </w:r>
                              <w:r>
                                <w:rPr>
                                  <w:rFonts w:hint="eastAsia"/>
                                </w:rPr>
                                <w:t>位</w:t>
                              </w:r>
                            </w:p>
                          </w:txbxContent>
                        </wps:txbx>
                        <wps:bodyPr upright="1"/>
                      </wps:wsp>
                      <wps:wsp>
                        <wps:cNvPr id="21" name="直接连接符 51"/>
                        <wps:cNvCnPr/>
                        <wps:spPr>
                          <a:xfrm>
                            <a:off x="5747" y="3018"/>
                            <a:ext cx="720" cy="0"/>
                          </a:xfrm>
                          <a:prstGeom prst="line">
                            <a:avLst/>
                          </a:prstGeom>
                          <a:ln w="9525" cap="flat" cmpd="sng">
                            <a:solidFill>
                              <a:srgbClr val="000000"/>
                            </a:solidFill>
                            <a:prstDash val="solid"/>
                            <a:headEnd type="none" w="med" len="med"/>
                            <a:tailEnd type="triangle" w="med" len="med"/>
                          </a:ln>
                          <a:effectLst/>
                        </wps:spPr>
                        <wps:bodyPr upright="1"/>
                      </wps:wsp>
                      <wps:wsp>
                        <wps:cNvPr id="22" name="矩形 56"/>
                        <wps:cNvSpPr/>
                        <wps:spPr>
                          <a:xfrm>
                            <a:off x="6467" y="2783"/>
                            <a:ext cx="927" cy="468"/>
                          </a:xfrm>
                          <a:prstGeom prst="rect">
                            <a:avLst/>
                          </a:prstGeom>
                          <a:solidFill>
                            <a:srgbClr val="FFFFFF"/>
                          </a:solidFill>
                          <a:ln>
                            <a:noFill/>
                          </a:ln>
                          <a:effectLst/>
                        </wps:spPr>
                        <wps:txbx>
                          <w:txbxContent>
                            <w:p w14:paraId="0B0B620C">
                              <w:pPr>
                                <w:jc w:val="center"/>
                                <w:rPr>
                                  <w:sz w:val="20"/>
                                  <w:szCs w:val="21"/>
                                </w:rPr>
                              </w:pPr>
                              <w:r>
                                <w:rPr>
                                  <w:rFonts w:hint="eastAsia"/>
                                  <w:sz w:val="20"/>
                                  <w:szCs w:val="21"/>
                                </w:rPr>
                                <w:t>S1</w:t>
                              </w:r>
                            </w:p>
                          </w:txbxContent>
                        </wps:txbx>
                        <wps:bodyPr upright="1"/>
                      </wps:wsp>
                      <wps:wsp>
                        <wps:cNvPr id="23" name="直接连接符 58"/>
                        <wps:cNvCnPr/>
                        <wps:spPr>
                          <a:xfrm>
                            <a:off x="5747" y="4667"/>
                            <a:ext cx="720" cy="1"/>
                          </a:xfrm>
                          <a:prstGeom prst="line">
                            <a:avLst/>
                          </a:prstGeom>
                          <a:ln w="9525" cap="flat" cmpd="sng">
                            <a:solidFill>
                              <a:srgbClr val="000000"/>
                            </a:solidFill>
                            <a:prstDash val="solid"/>
                            <a:headEnd type="none" w="med" len="med"/>
                            <a:tailEnd type="triangle" w="med" len="med"/>
                          </a:ln>
                          <a:effectLst/>
                        </wps:spPr>
                        <wps:bodyPr upright="1"/>
                      </wps:wsp>
                      <wps:wsp>
                        <wps:cNvPr id="24" name="矩形 64"/>
                        <wps:cNvSpPr/>
                        <wps:spPr>
                          <a:xfrm>
                            <a:off x="6493" y="4430"/>
                            <a:ext cx="1008" cy="468"/>
                          </a:xfrm>
                          <a:prstGeom prst="rect">
                            <a:avLst/>
                          </a:prstGeom>
                          <a:solidFill>
                            <a:srgbClr val="FFFFFF"/>
                          </a:solidFill>
                          <a:ln>
                            <a:noFill/>
                          </a:ln>
                          <a:effectLst/>
                        </wps:spPr>
                        <wps:txbx>
                          <w:txbxContent>
                            <w:p w14:paraId="6FCD4792">
                              <w:pPr>
                                <w:jc w:val="center"/>
                                <w:rPr>
                                  <w:sz w:val="20"/>
                                  <w:szCs w:val="21"/>
                                </w:rPr>
                              </w:pPr>
                              <w:r>
                                <w:rPr>
                                  <w:rFonts w:hint="eastAsia"/>
                                  <w:sz w:val="20"/>
                                  <w:szCs w:val="21"/>
                                </w:rPr>
                                <w:t>W1</w:t>
                              </w:r>
                            </w:p>
                          </w:txbxContent>
                        </wps:txbx>
                        <wps:bodyPr upright="1"/>
                      </wps:wsp>
                      <wps:wsp>
                        <wps:cNvPr id="25" name="直接连接符 65"/>
                        <wps:cNvCnPr/>
                        <wps:spPr>
                          <a:xfrm>
                            <a:off x="3767" y="4668"/>
                            <a:ext cx="720" cy="0"/>
                          </a:xfrm>
                          <a:prstGeom prst="line">
                            <a:avLst/>
                          </a:prstGeom>
                          <a:ln w="9525" cap="flat" cmpd="sng">
                            <a:solidFill>
                              <a:srgbClr val="000000"/>
                            </a:solidFill>
                            <a:prstDash val="solid"/>
                            <a:headEnd type="none" w="med" len="med"/>
                            <a:tailEnd type="triangle" w="med" len="med"/>
                          </a:ln>
                          <a:effectLst/>
                        </wps:spPr>
                        <wps:bodyPr upright="1"/>
                      </wps:wsp>
                      <wps:wsp>
                        <wps:cNvPr id="26" name="矩形 66"/>
                        <wps:cNvSpPr/>
                        <wps:spPr>
                          <a:xfrm>
                            <a:off x="2400" y="4291"/>
                            <a:ext cx="1367" cy="780"/>
                          </a:xfrm>
                          <a:prstGeom prst="rect">
                            <a:avLst/>
                          </a:prstGeom>
                          <a:solidFill>
                            <a:srgbClr val="FFFFFF"/>
                          </a:solidFill>
                          <a:ln>
                            <a:noFill/>
                          </a:ln>
                          <a:effectLst/>
                        </wps:spPr>
                        <wps:txbx>
                          <w:txbxContent>
                            <w:p w14:paraId="57D02D0D">
                              <w:pPr>
                                <w:rPr>
                                  <w:rFonts w:hint="eastAsia"/>
                                  <w:sz w:val="20"/>
                                  <w:szCs w:val="21"/>
                                </w:rPr>
                              </w:pPr>
                              <w:r>
                                <w:rPr>
                                  <w:rFonts w:hint="eastAsia"/>
                                  <w:sz w:val="20"/>
                                  <w:szCs w:val="21"/>
                                </w:rPr>
                                <w:t>盐酸（</w:t>
                              </w:r>
                              <w:r>
                                <w:rPr>
                                  <w:sz w:val="20"/>
                                  <w:szCs w:val="21"/>
                                </w:rPr>
                                <w:t>23%</w:t>
                              </w:r>
                              <w:r>
                                <w:rPr>
                                  <w:rFonts w:hint="eastAsia"/>
                                  <w:sz w:val="20"/>
                                  <w:szCs w:val="21"/>
                                </w:rPr>
                                <w:t>）</w:t>
                              </w:r>
                              <w:r>
                                <w:rPr>
                                  <w:rFonts w:hint="eastAsia"/>
                                  <w:sz w:val="20"/>
                                  <w:szCs w:val="21"/>
                                  <w:lang w:eastAsia="zh-CN"/>
                                </w:rPr>
                                <w:t>乳化剂</w:t>
                              </w:r>
                            </w:p>
                            <w:p w14:paraId="4DA23630">
                              <w:pPr>
                                <w:rPr>
                                  <w:rFonts w:hint="eastAsia"/>
                                </w:rPr>
                              </w:pPr>
                            </w:p>
                            <w:p w14:paraId="546FE90A">
                              <w:r>
                                <w:rPr>
                                  <w:rFonts w:hint="eastAsia"/>
                                </w:rPr>
                                <w:t>乳化剂</w:t>
                              </w:r>
                            </w:p>
                          </w:txbxContent>
                        </wps:txbx>
                        <wps:bodyPr upright="1"/>
                      </wps:wsp>
                      <wps:wsp>
                        <wps:cNvPr id="27" name="直接连接符 67"/>
                        <wps:cNvCnPr/>
                        <wps:spPr>
                          <a:xfrm>
                            <a:off x="5132" y="4915"/>
                            <a:ext cx="13" cy="923"/>
                          </a:xfrm>
                          <a:prstGeom prst="line">
                            <a:avLst/>
                          </a:prstGeom>
                          <a:ln w="9525" cap="flat" cmpd="sng">
                            <a:solidFill>
                              <a:srgbClr val="000000"/>
                            </a:solidFill>
                            <a:prstDash val="solid"/>
                            <a:headEnd type="none" w="med" len="med"/>
                            <a:tailEnd type="triangle" w="med" len="med"/>
                          </a:ln>
                          <a:effectLst/>
                        </wps:spPr>
                        <wps:bodyPr upright="1"/>
                      </wps:wsp>
                      <wps:wsp>
                        <wps:cNvPr id="29" name="矩形 68"/>
                        <wps:cNvSpPr/>
                        <wps:spPr>
                          <a:xfrm>
                            <a:off x="4447" y="5838"/>
                            <a:ext cx="1473"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B976EE">
                              <w:pPr>
                                <w:jc w:val="center"/>
                              </w:pPr>
                              <w:r>
                                <w:rPr>
                                  <w:rFonts w:hint="eastAsia"/>
                                </w:rPr>
                                <w:t>甲苯蒸馏</w:t>
                              </w:r>
                            </w:p>
                          </w:txbxContent>
                        </wps:txbx>
                        <wps:bodyPr upright="1"/>
                      </wps:wsp>
                      <wps:wsp>
                        <wps:cNvPr id="31" name="直接连接符 69"/>
                        <wps:cNvCnPr/>
                        <wps:spPr>
                          <a:xfrm>
                            <a:off x="3727" y="6072"/>
                            <a:ext cx="720" cy="0"/>
                          </a:xfrm>
                          <a:prstGeom prst="line">
                            <a:avLst/>
                          </a:prstGeom>
                          <a:ln w="9525" cap="flat" cmpd="sng">
                            <a:solidFill>
                              <a:srgbClr val="000000"/>
                            </a:solidFill>
                            <a:prstDash val="solid"/>
                            <a:headEnd type="none" w="med" len="med"/>
                            <a:tailEnd type="triangle" w="med" len="med"/>
                          </a:ln>
                          <a:effectLst/>
                        </wps:spPr>
                        <wps:bodyPr upright="1"/>
                      </wps:wsp>
                      <wps:wsp>
                        <wps:cNvPr id="33" name="矩形 70"/>
                        <wps:cNvSpPr/>
                        <wps:spPr>
                          <a:xfrm>
                            <a:off x="2718" y="5838"/>
                            <a:ext cx="1009" cy="468"/>
                          </a:xfrm>
                          <a:prstGeom prst="rect">
                            <a:avLst/>
                          </a:prstGeom>
                          <a:solidFill>
                            <a:srgbClr val="FFFFFF"/>
                          </a:solidFill>
                          <a:ln>
                            <a:noFill/>
                          </a:ln>
                          <a:effectLst/>
                        </wps:spPr>
                        <wps:txbx>
                          <w:txbxContent>
                            <w:p w14:paraId="30FBCC3D">
                              <w:r>
                                <w:rPr>
                                  <w:rFonts w:hint="eastAsia"/>
                                </w:rPr>
                                <w:t>新鲜水</w:t>
                              </w:r>
                              <w:r>
                                <w:t xml:space="preserve"> </w:t>
                              </w:r>
                            </w:p>
                          </w:txbxContent>
                        </wps:txbx>
                        <wps:bodyPr upright="1"/>
                      </wps:wsp>
                      <wps:wsp>
                        <wps:cNvPr id="36" name="直接连接符 71"/>
                        <wps:cNvCnPr/>
                        <wps:spPr>
                          <a:xfrm>
                            <a:off x="5144" y="6306"/>
                            <a:ext cx="1" cy="871"/>
                          </a:xfrm>
                          <a:prstGeom prst="line">
                            <a:avLst/>
                          </a:prstGeom>
                          <a:ln w="9525" cap="flat" cmpd="sng">
                            <a:solidFill>
                              <a:srgbClr val="000000"/>
                            </a:solidFill>
                            <a:prstDash val="solid"/>
                            <a:headEnd type="none" w="med" len="med"/>
                            <a:tailEnd type="triangle" w="med" len="med"/>
                          </a:ln>
                          <a:effectLst/>
                        </wps:spPr>
                        <wps:bodyPr upright="1"/>
                      </wps:wsp>
                      <wps:wsp>
                        <wps:cNvPr id="37" name="矩形 74"/>
                        <wps:cNvSpPr/>
                        <wps:spPr>
                          <a:xfrm>
                            <a:off x="4487" y="7177"/>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261330">
                              <w:pPr>
                                <w:jc w:val="center"/>
                              </w:pPr>
                              <w:r>
                                <w:rPr>
                                  <w:rFonts w:hint="eastAsia"/>
                                </w:rPr>
                                <w:t>脱</w:t>
                              </w:r>
                              <w:r>
                                <w:t xml:space="preserve">  </w:t>
                              </w:r>
                              <w:r>
                                <w:rPr>
                                  <w:rFonts w:hint="eastAsia"/>
                                </w:rPr>
                                <w:t>色</w:t>
                              </w:r>
                            </w:p>
                          </w:txbxContent>
                        </wps:txbx>
                        <wps:bodyPr upright="1"/>
                      </wps:wsp>
                      <wps:wsp>
                        <wps:cNvPr id="38" name="直接连接符 76"/>
                        <wps:cNvCnPr/>
                        <wps:spPr>
                          <a:xfrm>
                            <a:off x="3767" y="7489"/>
                            <a:ext cx="720" cy="0"/>
                          </a:xfrm>
                          <a:prstGeom prst="line">
                            <a:avLst/>
                          </a:prstGeom>
                          <a:ln w="9525" cap="flat" cmpd="sng">
                            <a:solidFill>
                              <a:srgbClr val="000000"/>
                            </a:solidFill>
                            <a:prstDash val="solid"/>
                            <a:headEnd type="none" w="med" len="med"/>
                            <a:tailEnd type="triangle" w="med" len="med"/>
                          </a:ln>
                          <a:effectLst/>
                        </wps:spPr>
                        <wps:bodyPr upright="1"/>
                      </wps:wsp>
                      <wps:wsp>
                        <wps:cNvPr id="39" name="矩形 77"/>
                        <wps:cNvSpPr/>
                        <wps:spPr>
                          <a:xfrm>
                            <a:off x="2718" y="7235"/>
                            <a:ext cx="1009" cy="468"/>
                          </a:xfrm>
                          <a:prstGeom prst="rect">
                            <a:avLst/>
                          </a:prstGeom>
                          <a:solidFill>
                            <a:srgbClr val="FFFFFF"/>
                          </a:solidFill>
                          <a:ln>
                            <a:noFill/>
                          </a:ln>
                          <a:effectLst/>
                        </wps:spPr>
                        <wps:txbx>
                          <w:txbxContent>
                            <w:p w14:paraId="7953E4FE">
                              <w:r>
                                <w:rPr>
                                  <w:rFonts w:hint="eastAsia"/>
                                </w:rPr>
                                <w:t>活性炭</w:t>
                              </w:r>
                            </w:p>
                          </w:txbxContent>
                        </wps:txbx>
                        <wps:bodyPr upright="1"/>
                      </wps:wsp>
                      <wps:wsp>
                        <wps:cNvPr id="40" name="直接连接符 78"/>
                        <wps:cNvCnPr/>
                        <wps:spPr>
                          <a:xfrm>
                            <a:off x="5747" y="7400"/>
                            <a:ext cx="720" cy="0"/>
                          </a:xfrm>
                          <a:prstGeom prst="line">
                            <a:avLst/>
                          </a:prstGeom>
                          <a:ln w="9525" cap="flat" cmpd="sng">
                            <a:solidFill>
                              <a:srgbClr val="000000"/>
                            </a:solidFill>
                            <a:prstDash val="solid"/>
                            <a:headEnd type="none" w="med" len="med"/>
                            <a:tailEnd type="triangle" w="med" len="med"/>
                          </a:ln>
                          <a:effectLst/>
                        </wps:spPr>
                        <wps:bodyPr upright="1"/>
                      </wps:wsp>
                      <wps:wsp>
                        <wps:cNvPr id="43" name="矩形 79"/>
                        <wps:cNvSpPr/>
                        <wps:spPr>
                          <a:xfrm>
                            <a:off x="6493" y="7177"/>
                            <a:ext cx="945" cy="468"/>
                          </a:xfrm>
                          <a:prstGeom prst="rect">
                            <a:avLst/>
                          </a:prstGeom>
                          <a:solidFill>
                            <a:srgbClr val="FFFFFF"/>
                          </a:solidFill>
                          <a:ln>
                            <a:noFill/>
                          </a:ln>
                          <a:effectLst/>
                        </wps:spPr>
                        <wps:txbx>
                          <w:txbxContent>
                            <w:p w14:paraId="439DBB79">
                              <w:pPr>
                                <w:ind w:firstLine="200" w:firstLineChars="100"/>
                                <w:rPr>
                                  <w:sz w:val="20"/>
                                  <w:szCs w:val="21"/>
                                </w:rPr>
                              </w:pPr>
                              <w:r>
                                <w:rPr>
                                  <w:rFonts w:hint="eastAsia"/>
                                  <w:sz w:val="20"/>
                                  <w:szCs w:val="21"/>
                                </w:rPr>
                                <w:t>S3</w:t>
                              </w:r>
                            </w:p>
                          </w:txbxContent>
                        </wps:txbx>
                        <wps:bodyPr upright="1"/>
                      </wps:wsp>
                      <wps:wsp>
                        <wps:cNvPr id="44" name="直接连接符 80"/>
                        <wps:cNvCnPr/>
                        <wps:spPr>
                          <a:xfrm flipH="1">
                            <a:off x="5130" y="7645"/>
                            <a:ext cx="0" cy="1313"/>
                          </a:xfrm>
                          <a:prstGeom prst="line">
                            <a:avLst/>
                          </a:prstGeom>
                          <a:ln w="9525" cap="flat" cmpd="sng">
                            <a:solidFill>
                              <a:srgbClr val="000000"/>
                            </a:solidFill>
                            <a:prstDash val="solid"/>
                            <a:headEnd type="none" w="med" len="med"/>
                            <a:tailEnd type="triangle" w="med" len="med"/>
                          </a:ln>
                          <a:effectLst/>
                        </wps:spPr>
                        <wps:bodyPr upright="1"/>
                      </wps:wsp>
                      <wps:wsp>
                        <wps:cNvPr id="45" name="矩形 81"/>
                        <wps:cNvSpPr/>
                        <wps:spPr>
                          <a:xfrm>
                            <a:off x="4487" y="8971"/>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7DDB382">
                              <w:pPr>
                                <w:jc w:val="center"/>
                              </w:pPr>
                              <w:r>
                                <w:rPr>
                                  <w:rFonts w:hint="eastAsia"/>
                                </w:rPr>
                                <w:t>析出结晶</w:t>
                              </w:r>
                            </w:p>
                          </w:txbxContent>
                        </wps:txbx>
                        <wps:bodyPr upright="1"/>
                      </wps:wsp>
                      <wps:wsp>
                        <wps:cNvPr id="46" name="直接连接符 82"/>
                        <wps:cNvCnPr/>
                        <wps:spPr>
                          <a:xfrm>
                            <a:off x="3767" y="9283"/>
                            <a:ext cx="720" cy="0"/>
                          </a:xfrm>
                          <a:prstGeom prst="line">
                            <a:avLst/>
                          </a:prstGeom>
                          <a:ln w="9525" cap="flat" cmpd="sng">
                            <a:solidFill>
                              <a:srgbClr val="000000"/>
                            </a:solidFill>
                            <a:prstDash val="solid"/>
                            <a:headEnd type="none" w="med" len="med"/>
                            <a:tailEnd type="triangle" w="med" len="med"/>
                          </a:ln>
                          <a:effectLst/>
                        </wps:spPr>
                        <wps:bodyPr upright="1"/>
                      </wps:wsp>
                      <wps:wsp>
                        <wps:cNvPr id="47" name="矩形 83"/>
                        <wps:cNvSpPr/>
                        <wps:spPr>
                          <a:xfrm>
                            <a:off x="2441" y="8874"/>
                            <a:ext cx="1286" cy="780"/>
                          </a:xfrm>
                          <a:prstGeom prst="rect">
                            <a:avLst/>
                          </a:prstGeom>
                          <a:solidFill>
                            <a:srgbClr val="FFFFFF"/>
                          </a:solidFill>
                          <a:ln>
                            <a:noFill/>
                          </a:ln>
                          <a:effectLst/>
                        </wps:spPr>
                        <wps:txbx>
                          <w:txbxContent>
                            <w:p w14:paraId="22B7FBAB">
                              <w:r>
                                <w:rPr>
                                  <w:rFonts w:hint="eastAsia"/>
                                </w:rPr>
                                <w:t>盐水</w:t>
                              </w:r>
                            </w:p>
                            <w:p w14:paraId="7AC15C01">
                              <w:r>
                                <w:rPr>
                                  <w:rFonts w:hint="eastAsia"/>
                                </w:rPr>
                                <w:t>盐酸（</w:t>
                              </w:r>
                              <w:r>
                                <w:t>32%</w:t>
                              </w:r>
                              <w:r>
                                <w:rPr>
                                  <w:rFonts w:hint="eastAsia"/>
                                </w:rPr>
                                <w:t>）</w:t>
                              </w:r>
                            </w:p>
                          </w:txbxContent>
                        </wps:txbx>
                        <wps:bodyPr upright="1"/>
                      </wps:wsp>
                      <wps:wsp>
                        <wps:cNvPr id="48" name="直接连接符 84"/>
                        <wps:cNvCnPr/>
                        <wps:spPr>
                          <a:xfrm flipH="1">
                            <a:off x="5128" y="9423"/>
                            <a:ext cx="2" cy="1258"/>
                          </a:xfrm>
                          <a:prstGeom prst="line">
                            <a:avLst/>
                          </a:prstGeom>
                          <a:ln w="9525" cap="flat" cmpd="sng">
                            <a:solidFill>
                              <a:srgbClr val="000000"/>
                            </a:solidFill>
                            <a:prstDash val="solid"/>
                            <a:headEnd type="none" w="med" len="med"/>
                            <a:tailEnd type="triangle" w="med" len="med"/>
                          </a:ln>
                          <a:effectLst/>
                        </wps:spPr>
                        <wps:bodyPr upright="1"/>
                      </wps:wsp>
                      <wps:wsp>
                        <wps:cNvPr id="49" name="矩形 85"/>
                        <wps:cNvSpPr/>
                        <wps:spPr>
                          <a:xfrm>
                            <a:off x="4513" y="10681"/>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CD82AD">
                              <w:pPr>
                                <w:jc w:val="center"/>
                              </w:pPr>
                              <w:r>
                                <w:rPr>
                                  <w:rFonts w:hint="eastAsia"/>
                                </w:rPr>
                                <w:t>脱  水</w:t>
                              </w:r>
                            </w:p>
                          </w:txbxContent>
                        </wps:txbx>
                        <wps:bodyPr upright="1"/>
                      </wps:wsp>
                      <wps:wsp>
                        <wps:cNvPr id="52" name="直接连接符 86"/>
                        <wps:cNvCnPr/>
                        <wps:spPr>
                          <a:xfrm>
                            <a:off x="5773" y="10890"/>
                            <a:ext cx="720" cy="0"/>
                          </a:xfrm>
                          <a:prstGeom prst="line">
                            <a:avLst/>
                          </a:prstGeom>
                          <a:ln w="9525" cap="flat" cmpd="sng">
                            <a:solidFill>
                              <a:srgbClr val="000000"/>
                            </a:solidFill>
                            <a:prstDash val="solid"/>
                            <a:headEnd type="none" w="med" len="med"/>
                            <a:tailEnd type="triangle" w="med" len="med"/>
                          </a:ln>
                          <a:effectLst/>
                        </wps:spPr>
                        <wps:bodyPr upright="1"/>
                      </wps:wsp>
                      <wps:wsp>
                        <wps:cNvPr id="53" name="矩形 87"/>
                        <wps:cNvSpPr/>
                        <wps:spPr>
                          <a:xfrm>
                            <a:off x="6493" y="10643"/>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E47B59">
                              <w:pPr>
                                <w:jc w:val="center"/>
                              </w:pPr>
                              <w:r>
                                <w:rPr>
                                  <w:rFonts w:hint="eastAsia"/>
                                </w:rPr>
                                <w:t>成品</w:t>
                              </w:r>
                              <w:r>
                                <w:t>DCB</w:t>
                              </w:r>
                            </w:p>
                          </w:txbxContent>
                        </wps:txbx>
                        <wps:bodyPr upright="1"/>
                      </wps:wsp>
                      <wps:wsp>
                        <wps:cNvPr id="54" name="直接连接符 88"/>
                        <wps:cNvCnPr/>
                        <wps:spPr>
                          <a:xfrm>
                            <a:off x="5144" y="11163"/>
                            <a:ext cx="1" cy="923"/>
                          </a:xfrm>
                          <a:prstGeom prst="line">
                            <a:avLst/>
                          </a:prstGeom>
                          <a:ln w="9525" cap="flat" cmpd="sng">
                            <a:solidFill>
                              <a:srgbClr val="000000"/>
                            </a:solidFill>
                            <a:prstDash val="solid"/>
                            <a:headEnd type="none" w="med" len="med"/>
                            <a:tailEnd type="triangle" w="med" len="med"/>
                          </a:ln>
                          <a:effectLst/>
                        </wps:spPr>
                        <wps:bodyPr upright="1"/>
                      </wps:wsp>
                      <wps:wsp>
                        <wps:cNvPr id="55" name="矩形 89"/>
                        <wps:cNvSpPr/>
                        <wps:spPr>
                          <a:xfrm>
                            <a:off x="4487" y="12099"/>
                            <a:ext cx="126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AA3584">
                              <w:pPr>
                                <w:jc w:val="center"/>
                              </w:pPr>
                              <w:r>
                                <w:rPr>
                                  <w:rFonts w:hint="eastAsia"/>
                                </w:rPr>
                                <w:t>中</w:t>
                              </w:r>
                              <w:r>
                                <w:t xml:space="preserve">  </w:t>
                              </w:r>
                              <w:r>
                                <w:rPr>
                                  <w:rFonts w:hint="eastAsia"/>
                                </w:rPr>
                                <w:t>和</w:t>
                              </w:r>
                            </w:p>
                          </w:txbxContent>
                        </wps:txbx>
                        <wps:bodyPr upright="1"/>
                      </wps:wsp>
                      <wps:wsp>
                        <wps:cNvPr id="62" name="直接连接符 90"/>
                        <wps:cNvCnPr/>
                        <wps:spPr>
                          <a:xfrm>
                            <a:off x="5128" y="12554"/>
                            <a:ext cx="0" cy="1458"/>
                          </a:xfrm>
                          <a:prstGeom prst="line">
                            <a:avLst/>
                          </a:prstGeom>
                          <a:ln w="9525" cap="flat" cmpd="sng">
                            <a:solidFill>
                              <a:srgbClr val="000000"/>
                            </a:solidFill>
                            <a:prstDash val="solid"/>
                            <a:headEnd type="none" w="med" len="med"/>
                            <a:tailEnd type="triangle" w="med" len="med"/>
                          </a:ln>
                          <a:effectLst/>
                        </wps:spPr>
                        <wps:bodyPr upright="1"/>
                      </wps:wsp>
                      <wps:wsp>
                        <wps:cNvPr id="63" name="直接连接符 91"/>
                        <wps:cNvCnPr/>
                        <wps:spPr>
                          <a:xfrm>
                            <a:off x="3767" y="12300"/>
                            <a:ext cx="720" cy="0"/>
                          </a:xfrm>
                          <a:prstGeom prst="line">
                            <a:avLst/>
                          </a:prstGeom>
                          <a:ln w="9525" cap="flat" cmpd="sng">
                            <a:solidFill>
                              <a:srgbClr val="000000"/>
                            </a:solidFill>
                            <a:prstDash val="solid"/>
                            <a:headEnd type="none" w="med" len="med"/>
                            <a:tailEnd type="triangle" w="med" len="med"/>
                          </a:ln>
                          <a:effectLst/>
                        </wps:spPr>
                        <wps:bodyPr upright="1"/>
                      </wps:wsp>
                      <wps:wsp>
                        <wps:cNvPr id="166" name="矩形 92"/>
                        <wps:cNvSpPr/>
                        <wps:spPr>
                          <a:xfrm>
                            <a:off x="1967" y="12086"/>
                            <a:ext cx="1760" cy="468"/>
                          </a:xfrm>
                          <a:prstGeom prst="rect">
                            <a:avLst/>
                          </a:prstGeom>
                          <a:solidFill>
                            <a:srgbClr val="FFFFFF"/>
                          </a:solidFill>
                          <a:ln>
                            <a:noFill/>
                          </a:ln>
                          <a:effectLst/>
                        </wps:spPr>
                        <wps:txbx>
                          <w:txbxContent>
                            <w:p w14:paraId="21977C61">
                              <w:pPr>
                                <w:rPr>
                                  <w:sz w:val="20"/>
                                  <w:szCs w:val="21"/>
                                </w:rPr>
                              </w:pPr>
                              <w:r>
                                <w:rPr>
                                  <w:rFonts w:hint="eastAsia"/>
                                  <w:sz w:val="20"/>
                                  <w:szCs w:val="21"/>
                                </w:rPr>
                                <w:t>氢氧化钠（</w:t>
                              </w:r>
                              <w:r>
                                <w:rPr>
                                  <w:sz w:val="20"/>
                                  <w:szCs w:val="21"/>
                                </w:rPr>
                                <w:t>50%</w:t>
                              </w:r>
                              <w:r>
                                <w:rPr>
                                  <w:rFonts w:hint="eastAsia"/>
                                  <w:sz w:val="20"/>
                                  <w:szCs w:val="21"/>
                                </w:rPr>
                                <w:t>）</w:t>
                              </w:r>
                            </w:p>
                          </w:txbxContent>
                        </wps:txbx>
                        <wps:bodyPr upright="1"/>
                      </wps:wsp>
                      <wps:wsp>
                        <wps:cNvPr id="167" name="矩形 93"/>
                        <wps:cNvSpPr/>
                        <wps:spPr>
                          <a:xfrm>
                            <a:off x="4578" y="14149"/>
                            <a:ext cx="1080" cy="468"/>
                          </a:xfrm>
                          <a:prstGeom prst="rect">
                            <a:avLst/>
                          </a:prstGeom>
                          <a:solidFill>
                            <a:srgbClr val="FFFFFF"/>
                          </a:solidFill>
                          <a:ln>
                            <a:noFill/>
                          </a:ln>
                          <a:effectLst/>
                        </wps:spPr>
                        <wps:txbx>
                          <w:txbxContent>
                            <w:p w14:paraId="14435BAF">
                              <w:pPr>
                                <w:ind w:firstLine="100" w:firstLineChars="50"/>
                                <w:jc w:val="center"/>
                                <w:rPr>
                                  <w:sz w:val="20"/>
                                  <w:szCs w:val="21"/>
                                </w:rPr>
                              </w:pPr>
                              <w:r>
                                <w:rPr>
                                  <w:rFonts w:hint="eastAsia"/>
                                  <w:sz w:val="20"/>
                                  <w:szCs w:val="21"/>
                                </w:rPr>
                                <w:t>W2</w:t>
                              </w:r>
                            </w:p>
                          </w:txbxContent>
                        </wps:txbx>
                        <wps:bodyPr upright="1"/>
                      </wps:wsp>
                      <wps:wsp>
                        <wps:cNvPr id="168" name="直接连接符 94"/>
                        <wps:cNvCnPr/>
                        <wps:spPr>
                          <a:xfrm flipV="1">
                            <a:off x="5746" y="12300"/>
                            <a:ext cx="721" cy="13"/>
                          </a:xfrm>
                          <a:prstGeom prst="line">
                            <a:avLst/>
                          </a:prstGeom>
                          <a:ln w="9525" cap="flat" cmpd="sng">
                            <a:solidFill>
                              <a:srgbClr val="000000"/>
                            </a:solidFill>
                            <a:prstDash val="solid"/>
                            <a:headEnd type="none" w="med" len="med"/>
                            <a:tailEnd type="triangle" w="med" len="med"/>
                          </a:ln>
                          <a:effectLst/>
                        </wps:spPr>
                        <wps:bodyPr upright="1"/>
                      </wps:wsp>
                      <wps:wsp>
                        <wps:cNvPr id="169" name="矩形 95"/>
                        <wps:cNvSpPr/>
                        <wps:spPr>
                          <a:xfrm>
                            <a:off x="6493" y="12086"/>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528591">
                              <w:pPr>
                                <w:jc w:val="center"/>
                              </w:pPr>
                              <w:r>
                                <w:rPr>
                                  <w:rFonts w:hint="eastAsia"/>
                                </w:rPr>
                                <w:t>二级品回收</w:t>
                              </w:r>
                            </w:p>
                          </w:txbxContent>
                        </wps:txbx>
                        <wps:bodyPr upright="1"/>
                      </wps:wsp>
                      <wps:wsp>
                        <wps:cNvPr id="170" name="直接连接符 96"/>
                        <wps:cNvCnPr/>
                        <wps:spPr>
                          <a:xfrm>
                            <a:off x="6035" y="6072"/>
                            <a:ext cx="720" cy="0"/>
                          </a:xfrm>
                          <a:prstGeom prst="line">
                            <a:avLst/>
                          </a:prstGeom>
                          <a:ln w="9525" cap="flat" cmpd="sng">
                            <a:solidFill>
                              <a:srgbClr val="000000"/>
                            </a:solidFill>
                            <a:prstDash val="solid"/>
                            <a:headEnd type="none" w="med" len="med"/>
                            <a:tailEnd type="triangle" w="med" len="med"/>
                          </a:ln>
                          <a:effectLst/>
                        </wps:spPr>
                        <wps:bodyPr upright="1"/>
                      </wps:wsp>
                      <wps:wsp>
                        <wps:cNvPr id="171" name="矩形 97"/>
                        <wps:cNvSpPr/>
                        <wps:spPr>
                          <a:xfrm>
                            <a:off x="6825" y="5825"/>
                            <a:ext cx="650" cy="468"/>
                          </a:xfrm>
                          <a:prstGeom prst="rect">
                            <a:avLst/>
                          </a:prstGeom>
                          <a:solidFill>
                            <a:srgbClr val="FFFFFF"/>
                          </a:solidFill>
                          <a:ln>
                            <a:noFill/>
                          </a:ln>
                          <a:effectLst/>
                        </wps:spPr>
                        <wps:txbx>
                          <w:txbxContent>
                            <w:p w14:paraId="76EFE5C0">
                              <w:pPr>
                                <w:rPr>
                                  <w:sz w:val="20"/>
                                  <w:szCs w:val="21"/>
                                </w:rPr>
                              </w:pPr>
                              <w:r>
                                <w:rPr>
                                  <w:rFonts w:hint="eastAsia"/>
                                  <w:sz w:val="20"/>
                                  <w:szCs w:val="21"/>
                                </w:rPr>
                                <w:t>S2</w:t>
                              </w:r>
                            </w:p>
                          </w:txbxContent>
                        </wps:txbx>
                        <wps:bodyPr upright="1"/>
                      </wps:wsp>
                      <wps:wsp>
                        <wps:cNvPr id="172" name="矩形 98"/>
                        <wps:cNvSpPr/>
                        <wps:spPr>
                          <a:xfrm>
                            <a:off x="7501" y="13428"/>
                            <a:ext cx="1620" cy="468"/>
                          </a:xfrm>
                          <a:prstGeom prst="rect">
                            <a:avLst/>
                          </a:prstGeom>
                          <a:solidFill>
                            <a:srgbClr val="FFFFFF"/>
                          </a:solidFill>
                          <a:ln>
                            <a:noFill/>
                          </a:ln>
                          <a:effectLst/>
                        </wps:spPr>
                        <wps:txbx>
                          <w:txbxContent>
                            <w:p w14:paraId="61ADF04B">
                              <w:pPr>
                                <w:rPr>
                                  <w:sz w:val="18"/>
                                  <w:szCs w:val="18"/>
                                </w:rPr>
                              </w:pPr>
                              <w:r>
                                <w:rPr>
                                  <w:rFonts w:hint="eastAsia"/>
                                  <w:sz w:val="18"/>
                                  <w:szCs w:val="18"/>
                                </w:rPr>
                                <w:t>S：固废</w:t>
                              </w:r>
                            </w:p>
                          </w:txbxContent>
                        </wps:txbx>
                        <wps:bodyPr upright="1"/>
                      </wps:wsp>
                      <wps:wsp>
                        <wps:cNvPr id="173" name="矩形 99"/>
                        <wps:cNvSpPr/>
                        <wps:spPr>
                          <a:xfrm>
                            <a:off x="7501" y="13896"/>
                            <a:ext cx="1620" cy="468"/>
                          </a:xfrm>
                          <a:prstGeom prst="rect">
                            <a:avLst/>
                          </a:prstGeom>
                          <a:solidFill>
                            <a:srgbClr val="FFFFFF"/>
                          </a:solidFill>
                          <a:ln>
                            <a:noFill/>
                          </a:ln>
                          <a:effectLst/>
                        </wps:spPr>
                        <wps:txbx>
                          <w:txbxContent>
                            <w:p w14:paraId="079AE271">
                              <w:pPr>
                                <w:rPr>
                                  <w:sz w:val="18"/>
                                  <w:szCs w:val="18"/>
                                </w:rPr>
                              </w:pPr>
                              <w:r>
                                <w:rPr>
                                  <w:rFonts w:hint="eastAsia"/>
                                  <w:sz w:val="18"/>
                                  <w:szCs w:val="18"/>
                                </w:rPr>
                                <w:t>W：废水</w:t>
                              </w:r>
                            </w:p>
                          </w:txbxContent>
                        </wps:txbx>
                        <wps:bodyPr upright="1"/>
                      </wps:wsp>
                      <wps:wsp>
                        <wps:cNvPr id="174" name="矩形 100"/>
                        <wps:cNvSpPr/>
                        <wps:spPr>
                          <a:xfrm>
                            <a:off x="7488" y="12960"/>
                            <a:ext cx="1620" cy="468"/>
                          </a:xfrm>
                          <a:prstGeom prst="rect">
                            <a:avLst/>
                          </a:prstGeom>
                          <a:solidFill>
                            <a:srgbClr val="FFFFFF"/>
                          </a:solidFill>
                          <a:ln>
                            <a:noFill/>
                          </a:ln>
                          <a:effectLst/>
                        </wps:spPr>
                        <wps:txbx>
                          <w:txbxContent>
                            <w:p w14:paraId="35AC744B">
                              <w:pPr>
                                <w:rPr>
                                  <w:sz w:val="18"/>
                                  <w:szCs w:val="18"/>
                                </w:rPr>
                              </w:pPr>
                              <w:r>
                                <w:rPr>
                                  <w:rFonts w:hint="eastAsia"/>
                                  <w:sz w:val="18"/>
                                  <w:szCs w:val="18"/>
                                </w:rPr>
                                <w:t>G：废气</w:t>
                              </w:r>
                            </w:p>
                          </w:txbxContent>
                        </wps:txbx>
                        <wps:bodyPr upright="1"/>
                      </wps:wsp>
                      <wps:wsp>
                        <wps:cNvPr id="175" name="直接连接符 101"/>
                        <wps:cNvCnPr/>
                        <wps:spPr>
                          <a:xfrm flipV="1">
                            <a:off x="5131" y="1615"/>
                            <a:ext cx="1" cy="375"/>
                          </a:xfrm>
                          <a:prstGeom prst="line">
                            <a:avLst/>
                          </a:prstGeom>
                          <a:ln w="9525" cap="flat" cmpd="sng">
                            <a:solidFill>
                              <a:srgbClr val="000000"/>
                            </a:solidFill>
                            <a:prstDash val="solid"/>
                            <a:headEnd type="none" w="med" len="med"/>
                            <a:tailEnd type="triangle" w="med" len="med"/>
                          </a:ln>
                          <a:effectLst/>
                        </wps:spPr>
                        <wps:bodyPr upright="1"/>
                      </wps:wsp>
                      <wps:wsp>
                        <wps:cNvPr id="176" name="矩形 102"/>
                        <wps:cNvSpPr/>
                        <wps:spPr>
                          <a:xfrm>
                            <a:off x="4609" y="1147"/>
                            <a:ext cx="1008" cy="468"/>
                          </a:xfrm>
                          <a:prstGeom prst="rect">
                            <a:avLst/>
                          </a:prstGeom>
                          <a:solidFill>
                            <a:srgbClr val="FFFFFF"/>
                          </a:solidFill>
                          <a:ln>
                            <a:noFill/>
                          </a:ln>
                          <a:effectLst/>
                        </wps:spPr>
                        <wps:txbx>
                          <w:txbxContent>
                            <w:p w14:paraId="6D3BDDB4">
                              <w:pPr>
                                <w:jc w:val="center"/>
                              </w:pPr>
                              <w:r>
                                <w:rPr>
                                  <w:rFonts w:hint="eastAsia"/>
                                  <w:sz w:val="20"/>
                                  <w:szCs w:val="21"/>
                                </w:rPr>
                                <w:t>G1</w:t>
                              </w:r>
                            </w:p>
                          </w:txbxContent>
                        </wps:txbx>
                        <wps:bodyPr upright="1"/>
                      </wps:wsp>
                      <wps:wsp>
                        <wps:cNvPr id="177" name="矩形 103"/>
                        <wps:cNvSpPr/>
                        <wps:spPr>
                          <a:xfrm>
                            <a:off x="5272" y="3440"/>
                            <a:ext cx="763" cy="468"/>
                          </a:xfrm>
                          <a:prstGeom prst="rect">
                            <a:avLst/>
                          </a:prstGeom>
                          <a:solidFill>
                            <a:srgbClr val="FFFFFF"/>
                          </a:solidFill>
                          <a:ln>
                            <a:noFill/>
                          </a:ln>
                          <a:effectLst/>
                        </wps:spPr>
                        <wps:txbx>
                          <w:txbxContent>
                            <w:p w14:paraId="4DEEE294">
                              <w:pPr>
                                <w:jc w:val="center"/>
                              </w:pPr>
                              <w:r>
                                <w:rPr>
                                  <w:rFonts w:hint="eastAsia"/>
                                  <w:sz w:val="20"/>
                                  <w:szCs w:val="21"/>
                                </w:rPr>
                                <w:t>G2</w:t>
                              </w:r>
                            </w:p>
                          </w:txbxContent>
                        </wps:txbx>
                        <wps:bodyPr upright="1"/>
                      </wps:wsp>
                      <wps:wsp>
                        <wps:cNvPr id="178" name="直接连接符 104"/>
                        <wps:cNvCnPr/>
                        <wps:spPr>
                          <a:xfrm flipV="1">
                            <a:off x="5593" y="3908"/>
                            <a:ext cx="2" cy="522"/>
                          </a:xfrm>
                          <a:prstGeom prst="line">
                            <a:avLst/>
                          </a:prstGeom>
                          <a:ln w="9525" cap="flat" cmpd="sng">
                            <a:solidFill>
                              <a:srgbClr val="000000"/>
                            </a:solidFill>
                            <a:prstDash val="solid"/>
                            <a:headEnd type="none" w="med" len="med"/>
                            <a:tailEnd type="triangle" w="med" len="med"/>
                          </a:ln>
                          <a:effectLst/>
                        </wps:spPr>
                        <wps:bodyPr upright="1"/>
                      </wps:wsp>
                      <wps:wsp>
                        <wps:cNvPr id="179" name="矩形 105"/>
                        <wps:cNvSpPr/>
                        <wps:spPr>
                          <a:xfrm>
                            <a:off x="5658" y="4995"/>
                            <a:ext cx="763" cy="429"/>
                          </a:xfrm>
                          <a:prstGeom prst="rect">
                            <a:avLst/>
                          </a:prstGeom>
                          <a:solidFill>
                            <a:srgbClr val="FFFFFF"/>
                          </a:solidFill>
                          <a:ln>
                            <a:noFill/>
                          </a:ln>
                          <a:effectLst/>
                        </wps:spPr>
                        <wps:txbx>
                          <w:txbxContent>
                            <w:p w14:paraId="43D09931">
                              <w:pPr>
                                <w:jc w:val="center"/>
                                <w:rPr>
                                  <w:sz w:val="20"/>
                                  <w:szCs w:val="21"/>
                                </w:rPr>
                              </w:pPr>
                              <w:r>
                                <w:rPr>
                                  <w:rFonts w:hint="eastAsia"/>
                                  <w:sz w:val="20"/>
                                  <w:szCs w:val="21"/>
                                </w:rPr>
                                <w:t>G3</w:t>
                              </w:r>
                            </w:p>
                          </w:txbxContent>
                        </wps:txbx>
                        <wps:bodyPr upright="1"/>
                      </wps:wsp>
                      <wps:wsp>
                        <wps:cNvPr id="180" name="直接连接符 106"/>
                        <wps:cNvCnPr/>
                        <wps:spPr>
                          <a:xfrm flipV="1">
                            <a:off x="5523" y="6802"/>
                            <a:ext cx="1" cy="375"/>
                          </a:xfrm>
                          <a:prstGeom prst="line">
                            <a:avLst/>
                          </a:prstGeom>
                          <a:ln w="9525" cap="flat" cmpd="sng">
                            <a:solidFill>
                              <a:srgbClr val="000000"/>
                            </a:solidFill>
                            <a:prstDash val="solid"/>
                            <a:headEnd type="none" w="med" len="med"/>
                            <a:tailEnd type="triangle" w="med" len="med"/>
                          </a:ln>
                          <a:effectLst/>
                        </wps:spPr>
                        <wps:bodyPr upright="1"/>
                      </wps:wsp>
                      <wps:wsp>
                        <wps:cNvPr id="181" name="直接连接符 107"/>
                        <wps:cNvCnPr/>
                        <wps:spPr>
                          <a:xfrm flipV="1">
                            <a:off x="5549" y="8397"/>
                            <a:ext cx="1" cy="564"/>
                          </a:xfrm>
                          <a:prstGeom prst="line">
                            <a:avLst/>
                          </a:prstGeom>
                          <a:ln w="9525" cap="flat" cmpd="sng">
                            <a:solidFill>
                              <a:srgbClr val="000000"/>
                            </a:solidFill>
                            <a:prstDash val="solid"/>
                            <a:headEnd type="none" w="med" len="med"/>
                            <a:tailEnd type="triangle" w="med" len="med"/>
                          </a:ln>
                          <a:effectLst/>
                        </wps:spPr>
                        <wps:bodyPr upright="1"/>
                      </wps:wsp>
                      <wps:wsp>
                        <wps:cNvPr id="182" name="矩形 108"/>
                        <wps:cNvSpPr/>
                        <wps:spPr>
                          <a:xfrm>
                            <a:off x="5362" y="7854"/>
                            <a:ext cx="763" cy="429"/>
                          </a:xfrm>
                          <a:prstGeom prst="rect">
                            <a:avLst/>
                          </a:prstGeom>
                          <a:solidFill>
                            <a:srgbClr val="FFFFFF"/>
                          </a:solidFill>
                          <a:ln>
                            <a:noFill/>
                          </a:ln>
                          <a:effectLst/>
                        </wps:spPr>
                        <wps:txbx>
                          <w:txbxContent>
                            <w:p w14:paraId="433BF96B">
                              <w:pPr>
                                <w:jc w:val="center"/>
                                <w:rPr>
                                  <w:sz w:val="20"/>
                                  <w:szCs w:val="21"/>
                                </w:rPr>
                              </w:pPr>
                              <w:r>
                                <w:rPr>
                                  <w:rFonts w:hint="eastAsia"/>
                                  <w:sz w:val="20"/>
                                  <w:szCs w:val="21"/>
                                </w:rPr>
                                <w:t>G5</w:t>
                              </w:r>
                            </w:p>
                          </w:txbxContent>
                        </wps:txbx>
                        <wps:bodyPr upright="1"/>
                      </wps:wsp>
                      <wps:wsp>
                        <wps:cNvPr id="183" name="矩形 109"/>
                        <wps:cNvSpPr/>
                        <wps:spPr>
                          <a:xfrm>
                            <a:off x="5196" y="9907"/>
                            <a:ext cx="763" cy="429"/>
                          </a:xfrm>
                          <a:prstGeom prst="rect">
                            <a:avLst/>
                          </a:prstGeom>
                          <a:solidFill>
                            <a:srgbClr val="FFFFFF"/>
                          </a:solidFill>
                          <a:ln>
                            <a:noFill/>
                          </a:ln>
                          <a:effectLst/>
                        </wps:spPr>
                        <wps:txbx>
                          <w:txbxContent>
                            <w:p w14:paraId="4EB2909F">
                              <w:pPr>
                                <w:jc w:val="center"/>
                                <w:rPr>
                                  <w:sz w:val="20"/>
                                  <w:szCs w:val="21"/>
                                </w:rPr>
                              </w:pPr>
                              <w:r>
                                <w:rPr>
                                  <w:rFonts w:hint="eastAsia"/>
                                  <w:sz w:val="20"/>
                                  <w:szCs w:val="21"/>
                                </w:rPr>
                                <w:t>G6</w:t>
                              </w:r>
                            </w:p>
                          </w:txbxContent>
                        </wps:txbx>
                        <wps:bodyPr upright="1"/>
                      </wps:wsp>
                      <wps:wsp>
                        <wps:cNvPr id="184" name="直接连接符 110"/>
                        <wps:cNvCnPr/>
                        <wps:spPr>
                          <a:xfrm flipV="1">
                            <a:off x="5536" y="10284"/>
                            <a:ext cx="1" cy="375"/>
                          </a:xfrm>
                          <a:prstGeom prst="line">
                            <a:avLst/>
                          </a:prstGeom>
                          <a:ln w="9525" cap="flat" cmpd="sng">
                            <a:solidFill>
                              <a:srgbClr val="000000"/>
                            </a:solidFill>
                            <a:prstDash val="solid"/>
                            <a:headEnd type="none" w="med" len="med"/>
                            <a:tailEnd type="triangle" w="med" len="med"/>
                          </a:ln>
                          <a:effectLst/>
                        </wps:spPr>
                        <wps:bodyPr upright="1"/>
                      </wps:wsp>
                      <wps:wsp>
                        <wps:cNvPr id="185" name="矩形 111"/>
                        <wps:cNvSpPr/>
                        <wps:spPr>
                          <a:xfrm>
                            <a:off x="5272" y="11261"/>
                            <a:ext cx="763" cy="429"/>
                          </a:xfrm>
                          <a:prstGeom prst="rect">
                            <a:avLst/>
                          </a:prstGeom>
                          <a:solidFill>
                            <a:srgbClr val="FFFFFF"/>
                          </a:solidFill>
                          <a:ln>
                            <a:noFill/>
                          </a:ln>
                          <a:effectLst/>
                        </wps:spPr>
                        <wps:txbx>
                          <w:txbxContent>
                            <w:p w14:paraId="63A92CB5">
                              <w:pPr>
                                <w:jc w:val="center"/>
                                <w:rPr>
                                  <w:sz w:val="20"/>
                                  <w:szCs w:val="21"/>
                                </w:rPr>
                              </w:pPr>
                              <w:r>
                                <w:rPr>
                                  <w:rFonts w:hint="eastAsia"/>
                                  <w:sz w:val="20"/>
                                  <w:szCs w:val="21"/>
                                </w:rPr>
                                <w:t>G7</w:t>
                              </w:r>
                            </w:p>
                          </w:txbxContent>
                        </wps:txbx>
                        <wps:bodyPr upright="1"/>
                      </wps:wsp>
                      <wps:wsp>
                        <wps:cNvPr id="186" name="直接连接符 112"/>
                        <wps:cNvCnPr/>
                        <wps:spPr>
                          <a:xfrm flipV="1">
                            <a:off x="5595" y="11698"/>
                            <a:ext cx="0" cy="401"/>
                          </a:xfrm>
                          <a:prstGeom prst="line">
                            <a:avLst/>
                          </a:prstGeom>
                          <a:ln w="9525" cap="flat" cmpd="sng">
                            <a:solidFill>
                              <a:srgbClr val="000000"/>
                            </a:solidFill>
                            <a:prstDash val="solid"/>
                            <a:headEnd type="none" w="med" len="med"/>
                            <a:tailEnd type="triangle" w="med" len="med"/>
                          </a:ln>
                          <a:effectLst/>
                        </wps:spPr>
                        <wps:bodyPr upright="1"/>
                      </wps:wsp>
                      <wps:wsp>
                        <wps:cNvPr id="187" name="直接连接符 113"/>
                        <wps:cNvCnPr/>
                        <wps:spPr>
                          <a:xfrm flipV="1">
                            <a:off x="5746" y="5450"/>
                            <a:ext cx="1" cy="375"/>
                          </a:xfrm>
                          <a:prstGeom prst="line">
                            <a:avLst/>
                          </a:prstGeom>
                          <a:ln w="9525" cap="flat" cmpd="sng">
                            <a:solidFill>
                              <a:srgbClr val="000000"/>
                            </a:solidFill>
                            <a:prstDash val="solid"/>
                            <a:headEnd type="none" w="med" len="med"/>
                            <a:tailEnd type="triangle" w="med" len="med"/>
                          </a:ln>
                          <a:effectLst/>
                        </wps:spPr>
                        <wps:bodyPr upright="1"/>
                      </wps:wsp>
                      <wps:wsp>
                        <wps:cNvPr id="188" name="矩形 114"/>
                        <wps:cNvSpPr/>
                        <wps:spPr>
                          <a:xfrm>
                            <a:off x="5196" y="6373"/>
                            <a:ext cx="763" cy="429"/>
                          </a:xfrm>
                          <a:prstGeom prst="rect">
                            <a:avLst/>
                          </a:prstGeom>
                          <a:solidFill>
                            <a:srgbClr val="FFFFFF"/>
                          </a:solidFill>
                          <a:ln>
                            <a:noFill/>
                          </a:ln>
                          <a:effectLst/>
                        </wps:spPr>
                        <wps:txbx>
                          <w:txbxContent>
                            <w:p w14:paraId="778486A3">
                              <w:pPr>
                                <w:jc w:val="center"/>
                              </w:pPr>
                              <w:r>
                                <w:rPr>
                                  <w:rFonts w:hint="eastAsia"/>
                                </w:rPr>
                                <w:t>G4</w:t>
                              </w:r>
                            </w:p>
                          </w:txbxContent>
                        </wps:txbx>
                        <wps:bodyPr upright="1"/>
                      </wps:wsp>
                    </wpg:wgp>
                  </a:graphicData>
                </a:graphic>
              </wp:anchor>
            </w:drawing>
          </mc:Choice>
          <mc:Fallback>
            <w:pict>
              <v:group id="_x0000_s1026" o:spid="_x0000_s1026" o:spt="203" style="position:absolute;left:0pt;margin-left:66.15pt;margin-top:15.3pt;height:531.15pt;width:333.8pt;mso-wrap-distance-bottom:0pt;mso-wrap-distance-left:9pt;mso-wrap-distance-right:9pt;mso-wrap-distance-top:0pt;z-index:251660288;mso-width-relative:page;mso-height-relative:page;" coordorigin="1967,1147" coordsize="7154,13470" o:gfxdata="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">
                <o:lock v:ext="edit" aspectratio="f"/>
                <v:rect id="矩形 28" o:spid="_x0000_s1026" o:spt="1" style="position:absolute;left:2027;top:1217;height:2604;width:1738;" fillcolor="#FFFFFF" filled="t" stroked="f" coordsize="21600,21600" o:gfxdata="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eDOKr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2A26FF63">
                        <w:r>
                          <w:rPr>
                            <w:rFonts w:hint="eastAsia"/>
                          </w:rPr>
                          <w:t>邻硝基氯化苯</w:t>
                        </w:r>
                      </w:p>
                      <w:p w14:paraId="760ABD84">
                        <w:r>
                          <w:rPr>
                            <w:rFonts w:hint="eastAsia"/>
                          </w:rPr>
                          <w:t>甲苯</w:t>
                        </w:r>
                      </w:p>
                      <w:p w14:paraId="7B26F9B6">
                        <w:r>
                          <w:rPr>
                            <w:rFonts w:hint="eastAsia"/>
                          </w:rPr>
                          <w:t>氢氧化钠（31%）</w:t>
                        </w:r>
                      </w:p>
                      <w:p w14:paraId="1D9582C0">
                        <w:r>
                          <w:rPr>
                            <w:rFonts w:hint="eastAsia"/>
                          </w:rPr>
                          <w:t>软水</w:t>
                        </w:r>
                      </w:p>
                      <w:p w14:paraId="0262F2A3">
                        <w:r>
                          <w:t>Pt/C</w:t>
                        </w:r>
                      </w:p>
                      <w:p w14:paraId="34EE409D">
                        <w:r>
                          <w:t>SDBS</w:t>
                        </w:r>
                      </w:p>
                      <w:p w14:paraId="6DACD7EB">
                        <w:r>
                          <w:t>DCNQ</w:t>
                        </w:r>
                      </w:p>
                      <w:p w14:paraId="27EC3A3E">
                        <w:r>
                          <w:t>H</w:t>
                        </w:r>
                        <w:r>
                          <w:rPr>
                            <w:szCs w:val="21"/>
                            <w:vertAlign w:val="subscript"/>
                          </w:rPr>
                          <w:t>2</w:t>
                        </w:r>
                      </w:p>
                    </w:txbxContent>
                  </v:textbox>
                </v:rect>
                <v:line id="直接连接符 32" o:spid="_x0000_s1026" o:spt="20" style="position:absolute;left:3767;top:2241;height:0;width:720;" filled="f" stroked="t" coordsize="21600,2160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矩形 34" o:spid="_x0000_s1026" o:spt="1" style="position:absolute;left:4487;top:2003;height:468;width:1260;"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73C0410">
                        <w:pPr>
                          <w:jc w:val="center"/>
                        </w:pPr>
                        <w:r>
                          <w:rPr>
                            <w:rFonts w:hint="eastAsia"/>
                          </w:rPr>
                          <w:t>还</w:t>
                        </w:r>
                        <w:r>
                          <w:t xml:space="preserve">  </w:t>
                        </w:r>
                        <w:r>
                          <w:rPr>
                            <w:rFonts w:hint="eastAsia"/>
                          </w:rPr>
                          <w:t>原</w:t>
                        </w:r>
                      </w:p>
                    </w:txbxContent>
                  </v:textbox>
                </v:rect>
                <v:line id="直接连接符 35" o:spid="_x0000_s1026" o:spt="20" style="position:absolute;left:5144;top:2471;height:312;width:1;" filled="f" stroked="t" coordsize="21600,21600"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矩形 41" o:spid="_x0000_s1026" o:spt="1" style="position:absolute;left:4487;top:2783;height:468;width:1260;"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DDA9BA2">
                        <w:pPr>
                          <w:jc w:val="center"/>
                        </w:pPr>
                        <w:r>
                          <w:rPr>
                            <w:rFonts w:hint="eastAsia"/>
                          </w:rPr>
                          <w:t>过</w:t>
                        </w:r>
                        <w:r>
                          <w:t xml:space="preserve">  </w:t>
                        </w:r>
                        <w:r>
                          <w:rPr>
                            <w:rFonts w:hint="eastAsia"/>
                          </w:rPr>
                          <w:t>滤</w:t>
                        </w:r>
                      </w:p>
                    </w:txbxContent>
                  </v:textbox>
                </v:rect>
                <v:line id="直接连接符 42" o:spid="_x0000_s1026" o:spt="20" style="position:absolute;left:5130;top:3242;flip:x;height:1188;width:2;" filled="f" stroked="t" coordsize="21600,21600" o:gfxdata="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Ic+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rect id="矩形 50" o:spid="_x0000_s1026" o:spt="1" style="position:absolute;left:4487;top:4447;height:468;width:1260;" fillcolor="#FFFFFF" filled="t" stroked="t" coordsize="21600,21600" o:gfxdata="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8NQs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AB2B463">
                        <w:pPr>
                          <w:jc w:val="center"/>
                        </w:pPr>
                        <w:r>
                          <w:rPr>
                            <w:rFonts w:hint="eastAsia"/>
                          </w:rPr>
                          <w:t>转</w:t>
                        </w:r>
                        <w:r>
                          <w:t xml:space="preserve">  </w:t>
                        </w:r>
                        <w:r>
                          <w:rPr>
                            <w:rFonts w:hint="eastAsia"/>
                          </w:rPr>
                          <w:t>位</w:t>
                        </w:r>
                      </w:p>
                    </w:txbxContent>
                  </v:textbox>
                </v:rect>
                <v:line id="直接连接符 51" o:spid="_x0000_s1026" o:spt="20" style="position:absolute;left:5747;top:3018;height:0;width:720;" filled="f" stroked="t" coordsize="21600,21600" o:gfxdata="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mTj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56" o:spid="_x0000_s1026" o:spt="1" style="position:absolute;left:6467;top:2783;height:468;width:927;" fillcolor="#FFFFFF" filled="t" stroked="f" coordsize="21600,21600" o:gfxdata="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yk5eL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0B0B620C">
                        <w:pPr>
                          <w:jc w:val="center"/>
                          <w:rPr>
                            <w:sz w:val="20"/>
                            <w:szCs w:val="21"/>
                          </w:rPr>
                        </w:pPr>
                        <w:r>
                          <w:rPr>
                            <w:rFonts w:hint="eastAsia"/>
                            <w:sz w:val="20"/>
                            <w:szCs w:val="21"/>
                          </w:rPr>
                          <w:t>S1</w:t>
                        </w:r>
                      </w:p>
                    </w:txbxContent>
                  </v:textbox>
                </v:rect>
                <v:line id="直接连接符 58" o:spid="_x0000_s1026" o:spt="20" style="position:absolute;left:5747;top:4667;height:1;width:720;" filled="f" stroked="t" coordsize="21600,21600" o:gfxdata="UEsDBAoAAAAAAIdO4kAAAAAAAAAAAAAAAAAEAAAAZHJzL1BLAwQUAAAACACHTuJAVxeoYb8AAADb&#10;AAAADwAAAGRycy9kb3ducmV2LnhtbEWPT2vCQBTE7wW/w/IEb3UTh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cXqG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64" o:spid="_x0000_s1026" o:spt="1" style="position:absolute;left:6493;top:4430;height:468;width:1008;" fillcolor="#FFFFFF" filled="t" stroked="f" coordsize="21600,21600" o:gfxdata="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MBJe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6FCD4792">
                        <w:pPr>
                          <w:jc w:val="center"/>
                          <w:rPr>
                            <w:sz w:val="20"/>
                            <w:szCs w:val="21"/>
                          </w:rPr>
                        </w:pPr>
                        <w:r>
                          <w:rPr>
                            <w:rFonts w:hint="eastAsia"/>
                            <w:sz w:val="20"/>
                            <w:szCs w:val="21"/>
                          </w:rPr>
                          <w:t>W1</w:t>
                        </w:r>
                      </w:p>
                    </w:txbxContent>
                  </v:textbox>
                </v:rect>
                <v:line id="直接连接符 65" o:spid="_x0000_s1026" o:spt="20" style="position:absolute;left:3767;top:4668;height:0;width:720;" filled="f" stroked="t" coordsize="21600,21600" o:gfxdata="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ylY6/&#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66" o:spid="_x0000_s1026" o:spt="1" style="position:absolute;left:2400;top:4291;height:780;width:1367;" fillcolor="#FFFFFF" filled="t" stroked="f" coordsize="21600,21600" o:gfxdata="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Ej97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57D02D0D">
                        <w:pPr>
                          <w:rPr>
                            <w:rFonts w:hint="eastAsia"/>
                            <w:sz w:val="20"/>
                            <w:szCs w:val="21"/>
                          </w:rPr>
                        </w:pPr>
                        <w:r>
                          <w:rPr>
                            <w:rFonts w:hint="eastAsia"/>
                            <w:sz w:val="20"/>
                            <w:szCs w:val="21"/>
                          </w:rPr>
                          <w:t>盐酸（</w:t>
                        </w:r>
                        <w:r>
                          <w:rPr>
                            <w:sz w:val="20"/>
                            <w:szCs w:val="21"/>
                          </w:rPr>
                          <w:t>23%</w:t>
                        </w:r>
                        <w:r>
                          <w:rPr>
                            <w:rFonts w:hint="eastAsia"/>
                            <w:sz w:val="20"/>
                            <w:szCs w:val="21"/>
                          </w:rPr>
                          <w:t>）</w:t>
                        </w:r>
                        <w:r>
                          <w:rPr>
                            <w:rFonts w:hint="eastAsia"/>
                            <w:sz w:val="20"/>
                            <w:szCs w:val="21"/>
                            <w:lang w:eastAsia="zh-CN"/>
                          </w:rPr>
                          <w:t>乳化剂</w:t>
                        </w:r>
                      </w:p>
                      <w:p w14:paraId="4DA23630">
                        <w:pPr>
                          <w:rPr>
                            <w:rFonts w:hint="eastAsia"/>
                          </w:rPr>
                        </w:pPr>
                      </w:p>
                      <w:p w14:paraId="546FE90A">
                        <w:r>
                          <w:rPr>
                            <w:rFonts w:hint="eastAsia"/>
                          </w:rPr>
                          <w:t>乳化剂</w:t>
                        </w:r>
                      </w:p>
                    </w:txbxContent>
                  </v:textbox>
                </v:rect>
                <v:line id="直接连接符 67" o:spid="_x0000_s1026" o:spt="20" style="position:absolute;left:5132;top:4915;height:923;width:13;" filled="f" stroked="t" coordsize="21600,21600" o:gfxdata="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srm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68" o:spid="_x0000_s1026" o:spt="1" style="position:absolute;left:4447;top:5838;height:468;width:1473;" fillcolor="#FFFFFF" filled="t" stroked="t" coordsize="21600,21600" o:gfxdata="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fb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8B976EE">
                        <w:pPr>
                          <w:jc w:val="center"/>
                        </w:pPr>
                        <w:r>
                          <w:rPr>
                            <w:rFonts w:hint="eastAsia"/>
                          </w:rPr>
                          <w:t>甲苯蒸馏</w:t>
                        </w:r>
                      </w:p>
                    </w:txbxContent>
                  </v:textbox>
                </v:rect>
                <v:line id="直接连接符 69" o:spid="_x0000_s1026" o:spt="20" style="position:absolute;left:3727;top:6072;height:0;width:720;" filled="f" stroked="t" coordsize="21600,21600" o:gfxdata="UEsDBAoAAAAAAIdO4kAAAAAAAAAAAAAAAAAEAAAAZHJzL1BLAwQUAAAACACHTuJATVAFUL4AAADb&#10;AAAADwAAAGRycy9kb3ducmV2LnhtbEWPQWvCQBSE7wX/w/IEb3UTh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FU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70" o:spid="_x0000_s1026" o:spt="1" style="position:absolute;left:2718;top:5838;height:468;width:1009;" fillcolor="#FFFFFF" filled="t" stroked="f" coordsize="21600,21600" o:gfxdata="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8Cj6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30FBCC3D">
                        <w:r>
                          <w:rPr>
                            <w:rFonts w:hint="eastAsia"/>
                          </w:rPr>
                          <w:t>新鲜水</w:t>
                        </w:r>
                        <w:r>
                          <w:t xml:space="preserve"> </w:t>
                        </w:r>
                      </w:p>
                    </w:txbxContent>
                  </v:textbox>
                </v:rect>
                <v:line id="直接连接符 71" o:spid="_x0000_s1026" o:spt="20" style="position:absolute;left:5144;top:6306;height:871;width:1;" filled="f" stroked="t" coordsize="21600,21600" o:gfxdata="UEsDBAoAAAAAAIdO4kAAAAAAAAAAAAAAAAAEAAAAZHJzL1BLAwQUAAAACACHTuJAwrmdJL8AAADb&#10;AAAADwAAAGRycy9kb3ducmV2LnhtbEWPT2vCQBTE74LfYXmCN92kBQ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5nS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74" o:spid="_x0000_s1026" o:spt="1" style="position:absolute;left:4487;top:7177;height:468;width:1260;"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5261330">
                        <w:pPr>
                          <w:jc w:val="center"/>
                        </w:pPr>
                        <w:r>
                          <w:rPr>
                            <w:rFonts w:hint="eastAsia"/>
                          </w:rPr>
                          <w:t>脱</w:t>
                        </w:r>
                        <w:r>
                          <w:t xml:space="preserve">  </w:t>
                        </w:r>
                        <w:r>
                          <w:rPr>
                            <w:rFonts w:hint="eastAsia"/>
                          </w:rPr>
                          <w:t>色</w:t>
                        </w:r>
                      </w:p>
                    </w:txbxContent>
                  </v:textbox>
                </v:rect>
                <v:line id="直接连接符 76" o:spid="_x0000_s1026" o:spt="20" style="position:absolute;left:3767;top:7489;height:0;width:72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77" o:spid="_x0000_s1026" o:spt="1" style="position:absolute;left:2718;top:7235;height:468;width:1009;" fillcolor="#FFFFFF" filled="t" stroked="f" coordsize="21600,21600" o:gfxdata="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UPdS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7953E4FE">
                        <w:r>
                          <w:rPr>
                            <w:rFonts w:hint="eastAsia"/>
                          </w:rPr>
                          <w:t>活性炭</w:t>
                        </w:r>
                      </w:p>
                    </w:txbxContent>
                  </v:textbox>
                </v:rect>
                <v:line id="直接连接符 78" o:spid="_x0000_s1026" o:spt="20" style="position:absolute;left:5747;top:7400;height:0;width:720;" filled="f" stroked="t" coordsize="21600,21600" o:gfxdata="UEsDBAoAAAAAAIdO4kAAAAAAAAAAAAAAAAAEAAAAZHJzL1BLAwQUAAAACACHTuJAehrTtrsAAADb&#10;AAAADwAAAGRycy9kb3ducmV2LnhtbEVPy4rCMBTdC/MP4Q6407Qi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rTt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79" o:spid="_x0000_s1026" o:spt="1" style="position:absolute;left:6493;top:7177;height:468;width:945;" fillcolor="#FFFFFF" filled="t" stroked="f" coordsize="21600,21600" o:gfxdata="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bp5Q7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39DBB79">
                        <w:pPr>
                          <w:ind w:firstLine="200" w:firstLineChars="100"/>
                          <w:rPr>
                            <w:sz w:val="20"/>
                            <w:szCs w:val="21"/>
                          </w:rPr>
                        </w:pPr>
                        <w:r>
                          <w:rPr>
                            <w:rFonts w:hint="eastAsia"/>
                            <w:sz w:val="20"/>
                            <w:szCs w:val="21"/>
                          </w:rPr>
                          <w:t>S3</w:t>
                        </w:r>
                      </w:p>
                    </w:txbxContent>
                  </v:textbox>
                </v:rect>
                <v:line id="直接连接符 80" o:spid="_x0000_s1026" o:spt="20" style="position:absolute;left:5130;top:7645;flip:x;height:1313;width:0;" filled="f" stroked="t" coordsize="21600,21600" o:gfxdata="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za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81" o:spid="_x0000_s1026" o:spt="1" style="position:absolute;left:4487;top:8971;height:468;width:1260;" fillcolor="#FFFFFF" filled="t" stroked="t" coordsize="21600,21600" o:gfxdata="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WJIU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7DDB382">
                        <w:pPr>
                          <w:jc w:val="center"/>
                        </w:pPr>
                        <w:r>
                          <w:rPr>
                            <w:rFonts w:hint="eastAsia"/>
                          </w:rPr>
                          <w:t>析出结晶</w:t>
                        </w:r>
                      </w:p>
                    </w:txbxContent>
                  </v:textbox>
                </v:rect>
                <v:line id="直接连接符 82" o:spid="_x0000_s1026" o:spt="20" style="position:absolute;left:3767;top:9283;height:0;width:720;" filled="f" stroked="t" coordsize="21600,21600" o:gfxdata="UEsDBAoAAAAAAIdO4kAAAAAAAAAAAAAAAAAEAAAAZHJzL1BLAwQUAAAACACHTuJAmr/uWb8AAADb&#10;AAAADwAAAGRycy9kb3ducmV2LnhtbEWPT2vCQBTE74LfYXmCN92kFA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7l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83" o:spid="_x0000_s1026" o:spt="1" style="position:absolute;left:2441;top:8874;height:780;width:1286;" fillcolor="#FFFFFF" filled="t" stroked="f" coordsize="21600,21600" o:gfxdata="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gX9A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22B7FBAB">
                        <w:r>
                          <w:rPr>
                            <w:rFonts w:hint="eastAsia"/>
                          </w:rPr>
                          <w:t>盐水</w:t>
                        </w:r>
                      </w:p>
                      <w:p w14:paraId="7AC15C01">
                        <w:r>
                          <w:rPr>
                            <w:rFonts w:hint="eastAsia"/>
                          </w:rPr>
                          <w:t>盐酸（</w:t>
                        </w:r>
                        <w:r>
                          <w:t>32%</w:t>
                        </w:r>
                        <w:r>
                          <w:rPr>
                            <w:rFonts w:hint="eastAsia"/>
                          </w:rPr>
                          <w:t>）</w:t>
                        </w:r>
                      </w:p>
                    </w:txbxContent>
                  </v:textbox>
                </v:rect>
                <v:line id="直接连接符 84" o:spid="_x0000_s1026" o:spt="20" style="position:absolute;left:5128;top:9423;flip:x;height:1258;width:2;" filled="f" stroked="t" coordsize="21600,21600" o:gfxdata="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5b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85" o:spid="_x0000_s1026" o:spt="1" style="position:absolute;left:4513;top:10681;height:468;width:1260;" fillcolor="#FFFFFF" filled="t" stroked="t" coordsize="21600,21600" o:gfxdata="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xWYE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9CD82AD">
                        <w:pPr>
                          <w:jc w:val="center"/>
                        </w:pPr>
                        <w:r>
                          <w:rPr>
                            <w:rFonts w:hint="eastAsia"/>
                          </w:rPr>
                          <w:t>脱  水</w:t>
                        </w:r>
                      </w:p>
                    </w:txbxContent>
                  </v:textbox>
                </v:rect>
                <v:line id="直接连接符 86" o:spid="_x0000_s1026" o:spt="20" style="position:absolute;left:5773;top:10890;height:0;width:720;" filled="f" stroked="t" coordsize="21600,21600" o:gfxdata="UEsDBAoAAAAAAIdO4kAAAAAAAAAAAAAAAAAEAAAAZHJzL1BLAwQUAAAACACHTuJAYF1+h78AAADb&#10;AAAADwAAAGRycy9kb3ducmV2LnhtbEWPT2vCQBTE7wW/w/IEb3UTw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dfo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87" o:spid="_x0000_s1026" o:spt="1" style="position:absolute;left:6493;top:10643;height:468;width:1440;" fillcolor="#FFFFFF" filled="t" stroked="t" coordsize="21600,21600" o:gfxdata="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kOS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1E47B59">
                        <w:pPr>
                          <w:jc w:val="center"/>
                        </w:pPr>
                        <w:r>
                          <w:rPr>
                            <w:rFonts w:hint="eastAsia"/>
                          </w:rPr>
                          <w:t>成品</w:t>
                        </w:r>
                        <w:r>
                          <w:t>DCB</w:t>
                        </w:r>
                      </w:p>
                    </w:txbxContent>
                  </v:textbox>
                </v:rect>
                <v:line id="直接连接符 88" o:spid="_x0000_s1026" o:spt="20" style="position:absolute;left:5144;top:11163;height:923;width:1;" filled="f" stroked="t" coordsize="21600,21600" o:gfxdata="UEsDBAoAAAAAAIdO4kAAAAAAAAAAAAAAAAAEAAAAZHJzL1BLAwQUAAAACACHTuJAgPhDaL8AAADb&#10;AAAADwAAAGRycy9kb3ducmV2LnhtbEWPT2vCQBTE7wW/w/KE3uom0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4Q2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89" o:spid="_x0000_s1026" o:spt="1" style="position:absolute;left:4487;top:12099;height:468;width:1260;" fillcolor="#FFFFFF" filled="t" stroked="t" coordsize="21600,21600" o:gfxdata="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EEy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AAA3584">
                        <w:pPr>
                          <w:jc w:val="center"/>
                        </w:pPr>
                        <w:r>
                          <w:rPr>
                            <w:rFonts w:hint="eastAsia"/>
                          </w:rPr>
                          <w:t>中</w:t>
                        </w:r>
                        <w:r>
                          <w:t xml:space="preserve">  </w:t>
                        </w:r>
                        <w:r>
                          <w:rPr>
                            <w:rFonts w:hint="eastAsia"/>
                          </w:rPr>
                          <w:t>和</w:t>
                        </w:r>
                      </w:p>
                    </w:txbxContent>
                  </v:textbox>
                </v:rect>
                <v:line id="直接连接符 90" o:spid="_x0000_s1026" o:spt="20" style="position:absolute;left:5128;top:12554;height:1458;width:0;" filled="f" stroked="t" coordsize="21600,21600" o:gfxdata="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jG0O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91" o:spid="_x0000_s1026" o:spt="20" style="position:absolute;left:3767;top:12300;height:0;width:720;" filled="f" stroked="t" coordsize="21600,21600" o:gfxdata="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9EaG/&#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92" o:spid="_x0000_s1026" o:spt="1" style="position:absolute;left:1967;top:12086;height:468;width:1760;" fillcolor="#FFFFFF" filled="t" stroked="f" coordsize="21600,21600" o:gfxdata="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Cx/8r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21977C61">
                        <w:pPr>
                          <w:rPr>
                            <w:sz w:val="20"/>
                            <w:szCs w:val="21"/>
                          </w:rPr>
                        </w:pPr>
                        <w:r>
                          <w:rPr>
                            <w:rFonts w:hint="eastAsia"/>
                            <w:sz w:val="20"/>
                            <w:szCs w:val="21"/>
                          </w:rPr>
                          <w:t>氢氧化钠（</w:t>
                        </w:r>
                        <w:r>
                          <w:rPr>
                            <w:sz w:val="20"/>
                            <w:szCs w:val="21"/>
                          </w:rPr>
                          <w:t>50%</w:t>
                        </w:r>
                        <w:r>
                          <w:rPr>
                            <w:rFonts w:hint="eastAsia"/>
                            <w:sz w:val="20"/>
                            <w:szCs w:val="21"/>
                          </w:rPr>
                          <w:t>）</w:t>
                        </w:r>
                      </w:p>
                    </w:txbxContent>
                  </v:textbox>
                </v:rect>
                <v:rect id="矩形 93" o:spid="_x0000_s1026" o:spt="1" style="position:absolute;left:4578;top:14149;height:468;width:1080;" fillcolor="#FFFFFF" filled="t" stroked="f" coordsize="21600,21600" o:gfxdata="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2Daab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14435BAF">
                        <w:pPr>
                          <w:ind w:firstLine="100" w:firstLineChars="50"/>
                          <w:jc w:val="center"/>
                          <w:rPr>
                            <w:sz w:val="20"/>
                            <w:szCs w:val="21"/>
                          </w:rPr>
                        </w:pPr>
                        <w:r>
                          <w:rPr>
                            <w:rFonts w:hint="eastAsia"/>
                            <w:sz w:val="20"/>
                            <w:szCs w:val="21"/>
                          </w:rPr>
                          <w:t>W2</w:t>
                        </w:r>
                      </w:p>
                    </w:txbxContent>
                  </v:textbox>
                </v:rect>
                <v:line id="直接连接符 94" o:spid="_x0000_s1026" o:spt="20" style="position:absolute;left:5746;top:12300;flip:y;height:13;width:721;" filled="f" stroked="t" coordsize="21600,21600" o:gfxdata="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yqG6C/&#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95" o:spid="_x0000_s1026" o:spt="1" style="position:absolute;left:6493;top:12086;height:468;width:1440;" fillcolor="#FFFFFF" filled="t" stroked="t" coordsize="21600,21600" o:gfxdata="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UNCK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1528591">
                        <w:pPr>
                          <w:jc w:val="center"/>
                        </w:pPr>
                        <w:r>
                          <w:rPr>
                            <w:rFonts w:hint="eastAsia"/>
                          </w:rPr>
                          <w:t>二级品回收</w:t>
                        </w:r>
                      </w:p>
                    </w:txbxContent>
                  </v:textbox>
                </v:rect>
                <v:line id="直接连接符 96" o:spid="_x0000_s1026" o:spt="20" style="position:absolute;left:6035;top:6072;height:0;width:720;" filled="f" stroked="t" coordsize="21600,21600" o:gfxdata="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ruN&#10;y8EAAADc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rect id="矩形 97" o:spid="_x0000_s1026" o:spt="1" style="position:absolute;left:6825;top:5825;height:468;width:650;" fillcolor="#FFFFFF" filled="t" stroked="f" coordsize="21600,21600" o:gfxdata="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ccVu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76EFE5C0">
                        <w:pPr>
                          <w:rPr>
                            <w:sz w:val="20"/>
                            <w:szCs w:val="21"/>
                          </w:rPr>
                        </w:pPr>
                        <w:r>
                          <w:rPr>
                            <w:rFonts w:hint="eastAsia"/>
                            <w:sz w:val="20"/>
                            <w:szCs w:val="21"/>
                          </w:rPr>
                          <w:t>S2</w:t>
                        </w:r>
                      </w:p>
                    </w:txbxContent>
                  </v:textbox>
                </v:rect>
                <v:rect id="矩形 98" o:spid="_x0000_s1026" o:spt="1" style="position:absolute;left:7501;top:13428;height:468;width:1620;" fillcolor="#FFFFFF" filled="t" stroked="f" coordsize="21600,21600" o:gfxdata="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s7vLL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61ADF04B">
                        <w:pPr>
                          <w:rPr>
                            <w:sz w:val="18"/>
                            <w:szCs w:val="18"/>
                          </w:rPr>
                        </w:pPr>
                        <w:r>
                          <w:rPr>
                            <w:rFonts w:hint="eastAsia"/>
                            <w:sz w:val="18"/>
                            <w:szCs w:val="18"/>
                          </w:rPr>
                          <w:t>S：固废</w:t>
                        </w:r>
                      </w:p>
                    </w:txbxContent>
                  </v:textbox>
                </v:rect>
                <v:rect id="矩形 99" o:spid="_x0000_s1026" o:spt="1" style="position:absolute;left:7501;top:13896;height:468;width:1620;" fillcolor="#FFFFFF" filled="t" stroked="f" coordsize="21600,21600" o:gfxdata="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CSre8AAAA&#10;3A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079AE271">
                        <w:pPr>
                          <w:rPr>
                            <w:sz w:val="18"/>
                            <w:szCs w:val="18"/>
                          </w:rPr>
                        </w:pPr>
                        <w:r>
                          <w:rPr>
                            <w:rFonts w:hint="eastAsia"/>
                            <w:sz w:val="18"/>
                            <w:szCs w:val="18"/>
                          </w:rPr>
                          <w:t>W：废水</w:t>
                        </w:r>
                      </w:p>
                    </w:txbxContent>
                  </v:textbox>
                </v:rect>
                <v:rect id="矩形 100" o:spid="_x0000_s1026" o:spt="1" style="position:absolute;left:7488;top:12960;height:468;width:1620;" fillcolor="#FFFFFF" filled="t" stroked="f" coordsize="21600,21600" o:gfxdata="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a9LDvQAA&#10;ANw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35AC744B">
                        <w:pPr>
                          <w:rPr>
                            <w:sz w:val="18"/>
                            <w:szCs w:val="18"/>
                          </w:rPr>
                        </w:pPr>
                        <w:r>
                          <w:rPr>
                            <w:rFonts w:hint="eastAsia"/>
                            <w:sz w:val="18"/>
                            <w:szCs w:val="18"/>
                          </w:rPr>
                          <w:t>G：废气</w:t>
                        </w:r>
                      </w:p>
                    </w:txbxContent>
                  </v:textbox>
                </v:rect>
                <v:line id="直接连接符 101" o:spid="_x0000_s1026" o:spt="20" style="position:absolute;left:5131;top:1615;flip:y;height:375;width:1;" filled="f" stroked="t" coordsize="21600,21600" o:gfxdata="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ciLj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102" o:spid="_x0000_s1026" o:spt="1" style="position:absolute;left:4609;top:1147;height:468;width:1008;" fillcolor="#FFFFFF" filled="t" stroked="f" coordsize="21600,21600" o:gfxdata="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fXpL7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6D3BDDB4">
                        <w:pPr>
                          <w:jc w:val="center"/>
                        </w:pPr>
                        <w:r>
                          <w:rPr>
                            <w:rFonts w:hint="eastAsia"/>
                            <w:sz w:val="20"/>
                            <w:szCs w:val="21"/>
                          </w:rPr>
                          <w:t>G1</w:t>
                        </w:r>
                      </w:p>
                    </w:txbxContent>
                  </v:textbox>
                </v:rect>
                <v:rect id="矩形 103" o:spid="_x0000_s1026" o:spt="1" style="position:absolute;left:5272;top:3440;height:468;width:763;" fillcolor="#FFFFFF" filled="t" stroked="f" coordsize="21600,21600" o:gfxdata="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lMtL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DEEE294">
                        <w:pPr>
                          <w:jc w:val="center"/>
                        </w:pPr>
                        <w:r>
                          <w:rPr>
                            <w:rFonts w:hint="eastAsia"/>
                            <w:sz w:val="20"/>
                            <w:szCs w:val="21"/>
                          </w:rPr>
                          <w:t>G2</w:t>
                        </w:r>
                      </w:p>
                    </w:txbxContent>
                  </v:textbox>
                </v:rect>
                <v:line id="直接连接符 104" o:spid="_x0000_s1026" o:spt="20" style="position:absolute;left:5593;top:3908;flip:y;height:522;width:2;" filled="f" stroked="t" coordsize="21600,21600" o:gfxdata="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zjX2/&#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105" o:spid="_x0000_s1026" o:spt="1" style="position:absolute;left:5658;top:4995;height:429;width:763;" fillcolor="#FFFFFF" filled="t" stroked="f" coordsize="21600,21600" o:gfxdata="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p9Xb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3D09931">
                        <w:pPr>
                          <w:jc w:val="center"/>
                          <w:rPr>
                            <w:sz w:val="20"/>
                            <w:szCs w:val="21"/>
                          </w:rPr>
                        </w:pPr>
                        <w:r>
                          <w:rPr>
                            <w:rFonts w:hint="eastAsia"/>
                            <w:sz w:val="20"/>
                            <w:szCs w:val="21"/>
                          </w:rPr>
                          <w:t>G3</w:t>
                        </w:r>
                      </w:p>
                    </w:txbxContent>
                  </v:textbox>
                </v:rect>
                <v:line id="直接连接符 106" o:spid="_x0000_s1026" o:spt="20" style="position:absolute;left:5523;top:6802;flip:y;height:375;width:1;" filled="f" stroked="t" coordsize="21600,21600" o:gfxdata="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Q8Vy/&#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07" o:spid="_x0000_s1026" o:spt="20" style="position:absolute;left:5549;top:8397;flip:y;height:564;width:1;" filled="f" stroked="t" coordsize="21600,21600" o:gfxdata="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nFTH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108" o:spid="_x0000_s1026" o:spt="1" style="position:absolute;left:5362;top:7854;height:429;width:763;" fillcolor="#FFFFFF" filled="t" stroked="f" coordsize="21600,21600" o:gfxdata="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xufC7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33BF96B">
                        <w:pPr>
                          <w:jc w:val="center"/>
                          <w:rPr>
                            <w:sz w:val="20"/>
                            <w:szCs w:val="21"/>
                          </w:rPr>
                        </w:pPr>
                        <w:r>
                          <w:rPr>
                            <w:rFonts w:hint="eastAsia"/>
                            <w:sz w:val="20"/>
                            <w:szCs w:val="21"/>
                          </w:rPr>
                          <w:t>G5</w:t>
                        </w:r>
                      </w:p>
                    </w:txbxContent>
                  </v:textbox>
                </v:rect>
                <v:rect id="矩形 109" o:spid="_x0000_s1026" o:spt="1" style="position:absolute;left:5196;top:9907;height:429;width:763;" fillcolor="#FFFFFF" filled="t" stroked="f" coordsize="21600,21600" o:gfxdata="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Fc6kL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EB2909F">
                        <w:pPr>
                          <w:jc w:val="center"/>
                          <w:rPr>
                            <w:sz w:val="20"/>
                            <w:szCs w:val="21"/>
                          </w:rPr>
                        </w:pPr>
                        <w:r>
                          <w:rPr>
                            <w:rFonts w:hint="eastAsia"/>
                            <w:sz w:val="20"/>
                            <w:szCs w:val="21"/>
                          </w:rPr>
                          <w:t>G6</w:t>
                        </w:r>
                      </w:p>
                    </w:txbxContent>
                  </v:textbox>
                </v:rect>
                <v:line id="直接连接符 110" o:spid="_x0000_s1026" o:spt="20" style="position:absolute;left:5536;top:10284;flip:y;height:375;width:1;" filled="f" stroked="t" coordsize="21600,21600" o:gfxdata="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6/df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111" o:spid="_x0000_s1026" o:spt="1" style="position:absolute;left:5272;top:11261;height:429;width:763;" fillcolor="#FFFFFF" filled="t" stroked="f" coordsize="21600,21600" o:gfxdata="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PIHf7sAAADc&#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63A92CB5">
                        <w:pPr>
                          <w:jc w:val="center"/>
                          <w:rPr>
                            <w:sz w:val="20"/>
                            <w:szCs w:val="21"/>
                          </w:rPr>
                        </w:pPr>
                        <w:r>
                          <w:rPr>
                            <w:rFonts w:hint="eastAsia"/>
                            <w:sz w:val="20"/>
                            <w:szCs w:val="21"/>
                          </w:rPr>
                          <w:t>G7</w:t>
                        </w:r>
                      </w:p>
                    </w:txbxContent>
                  </v:textbox>
                </v:rect>
                <v:line id="直接连接符 112" o:spid="_x0000_s1026" o:spt="20" style="position:absolute;left:5595;top:11698;flip:y;height:401;width:0;" filled="f" stroked="t" coordsize="21600,21600" o:gfxdata="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dcy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接连接符 113" o:spid="_x0000_s1026" o:spt="20" style="position:absolute;left:5746;top:5450;flip:y;height:375;width:1;" filled="f" stroked="t" coordsize="21600,21600" o:gfxdata="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OWko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114" o:spid="_x0000_s1026" o:spt="1" style="position:absolute;left:5196;top:6373;height:429;width:763;" fillcolor="#FFFFFF" filled="t" stroked="f" coordsize="21600,21600" o:gfxdata="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vOo4b4A&#10;AADc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778486A3">
                        <w:pPr>
                          <w:jc w:val="center"/>
                        </w:pPr>
                        <w:r>
                          <w:rPr>
                            <w:rFonts w:hint="eastAsia"/>
                          </w:rPr>
                          <w:t>G4</w:t>
                        </w:r>
                      </w:p>
                    </w:txbxContent>
                  </v:textbox>
                </v:rect>
                <w10:wrap type="square"/>
              </v:group>
            </w:pict>
          </mc:Fallback>
        </mc:AlternateContent>
      </w:r>
    </w:p>
    <w:p w14:paraId="108AD04D">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p>
    <w:p w14:paraId="1DFD949B">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p>
    <w:p w14:paraId="063925C8">
      <w:pPr>
        <w:pStyle w:val="126"/>
        <w:rPr>
          <w:rFonts w:hint="default" w:ascii="Times New Roman" w:hAnsi="Times New Roman" w:cs="Times New Roman"/>
          <w:b/>
          <w:bCs/>
          <w:color w:val="FF0000"/>
          <w:sz w:val="24"/>
          <w:highlight w:val="none"/>
        </w:rPr>
      </w:pPr>
    </w:p>
    <w:p w14:paraId="0FA1F8AE">
      <w:pPr>
        <w:pStyle w:val="126"/>
        <w:rPr>
          <w:rFonts w:hint="default" w:ascii="Times New Roman" w:hAnsi="Times New Roman" w:cs="Times New Roman"/>
          <w:b/>
          <w:bCs/>
          <w:color w:val="FF0000"/>
          <w:sz w:val="24"/>
          <w:highlight w:val="none"/>
        </w:rPr>
      </w:pPr>
    </w:p>
    <w:p w14:paraId="3D2B66F4">
      <w:pPr>
        <w:pStyle w:val="126"/>
        <w:rPr>
          <w:rFonts w:hint="default" w:ascii="Times New Roman" w:hAnsi="Times New Roman" w:cs="Times New Roman"/>
          <w:b/>
          <w:bCs/>
          <w:color w:val="FF0000"/>
          <w:sz w:val="24"/>
          <w:highlight w:val="none"/>
        </w:rPr>
      </w:pPr>
    </w:p>
    <w:p w14:paraId="52029729">
      <w:pPr>
        <w:pStyle w:val="126"/>
        <w:rPr>
          <w:rFonts w:hint="default" w:ascii="Times New Roman" w:hAnsi="Times New Roman" w:cs="Times New Roman"/>
          <w:b/>
          <w:bCs/>
          <w:color w:val="FF0000"/>
          <w:sz w:val="24"/>
          <w:highlight w:val="none"/>
        </w:rPr>
      </w:pPr>
    </w:p>
    <w:p w14:paraId="6A5C43CF">
      <w:pPr>
        <w:pStyle w:val="126"/>
        <w:rPr>
          <w:rFonts w:hint="default" w:ascii="Times New Roman" w:hAnsi="Times New Roman" w:cs="Times New Roman"/>
          <w:b/>
          <w:bCs/>
          <w:color w:val="FF0000"/>
          <w:sz w:val="24"/>
          <w:highlight w:val="none"/>
        </w:rPr>
      </w:pPr>
    </w:p>
    <w:p w14:paraId="582E601D">
      <w:pPr>
        <w:pStyle w:val="126"/>
        <w:rPr>
          <w:rFonts w:hint="default" w:ascii="Times New Roman" w:hAnsi="Times New Roman" w:cs="Times New Roman"/>
          <w:b/>
          <w:bCs/>
          <w:color w:val="FF0000"/>
          <w:sz w:val="24"/>
          <w:highlight w:val="none"/>
        </w:rPr>
      </w:pPr>
    </w:p>
    <w:p w14:paraId="4C1D3243">
      <w:pPr>
        <w:pStyle w:val="126"/>
        <w:rPr>
          <w:rFonts w:hint="default" w:ascii="Times New Roman" w:hAnsi="Times New Roman" w:cs="Times New Roman"/>
          <w:b/>
          <w:bCs/>
          <w:color w:val="FF0000"/>
          <w:sz w:val="24"/>
          <w:highlight w:val="none"/>
        </w:rPr>
      </w:pPr>
    </w:p>
    <w:p w14:paraId="536521B0">
      <w:pPr>
        <w:pStyle w:val="126"/>
        <w:rPr>
          <w:rFonts w:hint="default" w:ascii="Times New Roman" w:hAnsi="Times New Roman" w:cs="Times New Roman"/>
          <w:b/>
          <w:bCs/>
          <w:color w:val="FF0000"/>
          <w:sz w:val="24"/>
          <w:highlight w:val="none"/>
        </w:rPr>
      </w:pPr>
    </w:p>
    <w:p w14:paraId="1F551A92">
      <w:pPr>
        <w:pStyle w:val="126"/>
        <w:rPr>
          <w:rFonts w:hint="default" w:ascii="Times New Roman" w:hAnsi="Times New Roman" w:cs="Times New Roman"/>
          <w:b/>
          <w:bCs/>
          <w:color w:val="FF0000"/>
          <w:sz w:val="24"/>
          <w:highlight w:val="none"/>
        </w:rPr>
      </w:pPr>
    </w:p>
    <w:p w14:paraId="061A396D">
      <w:pPr>
        <w:pStyle w:val="126"/>
        <w:rPr>
          <w:rFonts w:hint="default" w:ascii="Times New Roman" w:hAnsi="Times New Roman" w:cs="Times New Roman"/>
          <w:b/>
          <w:bCs/>
          <w:color w:val="FF0000"/>
          <w:sz w:val="24"/>
          <w:highlight w:val="none"/>
        </w:rPr>
      </w:pPr>
    </w:p>
    <w:p w14:paraId="29CBDF7A">
      <w:pPr>
        <w:pStyle w:val="126"/>
        <w:rPr>
          <w:rFonts w:hint="default" w:ascii="Times New Roman" w:hAnsi="Times New Roman" w:cs="Times New Roman"/>
          <w:b/>
          <w:bCs/>
          <w:color w:val="FF0000"/>
          <w:sz w:val="24"/>
          <w:highlight w:val="none"/>
        </w:rPr>
      </w:pPr>
    </w:p>
    <w:p w14:paraId="3CEDC4B3">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p>
    <w:p w14:paraId="64390991">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p>
    <w:p w14:paraId="61D0DEC6">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p>
    <w:p w14:paraId="374AFFEB">
      <w:pPr>
        <w:adjustRightInd w:val="0"/>
        <w:snapToGrid w:val="0"/>
        <w:spacing w:line="360" w:lineRule="auto"/>
        <w:jc w:val="both"/>
        <w:rPr>
          <w:rFonts w:hint="default" w:ascii="Times New Roman" w:hAnsi="Times New Roman" w:cs="Times New Roman"/>
          <w:b/>
          <w:bCs/>
          <w:color w:val="FF0000"/>
          <w:sz w:val="24"/>
          <w:highlight w:val="none"/>
        </w:rPr>
      </w:pPr>
    </w:p>
    <w:p w14:paraId="30F332E8">
      <w:pPr>
        <w:adjustRightInd w:val="0"/>
        <w:snapToGrid w:val="0"/>
        <w:spacing w:line="360" w:lineRule="auto"/>
        <w:ind w:firstLine="482" w:firstLineChars="200"/>
        <w:jc w:val="center"/>
        <w:rPr>
          <w:rFonts w:hint="default" w:ascii="Times New Roman" w:hAnsi="Times New Roman" w:cs="Times New Roman"/>
          <w:b/>
          <w:bCs/>
          <w:color w:val="FF0000"/>
          <w:sz w:val="24"/>
          <w:highlight w:val="none"/>
        </w:rPr>
      </w:pPr>
    </w:p>
    <w:p w14:paraId="35FDE625">
      <w:pPr>
        <w:bidi w:val="0"/>
        <w:rPr>
          <w:rFonts w:hint="default" w:ascii="Times New Roman" w:hAnsi="Times New Roman" w:eastAsia="宋体" w:cs="Times New Roman"/>
          <w:kern w:val="2"/>
          <w:sz w:val="21"/>
          <w:szCs w:val="24"/>
          <w:lang w:val="en-US" w:eastAsia="zh-CN" w:bidi="ar-SA"/>
        </w:rPr>
      </w:pPr>
    </w:p>
    <w:p w14:paraId="25557D3D">
      <w:pPr>
        <w:bidi w:val="0"/>
        <w:rPr>
          <w:rFonts w:hint="default"/>
          <w:lang w:val="en-US" w:eastAsia="zh-CN"/>
        </w:rPr>
      </w:pPr>
    </w:p>
    <w:p w14:paraId="48B78CB6">
      <w:pPr>
        <w:bidi w:val="0"/>
        <w:rPr>
          <w:rFonts w:hint="default"/>
          <w:lang w:val="en-US" w:eastAsia="zh-CN"/>
        </w:rPr>
      </w:pPr>
    </w:p>
    <w:p w14:paraId="2288B833">
      <w:pPr>
        <w:bidi w:val="0"/>
        <w:rPr>
          <w:rFonts w:hint="default"/>
          <w:lang w:val="en-US" w:eastAsia="zh-CN"/>
        </w:rPr>
      </w:pPr>
    </w:p>
    <w:p w14:paraId="48143EA2">
      <w:pPr>
        <w:bidi w:val="0"/>
        <w:rPr>
          <w:rFonts w:hint="default"/>
          <w:lang w:val="en-US" w:eastAsia="zh-CN"/>
        </w:rPr>
      </w:pPr>
    </w:p>
    <w:p w14:paraId="2E067FE0">
      <w:pPr>
        <w:bidi w:val="0"/>
        <w:rPr>
          <w:rFonts w:hint="default"/>
          <w:lang w:val="en-US" w:eastAsia="zh-CN"/>
        </w:rPr>
      </w:pPr>
    </w:p>
    <w:p w14:paraId="3FBB0E5D">
      <w:pPr>
        <w:bidi w:val="0"/>
        <w:rPr>
          <w:rFonts w:hint="default"/>
          <w:lang w:val="en-US" w:eastAsia="zh-CN"/>
        </w:rPr>
      </w:pPr>
    </w:p>
    <w:p w14:paraId="1B77C574">
      <w:pPr>
        <w:bidi w:val="0"/>
        <w:rPr>
          <w:rFonts w:hint="default"/>
          <w:lang w:val="en-US" w:eastAsia="zh-CN"/>
        </w:rPr>
      </w:pPr>
    </w:p>
    <w:p w14:paraId="3488F2EA">
      <w:pPr>
        <w:bidi w:val="0"/>
        <w:rPr>
          <w:rFonts w:hint="default"/>
          <w:lang w:val="en-US" w:eastAsia="zh-CN"/>
        </w:rPr>
      </w:pPr>
    </w:p>
    <w:p w14:paraId="7A59FF3E">
      <w:pPr>
        <w:bidi w:val="0"/>
        <w:rPr>
          <w:rFonts w:hint="default"/>
          <w:lang w:val="en-US" w:eastAsia="zh-CN"/>
        </w:rPr>
      </w:pPr>
    </w:p>
    <w:p w14:paraId="04A583B3">
      <w:pPr>
        <w:bidi w:val="0"/>
        <w:rPr>
          <w:rFonts w:hint="default"/>
          <w:lang w:val="en-US" w:eastAsia="zh-CN"/>
        </w:rPr>
      </w:pPr>
    </w:p>
    <w:p w14:paraId="498AAEE0">
      <w:pPr>
        <w:pStyle w:val="112"/>
        <w:keepNext w:val="0"/>
        <w:keepLines w:val="0"/>
        <w:pageBreakBefore w:val="0"/>
        <w:widowControl w:val="0"/>
        <w:numPr>
          <w:ilvl w:val="0"/>
          <w:numId w:val="0"/>
        </w:numPr>
        <w:kinsoku/>
        <w:wordWrap/>
        <w:overflowPunct/>
        <w:topLinePunct w:val="0"/>
        <w:autoSpaceDE/>
        <w:autoSpaceDN/>
        <w:bidi w:val="0"/>
        <w:adjustRightInd w:val="0"/>
        <w:snapToGrid w:val="0"/>
        <w:ind w:leftChars="0"/>
        <w:textAlignment w:val="auto"/>
        <w:outlineLvl w:val="2"/>
        <w:rPr>
          <w:rFonts w:hint="eastAsia"/>
          <w:b/>
          <w:bCs/>
          <w:color w:val="000000" w:themeColor="text1"/>
          <w14:textFill>
            <w14:solidFill>
              <w14:schemeClr w14:val="tx1"/>
            </w14:solidFill>
          </w14:textFill>
        </w:rPr>
      </w:pPr>
      <w:r>
        <w:rPr>
          <w:rFonts w:hint="eastAsia"/>
          <w:b/>
          <w:bCs/>
          <w:color w:val="000000" w:themeColor="text1"/>
          <w:lang w:eastAsia="zh-CN"/>
          <w14:textFill>
            <w14:solidFill>
              <w14:schemeClr w14:val="tx1"/>
            </w14:solidFill>
          </w14:textFill>
        </w:rPr>
        <w:t>二、</w:t>
      </w:r>
      <w:r>
        <w:rPr>
          <w:rFonts w:hint="eastAsia"/>
          <w:b/>
          <w:bCs/>
          <w:color w:val="000000" w:themeColor="text1"/>
          <w14:textFill>
            <w14:solidFill>
              <w14:schemeClr w14:val="tx1"/>
            </w14:solidFill>
          </w14:textFill>
        </w:rPr>
        <w:t>原辅材料</w:t>
      </w:r>
    </w:p>
    <w:p w14:paraId="6E8E2FDE">
      <w:pPr>
        <w:pStyle w:val="128"/>
        <w:spacing w:before="72" w:after="48"/>
      </w:pPr>
      <w:r>
        <w:t xml:space="preserve">表 </w:t>
      </w:r>
      <w:r>
        <w:fldChar w:fldCharType="begin"/>
      </w:r>
      <w:r>
        <w:instrText xml:space="preserve"> STYLEREF 2 \s </w:instrText>
      </w:r>
      <w:r>
        <w:fldChar w:fldCharType="separate"/>
      </w:r>
      <w:r>
        <w:t>3.4</w:t>
      </w:r>
      <w:r>
        <w:fldChar w:fldCharType="end"/>
      </w:r>
      <w:r>
        <w:noBreakHyphen/>
      </w:r>
      <w:r>
        <w:fldChar w:fldCharType="begin"/>
      </w:r>
      <w:r>
        <w:instrText xml:space="preserve"> SEQ 表格 \* ARABIC \s 2 </w:instrText>
      </w:r>
      <w:r>
        <w:fldChar w:fldCharType="separate"/>
      </w:r>
      <w:r>
        <w:t>1</w:t>
      </w:r>
      <w:r>
        <w:fldChar w:fldCharType="end"/>
      </w:r>
      <w:r>
        <w:rPr>
          <w:rFonts w:hint="eastAsia"/>
        </w:rPr>
        <w:t>原辅材料情况一览表</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88"/>
        <w:gridCol w:w="1965"/>
        <w:gridCol w:w="1019"/>
        <w:gridCol w:w="955"/>
        <w:gridCol w:w="1154"/>
        <w:gridCol w:w="757"/>
        <w:gridCol w:w="1015"/>
        <w:gridCol w:w="2269"/>
      </w:tblGrid>
      <w:tr w14:paraId="4D27EF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1" w:hRule="atLeast"/>
          <w:jc w:val="center"/>
        </w:trPr>
        <w:tc>
          <w:tcPr>
            <w:tcW w:w="254" w:type="pct"/>
            <w:noWrap w:val="0"/>
            <w:vAlign w:val="center"/>
          </w:tcPr>
          <w:p w14:paraId="6EEDAB7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020" w:type="pct"/>
            <w:noWrap w:val="0"/>
            <w:vAlign w:val="center"/>
          </w:tcPr>
          <w:p w14:paraId="2B6914D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物料名称</w:t>
            </w:r>
          </w:p>
        </w:tc>
        <w:tc>
          <w:tcPr>
            <w:tcW w:w="529" w:type="pct"/>
            <w:noWrap w:val="0"/>
            <w:vAlign w:val="center"/>
          </w:tcPr>
          <w:p w14:paraId="5957BFC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物料规格</w:t>
            </w:r>
          </w:p>
        </w:tc>
        <w:tc>
          <w:tcPr>
            <w:tcW w:w="496" w:type="pct"/>
            <w:noWrap w:val="0"/>
            <w:vAlign w:val="center"/>
          </w:tcPr>
          <w:p w14:paraId="260D4CA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消耗量</w:t>
            </w:r>
          </w:p>
          <w:p w14:paraId="410FD9C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（t/a）</w:t>
            </w:r>
          </w:p>
        </w:tc>
        <w:tc>
          <w:tcPr>
            <w:tcW w:w="599" w:type="pct"/>
            <w:noWrap w:val="0"/>
            <w:vAlign w:val="center"/>
          </w:tcPr>
          <w:p w14:paraId="435459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eastAsia="zh-CN"/>
              </w:rPr>
              <w:t>厂内最大储存量</w:t>
            </w:r>
            <w:r>
              <w:rPr>
                <w:rFonts w:hint="default" w:ascii="Times New Roman" w:hAnsi="Times New Roman" w:cs="Times New Roman"/>
                <w:color w:val="auto"/>
                <w:szCs w:val="21"/>
                <w:highlight w:val="none"/>
                <w:lang w:val="en-US" w:eastAsia="zh-CN"/>
              </w:rPr>
              <w:t>t</w:t>
            </w:r>
          </w:p>
        </w:tc>
        <w:tc>
          <w:tcPr>
            <w:tcW w:w="393" w:type="pct"/>
            <w:noWrap w:val="0"/>
            <w:vAlign w:val="center"/>
          </w:tcPr>
          <w:p w14:paraId="38FDD55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包装形式</w:t>
            </w:r>
          </w:p>
        </w:tc>
        <w:tc>
          <w:tcPr>
            <w:tcW w:w="527" w:type="pct"/>
            <w:noWrap w:val="0"/>
            <w:vAlign w:val="center"/>
          </w:tcPr>
          <w:p w14:paraId="58742DF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来源</w:t>
            </w:r>
          </w:p>
        </w:tc>
        <w:tc>
          <w:tcPr>
            <w:tcW w:w="1178" w:type="pct"/>
            <w:noWrap w:val="0"/>
            <w:vAlign w:val="center"/>
          </w:tcPr>
          <w:p w14:paraId="0D49DC6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3958CB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14EB050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020" w:type="pct"/>
            <w:noWrap w:val="0"/>
            <w:vAlign w:val="center"/>
          </w:tcPr>
          <w:p w14:paraId="0AAA0515">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邻氯硝基苯</w:t>
            </w:r>
          </w:p>
        </w:tc>
        <w:tc>
          <w:tcPr>
            <w:tcW w:w="529" w:type="pct"/>
            <w:noWrap w:val="0"/>
            <w:vAlign w:val="center"/>
          </w:tcPr>
          <w:p w14:paraId="58C8E40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03E6556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16500</w:t>
            </w:r>
          </w:p>
        </w:tc>
        <w:tc>
          <w:tcPr>
            <w:tcW w:w="1154" w:type="dxa"/>
            <w:noWrap w:val="0"/>
            <w:vAlign w:val="center"/>
          </w:tcPr>
          <w:p w14:paraId="5C8111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rPr>
              <w:t>2121.6</w:t>
            </w:r>
          </w:p>
        </w:tc>
        <w:tc>
          <w:tcPr>
            <w:tcW w:w="393" w:type="pct"/>
            <w:noWrap w:val="0"/>
            <w:vAlign w:val="center"/>
          </w:tcPr>
          <w:p w14:paraId="71EE0E2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罐装</w:t>
            </w:r>
          </w:p>
        </w:tc>
        <w:tc>
          <w:tcPr>
            <w:tcW w:w="527" w:type="pct"/>
            <w:noWrap w:val="0"/>
            <w:vAlign w:val="center"/>
          </w:tcPr>
          <w:p w14:paraId="5B023D8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4D504C9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r>
      <w:tr w14:paraId="1448B2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3481EEA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1020" w:type="pct"/>
            <w:noWrap w:val="0"/>
            <w:vAlign w:val="center"/>
          </w:tcPr>
          <w:p w14:paraId="349F9E1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甲苯</w:t>
            </w:r>
          </w:p>
        </w:tc>
        <w:tc>
          <w:tcPr>
            <w:tcW w:w="529" w:type="pct"/>
            <w:noWrap w:val="0"/>
            <w:vAlign w:val="center"/>
          </w:tcPr>
          <w:p w14:paraId="40AFDAE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0A4570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1200</w:t>
            </w:r>
          </w:p>
        </w:tc>
        <w:tc>
          <w:tcPr>
            <w:tcW w:w="1154" w:type="dxa"/>
            <w:noWrap w:val="0"/>
            <w:vAlign w:val="center"/>
          </w:tcPr>
          <w:p w14:paraId="7E3B1BA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rPr>
              <w:t>74</w:t>
            </w:r>
          </w:p>
        </w:tc>
        <w:tc>
          <w:tcPr>
            <w:tcW w:w="393" w:type="pct"/>
            <w:noWrap w:val="0"/>
            <w:vAlign w:val="center"/>
          </w:tcPr>
          <w:p w14:paraId="6ABD099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罐装</w:t>
            </w:r>
          </w:p>
        </w:tc>
        <w:tc>
          <w:tcPr>
            <w:tcW w:w="527" w:type="pct"/>
            <w:noWrap w:val="0"/>
            <w:vAlign w:val="center"/>
          </w:tcPr>
          <w:p w14:paraId="588FB3C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0173702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蒸馏套用</w:t>
            </w:r>
          </w:p>
        </w:tc>
      </w:tr>
      <w:tr w14:paraId="30B6C1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6576FBC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1020" w:type="pct"/>
            <w:noWrap w:val="0"/>
            <w:vAlign w:val="center"/>
          </w:tcPr>
          <w:p w14:paraId="07EFEB3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氢氧化钠</w:t>
            </w:r>
          </w:p>
        </w:tc>
        <w:tc>
          <w:tcPr>
            <w:tcW w:w="529" w:type="pct"/>
            <w:noWrap w:val="0"/>
            <w:vAlign w:val="center"/>
          </w:tcPr>
          <w:p w14:paraId="58C1699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w:t>
            </w:r>
          </w:p>
        </w:tc>
        <w:tc>
          <w:tcPr>
            <w:tcW w:w="496" w:type="pct"/>
            <w:noWrap w:val="0"/>
            <w:vAlign w:val="center"/>
          </w:tcPr>
          <w:p w14:paraId="102E8D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18500</w:t>
            </w:r>
          </w:p>
        </w:tc>
        <w:tc>
          <w:tcPr>
            <w:tcW w:w="1154" w:type="dxa"/>
            <w:noWrap w:val="0"/>
            <w:vAlign w:val="center"/>
          </w:tcPr>
          <w:p w14:paraId="41F75C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rPr>
              <w:t>3</w:t>
            </w:r>
            <w:r>
              <w:rPr>
                <w:rFonts w:hint="eastAsia" w:ascii="Times New Roman" w:hAnsi="Times New Roman" w:cs="Times New Roman"/>
                <w:color w:val="auto"/>
                <w:szCs w:val="21"/>
                <w:highlight w:val="none"/>
                <w:lang w:val="en-US" w:eastAsia="zh-CN"/>
              </w:rPr>
              <w:t>41.7</w:t>
            </w:r>
          </w:p>
        </w:tc>
        <w:tc>
          <w:tcPr>
            <w:tcW w:w="393" w:type="pct"/>
            <w:noWrap w:val="0"/>
            <w:vAlign w:val="center"/>
          </w:tcPr>
          <w:p w14:paraId="017089E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罐装</w:t>
            </w:r>
          </w:p>
        </w:tc>
        <w:tc>
          <w:tcPr>
            <w:tcW w:w="527" w:type="pct"/>
            <w:noWrap w:val="0"/>
            <w:vAlign w:val="center"/>
          </w:tcPr>
          <w:p w14:paraId="6064F05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727B154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r>
      <w:tr w14:paraId="7AF44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54C866F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1020" w:type="pct"/>
            <w:noWrap w:val="0"/>
            <w:vAlign w:val="center"/>
          </w:tcPr>
          <w:p w14:paraId="51875FB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PT/C（铂炭）</w:t>
            </w:r>
          </w:p>
        </w:tc>
        <w:tc>
          <w:tcPr>
            <w:tcW w:w="529" w:type="pct"/>
            <w:noWrap w:val="0"/>
            <w:vAlign w:val="center"/>
          </w:tcPr>
          <w:p w14:paraId="17420A4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0250EBE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0.6</w:t>
            </w:r>
          </w:p>
        </w:tc>
        <w:tc>
          <w:tcPr>
            <w:tcW w:w="1154" w:type="dxa"/>
            <w:noWrap w:val="0"/>
            <w:vAlign w:val="center"/>
          </w:tcPr>
          <w:p w14:paraId="474BDB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rPr>
              <w:t>0.5</w:t>
            </w:r>
          </w:p>
        </w:tc>
        <w:tc>
          <w:tcPr>
            <w:tcW w:w="393" w:type="pct"/>
            <w:noWrap w:val="0"/>
            <w:vAlign w:val="center"/>
          </w:tcPr>
          <w:p w14:paraId="141BBCD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桶装</w:t>
            </w:r>
          </w:p>
        </w:tc>
        <w:tc>
          <w:tcPr>
            <w:tcW w:w="527" w:type="pct"/>
            <w:noWrap w:val="0"/>
            <w:vAlign w:val="center"/>
          </w:tcPr>
          <w:p w14:paraId="2CB80F6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7F1B8CE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重复利用</w:t>
            </w:r>
          </w:p>
        </w:tc>
      </w:tr>
      <w:tr w14:paraId="58B094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228A55F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020" w:type="pct"/>
            <w:noWrap w:val="0"/>
            <w:vAlign w:val="center"/>
          </w:tcPr>
          <w:p w14:paraId="6D1BAC8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SDBS（十二烷基苯磺酸钠）</w:t>
            </w:r>
          </w:p>
        </w:tc>
        <w:tc>
          <w:tcPr>
            <w:tcW w:w="529" w:type="pct"/>
            <w:noWrap w:val="0"/>
            <w:vAlign w:val="center"/>
          </w:tcPr>
          <w:p w14:paraId="462288C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4E5D62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54</w:t>
            </w:r>
          </w:p>
        </w:tc>
        <w:tc>
          <w:tcPr>
            <w:tcW w:w="1154" w:type="dxa"/>
            <w:noWrap w:val="0"/>
            <w:vAlign w:val="center"/>
          </w:tcPr>
          <w:p w14:paraId="7DDCD7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w:t>
            </w:r>
          </w:p>
        </w:tc>
        <w:tc>
          <w:tcPr>
            <w:tcW w:w="393" w:type="pct"/>
            <w:noWrap w:val="0"/>
            <w:vAlign w:val="center"/>
          </w:tcPr>
          <w:p w14:paraId="3911823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桶装</w:t>
            </w:r>
          </w:p>
        </w:tc>
        <w:tc>
          <w:tcPr>
            <w:tcW w:w="527" w:type="pct"/>
            <w:noWrap w:val="0"/>
            <w:vAlign w:val="center"/>
          </w:tcPr>
          <w:p w14:paraId="28B5246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1DFB160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r>
      <w:tr w14:paraId="1CC463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65CA26D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1020" w:type="pct"/>
            <w:noWrap w:val="0"/>
            <w:vAlign w:val="center"/>
          </w:tcPr>
          <w:p w14:paraId="3172293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DCNO（2、3二氯1、4奈醌）</w:t>
            </w:r>
          </w:p>
        </w:tc>
        <w:tc>
          <w:tcPr>
            <w:tcW w:w="529" w:type="pct"/>
            <w:noWrap w:val="0"/>
            <w:vAlign w:val="center"/>
          </w:tcPr>
          <w:p w14:paraId="51E2EBB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3CA7631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106</w:t>
            </w:r>
          </w:p>
        </w:tc>
        <w:tc>
          <w:tcPr>
            <w:tcW w:w="1154" w:type="dxa"/>
            <w:noWrap w:val="0"/>
            <w:vAlign w:val="center"/>
          </w:tcPr>
          <w:p w14:paraId="6EF01A6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r>
              <w:rPr>
                <w:rFonts w:hint="eastAsia" w:ascii="Times New Roman" w:hAnsi="Times New Roman" w:cs="Times New Roman"/>
                <w:color w:val="auto"/>
                <w:szCs w:val="21"/>
                <w:highlight w:val="none"/>
                <w:lang w:val="en-US" w:eastAsia="zh-CN"/>
              </w:rPr>
              <w:t>0</w:t>
            </w:r>
          </w:p>
        </w:tc>
        <w:tc>
          <w:tcPr>
            <w:tcW w:w="393" w:type="pct"/>
            <w:noWrap w:val="0"/>
            <w:vAlign w:val="center"/>
          </w:tcPr>
          <w:p w14:paraId="2E79314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桶装</w:t>
            </w:r>
          </w:p>
        </w:tc>
        <w:tc>
          <w:tcPr>
            <w:tcW w:w="527" w:type="pct"/>
            <w:noWrap w:val="0"/>
            <w:vAlign w:val="center"/>
          </w:tcPr>
          <w:p w14:paraId="22654E1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45AEE2B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r>
      <w:tr w14:paraId="6BDEA9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086FEAD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020" w:type="pct"/>
            <w:noWrap w:val="0"/>
            <w:vAlign w:val="center"/>
          </w:tcPr>
          <w:p w14:paraId="4329F29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盐酸</w:t>
            </w:r>
          </w:p>
        </w:tc>
        <w:tc>
          <w:tcPr>
            <w:tcW w:w="529" w:type="pct"/>
            <w:noWrap w:val="0"/>
            <w:vAlign w:val="center"/>
          </w:tcPr>
          <w:p w14:paraId="1AC0A215">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32</w:t>
            </w:r>
            <w:r>
              <w:rPr>
                <w:rFonts w:hint="default" w:ascii="Times New Roman" w:hAnsi="Times New Roman" w:cs="Times New Roman"/>
                <w:color w:val="auto"/>
                <w:szCs w:val="21"/>
                <w:highlight w:val="none"/>
              </w:rPr>
              <w:t>%</w:t>
            </w:r>
          </w:p>
        </w:tc>
        <w:tc>
          <w:tcPr>
            <w:tcW w:w="496" w:type="pct"/>
            <w:noWrap w:val="0"/>
            <w:vAlign w:val="center"/>
          </w:tcPr>
          <w:p w14:paraId="611825A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32175</w:t>
            </w:r>
          </w:p>
        </w:tc>
        <w:tc>
          <w:tcPr>
            <w:tcW w:w="1154" w:type="dxa"/>
            <w:noWrap w:val="0"/>
            <w:vAlign w:val="center"/>
          </w:tcPr>
          <w:p w14:paraId="0E18A2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374</w:t>
            </w:r>
          </w:p>
        </w:tc>
        <w:tc>
          <w:tcPr>
            <w:tcW w:w="393" w:type="pct"/>
            <w:noWrap w:val="0"/>
            <w:vAlign w:val="center"/>
          </w:tcPr>
          <w:p w14:paraId="50D7683A">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罐装</w:t>
            </w:r>
          </w:p>
        </w:tc>
        <w:tc>
          <w:tcPr>
            <w:tcW w:w="527" w:type="pct"/>
            <w:noWrap w:val="0"/>
            <w:vAlign w:val="center"/>
          </w:tcPr>
          <w:p w14:paraId="5E92730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29067E45">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F8335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4469710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1020" w:type="pct"/>
            <w:noWrap w:val="0"/>
            <w:vAlign w:val="center"/>
          </w:tcPr>
          <w:p w14:paraId="66A7D9B4">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MNX（乳化剂）</w:t>
            </w:r>
          </w:p>
        </w:tc>
        <w:tc>
          <w:tcPr>
            <w:tcW w:w="529" w:type="pct"/>
            <w:noWrap w:val="0"/>
            <w:vAlign w:val="center"/>
          </w:tcPr>
          <w:p w14:paraId="4875E9F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280FD9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3.75</w:t>
            </w:r>
          </w:p>
        </w:tc>
        <w:tc>
          <w:tcPr>
            <w:tcW w:w="1154" w:type="dxa"/>
            <w:noWrap w:val="0"/>
            <w:vAlign w:val="center"/>
          </w:tcPr>
          <w:p w14:paraId="3596A9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393" w:type="pct"/>
            <w:noWrap w:val="0"/>
            <w:vAlign w:val="center"/>
          </w:tcPr>
          <w:p w14:paraId="246E19D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桶装</w:t>
            </w:r>
          </w:p>
        </w:tc>
        <w:tc>
          <w:tcPr>
            <w:tcW w:w="527" w:type="pct"/>
            <w:noWrap w:val="0"/>
            <w:vAlign w:val="center"/>
          </w:tcPr>
          <w:p w14:paraId="4FCFD4C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70DB00F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r>
      <w:tr w14:paraId="770E00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5B219B4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1020" w:type="pct"/>
            <w:noWrap w:val="0"/>
            <w:vAlign w:val="center"/>
          </w:tcPr>
          <w:p w14:paraId="36D5FFF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活性炭</w:t>
            </w:r>
          </w:p>
        </w:tc>
        <w:tc>
          <w:tcPr>
            <w:tcW w:w="529" w:type="pct"/>
            <w:noWrap w:val="0"/>
            <w:vAlign w:val="center"/>
          </w:tcPr>
          <w:p w14:paraId="363C8D4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3E2679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270</w:t>
            </w:r>
          </w:p>
        </w:tc>
        <w:tc>
          <w:tcPr>
            <w:tcW w:w="1154" w:type="dxa"/>
            <w:noWrap w:val="0"/>
            <w:vAlign w:val="center"/>
          </w:tcPr>
          <w:p w14:paraId="75239B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10</w:t>
            </w:r>
          </w:p>
        </w:tc>
        <w:tc>
          <w:tcPr>
            <w:tcW w:w="393" w:type="pct"/>
            <w:noWrap w:val="0"/>
            <w:vAlign w:val="center"/>
          </w:tcPr>
          <w:p w14:paraId="5E77E7E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桶装</w:t>
            </w:r>
          </w:p>
        </w:tc>
        <w:tc>
          <w:tcPr>
            <w:tcW w:w="527" w:type="pct"/>
            <w:noWrap w:val="0"/>
            <w:vAlign w:val="center"/>
          </w:tcPr>
          <w:p w14:paraId="2FE7DB7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汽运</w:t>
            </w:r>
          </w:p>
        </w:tc>
        <w:tc>
          <w:tcPr>
            <w:tcW w:w="1178" w:type="pct"/>
            <w:noWrap w:val="0"/>
            <w:vAlign w:val="center"/>
          </w:tcPr>
          <w:p w14:paraId="2464EAF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干计</w:t>
            </w:r>
          </w:p>
        </w:tc>
      </w:tr>
      <w:tr w14:paraId="09C9B4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4" w:type="pct"/>
            <w:noWrap w:val="0"/>
            <w:vAlign w:val="center"/>
          </w:tcPr>
          <w:p w14:paraId="599C119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w:t>
            </w:r>
          </w:p>
        </w:tc>
        <w:tc>
          <w:tcPr>
            <w:tcW w:w="1020" w:type="pct"/>
            <w:noWrap w:val="0"/>
            <w:vAlign w:val="center"/>
          </w:tcPr>
          <w:p w14:paraId="2F3553B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氢气</w:t>
            </w:r>
          </w:p>
        </w:tc>
        <w:tc>
          <w:tcPr>
            <w:tcW w:w="529" w:type="pct"/>
            <w:noWrap w:val="0"/>
            <w:vAlign w:val="center"/>
          </w:tcPr>
          <w:p w14:paraId="015D5F4E">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c>
          <w:tcPr>
            <w:tcW w:w="496" w:type="pct"/>
            <w:noWrap w:val="0"/>
            <w:vAlign w:val="center"/>
          </w:tcPr>
          <w:p w14:paraId="020B799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600</w:t>
            </w:r>
          </w:p>
        </w:tc>
        <w:tc>
          <w:tcPr>
            <w:tcW w:w="599" w:type="pct"/>
            <w:noWrap w:val="0"/>
            <w:vAlign w:val="center"/>
          </w:tcPr>
          <w:p w14:paraId="72A81CA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393" w:type="pct"/>
            <w:noWrap w:val="0"/>
            <w:vAlign w:val="center"/>
          </w:tcPr>
          <w:p w14:paraId="1F7A33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527" w:type="pct"/>
            <w:noWrap w:val="0"/>
            <w:vAlign w:val="center"/>
          </w:tcPr>
          <w:p w14:paraId="298738C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管道输送</w:t>
            </w:r>
          </w:p>
        </w:tc>
        <w:tc>
          <w:tcPr>
            <w:tcW w:w="1178" w:type="pct"/>
            <w:noWrap w:val="0"/>
            <w:vAlign w:val="center"/>
          </w:tcPr>
          <w:p w14:paraId="6EAB20B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w:t>
            </w:r>
          </w:p>
        </w:tc>
      </w:tr>
    </w:tbl>
    <w:p w14:paraId="098E8161">
      <w:pPr>
        <w:pStyle w:val="124"/>
        <w:keepNext w:val="0"/>
        <w:keepLines w:val="0"/>
        <w:pageBreakBefore w:val="0"/>
        <w:widowControl/>
        <w:tabs>
          <w:tab w:val="left" w:pos="474"/>
        </w:tabs>
        <w:kinsoku/>
        <w:wordWrap/>
        <w:overflowPunct/>
        <w:topLinePunct w:val="0"/>
        <w:autoSpaceDE/>
        <w:autoSpaceDN/>
        <w:bidi w:val="0"/>
        <w:adjustRightInd/>
        <w:snapToGrid/>
        <w:spacing w:before="240"/>
        <w:ind w:left="0" w:leftChars="0" w:firstLine="0" w:firstLineChars="0"/>
        <w:textAlignment w:val="auto"/>
        <w:outlineLvl w:val="2"/>
        <w:rPr>
          <w:b/>
          <w:bCs/>
          <w:sz w:val="28"/>
          <w:szCs w:val="28"/>
          <w:lang w:eastAsia="zh-CN"/>
        </w:rPr>
      </w:pPr>
      <w:r>
        <w:rPr>
          <w:rFonts w:hint="eastAsia"/>
          <w:b/>
          <w:bCs/>
          <w:sz w:val="28"/>
          <w:szCs w:val="28"/>
          <w:lang w:eastAsia="zh-CN"/>
        </w:rPr>
        <w:t>三、产排污环节</w:t>
      </w:r>
    </w:p>
    <w:p w14:paraId="6DF4A585">
      <w:pPr>
        <w:pStyle w:val="124"/>
        <w:rPr>
          <w:rFonts w:hint="default" w:ascii="Times New Roman" w:hAnsi="Times New Roman" w:cs="Times New Roman"/>
          <w:color w:val="auto"/>
          <w:sz w:val="24"/>
          <w:highlight w:val="none"/>
          <w:lang w:val="en-US" w:eastAsia="zh-CN"/>
        </w:rPr>
      </w:pPr>
      <w:r>
        <w:rPr>
          <w:rFonts w:hint="eastAsia"/>
          <w:b/>
          <w:bCs/>
          <w:lang w:eastAsia="zh-CN"/>
        </w:rPr>
        <w:t>（一</w:t>
      </w:r>
      <w:r>
        <w:rPr>
          <w:b/>
          <w:bCs/>
          <w:lang w:eastAsia="zh-CN"/>
        </w:rPr>
        <w:t>）</w:t>
      </w:r>
      <w:r>
        <w:rPr>
          <w:rFonts w:hint="eastAsia"/>
          <w:b/>
          <w:bCs/>
          <w:lang w:eastAsia="zh-CN"/>
        </w:rPr>
        <w:t>废气</w:t>
      </w:r>
    </w:p>
    <w:p w14:paraId="40C7B8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来自</w:t>
      </w:r>
      <w:r>
        <w:rPr>
          <w:rFonts w:hint="eastAsia" w:ascii="Times New Roman" w:hAnsi="Times New Roman" w:cs="Times New Roman"/>
          <w:color w:val="auto"/>
          <w:sz w:val="24"/>
          <w:highlight w:val="none"/>
          <w:lang w:val="en-US" w:eastAsia="zh-CN"/>
        </w:rPr>
        <w:t>生产</w:t>
      </w:r>
      <w:r>
        <w:rPr>
          <w:rFonts w:hint="default" w:ascii="Times New Roman" w:hAnsi="Times New Roman" w:cs="Times New Roman"/>
          <w:color w:val="auto"/>
          <w:sz w:val="24"/>
          <w:highlight w:val="none"/>
          <w:lang w:val="en-US" w:eastAsia="zh-CN"/>
        </w:rPr>
        <w:t>车间废气</w:t>
      </w:r>
      <w:r>
        <w:rPr>
          <w:rFonts w:hint="eastAsia" w:ascii="Times New Roman" w:hAnsi="Times New Roman" w:cs="Times New Roman"/>
          <w:color w:val="auto"/>
          <w:sz w:val="24"/>
          <w:highlight w:val="none"/>
          <w:lang w:val="en-US" w:eastAsia="zh-CN"/>
        </w:rPr>
        <w:t>（非甲烷总烃、甲苯、氯化氢、氮氧化物）；成品压滤车间废气（非甲烷总烃、氯化氢、颗粒物）均</w:t>
      </w:r>
      <w:r>
        <w:rPr>
          <w:rFonts w:hint="default" w:ascii="Times New Roman" w:hAnsi="Times New Roman" w:cs="Times New Roman"/>
          <w:color w:val="auto"/>
          <w:sz w:val="24"/>
          <w:highlight w:val="none"/>
          <w:lang w:val="en-US" w:eastAsia="zh-CN"/>
        </w:rPr>
        <w:t>经车间内喷淋塔</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冷凝</w:t>
      </w:r>
      <w:r>
        <w:rPr>
          <w:rFonts w:hint="eastAsia" w:ascii="Times New Roman" w:hAnsi="Times New Roman" w:cs="Times New Roman"/>
          <w:color w:val="auto"/>
          <w:sz w:val="24"/>
          <w:highlight w:val="none"/>
          <w:lang w:val="en-US" w:eastAsia="zh-CN"/>
        </w:rPr>
        <w:t>处理；污水装置废气（氯化氢）经</w:t>
      </w:r>
      <w:r>
        <w:rPr>
          <w:rFonts w:hint="default" w:ascii="Times New Roman" w:hAnsi="Times New Roman" w:cs="Times New Roman"/>
          <w:color w:val="auto"/>
          <w:sz w:val="24"/>
          <w:highlight w:val="none"/>
          <w:lang w:val="en-US" w:eastAsia="zh-CN"/>
        </w:rPr>
        <w:t>喷淋塔喷淋</w:t>
      </w:r>
      <w:r>
        <w:rPr>
          <w:rFonts w:hint="eastAsia" w:ascii="Times New Roman" w:hAnsi="Times New Roman" w:cs="Times New Roman"/>
          <w:color w:val="auto"/>
          <w:sz w:val="24"/>
          <w:highlight w:val="none"/>
          <w:lang w:val="en-US" w:eastAsia="zh-CN"/>
        </w:rPr>
        <w:t>处理；无组织</w:t>
      </w:r>
      <w:r>
        <w:rPr>
          <w:rFonts w:hint="eastAsia" w:ascii="Times New Roman" w:hAnsi="Times New Roman" w:cs="Times New Roman"/>
          <w:color w:val="auto"/>
          <w:sz w:val="24"/>
          <w:szCs w:val="24"/>
          <w:highlight w:val="none"/>
          <w:lang w:val="en-US" w:eastAsia="zh-CN"/>
        </w:rPr>
        <w:t>废气</w:t>
      </w:r>
      <w:r>
        <w:rPr>
          <w:rFonts w:hint="eastAsia" w:ascii="Times New Roman" w:hAnsi="Times New Roman"/>
          <w:sz w:val="24"/>
          <w:szCs w:val="24"/>
        </w:rPr>
        <w:t>经管线收集</w:t>
      </w:r>
      <w:r>
        <w:rPr>
          <w:rFonts w:hint="eastAsia"/>
          <w:sz w:val="24"/>
          <w:szCs w:val="24"/>
        </w:rPr>
        <w:t>后</w:t>
      </w:r>
      <w:r>
        <w:rPr>
          <w:rFonts w:hint="eastAsia"/>
          <w:sz w:val="24"/>
        </w:rPr>
        <w:t>合并为一条管线</w:t>
      </w:r>
      <w:r>
        <w:rPr>
          <w:rFonts w:hint="eastAsia"/>
          <w:sz w:val="24"/>
          <w:lang w:eastAsia="zh-CN"/>
        </w:rPr>
        <w:t>，以上各路废气</w:t>
      </w:r>
      <w:r>
        <w:rPr>
          <w:rFonts w:hint="eastAsia" w:ascii="Times New Roman" w:hAnsi="Times New Roman" w:cs="Times New Roman"/>
          <w:color w:val="auto"/>
          <w:sz w:val="24"/>
          <w:highlight w:val="none"/>
          <w:lang w:val="en-US" w:eastAsia="zh-CN"/>
        </w:rPr>
        <w:t>汇总一路</w:t>
      </w:r>
      <w:r>
        <w:rPr>
          <w:rFonts w:hint="default" w:ascii="Times New Roman" w:hAnsi="Times New Roman" w:cs="Times New Roman"/>
          <w:color w:val="auto"/>
          <w:sz w:val="24"/>
          <w:highlight w:val="none"/>
          <w:lang w:val="en-US" w:eastAsia="zh-CN"/>
        </w:rPr>
        <w:t>进入移动床 VOCs 吸附再生循环一体化设备内，经多级吸附后实现达标排放。吸附饱和后的专用吸附材料进入脱附段，通过热氮气解吸，解</w:t>
      </w:r>
      <w:r>
        <w:rPr>
          <w:rFonts w:hint="eastAsia" w:ascii="Times New Roman" w:hAnsi="Times New Roman" w:cs="Times New Roman"/>
          <w:color w:val="auto"/>
          <w:sz w:val="24"/>
          <w:highlight w:val="none"/>
          <w:lang w:val="en-US" w:eastAsia="zh-CN"/>
        </w:rPr>
        <w:t>析</w:t>
      </w:r>
      <w:r>
        <w:rPr>
          <w:rFonts w:hint="default" w:ascii="Times New Roman" w:hAnsi="Times New Roman" w:cs="Times New Roman"/>
          <w:color w:val="auto"/>
          <w:sz w:val="24"/>
          <w:highlight w:val="none"/>
          <w:lang w:val="en-US" w:eastAsia="zh-CN"/>
        </w:rPr>
        <w:t>后的混合气体进入换热器冷凝处理可以得到废气中的溶剂。循环氮气中存在部分不凝气，定期排入主进风管。解</w:t>
      </w:r>
      <w:r>
        <w:rPr>
          <w:rFonts w:hint="eastAsia" w:ascii="Times New Roman" w:hAnsi="Times New Roman" w:cs="Times New Roman"/>
          <w:color w:val="auto"/>
          <w:sz w:val="24"/>
          <w:highlight w:val="none"/>
          <w:lang w:val="en-US" w:eastAsia="zh-CN"/>
        </w:rPr>
        <w:t>析</w:t>
      </w:r>
      <w:r>
        <w:rPr>
          <w:rFonts w:hint="default" w:ascii="Times New Roman" w:hAnsi="Times New Roman" w:cs="Times New Roman"/>
          <w:color w:val="auto"/>
          <w:sz w:val="24"/>
          <w:highlight w:val="none"/>
          <w:lang w:val="en-US" w:eastAsia="zh-CN"/>
        </w:rPr>
        <w:t>后的专用吸附材料经降温冷却后，通过提升系统回到上层储料层，循环使用。冷凝水去往废水处理装置。</w:t>
      </w:r>
    </w:p>
    <w:p w14:paraId="75C33E9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9"/>
        <w:rPr>
          <w:rFonts w:hint="default"/>
          <w:b w:val="0"/>
          <w:bCs w:val="0"/>
          <w:sz w:val="24"/>
          <w:szCs w:val="24"/>
          <w:lang w:val="en-US" w:eastAsia="zh-CN"/>
        </w:rPr>
      </w:pPr>
      <w:r>
        <w:rPr>
          <w:rFonts w:hint="eastAsia"/>
          <w:b w:val="0"/>
          <w:bCs w:val="0"/>
          <w:sz w:val="24"/>
          <w:szCs w:val="24"/>
          <w:lang w:val="en-US" w:eastAsia="zh-CN"/>
        </w:rPr>
        <w:t>废气总工艺流程图如下：</w:t>
      </w:r>
    </w:p>
    <w:p w14:paraId="1A9A78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outlineLvl w:val="9"/>
        <w:rPr>
          <w:rFonts w:hint="default" w:ascii="Times New Roman" w:hAnsi="Times New Roman" w:cs="Times New Roman"/>
          <w:color w:val="auto"/>
          <w:sz w:val="24"/>
          <w:highlight w:val="none"/>
          <w:lang w:val="en-US" w:eastAsia="zh-CN"/>
        </w:rPr>
      </w:pPr>
      <w:r>
        <w:drawing>
          <wp:anchor distT="0" distB="0" distL="114300" distR="114300" simplePos="0" relativeHeight="251661312" behindDoc="0" locked="0" layoutInCell="1" allowOverlap="1">
            <wp:simplePos x="0" y="0"/>
            <wp:positionH relativeFrom="column">
              <wp:posOffset>295275</wp:posOffset>
            </wp:positionH>
            <wp:positionV relativeFrom="paragraph">
              <wp:posOffset>11430</wp:posOffset>
            </wp:positionV>
            <wp:extent cx="5362575" cy="2861310"/>
            <wp:effectExtent l="0" t="0" r="9525" b="15240"/>
            <wp:wrapSquare wrapText="bothSides"/>
            <wp:docPr id="190" name="图片 61"/>
            <wp:cNvGraphicFramePr/>
            <a:graphic xmlns:a="http://schemas.openxmlformats.org/drawingml/2006/main">
              <a:graphicData uri="http://schemas.openxmlformats.org/drawingml/2006/picture">
                <pic:pic xmlns:pic="http://schemas.openxmlformats.org/drawingml/2006/picture">
                  <pic:nvPicPr>
                    <pic:cNvPr id="190" name="图片 61"/>
                    <pic:cNvPicPr/>
                  </pic:nvPicPr>
                  <pic:blipFill>
                    <a:blip r:embed="rId18"/>
                    <a:stretch>
                      <a:fillRect/>
                    </a:stretch>
                  </pic:blipFill>
                  <pic:spPr>
                    <a:xfrm>
                      <a:off x="0" y="0"/>
                      <a:ext cx="5362575" cy="2861310"/>
                    </a:xfrm>
                    <a:prstGeom prst="rect">
                      <a:avLst/>
                    </a:prstGeom>
                    <a:noFill/>
                    <a:ln>
                      <a:noFill/>
                    </a:ln>
                  </pic:spPr>
                </pic:pic>
              </a:graphicData>
            </a:graphic>
          </wp:anchor>
        </w:drawing>
      </w:r>
    </w:p>
    <w:tbl>
      <w:tblPr>
        <w:tblStyle w:val="34"/>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2906"/>
        <w:gridCol w:w="1997"/>
        <w:gridCol w:w="1768"/>
        <w:gridCol w:w="1614"/>
      </w:tblGrid>
      <w:tr w14:paraId="7721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trPr>
        <w:tc>
          <w:tcPr>
            <w:tcW w:w="595" w:type="pct"/>
            <w:vAlign w:val="center"/>
          </w:tcPr>
          <w:p w14:paraId="3C3D2B0A">
            <w:pPr>
              <w:pStyle w:val="127"/>
              <w:keepNext w:val="0"/>
              <w:keepLines w:val="0"/>
              <w:widowControl/>
              <w:suppressLineNumbers w:val="0"/>
              <w:spacing w:before="0" w:beforeAutospacing="0" w:after="0" w:afterAutospacing="0"/>
              <w:ind w:left="0" w:right="0"/>
              <w:rPr>
                <w:rFonts w:hint="default"/>
              </w:rPr>
            </w:pPr>
            <w:r>
              <w:rPr>
                <w:rFonts w:hint="eastAsia"/>
              </w:rPr>
              <w:t>废气种类</w:t>
            </w:r>
          </w:p>
        </w:tc>
        <w:tc>
          <w:tcPr>
            <w:tcW w:w="1545" w:type="pct"/>
            <w:vAlign w:val="center"/>
          </w:tcPr>
          <w:p w14:paraId="1F5D155D">
            <w:pPr>
              <w:pStyle w:val="127"/>
              <w:keepNext w:val="0"/>
              <w:keepLines w:val="0"/>
              <w:widowControl/>
              <w:suppressLineNumbers w:val="0"/>
              <w:spacing w:before="0" w:beforeAutospacing="0" w:after="0" w:afterAutospacing="0"/>
              <w:ind w:left="0" w:right="0"/>
              <w:rPr>
                <w:rFonts w:hint="default"/>
              </w:rPr>
            </w:pPr>
            <w:r>
              <w:rPr>
                <w:rFonts w:hint="eastAsia"/>
              </w:rPr>
              <w:t>废气治理措施</w:t>
            </w:r>
          </w:p>
        </w:tc>
        <w:tc>
          <w:tcPr>
            <w:tcW w:w="1061" w:type="pct"/>
            <w:vAlign w:val="center"/>
          </w:tcPr>
          <w:p w14:paraId="23D3E143">
            <w:pPr>
              <w:pStyle w:val="127"/>
              <w:keepNext w:val="0"/>
              <w:keepLines w:val="0"/>
              <w:widowControl/>
              <w:suppressLineNumbers w:val="0"/>
              <w:spacing w:before="0" w:beforeAutospacing="0" w:after="0" w:afterAutospacing="0"/>
              <w:ind w:left="0" w:right="0"/>
              <w:rPr>
                <w:rFonts w:hint="default"/>
              </w:rPr>
            </w:pPr>
            <w:r>
              <w:rPr>
                <w:rFonts w:hint="eastAsia"/>
              </w:rPr>
              <w:t>污染物</w:t>
            </w:r>
          </w:p>
        </w:tc>
        <w:tc>
          <w:tcPr>
            <w:tcW w:w="939" w:type="pct"/>
            <w:vAlign w:val="center"/>
          </w:tcPr>
          <w:p w14:paraId="270CF11F">
            <w:pPr>
              <w:pStyle w:val="127"/>
              <w:keepNext w:val="0"/>
              <w:keepLines w:val="0"/>
              <w:widowControl/>
              <w:suppressLineNumbers w:val="0"/>
              <w:spacing w:before="0" w:beforeAutospacing="0" w:after="0" w:afterAutospacing="0"/>
              <w:ind w:left="0" w:right="0"/>
              <w:rPr>
                <w:rFonts w:hint="default"/>
              </w:rPr>
            </w:pPr>
            <w:r>
              <w:rPr>
                <w:rFonts w:hint="eastAsia"/>
              </w:rPr>
              <w:t>烟气量</w:t>
            </w:r>
          </w:p>
          <w:p w14:paraId="2C9E314A">
            <w:pPr>
              <w:pStyle w:val="127"/>
              <w:keepNext w:val="0"/>
              <w:keepLines w:val="0"/>
              <w:widowControl/>
              <w:suppressLineNumbers w:val="0"/>
              <w:spacing w:before="0" w:beforeAutospacing="0" w:after="0" w:afterAutospacing="0"/>
              <w:ind w:left="0" w:right="0"/>
              <w:rPr>
                <w:rFonts w:hint="default"/>
              </w:rPr>
            </w:pPr>
            <w:r>
              <w:rPr>
                <w:rFonts w:hint="default" w:cs="Times New Roman"/>
              </w:rPr>
              <w:t>(Nm</w:t>
            </w:r>
            <w:r>
              <w:rPr>
                <w:rFonts w:hint="default" w:cs="Times New Roman"/>
                <w:position w:val="6"/>
                <w:sz w:val="11"/>
                <w:szCs w:val="11"/>
              </w:rPr>
              <w:t>3</w:t>
            </w:r>
            <w:r>
              <w:rPr>
                <w:rFonts w:hint="default" w:cs="Times New Roman"/>
              </w:rPr>
              <w:t>/h)</w:t>
            </w:r>
          </w:p>
        </w:tc>
        <w:tc>
          <w:tcPr>
            <w:tcW w:w="857" w:type="pct"/>
            <w:vAlign w:val="center"/>
          </w:tcPr>
          <w:p w14:paraId="69BE517F">
            <w:pPr>
              <w:pStyle w:val="127"/>
              <w:keepNext w:val="0"/>
              <w:keepLines w:val="0"/>
              <w:widowControl/>
              <w:suppressLineNumbers w:val="0"/>
              <w:spacing w:before="0" w:beforeAutospacing="0" w:after="0" w:afterAutospacing="0"/>
              <w:ind w:left="0" w:right="0"/>
              <w:rPr>
                <w:rFonts w:hint="default"/>
              </w:rPr>
            </w:pPr>
            <w:r>
              <w:rPr>
                <w:rFonts w:hint="eastAsia"/>
              </w:rPr>
              <w:t>排放量</w:t>
            </w:r>
          </w:p>
          <w:p w14:paraId="6252380F">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rPr>
              <w:t>（</w:t>
            </w:r>
            <w:r>
              <w:rPr>
                <w:rFonts w:hint="default" w:cs="Times New Roman"/>
              </w:rPr>
              <w:t>t/a</w:t>
            </w:r>
            <w:r>
              <w:rPr>
                <w:rFonts w:hint="eastAsia"/>
              </w:rPr>
              <w:t>）</w:t>
            </w:r>
          </w:p>
        </w:tc>
      </w:tr>
      <w:tr w14:paraId="2ADD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restart"/>
            <w:vAlign w:val="center"/>
          </w:tcPr>
          <w:p w14:paraId="5BA3A0EC">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有组织</w:t>
            </w:r>
          </w:p>
        </w:tc>
        <w:tc>
          <w:tcPr>
            <w:tcW w:w="1545" w:type="pct"/>
            <w:vAlign w:val="center"/>
          </w:tcPr>
          <w:p w14:paraId="33A529C2">
            <w:pPr>
              <w:pStyle w:val="127"/>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活性炭吸附</w:t>
            </w:r>
          </w:p>
        </w:tc>
        <w:tc>
          <w:tcPr>
            <w:tcW w:w="1061" w:type="pct"/>
            <w:vAlign w:val="center"/>
          </w:tcPr>
          <w:p w14:paraId="5D9B0462">
            <w:pPr>
              <w:pStyle w:val="127"/>
              <w:keepNext w:val="0"/>
              <w:keepLines w:val="0"/>
              <w:widowControl/>
              <w:suppressLineNumbers w:val="0"/>
              <w:spacing w:before="0" w:beforeAutospacing="0" w:after="0" w:afterAutospacing="0"/>
              <w:ind w:left="0" w:right="0"/>
              <w:rPr>
                <w:rFonts w:hint="eastAsia" w:eastAsia="宋体" w:cs="Times New Roman"/>
                <w:sz w:val="11"/>
                <w:szCs w:val="11"/>
                <w:lang w:eastAsia="zh-CN"/>
              </w:rPr>
            </w:pPr>
            <w:r>
              <w:rPr>
                <w:rFonts w:hint="eastAsia" w:cs="Times New Roman"/>
                <w:sz w:val="21"/>
                <w:szCs w:val="21"/>
                <w:lang w:eastAsia="zh-CN"/>
              </w:rPr>
              <w:t>非甲烷总烃</w:t>
            </w:r>
          </w:p>
        </w:tc>
        <w:tc>
          <w:tcPr>
            <w:tcW w:w="939" w:type="pct"/>
            <w:vAlign w:val="center"/>
          </w:tcPr>
          <w:p w14:paraId="1030D895">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119</w:t>
            </w:r>
          </w:p>
        </w:tc>
        <w:tc>
          <w:tcPr>
            <w:tcW w:w="857" w:type="pct"/>
            <w:vAlign w:val="center"/>
          </w:tcPr>
          <w:p w14:paraId="5ACE780C">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0.02382</w:t>
            </w:r>
          </w:p>
        </w:tc>
      </w:tr>
      <w:tr w14:paraId="4239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14CE3D51">
            <w:pPr>
              <w:pStyle w:val="127"/>
              <w:keepNext w:val="0"/>
              <w:keepLines w:val="0"/>
              <w:widowControl/>
              <w:suppressLineNumbers w:val="0"/>
              <w:spacing w:before="0" w:beforeAutospacing="0" w:after="0" w:afterAutospacing="0"/>
              <w:ind w:left="0" w:right="0"/>
              <w:rPr>
                <w:rFonts w:hint="default"/>
              </w:rPr>
            </w:pPr>
          </w:p>
        </w:tc>
        <w:tc>
          <w:tcPr>
            <w:tcW w:w="1545" w:type="pct"/>
            <w:vMerge w:val="restart"/>
            <w:vAlign w:val="center"/>
          </w:tcPr>
          <w:p w14:paraId="7E40C8AC">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lang w:eastAsia="zh-CN"/>
              </w:rPr>
              <w:t>碱喷淋</w:t>
            </w:r>
            <w:r>
              <w:rPr>
                <w:rFonts w:hint="eastAsia" w:cs="Times New Roman"/>
                <w:lang w:val="en-US" w:eastAsia="zh-CN"/>
              </w:rPr>
              <w:t>+冷凝+活性炭吸附</w:t>
            </w:r>
          </w:p>
          <w:p w14:paraId="155C68A3">
            <w:pPr>
              <w:pStyle w:val="127"/>
              <w:keepNext w:val="0"/>
              <w:keepLines w:val="0"/>
              <w:widowControl/>
              <w:suppressLineNumbers w:val="0"/>
              <w:spacing w:before="0" w:beforeAutospacing="0" w:after="0" w:afterAutospacing="0"/>
              <w:ind w:left="0" w:right="0"/>
              <w:rPr>
                <w:rFonts w:hint="default"/>
              </w:rPr>
            </w:pPr>
          </w:p>
        </w:tc>
        <w:tc>
          <w:tcPr>
            <w:tcW w:w="1061" w:type="pct"/>
            <w:vAlign w:val="center"/>
          </w:tcPr>
          <w:p w14:paraId="5D42D0D7">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11"/>
                <w:szCs w:val="11"/>
                <w:lang w:val="en-US" w:eastAsia="zh-CN" w:bidi="ar-SA"/>
              </w:rPr>
            </w:pPr>
            <w:r>
              <w:rPr>
                <w:rFonts w:hint="eastAsia" w:cs="Times New Roman"/>
                <w:position w:val="1"/>
                <w:lang w:eastAsia="zh-CN"/>
              </w:rPr>
              <w:t>非甲烷总烃</w:t>
            </w:r>
          </w:p>
        </w:tc>
        <w:tc>
          <w:tcPr>
            <w:tcW w:w="939" w:type="pct"/>
            <w:vAlign w:val="center"/>
          </w:tcPr>
          <w:p w14:paraId="1BAC0193">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3650</w:t>
            </w:r>
          </w:p>
        </w:tc>
        <w:tc>
          <w:tcPr>
            <w:tcW w:w="857" w:type="pct"/>
            <w:vAlign w:val="center"/>
          </w:tcPr>
          <w:p w14:paraId="13369152">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0.17876</w:t>
            </w:r>
          </w:p>
        </w:tc>
      </w:tr>
      <w:tr w14:paraId="236A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54AFB875">
            <w:pPr>
              <w:pStyle w:val="127"/>
              <w:keepNext w:val="0"/>
              <w:keepLines w:val="0"/>
              <w:widowControl/>
              <w:suppressLineNumbers w:val="0"/>
              <w:spacing w:before="0" w:beforeAutospacing="0" w:after="0" w:afterAutospacing="0"/>
              <w:ind w:left="0" w:right="0"/>
              <w:rPr>
                <w:rFonts w:hint="default" w:cs="Times New Roman"/>
                <w:sz w:val="2"/>
                <w:szCs w:val="2"/>
              </w:rPr>
            </w:pPr>
          </w:p>
        </w:tc>
        <w:tc>
          <w:tcPr>
            <w:tcW w:w="1545" w:type="pct"/>
            <w:vMerge w:val="continue"/>
            <w:vAlign w:val="center"/>
          </w:tcPr>
          <w:p w14:paraId="7751D02E">
            <w:pPr>
              <w:pStyle w:val="127"/>
              <w:keepNext w:val="0"/>
              <w:keepLines w:val="0"/>
              <w:widowControl/>
              <w:suppressLineNumbers w:val="0"/>
              <w:spacing w:before="0" w:beforeAutospacing="0" w:after="0" w:afterAutospacing="0"/>
              <w:ind w:left="0" w:right="0"/>
              <w:rPr>
                <w:rFonts w:hint="default" w:cs="Times New Roman"/>
                <w:sz w:val="2"/>
                <w:szCs w:val="2"/>
              </w:rPr>
            </w:pPr>
          </w:p>
        </w:tc>
        <w:tc>
          <w:tcPr>
            <w:tcW w:w="1061" w:type="pct"/>
            <w:vAlign w:val="center"/>
          </w:tcPr>
          <w:p w14:paraId="44A4CED8">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cs="Times New Roman"/>
                <w:lang w:eastAsia="zh-CN"/>
              </w:rPr>
              <w:t>甲苯</w:t>
            </w:r>
          </w:p>
        </w:tc>
        <w:tc>
          <w:tcPr>
            <w:tcW w:w="939" w:type="pct"/>
            <w:vAlign w:val="center"/>
          </w:tcPr>
          <w:p w14:paraId="3C9EF147">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w:t>
            </w:r>
          </w:p>
        </w:tc>
        <w:tc>
          <w:tcPr>
            <w:tcW w:w="857" w:type="pct"/>
            <w:vAlign w:val="center"/>
          </w:tcPr>
          <w:p w14:paraId="18CB147A">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lang w:val="en-US" w:eastAsia="zh-CN"/>
              </w:rPr>
              <w:t>0.00687</w:t>
            </w:r>
          </w:p>
        </w:tc>
      </w:tr>
      <w:tr w14:paraId="7AB2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7F1B15DD">
            <w:pPr>
              <w:pStyle w:val="127"/>
              <w:keepNext w:val="0"/>
              <w:keepLines w:val="0"/>
              <w:widowControl/>
              <w:suppressLineNumbers w:val="0"/>
              <w:spacing w:before="0" w:beforeAutospacing="0" w:after="0" w:afterAutospacing="0"/>
              <w:ind w:left="0" w:right="0"/>
              <w:rPr>
                <w:rFonts w:hint="default" w:cs="Times New Roman"/>
                <w:sz w:val="2"/>
                <w:szCs w:val="2"/>
              </w:rPr>
            </w:pPr>
          </w:p>
        </w:tc>
        <w:tc>
          <w:tcPr>
            <w:tcW w:w="1545" w:type="pct"/>
            <w:vMerge w:val="continue"/>
            <w:vAlign w:val="center"/>
          </w:tcPr>
          <w:p w14:paraId="36B04C18">
            <w:pPr>
              <w:pStyle w:val="127"/>
              <w:keepNext w:val="0"/>
              <w:keepLines w:val="0"/>
              <w:widowControl/>
              <w:suppressLineNumbers w:val="0"/>
              <w:spacing w:before="0" w:beforeAutospacing="0" w:after="0" w:afterAutospacing="0"/>
              <w:ind w:left="0" w:right="0"/>
              <w:rPr>
                <w:rFonts w:hint="default" w:cs="Times New Roman"/>
                <w:sz w:val="2"/>
                <w:szCs w:val="2"/>
              </w:rPr>
            </w:pPr>
          </w:p>
        </w:tc>
        <w:tc>
          <w:tcPr>
            <w:tcW w:w="1061" w:type="pct"/>
            <w:vAlign w:val="center"/>
          </w:tcPr>
          <w:p w14:paraId="672B5423">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cs="Times New Roman"/>
                <w:lang w:eastAsia="zh-CN"/>
              </w:rPr>
              <w:t>氯化氢</w:t>
            </w:r>
          </w:p>
        </w:tc>
        <w:tc>
          <w:tcPr>
            <w:tcW w:w="939" w:type="pct"/>
            <w:vAlign w:val="center"/>
          </w:tcPr>
          <w:p w14:paraId="1236378F">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w:t>
            </w:r>
          </w:p>
        </w:tc>
        <w:tc>
          <w:tcPr>
            <w:tcW w:w="857" w:type="pct"/>
            <w:vAlign w:val="center"/>
          </w:tcPr>
          <w:p w14:paraId="6468A76E">
            <w:pPr>
              <w:pStyle w:val="127"/>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kern w:val="2"/>
                <w:sz w:val="21"/>
                <w:szCs w:val="21"/>
                <w:lang w:val="en-US" w:eastAsia="zh-CN" w:bidi="ar-SA"/>
              </w:rPr>
            </w:pPr>
            <w:r>
              <w:rPr>
                <w:rFonts w:hint="eastAsia" w:cs="Times New Roman"/>
                <w:lang w:val="en-US" w:eastAsia="zh-CN"/>
              </w:rPr>
              <w:t>0.00487</w:t>
            </w:r>
          </w:p>
        </w:tc>
      </w:tr>
      <w:tr w14:paraId="050A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5958E004">
            <w:pPr>
              <w:pStyle w:val="127"/>
              <w:keepNext w:val="0"/>
              <w:keepLines w:val="0"/>
              <w:widowControl/>
              <w:suppressLineNumbers w:val="0"/>
              <w:spacing w:before="0" w:beforeAutospacing="0" w:after="0" w:afterAutospacing="0"/>
              <w:ind w:left="0" w:right="0"/>
              <w:rPr>
                <w:rFonts w:hint="default" w:cs="Times New Roman"/>
                <w:sz w:val="2"/>
                <w:szCs w:val="2"/>
              </w:rPr>
            </w:pPr>
          </w:p>
        </w:tc>
        <w:tc>
          <w:tcPr>
            <w:tcW w:w="1545" w:type="pct"/>
            <w:vMerge w:val="continue"/>
            <w:vAlign w:val="center"/>
          </w:tcPr>
          <w:p w14:paraId="22A4E501">
            <w:pPr>
              <w:pStyle w:val="127"/>
              <w:keepNext w:val="0"/>
              <w:keepLines w:val="0"/>
              <w:widowControl/>
              <w:suppressLineNumbers w:val="0"/>
              <w:spacing w:before="0" w:beforeAutospacing="0" w:after="0" w:afterAutospacing="0"/>
              <w:ind w:left="0" w:right="0"/>
              <w:rPr>
                <w:rFonts w:hint="default" w:cs="Times New Roman"/>
                <w:sz w:val="2"/>
                <w:szCs w:val="2"/>
              </w:rPr>
            </w:pPr>
          </w:p>
        </w:tc>
        <w:tc>
          <w:tcPr>
            <w:tcW w:w="1061" w:type="pct"/>
            <w:vAlign w:val="center"/>
          </w:tcPr>
          <w:p w14:paraId="3CA4CE21">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cs="Times New Roman"/>
                <w:lang w:eastAsia="zh-CN"/>
              </w:rPr>
              <w:t>氮氧化物</w:t>
            </w:r>
          </w:p>
        </w:tc>
        <w:tc>
          <w:tcPr>
            <w:tcW w:w="939" w:type="pct"/>
            <w:vAlign w:val="center"/>
          </w:tcPr>
          <w:p w14:paraId="0D06B1A9">
            <w:pPr>
              <w:pStyle w:val="127"/>
              <w:keepNext w:val="0"/>
              <w:keepLines w:val="0"/>
              <w:widowControl/>
              <w:suppressLineNumbers w:val="0"/>
              <w:tabs>
                <w:tab w:val="left" w:pos="370"/>
              </w:tabs>
              <w:spacing w:before="0" w:beforeAutospacing="0" w:after="0" w:afterAutospacing="0"/>
              <w:ind w:left="0" w:right="0" w:firstLine="840" w:firstLineChars="400"/>
              <w:jc w:val="left"/>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w:t>
            </w:r>
          </w:p>
        </w:tc>
        <w:tc>
          <w:tcPr>
            <w:tcW w:w="857" w:type="pct"/>
            <w:vAlign w:val="center"/>
          </w:tcPr>
          <w:p w14:paraId="4B18273A">
            <w:pPr>
              <w:pStyle w:val="127"/>
              <w:keepNext w:val="0"/>
              <w:keepLines w:val="0"/>
              <w:widowControl/>
              <w:suppressLineNumbers w:val="0"/>
              <w:tabs>
                <w:tab w:val="left" w:pos="370"/>
              </w:tabs>
              <w:spacing w:before="0" w:beforeAutospacing="0" w:after="0" w:afterAutospacing="0"/>
              <w:ind w:left="0" w:right="0"/>
              <w:jc w:val="left"/>
              <w:rPr>
                <w:rFonts w:hint="eastAsia" w:ascii="Times New Roman" w:hAnsi="Times New Roman" w:eastAsia="宋体" w:cs="Times New Roman"/>
                <w:color w:val="000000"/>
                <w:kern w:val="2"/>
                <w:sz w:val="21"/>
                <w:szCs w:val="21"/>
                <w:lang w:val="en-US" w:eastAsia="zh-CN" w:bidi="ar-SA"/>
              </w:rPr>
            </w:pPr>
            <w:r>
              <w:rPr>
                <w:rFonts w:hint="eastAsia" w:cs="Times New Roman"/>
                <w:lang w:eastAsia="zh-CN"/>
              </w:rPr>
              <w:tab/>
            </w:r>
            <w:r>
              <w:rPr>
                <w:rFonts w:hint="eastAsia" w:cs="Times New Roman"/>
                <w:lang w:val="en-US" w:eastAsia="zh-CN"/>
              </w:rPr>
              <w:t>0.17582</w:t>
            </w:r>
          </w:p>
        </w:tc>
      </w:tr>
      <w:tr w14:paraId="43C7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95" w:type="pct"/>
            <w:vMerge w:val="continue"/>
            <w:vAlign w:val="center"/>
          </w:tcPr>
          <w:p w14:paraId="0D7BC80A">
            <w:pPr>
              <w:pStyle w:val="127"/>
              <w:keepNext w:val="0"/>
              <w:keepLines w:val="0"/>
              <w:widowControl/>
              <w:suppressLineNumbers w:val="0"/>
              <w:spacing w:before="0" w:beforeAutospacing="0" w:after="0" w:afterAutospacing="0"/>
              <w:ind w:left="0" w:right="0"/>
              <w:rPr>
                <w:rFonts w:hint="default"/>
              </w:rPr>
            </w:pPr>
          </w:p>
        </w:tc>
        <w:tc>
          <w:tcPr>
            <w:tcW w:w="1545" w:type="pct"/>
            <w:vMerge w:val="restart"/>
            <w:vAlign w:val="center"/>
          </w:tcPr>
          <w:p w14:paraId="0659C1FE">
            <w:pPr>
              <w:pStyle w:val="127"/>
              <w:keepNext w:val="0"/>
              <w:keepLines w:val="0"/>
              <w:widowControl/>
              <w:suppressLineNumbers w:val="0"/>
              <w:spacing w:before="0" w:beforeAutospacing="0" w:after="0" w:afterAutospacing="0"/>
              <w:ind w:left="0" w:right="0"/>
              <w:rPr>
                <w:rFonts w:hint="default"/>
              </w:rPr>
            </w:pPr>
            <w:r>
              <w:rPr>
                <w:rFonts w:hint="eastAsia" w:cs="Times New Roman"/>
                <w:lang w:eastAsia="zh-CN"/>
              </w:rPr>
              <w:t>碱喷淋</w:t>
            </w:r>
          </w:p>
        </w:tc>
        <w:tc>
          <w:tcPr>
            <w:tcW w:w="1061" w:type="pct"/>
            <w:vAlign w:val="center"/>
          </w:tcPr>
          <w:p w14:paraId="4CCA2737">
            <w:pPr>
              <w:pStyle w:val="127"/>
              <w:keepNext w:val="0"/>
              <w:keepLines w:val="0"/>
              <w:widowControl/>
              <w:suppressLineNumbers w:val="0"/>
              <w:spacing w:before="0" w:beforeAutospacing="0" w:after="0" w:afterAutospacing="0"/>
              <w:ind w:left="0" w:right="0"/>
              <w:rPr>
                <w:rFonts w:hint="default"/>
              </w:rPr>
            </w:pPr>
            <w:r>
              <w:rPr>
                <w:rFonts w:hint="eastAsia" w:cs="Times New Roman"/>
                <w:position w:val="1"/>
                <w:lang w:eastAsia="zh-CN"/>
              </w:rPr>
              <w:t>非甲烷总烃</w:t>
            </w:r>
          </w:p>
        </w:tc>
        <w:tc>
          <w:tcPr>
            <w:tcW w:w="939" w:type="pct"/>
            <w:vAlign w:val="center"/>
          </w:tcPr>
          <w:p w14:paraId="734480F9">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2700</w:t>
            </w:r>
          </w:p>
        </w:tc>
        <w:tc>
          <w:tcPr>
            <w:tcW w:w="857" w:type="pct"/>
            <w:vAlign w:val="center"/>
          </w:tcPr>
          <w:p w14:paraId="2428E66B">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0.27591</w:t>
            </w:r>
          </w:p>
        </w:tc>
      </w:tr>
      <w:tr w14:paraId="372A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10ADD67A">
            <w:pPr>
              <w:pStyle w:val="127"/>
              <w:keepNext w:val="0"/>
              <w:keepLines w:val="0"/>
              <w:widowControl/>
              <w:suppressLineNumbers w:val="0"/>
              <w:spacing w:before="0" w:beforeAutospacing="0" w:after="0" w:afterAutospacing="0"/>
              <w:ind w:left="0" w:right="0"/>
              <w:rPr>
                <w:rFonts w:hint="eastAsia"/>
              </w:rPr>
            </w:pPr>
          </w:p>
        </w:tc>
        <w:tc>
          <w:tcPr>
            <w:tcW w:w="1545" w:type="pct"/>
            <w:vMerge w:val="continue"/>
            <w:vAlign w:val="center"/>
          </w:tcPr>
          <w:p w14:paraId="10478000">
            <w:pPr>
              <w:pStyle w:val="127"/>
              <w:keepNext w:val="0"/>
              <w:keepLines w:val="0"/>
              <w:widowControl/>
              <w:suppressLineNumbers w:val="0"/>
              <w:spacing w:before="0" w:beforeAutospacing="0" w:after="0" w:afterAutospacing="0"/>
              <w:ind w:left="0" w:right="0"/>
              <w:rPr>
                <w:rFonts w:hint="eastAsia"/>
              </w:rPr>
            </w:pPr>
          </w:p>
        </w:tc>
        <w:tc>
          <w:tcPr>
            <w:tcW w:w="1061" w:type="pct"/>
            <w:vAlign w:val="center"/>
          </w:tcPr>
          <w:p w14:paraId="20ED4A3D">
            <w:pPr>
              <w:pStyle w:val="127"/>
              <w:keepNext w:val="0"/>
              <w:keepLines w:val="0"/>
              <w:widowControl/>
              <w:suppressLineNumbers w:val="0"/>
              <w:spacing w:before="0" w:beforeAutospacing="0" w:after="0" w:afterAutospacing="0"/>
              <w:ind w:left="0" w:right="0"/>
              <w:rPr>
                <w:rFonts w:hint="eastAsia"/>
              </w:rPr>
            </w:pPr>
            <w:r>
              <w:rPr>
                <w:rFonts w:hint="eastAsia" w:cs="Times New Roman"/>
                <w:lang w:eastAsia="zh-CN"/>
              </w:rPr>
              <w:t>氯化氢</w:t>
            </w:r>
          </w:p>
        </w:tc>
        <w:tc>
          <w:tcPr>
            <w:tcW w:w="939" w:type="pct"/>
            <w:vAlign w:val="center"/>
          </w:tcPr>
          <w:p w14:paraId="77563331">
            <w:pPr>
              <w:pStyle w:val="127"/>
              <w:keepNext w:val="0"/>
              <w:keepLines w:val="0"/>
              <w:widowControl/>
              <w:suppressLineNumbers w:val="0"/>
              <w:spacing w:before="0" w:beforeAutospacing="0" w:after="0" w:afterAutospacing="0"/>
              <w:ind w:left="0" w:right="0"/>
              <w:rPr>
                <w:rFonts w:hint="default" w:cs="Times New Roman"/>
              </w:rPr>
            </w:pPr>
            <w:r>
              <w:rPr>
                <w:rFonts w:hint="eastAsia" w:cs="Times New Roman"/>
                <w:color w:val="000000"/>
                <w:kern w:val="2"/>
                <w:sz w:val="21"/>
                <w:szCs w:val="21"/>
                <w:lang w:val="en-US" w:eastAsia="zh-CN" w:bidi="ar-SA"/>
              </w:rPr>
              <w:t>---</w:t>
            </w:r>
          </w:p>
        </w:tc>
        <w:tc>
          <w:tcPr>
            <w:tcW w:w="857" w:type="pct"/>
            <w:vAlign w:val="center"/>
          </w:tcPr>
          <w:p w14:paraId="293CF137">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0.0195</w:t>
            </w:r>
          </w:p>
        </w:tc>
      </w:tr>
      <w:tr w14:paraId="0E83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47EDDF49">
            <w:pPr>
              <w:pStyle w:val="127"/>
              <w:keepNext w:val="0"/>
              <w:keepLines w:val="0"/>
              <w:widowControl/>
              <w:suppressLineNumbers w:val="0"/>
              <w:spacing w:before="0" w:beforeAutospacing="0" w:after="0" w:afterAutospacing="0"/>
              <w:ind w:left="0" w:right="0"/>
              <w:rPr>
                <w:rFonts w:hint="eastAsia"/>
              </w:rPr>
            </w:pPr>
          </w:p>
        </w:tc>
        <w:tc>
          <w:tcPr>
            <w:tcW w:w="1545" w:type="pct"/>
            <w:vMerge w:val="continue"/>
            <w:vAlign w:val="center"/>
          </w:tcPr>
          <w:p w14:paraId="5953DA9F">
            <w:pPr>
              <w:pStyle w:val="127"/>
              <w:keepNext w:val="0"/>
              <w:keepLines w:val="0"/>
              <w:widowControl/>
              <w:suppressLineNumbers w:val="0"/>
              <w:spacing w:before="0" w:beforeAutospacing="0" w:after="0" w:afterAutospacing="0"/>
              <w:ind w:left="0" w:right="0"/>
              <w:rPr>
                <w:rFonts w:hint="eastAsia"/>
              </w:rPr>
            </w:pPr>
          </w:p>
        </w:tc>
        <w:tc>
          <w:tcPr>
            <w:tcW w:w="1061" w:type="pct"/>
            <w:vAlign w:val="center"/>
          </w:tcPr>
          <w:p w14:paraId="2C72D0F1">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颗粒物</w:t>
            </w:r>
          </w:p>
        </w:tc>
        <w:tc>
          <w:tcPr>
            <w:tcW w:w="939" w:type="pct"/>
            <w:vAlign w:val="center"/>
          </w:tcPr>
          <w:p w14:paraId="767DB3E2">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7697</w:t>
            </w:r>
          </w:p>
        </w:tc>
        <w:tc>
          <w:tcPr>
            <w:tcW w:w="857" w:type="pct"/>
            <w:vAlign w:val="center"/>
          </w:tcPr>
          <w:p w14:paraId="28D7927C">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0.01142</w:t>
            </w:r>
          </w:p>
        </w:tc>
      </w:tr>
      <w:tr w14:paraId="6CCB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2EB89B7C">
            <w:pPr>
              <w:pStyle w:val="127"/>
              <w:keepNext w:val="0"/>
              <w:keepLines w:val="0"/>
              <w:widowControl/>
              <w:suppressLineNumbers w:val="0"/>
              <w:spacing w:before="0" w:beforeAutospacing="0" w:after="0" w:afterAutospacing="0"/>
              <w:ind w:left="0" w:right="0"/>
              <w:rPr>
                <w:rFonts w:hint="eastAsia" w:eastAsia="宋体"/>
                <w:lang w:eastAsia="zh-CN"/>
              </w:rPr>
            </w:pPr>
          </w:p>
        </w:tc>
        <w:tc>
          <w:tcPr>
            <w:tcW w:w="1545" w:type="pct"/>
            <w:vAlign w:val="center"/>
          </w:tcPr>
          <w:p w14:paraId="6DA9DD57">
            <w:pPr>
              <w:pStyle w:val="127"/>
              <w:keepNext w:val="0"/>
              <w:keepLines w:val="0"/>
              <w:widowControl/>
              <w:suppressLineNumbers w:val="0"/>
              <w:spacing w:before="0" w:beforeAutospacing="0" w:after="0" w:afterAutospacing="0"/>
              <w:ind w:left="0" w:right="0"/>
              <w:rPr>
                <w:rFonts w:hint="eastAsia"/>
              </w:rPr>
            </w:pPr>
            <w:r>
              <w:rPr>
                <w:rFonts w:hint="eastAsia" w:cs="Times New Roman"/>
                <w:lang w:eastAsia="zh-CN"/>
              </w:rPr>
              <w:t>碱喷淋</w:t>
            </w:r>
          </w:p>
        </w:tc>
        <w:tc>
          <w:tcPr>
            <w:tcW w:w="1061" w:type="pct"/>
            <w:vAlign w:val="center"/>
          </w:tcPr>
          <w:p w14:paraId="4265C7AA">
            <w:pPr>
              <w:pStyle w:val="127"/>
              <w:keepNext w:val="0"/>
              <w:keepLines w:val="0"/>
              <w:widowControl/>
              <w:suppressLineNumbers w:val="0"/>
              <w:spacing w:before="0" w:beforeAutospacing="0" w:after="0" w:afterAutospacing="0"/>
              <w:ind w:left="0" w:right="0"/>
              <w:rPr>
                <w:rFonts w:hint="eastAsia"/>
              </w:rPr>
            </w:pPr>
            <w:r>
              <w:rPr>
                <w:rFonts w:hint="eastAsia"/>
                <w:lang w:eastAsia="zh-CN"/>
              </w:rPr>
              <w:t>颗粒物</w:t>
            </w:r>
          </w:p>
        </w:tc>
        <w:tc>
          <w:tcPr>
            <w:tcW w:w="939" w:type="pct"/>
            <w:vAlign w:val="center"/>
          </w:tcPr>
          <w:p w14:paraId="0B4288CE">
            <w:pPr>
              <w:pStyle w:val="127"/>
              <w:keepNext w:val="0"/>
              <w:keepLines w:val="0"/>
              <w:widowControl/>
              <w:suppressLineNumbers w:val="0"/>
              <w:spacing w:before="0" w:beforeAutospacing="0" w:after="0" w:afterAutospacing="0"/>
              <w:ind w:left="0" w:right="0"/>
              <w:rPr>
                <w:rFonts w:hint="default" w:cs="Times New Roman"/>
              </w:rPr>
            </w:pPr>
            <w:r>
              <w:rPr>
                <w:rFonts w:hint="eastAsia" w:cs="Times New Roman"/>
                <w:color w:val="000000"/>
                <w:kern w:val="2"/>
                <w:sz w:val="21"/>
                <w:szCs w:val="21"/>
                <w:lang w:val="en-US" w:eastAsia="zh-CN" w:bidi="ar-SA"/>
              </w:rPr>
              <w:t>3650</w:t>
            </w:r>
          </w:p>
        </w:tc>
        <w:tc>
          <w:tcPr>
            <w:tcW w:w="857" w:type="pct"/>
            <w:vAlign w:val="center"/>
          </w:tcPr>
          <w:p w14:paraId="083CEDEB">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0.0059</w:t>
            </w:r>
          </w:p>
        </w:tc>
      </w:tr>
      <w:tr w14:paraId="3D9A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70658C17">
            <w:pPr>
              <w:pStyle w:val="127"/>
              <w:keepNext w:val="0"/>
              <w:keepLines w:val="0"/>
              <w:widowControl/>
              <w:suppressLineNumbers w:val="0"/>
              <w:spacing w:before="0" w:beforeAutospacing="0" w:after="0" w:afterAutospacing="0"/>
              <w:ind w:left="0" w:right="0"/>
              <w:rPr>
                <w:rFonts w:hint="eastAsia"/>
              </w:rPr>
            </w:pPr>
          </w:p>
        </w:tc>
        <w:tc>
          <w:tcPr>
            <w:tcW w:w="1545" w:type="pct"/>
            <w:vAlign w:val="center"/>
          </w:tcPr>
          <w:p w14:paraId="780EA9C3">
            <w:pPr>
              <w:pStyle w:val="127"/>
              <w:keepNext w:val="0"/>
              <w:keepLines w:val="0"/>
              <w:widowControl/>
              <w:suppressLineNumbers w:val="0"/>
              <w:spacing w:before="0" w:beforeAutospacing="0" w:after="0" w:afterAutospacing="0"/>
              <w:ind w:left="0" w:right="0"/>
              <w:rPr>
                <w:rFonts w:hint="eastAsia"/>
              </w:rPr>
            </w:pPr>
            <w:r>
              <w:rPr>
                <w:rFonts w:hint="eastAsia" w:cs="Times New Roman"/>
                <w:lang w:eastAsia="zh-CN"/>
              </w:rPr>
              <w:t>碱喷淋</w:t>
            </w:r>
          </w:p>
        </w:tc>
        <w:tc>
          <w:tcPr>
            <w:tcW w:w="1061" w:type="pct"/>
            <w:vAlign w:val="center"/>
          </w:tcPr>
          <w:p w14:paraId="5FB46535">
            <w:pPr>
              <w:pStyle w:val="127"/>
              <w:keepNext w:val="0"/>
              <w:keepLines w:val="0"/>
              <w:widowControl/>
              <w:suppressLineNumbers w:val="0"/>
              <w:spacing w:before="0" w:beforeAutospacing="0" w:after="0" w:afterAutospacing="0"/>
              <w:ind w:left="0" w:right="0"/>
              <w:rPr>
                <w:rFonts w:hint="eastAsia"/>
              </w:rPr>
            </w:pPr>
            <w:r>
              <w:rPr>
                <w:rFonts w:hint="eastAsia" w:cs="Times New Roman"/>
                <w:lang w:eastAsia="zh-CN"/>
              </w:rPr>
              <w:t>氯化氢</w:t>
            </w:r>
          </w:p>
        </w:tc>
        <w:tc>
          <w:tcPr>
            <w:tcW w:w="939" w:type="pct"/>
            <w:vAlign w:val="center"/>
          </w:tcPr>
          <w:p w14:paraId="6162471A">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1410</w:t>
            </w:r>
          </w:p>
        </w:tc>
        <w:tc>
          <w:tcPr>
            <w:tcW w:w="857" w:type="pct"/>
            <w:vAlign w:val="center"/>
          </w:tcPr>
          <w:p w14:paraId="7E4DB5A2">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0.0107</w:t>
            </w:r>
          </w:p>
        </w:tc>
      </w:tr>
      <w:tr w14:paraId="7404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restart"/>
            <w:vAlign w:val="center"/>
          </w:tcPr>
          <w:p w14:paraId="03CBB833">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无组织</w:t>
            </w:r>
          </w:p>
        </w:tc>
        <w:tc>
          <w:tcPr>
            <w:tcW w:w="1545" w:type="pct"/>
            <w:vMerge w:val="restart"/>
            <w:vAlign w:val="center"/>
          </w:tcPr>
          <w:p w14:paraId="4F83794D">
            <w:pPr>
              <w:pStyle w:val="127"/>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物料采用密闭输送，定期对设备管线组件检测与修复，减少跑、冒、滴、漏现象。罐区废气收集后通过排空进入活性炭移动床吸附装置处理</w:t>
            </w:r>
          </w:p>
        </w:tc>
        <w:tc>
          <w:tcPr>
            <w:tcW w:w="1061" w:type="pct"/>
            <w:vAlign w:val="center"/>
          </w:tcPr>
          <w:p w14:paraId="482CFF71">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cs="Times New Roman"/>
                <w:position w:val="1"/>
                <w:lang w:eastAsia="zh-CN"/>
              </w:rPr>
              <w:t>非甲烷总烃</w:t>
            </w:r>
          </w:p>
        </w:tc>
        <w:tc>
          <w:tcPr>
            <w:tcW w:w="939" w:type="pct"/>
            <w:vAlign w:val="center"/>
          </w:tcPr>
          <w:p w14:paraId="386A0A50">
            <w:pPr>
              <w:pStyle w:val="127"/>
              <w:keepNext w:val="0"/>
              <w:keepLines w:val="0"/>
              <w:widowControl/>
              <w:suppressLineNumbers w:val="0"/>
              <w:spacing w:before="0" w:beforeAutospacing="0" w:after="0" w:afterAutospacing="0"/>
              <w:ind w:left="0" w:right="0"/>
              <w:rPr>
                <w:rFonts w:hint="eastAsia" w:cs="Times New Roman"/>
                <w:lang w:val="en-US" w:eastAsia="zh-CN"/>
              </w:rPr>
            </w:pPr>
            <w:r>
              <w:rPr>
                <w:rFonts w:hint="eastAsia" w:cs="Times New Roman"/>
                <w:color w:val="000000"/>
                <w:kern w:val="2"/>
                <w:sz w:val="21"/>
                <w:szCs w:val="21"/>
                <w:lang w:val="en-US" w:eastAsia="zh-CN" w:bidi="ar-SA"/>
              </w:rPr>
              <w:t>---</w:t>
            </w:r>
          </w:p>
        </w:tc>
        <w:tc>
          <w:tcPr>
            <w:tcW w:w="857" w:type="pct"/>
            <w:vAlign w:val="center"/>
          </w:tcPr>
          <w:p w14:paraId="75FC76A8">
            <w:pPr>
              <w:pStyle w:val="127"/>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0.0489</w:t>
            </w:r>
          </w:p>
        </w:tc>
      </w:tr>
      <w:tr w14:paraId="68A9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6FFB92BF">
            <w:pPr>
              <w:pStyle w:val="127"/>
              <w:keepNext w:val="0"/>
              <w:keepLines w:val="0"/>
              <w:widowControl/>
              <w:suppressLineNumbers w:val="0"/>
              <w:spacing w:before="0" w:beforeAutospacing="0" w:after="0" w:afterAutospacing="0"/>
              <w:ind w:left="0" w:right="0"/>
              <w:rPr>
                <w:rFonts w:hint="eastAsia"/>
                <w:lang w:eastAsia="zh-CN"/>
              </w:rPr>
            </w:pPr>
          </w:p>
        </w:tc>
        <w:tc>
          <w:tcPr>
            <w:tcW w:w="1545" w:type="pct"/>
            <w:vMerge w:val="continue"/>
            <w:vAlign w:val="center"/>
          </w:tcPr>
          <w:p w14:paraId="5A4B2239">
            <w:pPr>
              <w:pStyle w:val="127"/>
              <w:keepNext w:val="0"/>
              <w:keepLines w:val="0"/>
              <w:widowControl/>
              <w:suppressLineNumbers w:val="0"/>
              <w:spacing w:before="0" w:beforeAutospacing="0" w:after="0" w:afterAutospacing="0"/>
              <w:ind w:left="0" w:right="0"/>
              <w:rPr>
                <w:rFonts w:hint="default" w:cs="Times New Roman"/>
                <w:lang w:val="en-US" w:eastAsia="zh-CN"/>
              </w:rPr>
            </w:pPr>
          </w:p>
        </w:tc>
        <w:tc>
          <w:tcPr>
            <w:tcW w:w="1061" w:type="pct"/>
            <w:vAlign w:val="center"/>
          </w:tcPr>
          <w:p w14:paraId="57DE7A8F">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cs="Times New Roman"/>
                <w:lang w:eastAsia="zh-CN"/>
              </w:rPr>
              <w:t>氯化氢</w:t>
            </w:r>
          </w:p>
        </w:tc>
        <w:tc>
          <w:tcPr>
            <w:tcW w:w="939" w:type="pct"/>
            <w:vAlign w:val="center"/>
          </w:tcPr>
          <w:p w14:paraId="14716CF3">
            <w:pPr>
              <w:pStyle w:val="127"/>
              <w:keepNext w:val="0"/>
              <w:keepLines w:val="0"/>
              <w:widowControl/>
              <w:suppressLineNumbers w:val="0"/>
              <w:spacing w:before="0" w:beforeAutospacing="0" w:after="0" w:afterAutospacing="0"/>
              <w:ind w:left="0" w:right="0"/>
              <w:rPr>
                <w:rFonts w:hint="eastAsia" w:cs="Times New Roman"/>
                <w:lang w:val="en-US" w:eastAsia="zh-CN"/>
              </w:rPr>
            </w:pPr>
            <w:r>
              <w:rPr>
                <w:rFonts w:hint="eastAsia" w:cs="Times New Roman"/>
                <w:color w:val="000000"/>
                <w:kern w:val="2"/>
                <w:sz w:val="21"/>
                <w:szCs w:val="21"/>
                <w:lang w:val="en-US" w:eastAsia="zh-CN" w:bidi="ar-SA"/>
              </w:rPr>
              <w:t>---</w:t>
            </w:r>
          </w:p>
        </w:tc>
        <w:tc>
          <w:tcPr>
            <w:tcW w:w="857" w:type="pct"/>
            <w:vAlign w:val="center"/>
          </w:tcPr>
          <w:p w14:paraId="79A31147">
            <w:pPr>
              <w:pStyle w:val="127"/>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0.0056</w:t>
            </w:r>
          </w:p>
        </w:tc>
      </w:tr>
      <w:tr w14:paraId="4370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13E55640">
            <w:pPr>
              <w:pStyle w:val="127"/>
              <w:keepNext w:val="0"/>
              <w:keepLines w:val="0"/>
              <w:widowControl/>
              <w:suppressLineNumbers w:val="0"/>
              <w:spacing w:before="0" w:beforeAutospacing="0" w:after="0" w:afterAutospacing="0"/>
              <w:ind w:left="0" w:right="0"/>
              <w:rPr>
                <w:rFonts w:hint="eastAsia"/>
                <w:lang w:eastAsia="zh-CN"/>
              </w:rPr>
            </w:pPr>
          </w:p>
        </w:tc>
        <w:tc>
          <w:tcPr>
            <w:tcW w:w="1545" w:type="pct"/>
            <w:vMerge w:val="continue"/>
            <w:vAlign w:val="center"/>
          </w:tcPr>
          <w:p w14:paraId="6102A412">
            <w:pPr>
              <w:pStyle w:val="127"/>
              <w:keepNext w:val="0"/>
              <w:keepLines w:val="0"/>
              <w:widowControl/>
              <w:suppressLineNumbers w:val="0"/>
              <w:spacing w:before="0" w:beforeAutospacing="0" w:after="0" w:afterAutospacing="0"/>
              <w:ind w:left="0" w:right="0"/>
              <w:rPr>
                <w:rFonts w:hint="default" w:cs="Times New Roman"/>
                <w:lang w:val="en-US" w:eastAsia="zh-CN"/>
              </w:rPr>
            </w:pPr>
          </w:p>
        </w:tc>
        <w:tc>
          <w:tcPr>
            <w:tcW w:w="1061" w:type="pct"/>
            <w:vAlign w:val="center"/>
          </w:tcPr>
          <w:p w14:paraId="3095C496">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000000"/>
                <w:kern w:val="2"/>
                <w:sz w:val="21"/>
                <w:szCs w:val="21"/>
                <w:lang w:val="en-US" w:eastAsia="zh-CN" w:bidi="ar-SA"/>
              </w:rPr>
            </w:pPr>
            <w:r>
              <w:rPr>
                <w:rFonts w:hint="eastAsia"/>
                <w:lang w:eastAsia="zh-CN"/>
              </w:rPr>
              <w:t>颗粒物</w:t>
            </w:r>
          </w:p>
        </w:tc>
        <w:tc>
          <w:tcPr>
            <w:tcW w:w="939" w:type="pct"/>
            <w:vAlign w:val="center"/>
          </w:tcPr>
          <w:p w14:paraId="2C8047C1">
            <w:pPr>
              <w:pStyle w:val="127"/>
              <w:keepNext w:val="0"/>
              <w:keepLines w:val="0"/>
              <w:widowControl/>
              <w:suppressLineNumbers w:val="0"/>
              <w:spacing w:before="0" w:beforeAutospacing="0" w:after="0" w:afterAutospacing="0"/>
              <w:ind w:left="0" w:right="0"/>
              <w:rPr>
                <w:rFonts w:hint="eastAsia" w:cs="Times New Roman"/>
                <w:lang w:val="en-US" w:eastAsia="zh-CN"/>
              </w:rPr>
            </w:pPr>
            <w:r>
              <w:rPr>
                <w:rFonts w:hint="eastAsia" w:cs="Times New Roman"/>
                <w:color w:val="000000"/>
                <w:kern w:val="2"/>
                <w:sz w:val="21"/>
                <w:szCs w:val="21"/>
                <w:lang w:val="en-US" w:eastAsia="zh-CN" w:bidi="ar-SA"/>
              </w:rPr>
              <w:t>---</w:t>
            </w:r>
          </w:p>
        </w:tc>
        <w:tc>
          <w:tcPr>
            <w:tcW w:w="857" w:type="pct"/>
            <w:vAlign w:val="center"/>
          </w:tcPr>
          <w:p w14:paraId="3A528F01">
            <w:pPr>
              <w:pStyle w:val="127"/>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0.0159</w:t>
            </w:r>
          </w:p>
        </w:tc>
      </w:tr>
      <w:tr w14:paraId="412B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2DB369E4">
            <w:pPr>
              <w:pStyle w:val="127"/>
              <w:keepNext w:val="0"/>
              <w:keepLines w:val="0"/>
              <w:widowControl/>
              <w:suppressLineNumbers w:val="0"/>
              <w:spacing w:before="0" w:beforeAutospacing="0" w:after="0" w:afterAutospacing="0"/>
              <w:ind w:left="0" w:right="0"/>
              <w:rPr>
                <w:rFonts w:hint="eastAsia"/>
                <w:lang w:eastAsia="zh-CN"/>
              </w:rPr>
            </w:pPr>
          </w:p>
        </w:tc>
        <w:tc>
          <w:tcPr>
            <w:tcW w:w="1545" w:type="pct"/>
            <w:vMerge w:val="continue"/>
            <w:vAlign w:val="center"/>
          </w:tcPr>
          <w:p w14:paraId="56A5136D">
            <w:pPr>
              <w:pStyle w:val="127"/>
              <w:keepNext w:val="0"/>
              <w:keepLines w:val="0"/>
              <w:widowControl/>
              <w:suppressLineNumbers w:val="0"/>
              <w:spacing w:before="0" w:beforeAutospacing="0" w:after="0" w:afterAutospacing="0"/>
              <w:ind w:left="0" w:right="0"/>
              <w:rPr>
                <w:rFonts w:hint="default" w:cs="Times New Roman"/>
                <w:lang w:val="en-US" w:eastAsia="zh-CN"/>
              </w:rPr>
            </w:pPr>
          </w:p>
        </w:tc>
        <w:tc>
          <w:tcPr>
            <w:tcW w:w="1061" w:type="pct"/>
            <w:vAlign w:val="center"/>
          </w:tcPr>
          <w:p w14:paraId="14A3B219">
            <w:pPr>
              <w:pStyle w:val="127"/>
              <w:keepNext w:val="0"/>
              <w:keepLines w:val="0"/>
              <w:widowControl/>
              <w:suppressLineNumbers w:val="0"/>
              <w:spacing w:before="0" w:beforeAutospacing="0" w:after="0" w:afterAutospacing="0"/>
              <w:ind w:left="0" w:right="0"/>
              <w:rPr>
                <w:rFonts w:hint="default"/>
                <w:lang w:val="en-US" w:eastAsia="zh-CN"/>
              </w:rPr>
            </w:pPr>
            <w:r>
              <w:rPr>
                <w:rFonts w:hint="eastAsia"/>
                <w:lang w:eastAsia="zh-CN"/>
              </w:rPr>
              <w:t>甲苯</w:t>
            </w:r>
          </w:p>
        </w:tc>
        <w:tc>
          <w:tcPr>
            <w:tcW w:w="939" w:type="pct"/>
            <w:vAlign w:val="center"/>
          </w:tcPr>
          <w:p w14:paraId="6B138606">
            <w:pPr>
              <w:pStyle w:val="127"/>
              <w:keepNext w:val="0"/>
              <w:keepLines w:val="0"/>
              <w:widowControl/>
              <w:suppressLineNumbers w:val="0"/>
              <w:spacing w:before="0" w:beforeAutospacing="0" w:after="0" w:afterAutospacing="0"/>
              <w:ind w:left="0" w:right="0"/>
              <w:rPr>
                <w:rFonts w:hint="eastAsia" w:cs="Times New Roman"/>
                <w:color w:val="000000"/>
                <w:kern w:val="2"/>
                <w:sz w:val="21"/>
                <w:szCs w:val="21"/>
                <w:lang w:val="en-US" w:eastAsia="zh-CN" w:bidi="ar-SA"/>
              </w:rPr>
            </w:pPr>
            <w:r>
              <w:rPr>
                <w:rFonts w:hint="eastAsia" w:cs="Times New Roman"/>
                <w:color w:val="000000"/>
                <w:kern w:val="2"/>
                <w:sz w:val="21"/>
                <w:szCs w:val="21"/>
                <w:lang w:val="en-US" w:eastAsia="zh-CN" w:bidi="ar-SA"/>
              </w:rPr>
              <w:t>---</w:t>
            </w:r>
          </w:p>
        </w:tc>
        <w:tc>
          <w:tcPr>
            <w:tcW w:w="857" w:type="pct"/>
            <w:vAlign w:val="center"/>
          </w:tcPr>
          <w:p w14:paraId="58E4D204">
            <w:pPr>
              <w:pStyle w:val="127"/>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0.0007</w:t>
            </w:r>
          </w:p>
        </w:tc>
      </w:tr>
      <w:tr w14:paraId="6002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95" w:type="pct"/>
            <w:vMerge w:val="continue"/>
            <w:vAlign w:val="center"/>
          </w:tcPr>
          <w:p w14:paraId="2142E764">
            <w:pPr>
              <w:pStyle w:val="127"/>
              <w:keepNext w:val="0"/>
              <w:keepLines w:val="0"/>
              <w:widowControl/>
              <w:suppressLineNumbers w:val="0"/>
              <w:spacing w:before="0" w:beforeAutospacing="0" w:after="0" w:afterAutospacing="0"/>
              <w:ind w:left="0" w:right="0"/>
              <w:rPr>
                <w:rFonts w:hint="eastAsia"/>
                <w:lang w:eastAsia="zh-CN"/>
              </w:rPr>
            </w:pPr>
          </w:p>
        </w:tc>
        <w:tc>
          <w:tcPr>
            <w:tcW w:w="1545" w:type="pct"/>
            <w:vMerge w:val="continue"/>
            <w:vAlign w:val="center"/>
          </w:tcPr>
          <w:p w14:paraId="18D2D6DF">
            <w:pPr>
              <w:pStyle w:val="127"/>
              <w:keepNext w:val="0"/>
              <w:keepLines w:val="0"/>
              <w:widowControl/>
              <w:suppressLineNumbers w:val="0"/>
              <w:spacing w:before="0" w:beforeAutospacing="0" w:after="0" w:afterAutospacing="0"/>
              <w:ind w:left="0" w:right="0"/>
              <w:rPr>
                <w:rFonts w:hint="default" w:cs="Times New Roman"/>
                <w:lang w:val="en-US" w:eastAsia="zh-CN"/>
              </w:rPr>
            </w:pPr>
          </w:p>
        </w:tc>
        <w:tc>
          <w:tcPr>
            <w:tcW w:w="1061" w:type="pct"/>
            <w:vAlign w:val="center"/>
          </w:tcPr>
          <w:p w14:paraId="294F6B17">
            <w:pPr>
              <w:pStyle w:val="127"/>
              <w:keepNext w:val="0"/>
              <w:keepLines w:val="0"/>
              <w:widowControl/>
              <w:suppressLineNumbers w:val="0"/>
              <w:spacing w:before="0" w:beforeAutospacing="0" w:after="0" w:afterAutospacing="0"/>
              <w:ind w:left="0" w:right="0"/>
              <w:rPr>
                <w:rFonts w:hint="eastAsia"/>
                <w:lang w:eastAsia="zh-CN"/>
              </w:rPr>
            </w:pPr>
            <w:r>
              <w:rPr>
                <w:rFonts w:hint="eastAsia"/>
                <w:lang w:eastAsia="zh-CN"/>
              </w:rPr>
              <w:t>臭气浓度</w:t>
            </w:r>
          </w:p>
        </w:tc>
        <w:tc>
          <w:tcPr>
            <w:tcW w:w="939" w:type="pct"/>
            <w:vAlign w:val="center"/>
          </w:tcPr>
          <w:p w14:paraId="381D0D27">
            <w:pPr>
              <w:pStyle w:val="127"/>
              <w:keepNext w:val="0"/>
              <w:keepLines w:val="0"/>
              <w:widowControl/>
              <w:suppressLineNumbers w:val="0"/>
              <w:spacing w:before="0" w:beforeAutospacing="0" w:after="0" w:afterAutospacing="0"/>
              <w:ind w:left="0" w:right="0"/>
              <w:rPr>
                <w:rFonts w:hint="eastAsia" w:cs="Times New Roman"/>
                <w:color w:val="000000"/>
                <w:kern w:val="2"/>
                <w:sz w:val="21"/>
                <w:szCs w:val="21"/>
                <w:lang w:val="en-US" w:eastAsia="zh-CN" w:bidi="ar-SA"/>
              </w:rPr>
            </w:pPr>
            <w:r>
              <w:rPr>
                <w:rFonts w:hint="eastAsia" w:cs="Times New Roman"/>
                <w:color w:val="000000"/>
                <w:kern w:val="2"/>
                <w:sz w:val="21"/>
                <w:szCs w:val="21"/>
                <w:lang w:val="en-US" w:eastAsia="zh-CN" w:bidi="ar-SA"/>
              </w:rPr>
              <w:t>---</w:t>
            </w:r>
          </w:p>
        </w:tc>
        <w:tc>
          <w:tcPr>
            <w:tcW w:w="857" w:type="pct"/>
            <w:vAlign w:val="center"/>
          </w:tcPr>
          <w:p w14:paraId="6F1705D0">
            <w:pPr>
              <w:pStyle w:val="127"/>
              <w:keepNext w:val="0"/>
              <w:keepLines w:val="0"/>
              <w:widowControl/>
              <w:suppressLineNumbers w:val="0"/>
              <w:spacing w:before="0" w:beforeAutospacing="0" w:after="0" w:afterAutospacing="0"/>
              <w:ind w:left="0" w:right="0"/>
              <w:rPr>
                <w:rFonts w:hint="default" w:cs="Times New Roman"/>
                <w:lang w:val="en-US" w:eastAsia="zh-CN"/>
              </w:rPr>
            </w:pPr>
            <w:r>
              <w:rPr>
                <w:rFonts w:hint="eastAsia" w:cs="Times New Roman"/>
                <w:lang w:val="en-US" w:eastAsia="zh-CN"/>
              </w:rPr>
              <w:t>1.2747</w:t>
            </w:r>
          </w:p>
        </w:tc>
      </w:tr>
    </w:tbl>
    <w:p w14:paraId="702F864A">
      <w:pPr>
        <w:pStyle w:val="124"/>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b/>
          <w:bCs/>
        </w:rPr>
      </w:pPr>
    </w:p>
    <w:p w14:paraId="6725064F">
      <w:pPr>
        <w:pStyle w:val="124"/>
        <w:keepNext w:val="0"/>
        <w:keepLines w:val="0"/>
        <w:pageBreakBefore w:val="0"/>
        <w:widowControl/>
        <w:numPr>
          <w:ilvl w:val="0"/>
          <w:numId w:val="0"/>
        </w:numPr>
        <w:kinsoku/>
        <w:wordWrap/>
        <w:overflowPunct/>
        <w:topLinePunct w:val="0"/>
        <w:autoSpaceDE/>
        <w:autoSpaceDN/>
        <w:bidi w:val="0"/>
        <w:adjustRightInd/>
        <w:snapToGrid/>
        <w:ind w:leftChars="0"/>
        <w:textAlignment w:val="auto"/>
        <w:rPr>
          <w:rFonts w:hint="eastAsia"/>
          <w:b/>
          <w:bCs/>
        </w:rPr>
      </w:pPr>
      <w:r>
        <w:rPr>
          <w:rFonts w:hint="eastAsia"/>
          <w:b/>
          <w:bCs/>
          <w:lang w:eastAsia="zh-CN"/>
        </w:rPr>
        <w:t>（二）</w:t>
      </w:r>
      <w:r>
        <w:rPr>
          <w:rFonts w:hint="eastAsia"/>
          <w:b/>
          <w:bCs/>
        </w:rPr>
        <w:t>废水</w:t>
      </w:r>
    </w:p>
    <w:p w14:paraId="131BE4DF">
      <w:pPr>
        <w:pStyle w:val="124"/>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bCs/>
        </w:rPr>
      </w:pPr>
      <w:r>
        <w:rPr>
          <w:rFonts w:hint="eastAsia"/>
          <w:bCs/>
        </w:rPr>
        <w:t>3,3′-二氯联苯胺盐酸盐生产过程中产生的还原工序滤液（碱性）与脱水工序滤液（酸性）在原水罐中中和至碱性，再经过固液分离塔沉淀后，上清液送至树脂罐；下层产生不溶于水的有机物，主要成分为邻氯苯胺有机杂质，用泵打入蒸馏塔提取邻氯苯胺</w:t>
      </w:r>
      <w:r>
        <w:rPr>
          <w:rFonts w:hint="eastAsia"/>
          <w:bCs/>
          <w:lang w:eastAsia="zh-CN"/>
        </w:rPr>
        <w:t>（产能</w:t>
      </w:r>
      <w:r>
        <w:rPr>
          <w:rFonts w:hint="eastAsia"/>
          <w:bCs/>
          <w:lang w:val="en-US" w:eastAsia="zh-CN"/>
        </w:rPr>
        <w:t>300/t）</w:t>
      </w:r>
      <w:r>
        <w:rPr>
          <w:rFonts w:hint="eastAsia"/>
          <w:bCs/>
        </w:rPr>
        <w:t>。与蒸馏后的反应物与上清液中加入亚硝酸钠进行重氮反应产生沥青质，再加入NaOH调节pH值中和，最后经沥青提纯罐将含NaCl的水静置分出，分出的沥青物质再经过蒸馏塔负压蒸馏去除（回收）里边的易挥发物质邻氯苯胺后得到副产物沥青。</w:t>
      </w:r>
      <w:r>
        <w:rPr>
          <w:rFonts w:hint="eastAsia"/>
          <w:bCs/>
          <w:lang w:eastAsia="zh-CN"/>
        </w:rPr>
        <w:t>根据危废管理名录</w:t>
      </w:r>
      <w:r>
        <w:rPr>
          <w:rFonts w:hint="eastAsia"/>
          <w:bCs/>
          <w:lang w:val="en-US" w:eastAsia="zh-CN"/>
        </w:rPr>
        <w:t>2021版，副产沥青已做危废处置。</w:t>
      </w:r>
      <w:r>
        <w:rPr>
          <w:rFonts w:hint="eastAsia"/>
          <w:bCs/>
        </w:rPr>
        <w:t>初期雨水收集池2个（有效容积80m3）和事故水池</w:t>
      </w:r>
      <w:r>
        <w:rPr>
          <w:rFonts w:hint="eastAsia"/>
          <w:bCs/>
          <w:lang w:val="en-US" w:eastAsia="zh-CN"/>
        </w:rPr>
        <w:t>2</w:t>
      </w:r>
      <w:r>
        <w:rPr>
          <w:rFonts w:hint="eastAsia"/>
          <w:bCs/>
        </w:rPr>
        <w:t>个（有效容积分为别</w:t>
      </w:r>
      <w:r>
        <w:rPr>
          <w:rFonts w:hint="eastAsia"/>
          <w:bCs/>
          <w:lang w:val="en-US" w:eastAsia="zh-CN"/>
        </w:rPr>
        <w:t>50</w:t>
      </w:r>
      <w:r>
        <w:rPr>
          <w:rFonts w:hint="eastAsia"/>
          <w:bCs/>
        </w:rPr>
        <w:t>0m3、</w:t>
      </w:r>
      <w:r>
        <w:rPr>
          <w:rFonts w:hint="eastAsia"/>
          <w:bCs/>
          <w:lang w:eastAsia="zh-CN"/>
        </w:rPr>
        <w:t>240</w:t>
      </w:r>
      <w:r>
        <w:rPr>
          <w:rFonts w:hint="eastAsia"/>
          <w:bCs/>
        </w:rPr>
        <w:t>m3），与</w:t>
      </w:r>
      <w:r>
        <w:rPr>
          <w:rFonts w:hint="eastAsia"/>
          <w:bCs/>
          <w:lang w:eastAsia="zh-CN"/>
        </w:rPr>
        <w:t>淄博元齐生物科技有限公司</w:t>
      </w:r>
      <w:r>
        <w:rPr>
          <w:rFonts w:hint="eastAsia"/>
          <w:bCs/>
        </w:rPr>
        <w:t>、山东隆信</w:t>
      </w:r>
      <w:r>
        <w:rPr>
          <w:rFonts w:hint="eastAsia"/>
          <w:bCs/>
          <w:lang w:eastAsia="zh-CN"/>
        </w:rPr>
        <w:t>药业</w:t>
      </w:r>
      <w:r>
        <w:rPr>
          <w:rFonts w:hint="eastAsia"/>
          <w:bCs/>
        </w:rPr>
        <w:t>有限公司共用。</w:t>
      </w:r>
    </w:p>
    <w:p w14:paraId="09D55AB5">
      <w:pPr>
        <w:pStyle w:val="124"/>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bCs/>
        </w:rPr>
      </w:pPr>
      <w:r>
        <w:rPr>
          <w:rFonts w:hint="eastAsia"/>
          <w:bCs/>
          <w:lang w:eastAsia="zh-CN"/>
        </w:rPr>
        <w:t>提纯罐静置</w:t>
      </w:r>
      <w:r>
        <w:rPr>
          <w:rFonts w:hint="eastAsia"/>
          <w:bCs/>
        </w:rPr>
        <w:t>分出的废水汇同初期雨水、设备地面冲洗水、循环冷却排污水经三级沉淀池处理后进入废水收集池，满足齐鲁石化供排水厂入水指标后经管网排入齐鲁石化供排水厂进一步深度处理，处理达标后通过管线排海。</w:t>
      </w:r>
    </w:p>
    <w:p w14:paraId="6BA7175E">
      <w:pPr>
        <w:pStyle w:val="124"/>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b/>
          <w:bCs/>
        </w:rPr>
      </w:pPr>
      <w:r>
        <w:rPr>
          <w:rFonts w:hint="eastAsia"/>
          <w:kern w:val="0"/>
          <w:szCs w:val="24"/>
        </w:rPr>
        <w:t>污水处理装置处理工艺如下：</w:t>
      </w:r>
    </w:p>
    <w:p w14:paraId="72470DC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outlineLvl w:val="9"/>
        <w:rPr>
          <w:rFonts w:hint="default" w:ascii="Times New Roman" w:hAnsi="Times New Roman" w:cs="Times New Roman"/>
          <w:color w:val="auto"/>
          <w:sz w:val="24"/>
          <w:highlight w:val="none"/>
          <w:lang w:val="en-US"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151765</wp:posOffset>
            </wp:positionH>
            <wp:positionV relativeFrom="paragraph">
              <wp:posOffset>59055</wp:posOffset>
            </wp:positionV>
            <wp:extent cx="5275580" cy="2530475"/>
            <wp:effectExtent l="0" t="0" r="1270" b="3175"/>
            <wp:wrapSquare wrapText="bothSides"/>
            <wp:docPr id="189" name="图片 4" descr="2c7b67292bd85da3e2d803ad663d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4" descr="2c7b67292bd85da3e2d803ad663ddc1"/>
                    <pic:cNvPicPr>
                      <a:picLocks noChangeAspect="1"/>
                    </pic:cNvPicPr>
                  </pic:nvPicPr>
                  <pic:blipFill>
                    <a:blip r:embed="rId19"/>
                    <a:stretch>
                      <a:fillRect/>
                    </a:stretch>
                  </pic:blipFill>
                  <pic:spPr>
                    <a:xfrm>
                      <a:off x="0" y="0"/>
                      <a:ext cx="5275580" cy="2530475"/>
                    </a:xfrm>
                    <a:prstGeom prst="rect">
                      <a:avLst/>
                    </a:prstGeom>
                    <a:noFill/>
                    <a:ln>
                      <a:noFill/>
                    </a:ln>
                  </pic:spPr>
                </pic:pic>
              </a:graphicData>
            </a:graphic>
          </wp:anchor>
        </w:drawing>
      </w:r>
    </w:p>
    <w:p w14:paraId="4332F45D">
      <w:pPr>
        <w:pStyle w:val="6"/>
        <w:rPr>
          <w:rFonts w:hint="default" w:ascii="Times New Roman" w:hAnsi="Times New Roman" w:cs="Times New Roman"/>
          <w:color w:val="auto"/>
          <w:sz w:val="24"/>
          <w:highlight w:val="none"/>
          <w:lang w:val="en-US" w:eastAsia="zh-CN"/>
        </w:rPr>
      </w:pPr>
    </w:p>
    <w:p w14:paraId="6D15E0CF">
      <w:pPr>
        <w:rPr>
          <w:rFonts w:hint="default" w:ascii="Times New Roman" w:hAnsi="Times New Roman" w:cs="Times New Roman"/>
          <w:color w:val="auto"/>
          <w:sz w:val="24"/>
          <w:highlight w:val="none"/>
          <w:lang w:val="en-US" w:eastAsia="zh-CN"/>
        </w:rPr>
      </w:pPr>
    </w:p>
    <w:p w14:paraId="3B993ED3">
      <w:pPr>
        <w:pStyle w:val="124"/>
        <w:spacing w:before="120"/>
        <w:ind w:left="0" w:leftChars="0" w:firstLine="0" w:firstLineChars="0"/>
        <w:rPr>
          <w:rFonts w:hint="eastAsia"/>
          <w:b/>
          <w:bCs/>
          <w:lang w:eastAsia="zh-CN"/>
        </w:rPr>
      </w:pPr>
    </w:p>
    <w:p w14:paraId="24806346">
      <w:pPr>
        <w:pStyle w:val="124"/>
        <w:spacing w:before="120"/>
        <w:ind w:left="0" w:leftChars="0" w:firstLine="0" w:firstLineChars="0"/>
        <w:rPr>
          <w:rFonts w:hint="eastAsia"/>
          <w:b/>
          <w:bCs/>
          <w:lang w:eastAsia="zh-CN"/>
        </w:rPr>
      </w:pPr>
    </w:p>
    <w:p w14:paraId="7D214862">
      <w:pPr>
        <w:pStyle w:val="124"/>
        <w:spacing w:before="120"/>
        <w:ind w:left="0" w:leftChars="0" w:firstLine="0" w:firstLineChars="0"/>
        <w:rPr>
          <w:rFonts w:hint="eastAsia"/>
          <w:b/>
          <w:bCs/>
          <w:lang w:eastAsia="zh-CN"/>
        </w:rPr>
      </w:pPr>
    </w:p>
    <w:p w14:paraId="37FC0AAB">
      <w:pPr>
        <w:pStyle w:val="124"/>
        <w:spacing w:before="120"/>
        <w:ind w:left="0" w:leftChars="0" w:firstLine="0" w:firstLineChars="0"/>
        <w:rPr>
          <w:rFonts w:hint="eastAsia"/>
          <w:b/>
          <w:bCs/>
          <w:lang w:eastAsia="zh-CN"/>
        </w:rPr>
      </w:pPr>
    </w:p>
    <w:p w14:paraId="6CA1BB81">
      <w:pPr>
        <w:pStyle w:val="124"/>
        <w:spacing w:before="120"/>
        <w:ind w:left="0" w:leftChars="0" w:firstLine="0" w:firstLineChars="0"/>
        <w:rPr>
          <w:rFonts w:hint="eastAsia"/>
          <w:b/>
          <w:bCs/>
          <w:lang w:eastAsia="zh-CN"/>
        </w:rPr>
      </w:pPr>
    </w:p>
    <w:p w14:paraId="795DE845">
      <w:pPr>
        <w:pStyle w:val="124"/>
        <w:keepNext w:val="0"/>
        <w:keepLines w:val="0"/>
        <w:pageBreakBefore w:val="0"/>
        <w:widowControl/>
        <w:kinsoku/>
        <w:wordWrap/>
        <w:overflowPunct/>
        <w:topLinePunct w:val="0"/>
        <w:autoSpaceDE/>
        <w:autoSpaceDN/>
        <w:bidi w:val="0"/>
        <w:adjustRightInd/>
        <w:snapToGrid/>
        <w:spacing w:before="120"/>
        <w:ind w:left="0" w:leftChars="0" w:firstLine="0" w:firstLineChars="0"/>
        <w:textAlignment w:val="auto"/>
        <w:outlineLvl w:val="2"/>
        <w:rPr>
          <w:rFonts w:hint="eastAsia"/>
          <w:b/>
          <w:bCs/>
          <w:lang w:eastAsia="zh-CN"/>
        </w:rPr>
      </w:pPr>
    </w:p>
    <w:p w14:paraId="112AC8A4">
      <w:pPr>
        <w:pStyle w:val="124"/>
        <w:keepNext w:val="0"/>
        <w:keepLines w:val="0"/>
        <w:pageBreakBefore w:val="0"/>
        <w:widowControl/>
        <w:kinsoku/>
        <w:wordWrap/>
        <w:overflowPunct/>
        <w:topLinePunct w:val="0"/>
        <w:autoSpaceDE/>
        <w:autoSpaceDN/>
        <w:bidi w:val="0"/>
        <w:adjustRightInd/>
        <w:snapToGrid/>
        <w:spacing w:before="120"/>
        <w:ind w:left="0" w:leftChars="0" w:firstLine="0" w:firstLineChars="0"/>
        <w:textAlignment w:val="auto"/>
        <w:outlineLvl w:val="2"/>
        <w:rPr>
          <w:b/>
          <w:bCs/>
          <w:lang w:eastAsia="zh-CN"/>
        </w:rPr>
      </w:pPr>
      <w:r>
        <w:rPr>
          <w:rFonts w:hint="eastAsia"/>
          <w:b/>
          <w:bCs/>
          <w:lang w:eastAsia="zh-CN"/>
        </w:rPr>
        <w:t>（三</w:t>
      </w:r>
      <w:r>
        <w:rPr>
          <w:b/>
          <w:bCs/>
          <w:lang w:eastAsia="zh-CN"/>
        </w:rPr>
        <w:t>）</w:t>
      </w:r>
      <w:r>
        <w:rPr>
          <w:rFonts w:hint="eastAsia"/>
          <w:b/>
          <w:bCs/>
          <w:lang w:eastAsia="zh-CN"/>
        </w:rPr>
        <w:t>固体废物</w:t>
      </w:r>
    </w:p>
    <w:p w14:paraId="62DAB7AD">
      <w:pPr>
        <w:keepNext/>
        <w:keepLines w:val="0"/>
        <w:pageBreakBefore w:val="0"/>
        <w:widowControl w:val="0"/>
        <w:kinsoku/>
        <w:wordWrap/>
        <w:overflowPunct/>
        <w:topLinePunct w:val="0"/>
        <w:autoSpaceDE/>
        <w:autoSpaceDN/>
        <w:bidi w:val="0"/>
        <w:adjustRightInd w:val="0"/>
        <w:snapToGrid w:val="0"/>
        <w:ind w:firstLine="2880" w:firstLineChars="1200"/>
        <w:textAlignment w:val="auto"/>
        <w:outlineLvl w:val="9"/>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固体产生废物情况一览表</w:t>
      </w:r>
    </w:p>
    <w:tbl>
      <w:tblPr>
        <w:tblStyle w:val="34"/>
        <w:tblW w:w="4630" w:type="pct"/>
        <w:tblInd w:w="169" w:type="dxa"/>
        <w:tblLayout w:type="autofit"/>
        <w:tblCellMar>
          <w:top w:w="0" w:type="dxa"/>
          <w:left w:w="0" w:type="dxa"/>
          <w:bottom w:w="0" w:type="dxa"/>
          <w:right w:w="0" w:type="dxa"/>
        </w:tblCellMar>
      </w:tblPr>
      <w:tblGrid>
        <w:gridCol w:w="1847"/>
        <w:gridCol w:w="1292"/>
        <w:gridCol w:w="1807"/>
        <w:gridCol w:w="3779"/>
      </w:tblGrid>
      <w:tr w14:paraId="077DEAD8">
        <w:tblPrEx>
          <w:tblCellMar>
            <w:top w:w="0" w:type="dxa"/>
            <w:left w:w="0" w:type="dxa"/>
            <w:bottom w:w="0" w:type="dxa"/>
            <w:right w:w="0" w:type="dxa"/>
          </w:tblCellMar>
        </w:tblPrEx>
        <w:trPr>
          <w:trHeight w:val="388"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73668729">
            <w:pPr>
              <w:pStyle w:val="127"/>
              <w:keepNext w:val="0"/>
              <w:keepLines w:val="0"/>
              <w:widowControl/>
              <w:suppressLineNumbers w:val="0"/>
              <w:spacing w:before="0" w:beforeAutospacing="0" w:after="0" w:afterAutospacing="0"/>
              <w:ind w:left="0" w:right="0"/>
              <w:rPr>
                <w:rFonts w:hint="default"/>
              </w:rPr>
            </w:pPr>
            <w:r>
              <w:rPr>
                <w:rFonts w:hint="eastAsia"/>
              </w:rPr>
              <w:t>污染物</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42E2D4E1">
            <w:pPr>
              <w:pStyle w:val="127"/>
              <w:keepNext w:val="0"/>
              <w:keepLines w:val="0"/>
              <w:widowControl/>
              <w:suppressLineNumbers w:val="0"/>
              <w:spacing w:before="0" w:beforeAutospacing="0" w:after="0" w:afterAutospacing="0"/>
              <w:ind w:left="0" w:right="0"/>
              <w:rPr>
                <w:rFonts w:hint="default"/>
              </w:rPr>
            </w:pPr>
            <w:r>
              <w:rPr>
                <w:rFonts w:hint="eastAsia"/>
              </w:rPr>
              <w:t>产生量</w:t>
            </w:r>
            <w:r>
              <w:rPr>
                <w:rFonts w:hint="default"/>
              </w:rPr>
              <w:t>(t/a)</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2EAC95DA">
            <w:pPr>
              <w:pStyle w:val="127"/>
              <w:keepNext w:val="0"/>
              <w:keepLines w:val="0"/>
              <w:widowControl/>
              <w:suppressLineNumbers w:val="0"/>
              <w:spacing w:before="0" w:beforeAutospacing="0" w:after="0" w:afterAutospacing="0"/>
              <w:ind w:left="0" w:right="0"/>
              <w:rPr>
                <w:rFonts w:hint="default"/>
              </w:rPr>
            </w:pPr>
            <w:r>
              <w:rPr>
                <w:rFonts w:hint="eastAsia"/>
              </w:rPr>
              <w:t>性质</w:t>
            </w:r>
          </w:p>
        </w:tc>
        <w:tc>
          <w:tcPr>
            <w:tcW w:w="2165" w:type="pct"/>
            <w:tcBorders>
              <w:top w:val="single" w:color="000000" w:sz="4" w:space="0"/>
              <w:left w:val="single" w:color="000000" w:sz="4" w:space="0"/>
              <w:bottom w:val="single" w:color="000000" w:sz="4" w:space="0"/>
              <w:right w:val="single" w:color="000000" w:sz="4" w:space="0"/>
            </w:tcBorders>
            <w:noWrap w:val="0"/>
            <w:vAlign w:val="center"/>
          </w:tcPr>
          <w:p w14:paraId="46E25D10">
            <w:pPr>
              <w:pStyle w:val="127"/>
              <w:keepNext w:val="0"/>
              <w:keepLines w:val="0"/>
              <w:widowControl/>
              <w:suppressLineNumbers w:val="0"/>
              <w:spacing w:before="0" w:beforeAutospacing="0" w:after="0" w:afterAutospacing="0"/>
              <w:ind w:left="0" w:right="0"/>
              <w:rPr>
                <w:rFonts w:hint="default"/>
              </w:rPr>
            </w:pPr>
            <w:r>
              <w:rPr>
                <w:rFonts w:hint="eastAsia"/>
              </w:rPr>
              <w:t>去向</w:t>
            </w:r>
          </w:p>
        </w:tc>
      </w:tr>
      <w:tr w14:paraId="4079C9B9">
        <w:tblPrEx>
          <w:tblCellMar>
            <w:top w:w="0" w:type="dxa"/>
            <w:left w:w="0" w:type="dxa"/>
            <w:bottom w:w="0" w:type="dxa"/>
            <w:right w:w="0" w:type="dxa"/>
          </w:tblCellMar>
        </w:tblPrEx>
        <w:trPr>
          <w:trHeight w:val="888" w:hRule="atLeast"/>
        </w:trPr>
        <w:tc>
          <w:tcPr>
            <w:tcW w:w="1058" w:type="pct"/>
            <w:tcBorders>
              <w:top w:val="single" w:color="000000" w:sz="4" w:space="0"/>
              <w:left w:val="single" w:color="000000" w:sz="4" w:space="0"/>
              <w:right w:val="single" w:color="000000" w:sz="4" w:space="0"/>
            </w:tcBorders>
            <w:noWrap w:val="0"/>
            <w:vAlign w:val="center"/>
          </w:tcPr>
          <w:p w14:paraId="44A263BE">
            <w:pPr>
              <w:pStyle w:val="127"/>
              <w:keepNext w:val="0"/>
              <w:keepLines w:val="0"/>
              <w:widowControl/>
              <w:suppressLineNumbers w:val="0"/>
              <w:spacing w:before="0" w:beforeAutospacing="0" w:after="0" w:afterAutospacing="0"/>
              <w:ind w:left="0" w:right="0"/>
              <w:rPr>
                <w:rFonts w:hint="default" w:cs="Times New Roman"/>
              </w:rPr>
            </w:pPr>
            <w:r>
              <w:rPr>
                <w:rFonts w:hint="default" w:ascii="Times New Roman" w:hAnsi="Times New Roman" w:cs="Times New Roman"/>
                <w:bCs/>
                <w:color w:val="auto"/>
                <w:sz w:val="24"/>
              </w:rPr>
              <w:t>催化剂</w:t>
            </w:r>
          </w:p>
        </w:tc>
        <w:tc>
          <w:tcPr>
            <w:tcW w:w="740" w:type="pct"/>
            <w:tcBorders>
              <w:top w:val="single" w:color="000000" w:sz="4" w:space="0"/>
              <w:left w:val="single" w:color="000000" w:sz="4" w:space="0"/>
              <w:right w:val="single" w:color="000000" w:sz="4" w:space="0"/>
            </w:tcBorders>
            <w:noWrap w:val="0"/>
            <w:vAlign w:val="center"/>
          </w:tcPr>
          <w:p w14:paraId="5DFDD710">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1.2</w:t>
            </w:r>
          </w:p>
        </w:tc>
        <w:tc>
          <w:tcPr>
            <w:tcW w:w="1035" w:type="pct"/>
            <w:tcBorders>
              <w:top w:val="single" w:color="000000" w:sz="4" w:space="0"/>
              <w:left w:val="single" w:color="000000" w:sz="4" w:space="0"/>
              <w:right w:val="single" w:color="000000" w:sz="4" w:space="0"/>
            </w:tcBorders>
            <w:noWrap w:val="0"/>
            <w:vAlign w:val="center"/>
          </w:tcPr>
          <w:p w14:paraId="63F7DF92">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50</w:t>
            </w:r>
          </w:p>
          <w:p w14:paraId="77ECEBE9">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261</w:t>
            </w:r>
            <w:r>
              <w:rPr>
                <w:rFonts w:hint="default" w:cs="Times New Roman"/>
              </w:rPr>
              <w:t>-</w:t>
            </w:r>
            <w:r>
              <w:rPr>
                <w:rFonts w:hint="eastAsia" w:cs="Times New Roman"/>
                <w:lang w:val="en-US" w:eastAsia="zh-CN"/>
              </w:rPr>
              <w:t>161</w:t>
            </w:r>
            <w:r>
              <w:rPr>
                <w:rFonts w:hint="default" w:cs="Times New Roman"/>
              </w:rPr>
              <w:t>-</w:t>
            </w:r>
            <w:r>
              <w:rPr>
                <w:rFonts w:hint="eastAsia" w:cs="Times New Roman"/>
                <w:lang w:val="en-US" w:eastAsia="zh-CN"/>
              </w:rPr>
              <w:t>50</w:t>
            </w:r>
          </w:p>
        </w:tc>
        <w:tc>
          <w:tcPr>
            <w:tcW w:w="2165" w:type="pct"/>
            <w:tcBorders>
              <w:top w:val="single" w:color="000000" w:sz="4" w:space="0"/>
              <w:left w:val="single" w:color="000000" w:sz="4" w:space="0"/>
              <w:right w:val="single" w:color="000000" w:sz="4" w:space="0"/>
            </w:tcBorders>
            <w:noWrap w:val="0"/>
            <w:vAlign w:val="center"/>
          </w:tcPr>
          <w:p w14:paraId="7E65F37E">
            <w:pPr>
              <w:pStyle w:val="127"/>
              <w:keepNext w:val="0"/>
              <w:keepLines w:val="0"/>
              <w:widowControl/>
              <w:suppressLineNumbers w:val="0"/>
              <w:spacing w:before="0" w:beforeAutospacing="0" w:after="0" w:afterAutospacing="0"/>
              <w:ind w:left="0" w:right="0"/>
              <w:rPr>
                <w:rFonts w:hint="default"/>
              </w:rPr>
            </w:pPr>
            <w:r>
              <w:rPr>
                <w:rFonts w:hint="default" w:ascii="Times New Roman" w:hAnsi="Times New Roman" w:cs="Times New Roman"/>
                <w:bCs/>
                <w:color w:val="auto"/>
                <w:sz w:val="24"/>
              </w:rPr>
              <w:t>委托供货单位回收再生处理</w:t>
            </w:r>
          </w:p>
        </w:tc>
      </w:tr>
      <w:tr w14:paraId="0733B0DA">
        <w:tblPrEx>
          <w:tblCellMar>
            <w:top w:w="0" w:type="dxa"/>
            <w:left w:w="0" w:type="dxa"/>
            <w:bottom w:w="0" w:type="dxa"/>
            <w:right w:w="0" w:type="dxa"/>
          </w:tblCellMar>
        </w:tblPrEx>
        <w:trPr>
          <w:trHeight w:val="389"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6C212764">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活性炭</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1A321B34">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600</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4EB924AF">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06</w:t>
            </w:r>
          </w:p>
          <w:p w14:paraId="17042995">
            <w:pPr>
              <w:pStyle w:val="127"/>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900-405-06</w:t>
            </w:r>
          </w:p>
        </w:tc>
        <w:tc>
          <w:tcPr>
            <w:tcW w:w="2165" w:type="pct"/>
            <w:vMerge w:val="restart"/>
            <w:tcBorders>
              <w:top w:val="single" w:color="000000" w:sz="4" w:space="0"/>
              <w:left w:val="single" w:color="000000" w:sz="4" w:space="0"/>
              <w:right w:val="single" w:color="000000" w:sz="4" w:space="0"/>
            </w:tcBorders>
            <w:noWrap w:val="0"/>
            <w:vAlign w:val="center"/>
          </w:tcPr>
          <w:p w14:paraId="16DDDE7E">
            <w:pPr>
              <w:pStyle w:val="127"/>
              <w:keepNext w:val="0"/>
              <w:keepLines w:val="0"/>
              <w:widowControl/>
              <w:suppressLineNumbers w:val="0"/>
              <w:spacing w:before="0" w:beforeAutospacing="0" w:after="0" w:afterAutospacing="0"/>
              <w:ind w:left="0" w:right="0"/>
              <w:rPr>
                <w:rFonts w:hint="eastAsia"/>
                <w:bCs/>
                <w:sz w:val="24"/>
              </w:rPr>
            </w:pPr>
            <w:r>
              <w:rPr>
                <w:rFonts w:hint="eastAsia"/>
                <w:bCs/>
                <w:sz w:val="24"/>
              </w:rPr>
              <w:t>委托有资质单位处理。</w:t>
            </w:r>
          </w:p>
          <w:p w14:paraId="4659AEA9">
            <w:pPr>
              <w:pStyle w:val="127"/>
              <w:keepNext w:val="0"/>
              <w:keepLines w:val="0"/>
              <w:widowControl/>
              <w:suppressLineNumbers w:val="0"/>
              <w:spacing w:before="0" w:beforeAutospacing="0" w:after="0" w:afterAutospacing="0"/>
              <w:ind w:left="0" w:right="0"/>
              <w:rPr>
                <w:rFonts w:hint="default"/>
              </w:rPr>
            </w:pPr>
          </w:p>
        </w:tc>
      </w:tr>
      <w:tr w14:paraId="158BD9FC">
        <w:tblPrEx>
          <w:tblCellMar>
            <w:top w:w="0" w:type="dxa"/>
            <w:left w:w="0" w:type="dxa"/>
            <w:bottom w:w="0" w:type="dxa"/>
            <w:right w:w="0" w:type="dxa"/>
          </w:tblCellMar>
        </w:tblPrEx>
        <w:trPr>
          <w:trHeight w:val="387"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5DE5FDC9">
            <w:pPr>
              <w:pStyle w:val="127"/>
              <w:keepNext w:val="0"/>
              <w:keepLines w:val="0"/>
              <w:widowControl/>
              <w:suppressLineNumbers w:val="0"/>
              <w:spacing w:before="0" w:beforeAutospacing="0" w:after="0" w:afterAutospacing="0"/>
              <w:ind w:left="0" w:right="0"/>
              <w:rPr>
                <w:rFonts w:hint="default"/>
              </w:rPr>
            </w:pPr>
            <w:r>
              <w:rPr>
                <w:rFonts w:hint="default"/>
                <w:bCs/>
                <w:sz w:val="24"/>
              </w:rPr>
              <w:t>邻氯苯胺残渣</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080F14D6">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1361</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2E0BDF67">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11</w:t>
            </w:r>
          </w:p>
          <w:p w14:paraId="77D47900">
            <w:pPr>
              <w:pStyle w:val="127"/>
              <w:keepNext w:val="0"/>
              <w:keepLines w:val="0"/>
              <w:widowControl/>
              <w:suppressLineNumbers w:val="0"/>
              <w:spacing w:before="0" w:beforeAutospacing="0" w:after="0" w:afterAutospacing="0"/>
              <w:ind w:left="0" w:right="0"/>
              <w:rPr>
                <w:rFonts w:hint="default"/>
                <w:lang w:val="en-US"/>
              </w:rPr>
            </w:pPr>
            <w:r>
              <w:rPr>
                <w:rFonts w:hint="eastAsia"/>
                <w:lang w:val="en-US" w:eastAsia="zh-CN"/>
              </w:rPr>
              <w:t>900-013-11</w:t>
            </w:r>
          </w:p>
        </w:tc>
        <w:tc>
          <w:tcPr>
            <w:tcW w:w="2165" w:type="pct"/>
            <w:vMerge w:val="continue"/>
            <w:tcBorders>
              <w:left w:val="single" w:color="000000" w:sz="4" w:space="0"/>
              <w:right w:val="single" w:color="000000" w:sz="4" w:space="0"/>
            </w:tcBorders>
            <w:noWrap w:val="0"/>
            <w:vAlign w:val="center"/>
          </w:tcPr>
          <w:p w14:paraId="2904A8A2">
            <w:pPr>
              <w:pStyle w:val="127"/>
              <w:keepNext w:val="0"/>
              <w:keepLines w:val="0"/>
              <w:widowControl/>
              <w:suppressLineNumbers w:val="0"/>
              <w:spacing w:before="0" w:beforeAutospacing="0" w:after="0" w:afterAutospacing="0"/>
              <w:ind w:left="0" w:right="0"/>
              <w:rPr>
                <w:rFonts w:hint="default"/>
              </w:rPr>
            </w:pPr>
          </w:p>
        </w:tc>
      </w:tr>
      <w:tr w14:paraId="48F38DB9">
        <w:tblPrEx>
          <w:tblCellMar>
            <w:top w:w="0" w:type="dxa"/>
            <w:left w:w="0" w:type="dxa"/>
            <w:bottom w:w="0" w:type="dxa"/>
            <w:right w:w="0" w:type="dxa"/>
          </w:tblCellMar>
        </w:tblPrEx>
        <w:trPr>
          <w:trHeight w:val="387"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10CA6388">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机油</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16E4F0D5">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1.0</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024844D1">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08</w:t>
            </w:r>
          </w:p>
          <w:p w14:paraId="2AE2860E">
            <w:pPr>
              <w:pStyle w:val="127"/>
              <w:keepNext w:val="0"/>
              <w:keepLines w:val="0"/>
              <w:widowControl/>
              <w:suppressLineNumbers w:val="0"/>
              <w:spacing w:before="0" w:beforeAutospacing="0" w:after="0" w:afterAutospacing="0"/>
              <w:ind w:left="0" w:right="0"/>
              <w:rPr>
                <w:rFonts w:hint="default"/>
                <w:lang w:val="en-US"/>
              </w:rPr>
            </w:pPr>
            <w:r>
              <w:rPr>
                <w:rFonts w:hint="eastAsia"/>
                <w:lang w:val="en-US" w:eastAsia="zh-CN"/>
              </w:rPr>
              <w:t>900-217- 08</w:t>
            </w:r>
          </w:p>
        </w:tc>
        <w:tc>
          <w:tcPr>
            <w:tcW w:w="2165" w:type="pct"/>
            <w:vMerge w:val="continue"/>
            <w:tcBorders>
              <w:left w:val="single" w:color="000000" w:sz="4" w:space="0"/>
              <w:right w:val="single" w:color="000000" w:sz="4" w:space="0"/>
            </w:tcBorders>
            <w:noWrap w:val="0"/>
            <w:vAlign w:val="center"/>
          </w:tcPr>
          <w:p w14:paraId="11C5A445">
            <w:pPr>
              <w:pStyle w:val="127"/>
              <w:keepNext w:val="0"/>
              <w:keepLines w:val="0"/>
              <w:widowControl/>
              <w:suppressLineNumbers w:val="0"/>
              <w:spacing w:before="0" w:beforeAutospacing="0" w:after="0" w:afterAutospacing="0"/>
              <w:ind w:left="0" w:right="0"/>
              <w:rPr>
                <w:rFonts w:hint="default"/>
              </w:rPr>
            </w:pPr>
          </w:p>
        </w:tc>
      </w:tr>
      <w:tr w14:paraId="0A88B387">
        <w:tblPrEx>
          <w:tblCellMar>
            <w:top w:w="0" w:type="dxa"/>
            <w:left w:w="0" w:type="dxa"/>
            <w:bottom w:w="0" w:type="dxa"/>
            <w:right w:w="0" w:type="dxa"/>
          </w:tblCellMar>
        </w:tblPrEx>
        <w:trPr>
          <w:trHeight w:val="387"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699E29D4">
            <w:pPr>
              <w:pStyle w:val="127"/>
              <w:keepNext w:val="0"/>
              <w:keepLines w:val="0"/>
              <w:widowControl/>
              <w:suppressLineNumbers w:val="0"/>
              <w:spacing w:before="0" w:beforeAutospacing="0" w:after="0" w:afterAutospacing="0"/>
              <w:ind w:left="0" w:right="0"/>
              <w:rPr>
                <w:rFonts w:hint="default"/>
              </w:rPr>
            </w:pPr>
            <w:r>
              <w:rPr>
                <w:rFonts w:hint="eastAsia"/>
                <w:lang w:eastAsia="zh-CN"/>
              </w:rPr>
              <w:t>沾染物料的包装物</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5857BCFB">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18</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26C31C34">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spacing w:val="-18"/>
              </w:rPr>
              <w:t>危废</w:t>
            </w:r>
            <w:r>
              <w:rPr>
                <w:rFonts w:hint="default"/>
                <w:spacing w:val="-18"/>
              </w:rPr>
              <w:t xml:space="preserve"> </w:t>
            </w:r>
            <w:r>
              <w:rPr>
                <w:rFonts w:hint="default" w:cs="Times New Roman"/>
              </w:rPr>
              <w:t>HW</w:t>
            </w:r>
            <w:r>
              <w:rPr>
                <w:rFonts w:hint="eastAsia" w:cs="Times New Roman"/>
                <w:lang w:val="en-US" w:eastAsia="zh-CN"/>
              </w:rPr>
              <w:t>49</w:t>
            </w:r>
          </w:p>
          <w:p w14:paraId="68A7093C">
            <w:pPr>
              <w:pStyle w:val="127"/>
              <w:keepNext w:val="0"/>
              <w:keepLines w:val="0"/>
              <w:widowControl/>
              <w:suppressLineNumbers w:val="0"/>
              <w:spacing w:before="0" w:beforeAutospacing="0" w:after="0" w:afterAutospacing="0"/>
              <w:ind w:left="0" w:right="0"/>
              <w:rPr>
                <w:rFonts w:hint="default"/>
                <w:lang w:val="en-US"/>
              </w:rPr>
            </w:pPr>
            <w:r>
              <w:rPr>
                <w:rFonts w:hint="eastAsia"/>
                <w:lang w:val="en-US" w:eastAsia="zh-CN"/>
              </w:rPr>
              <w:t>900-041- 49</w:t>
            </w:r>
          </w:p>
        </w:tc>
        <w:tc>
          <w:tcPr>
            <w:tcW w:w="2165" w:type="pct"/>
            <w:vMerge w:val="continue"/>
            <w:tcBorders>
              <w:left w:val="single" w:color="000000" w:sz="4" w:space="0"/>
              <w:right w:val="single" w:color="000000" w:sz="4" w:space="0"/>
            </w:tcBorders>
            <w:noWrap w:val="0"/>
            <w:vAlign w:val="center"/>
          </w:tcPr>
          <w:p w14:paraId="34269AED">
            <w:pPr>
              <w:pStyle w:val="127"/>
              <w:keepNext w:val="0"/>
              <w:keepLines w:val="0"/>
              <w:widowControl/>
              <w:suppressLineNumbers w:val="0"/>
              <w:spacing w:before="0" w:beforeAutospacing="0" w:after="0" w:afterAutospacing="0"/>
              <w:ind w:left="0" w:right="0"/>
              <w:rPr>
                <w:rFonts w:hint="default"/>
              </w:rPr>
            </w:pPr>
          </w:p>
        </w:tc>
      </w:tr>
      <w:tr w14:paraId="5FB8CC9D">
        <w:tblPrEx>
          <w:tblCellMar>
            <w:top w:w="0" w:type="dxa"/>
            <w:left w:w="0" w:type="dxa"/>
            <w:bottom w:w="0" w:type="dxa"/>
            <w:right w:w="0" w:type="dxa"/>
          </w:tblCellMar>
        </w:tblPrEx>
        <w:trPr>
          <w:trHeight w:val="537"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3D7D9368">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旧岩棉、包装物</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5DABB1DD">
            <w:pPr>
              <w:pStyle w:val="127"/>
              <w:keepNext w:val="0"/>
              <w:keepLines w:val="0"/>
              <w:widowControl/>
              <w:suppressLineNumbers w:val="0"/>
              <w:spacing w:before="0" w:beforeAutospacing="0" w:after="0" w:afterAutospacing="0"/>
              <w:ind w:left="0" w:right="0"/>
              <w:rPr>
                <w:rFonts w:hint="default" w:eastAsia="宋体" w:cs="Times New Roman"/>
                <w:lang w:val="en-US" w:eastAsia="zh-CN"/>
              </w:rPr>
            </w:pPr>
            <w:r>
              <w:rPr>
                <w:rFonts w:hint="eastAsia" w:cs="Times New Roman"/>
                <w:lang w:val="en-US" w:eastAsia="zh-CN"/>
              </w:rPr>
              <w:t>20</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10312E22">
            <w:pPr>
              <w:pStyle w:val="127"/>
              <w:keepNext w:val="0"/>
              <w:keepLines w:val="0"/>
              <w:widowControl/>
              <w:suppressLineNumbers w:val="0"/>
              <w:spacing w:before="0" w:beforeAutospacing="0" w:after="0" w:afterAutospacing="0"/>
              <w:ind w:left="0" w:right="0"/>
              <w:rPr>
                <w:rFonts w:hint="default"/>
              </w:rPr>
            </w:pPr>
            <w:r>
              <w:rPr>
                <w:rFonts w:hint="eastAsia"/>
              </w:rPr>
              <w:t>一般固废</w:t>
            </w:r>
          </w:p>
        </w:tc>
        <w:tc>
          <w:tcPr>
            <w:tcW w:w="2165" w:type="pct"/>
            <w:vMerge w:val="continue"/>
            <w:tcBorders>
              <w:left w:val="single" w:color="000000" w:sz="4" w:space="0"/>
              <w:bottom w:val="single" w:color="000000" w:sz="4" w:space="0"/>
              <w:right w:val="single" w:color="000000" w:sz="4" w:space="0"/>
            </w:tcBorders>
            <w:noWrap w:val="0"/>
            <w:vAlign w:val="center"/>
          </w:tcPr>
          <w:p w14:paraId="307EF7A9">
            <w:pPr>
              <w:pStyle w:val="127"/>
              <w:keepNext w:val="0"/>
              <w:keepLines w:val="0"/>
              <w:widowControl/>
              <w:suppressLineNumbers w:val="0"/>
              <w:spacing w:before="0" w:beforeAutospacing="0" w:after="0" w:afterAutospacing="0"/>
              <w:ind w:left="0" w:right="0"/>
              <w:rPr>
                <w:rFonts w:hint="default"/>
              </w:rPr>
            </w:pPr>
          </w:p>
        </w:tc>
      </w:tr>
      <w:tr w14:paraId="759243FF">
        <w:tblPrEx>
          <w:tblCellMar>
            <w:top w:w="0" w:type="dxa"/>
            <w:left w:w="0" w:type="dxa"/>
            <w:bottom w:w="0" w:type="dxa"/>
            <w:right w:w="0" w:type="dxa"/>
          </w:tblCellMar>
        </w:tblPrEx>
        <w:trPr>
          <w:trHeight w:val="507" w:hRule="atLeast"/>
        </w:trPr>
        <w:tc>
          <w:tcPr>
            <w:tcW w:w="1058" w:type="pct"/>
            <w:tcBorders>
              <w:top w:val="single" w:color="000000" w:sz="4" w:space="0"/>
              <w:left w:val="single" w:color="000000" w:sz="4" w:space="0"/>
              <w:bottom w:val="single" w:color="000000" w:sz="4" w:space="0"/>
              <w:right w:val="single" w:color="000000" w:sz="4" w:space="0"/>
            </w:tcBorders>
            <w:noWrap w:val="0"/>
            <w:vAlign w:val="center"/>
          </w:tcPr>
          <w:p w14:paraId="1D7F7805">
            <w:pPr>
              <w:pStyle w:val="127"/>
              <w:keepNext w:val="0"/>
              <w:keepLines w:val="0"/>
              <w:widowControl/>
              <w:suppressLineNumbers w:val="0"/>
              <w:spacing w:before="0" w:beforeAutospacing="0" w:after="0" w:afterAutospacing="0"/>
              <w:ind w:left="0" w:right="0"/>
              <w:rPr>
                <w:rFonts w:hint="default"/>
              </w:rPr>
            </w:pPr>
            <w:r>
              <w:rPr>
                <w:rFonts w:hint="eastAsia"/>
              </w:rPr>
              <w:t>生活垃圾</w:t>
            </w:r>
          </w:p>
        </w:tc>
        <w:tc>
          <w:tcPr>
            <w:tcW w:w="740" w:type="pct"/>
            <w:tcBorders>
              <w:top w:val="single" w:color="000000" w:sz="4" w:space="0"/>
              <w:left w:val="single" w:color="000000" w:sz="4" w:space="0"/>
              <w:bottom w:val="single" w:color="000000" w:sz="4" w:space="0"/>
              <w:right w:val="single" w:color="000000" w:sz="4" w:space="0"/>
            </w:tcBorders>
            <w:noWrap w:val="0"/>
            <w:vAlign w:val="center"/>
          </w:tcPr>
          <w:p w14:paraId="3960B42E">
            <w:pPr>
              <w:pStyle w:val="127"/>
              <w:keepNext w:val="0"/>
              <w:keepLines w:val="0"/>
              <w:widowControl/>
              <w:suppressLineNumbers w:val="0"/>
              <w:spacing w:before="0" w:beforeAutospacing="0" w:after="0" w:afterAutospacing="0"/>
              <w:ind w:left="0" w:right="0"/>
              <w:rPr>
                <w:rFonts w:hint="default" w:cs="Times New Roman"/>
              </w:rPr>
            </w:pPr>
            <w:r>
              <w:rPr>
                <w:rFonts w:hint="default" w:cs="Times New Roman"/>
              </w:rPr>
              <w:t>25</w:t>
            </w:r>
          </w:p>
        </w:tc>
        <w:tc>
          <w:tcPr>
            <w:tcW w:w="1035" w:type="pct"/>
            <w:tcBorders>
              <w:top w:val="single" w:color="000000" w:sz="4" w:space="0"/>
              <w:left w:val="single" w:color="000000" w:sz="4" w:space="0"/>
              <w:bottom w:val="single" w:color="000000" w:sz="4" w:space="0"/>
              <w:right w:val="single" w:color="000000" w:sz="4" w:space="0"/>
            </w:tcBorders>
            <w:noWrap w:val="0"/>
            <w:vAlign w:val="center"/>
          </w:tcPr>
          <w:p w14:paraId="6630080A">
            <w:pPr>
              <w:pStyle w:val="127"/>
              <w:keepNext w:val="0"/>
              <w:keepLines w:val="0"/>
              <w:widowControl/>
              <w:suppressLineNumbers w:val="0"/>
              <w:spacing w:before="0" w:beforeAutospacing="0" w:after="0" w:afterAutospacing="0"/>
              <w:ind w:left="0" w:right="0"/>
              <w:rPr>
                <w:rFonts w:hint="default"/>
              </w:rPr>
            </w:pPr>
            <w:r>
              <w:rPr>
                <w:rFonts w:hint="eastAsia"/>
              </w:rPr>
              <w:t>一般固废</w:t>
            </w:r>
          </w:p>
        </w:tc>
        <w:tc>
          <w:tcPr>
            <w:tcW w:w="2165" w:type="pct"/>
            <w:tcBorders>
              <w:top w:val="single" w:color="000000" w:sz="4" w:space="0"/>
              <w:left w:val="single" w:color="000000" w:sz="4" w:space="0"/>
              <w:bottom w:val="single" w:color="000000" w:sz="4" w:space="0"/>
              <w:right w:val="single" w:color="000000" w:sz="4" w:space="0"/>
            </w:tcBorders>
            <w:noWrap w:val="0"/>
            <w:vAlign w:val="center"/>
          </w:tcPr>
          <w:p w14:paraId="5EEA0557">
            <w:pPr>
              <w:pStyle w:val="127"/>
              <w:keepNext w:val="0"/>
              <w:keepLines w:val="0"/>
              <w:widowControl/>
              <w:suppressLineNumbers w:val="0"/>
              <w:spacing w:before="0" w:beforeAutospacing="0" w:after="0" w:afterAutospacing="0"/>
              <w:ind w:left="0" w:right="0"/>
              <w:rPr>
                <w:rFonts w:hint="default"/>
              </w:rPr>
            </w:pPr>
            <w:r>
              <w:rPr>
                <w:rFonts w:hint="eastAsia"/>
              </w:rPr>
              <w:t>环卫部门定期清理外运处理</w:t>
            </w:r>
          </w:p>
        </w:tc>
      </w:tr>
    </w:tbl>
    <w:p w14:paraId="7A5B4D96">
      <w:pPr>
        <w:rPr>
          <w:rFonts w:hint="default"/>
          <w:lang w:val="en-US" w:eastAsia="zh-CN"/>
        </w:rPr>
      </w:pPr>
    </w:p>
    <w:p w14:paraId="6A812F66">
      <w:pPr>
        <w:pStyle w:val="8"/>
        <w:keepNext/>
        <w:keepLines w:val="0"/>
        <w:pageBreakBefore w:val="0"/>
        <w:widowControl w:val="0"/>
        <w:numPr>
          <w:ilvl w:val="0"/>
          <w:numId w:val="4"/>
        </w:numPr>
        <w:kinsoku/>
        <w:wordWrap/>
        <w:overflowPunct/>
        <w:topLinePunct w:val="0"/>
        <w:autoSpaceDE/>
        <w:autoSpaceDN/>
        <w:bidi w:val="0"/>
        <w:adjustRightInd w:val="0"/>
        <w:snapToGrid w:val="0"/>
        <w:jc w:val="both"/>
        <w:textAlignment w:val="auto"/>
        <w:outlineLvl w:val="2"/>
        <w:rPr>
          <w:rFonts w:hint="eastAsia"/>
          <w:b/>
          <w:bCs/>
          <w:sz w:val="24"/>
          <w:szCs w:val="24"/>
          <w:lang w:val="en-US" w:eastAsia="zh-CN"/>
        </w:rPr>
      </w:pPr>
      <w:r>
        <w:rPr>
          <w:rFonts w:hint="eastAsia"/>
          <w:b/>
          <w:bCs/>
          <w:sz w:val="24"/>
          <w:szCs w:val="24"/>
          <w:lang w:val="en-US" w:eastAsia="zh-CN"/>
        </w:rPr>
        <w:t>主要设备</w:t>
      </w:r>
    </w:p>
    <w:tbl>
      <w:tblPr>
        <w:tblStyle w:val="34"/>
        <w:tblW w:w="8529"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8"/>
        <w:gridCol w:w="2240"/>
        <w:gridCol w:w="2136"/>
        <w:gridCol w:w="1383"/>
        <w:gridCol w:w="1842"/>
      </w:tblGrid>
      <w:tr w14:paraId="591490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7AEAF05C">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序号</w:t>
            </w:r>
          </w:p>
        </w:tc>
        <w:tc>
          <w:tcPr>
            <w:tcW w:w="2240" w:type="dxa"/>
            <w:noWrap w:val="0"/>
            <w:vAlign w:val="center"/>
          </w:tcPr>
          <w:p w14:paraId="530BC8E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设备名称</w:t>
            </w:r>
          </w:p>
        </w:tc>
        <w:tc>
          <w:tcPr>
            <w:tcW w:w="2136" w:type="dxa"/>
            <w:noWrap w:val="0"/>
            <w:vAlign w:val="center"/>
          </w:tcPr>
          <w:p w14:paraId="7367DEB5">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规格</w:t>
            </w:r>
          </w:p>
        </w:tc>
        <w:tc>
          <w:tcPr>
            <w:tcW w:w="1383" w:type="dxa"/>
            <w:noWrap w:val="0"/>
            <w:vAlign w:val="center"/>
          </w:tcPr>
          <w:p w14:paraId="15D47B7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主材质</w:t>
            </w:r>
          </w:p>
        </w:tc>
        <w:tc>
          <w:tcPr>
            <w:tcW w:w="1842" w:type="dxa"/>
            <w:noWrap w:val="0"/>
            <w:vAlign w:val="center"/>
          </w:tcPr>
          <w:p w14:paraId="3239A05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数量（台）</w:t>
            </w:r>
          </w:p>
        </w:tc>
      </w:tr>
      <w:tr w14:paraId="376A74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02CE01B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w:t>
            </w:r>
          </w:p>
        </w:tc>
        <w:tc>
          <w:tcPr>
            <w:tcW w:w="2240" w:type="dxa"/>
            <w:noWrap w:val="0"/>
            <w:vAlign w:val="center"/>
          </w:tcPr>
          <w:p w14:paraId="46900E1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加氢反应釜</w:t>
            </w:r>
          </w:p>
        </w:tc>
        <w:tc>
          <w:tcPr>
            <w:tcW w:w="2136" w:type="dxa"/>
            <w:noWrap w:val="0"/>
            <w:vAlign w:val="center"/>
          </w:tcPr>
          <w:p w14:paraId="482E1842">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4m</w:t>
            </w:r>
            <w:r>
              <w:rPr>
                <w:rFonts w:hint="default" w:ascii="Times New Roman" w:hAnsi="Times New Roman"/>
                <w:szCs w:val="21"/>
                <w:vertAlign w:val="superscript"/>
              </w:rPr>
              <w:t>3</w:t>
            </w:r>
          </w:p>
        </w:tc>
        <w:tc>
          <w:tcPr>
            <w:tcW w:w="1383" w:type="dxa"/>
            <w:noWrap w:val="0"/>
            <w:vAlign w:val="center"/>
          </w:tcPr>
          <w:p w14:paraId="5935D63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304</w:t>
            </w:r>
          </w:p>
        </w:tc>
        <w:tc>
          <w:tcPr>
            <w:tcW w:w="1842" w:type="dxa"/>
            <w:noWrap w:val="0"/>
            <w:vAlign w:val="center"/>
          </w:tcPr>
          <w:p w14:paraId="372CBBBA">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16</w:t>
            </w:r>
          </w:p>
        </w:tc>
      </w:tr>
      <w:tr w14:paraId="4AC3C9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3D04A50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w:t>
            </w:r>
          </w:p>
        </w:tc>
        <w:tc>
          <w:tcPr>
            <w:tcW w:w="2240" w:type="dxa"/>
            <w:noWrap w:val="0"/>
            <w:vAlign w:val="center"/>
          </w:tcPr>
          <w:p w14:paraId="205D2D0C">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转位釜</w:t>
            </w:r>
          </w:p>
        </w:tc>
        <w:tc>
          <w:tcPr>
            <w:tcW w:w="2136" w:type="dxa"/>
            <w:noWrap w:val="0"/>
            <w:vAlign w:val="center"/>
          </w:tcPr>
          <w:p w14:paraId="324162C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5m</w:t>
            </w:r>
            <w:r>
              <w:rPr>
                <w:rFonts w:hint="default" w:ascii="Times New Roman" w:hAnsi="Times New Roman"/>
                <w:szCs w:val="21"/>
                <w:vertAlign w:val="superscript"/>
              </w:rPr>
              <w:t>3</w:t>
            </w:r>
          </w:p>
        </w:tc>
        <w:tc>
          <w:tcPr>
            <w:tcW w:w="1383" w:type="dxa"/>
            <w:noWrap w:val="0"/>
            <w:vAlign w:val="center"/>
          </w:tcPr>
          <w:p w14:paraId="28DA35B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搪瓷</w:t>
            </w:r>
          </w:p>
        </w:tc>
        <w:tc>
          <w:tcPr>
            <w:tcW w:w="1842" w:type="dxa"/>
            <w:noWrap w:val="0"/>
            <w:vAlign w:val="center"/>
          </w:tcPr>
          <w:p w14:paraId="77F58F51">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33</w:t>
            </w:r>
          </w:p>
        </w:tc>
      </w:tr>
      <w:tr w14:paraId="7E4EC8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4045C16F">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w:t>
            </w:r>
          </w:p>
        </w:tc>
        <w:tc>
          <w:tcPr>
            <w:tcW w:w="2240" w:type="dxa"/>
            <w:noWrap w:val="0"/>
            <w:vAlign w:val="center"/>
          </w:tcPr>
          <w:p w14:paraId="2E345C8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溶解分离罐</w:t>
            </w:r>
          </w:p>
        </w:tc>
        <w:tc>
          <w:tcPr>
            <w:tcW w:w="2136" w:type="dxa"/>
            <w:noWrap w:val="0"/>
            <w:vAlign w:val="center"/>
          </w:tcPr>
          <w:p w14:paraId="3127362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20m</w:t>
            </w:r>
            <w:r>
              <w:rPr>
                <w:rFonts w:hint="default" w:ascii="Times New Roman" w:hAnsi="Times New Roman"/>
                <w:szCs w:val="21"/>
                <w:vertAlign w:val="superscript"/>
              </w:rPr>
              <w:t>3</w:t>
            </w:r>
          </w:p>
        </w:tc>
        <w:tc>
          <w:tcPr>
            <w:tcW w:w="1383" w:type="dxa"/>
            <w:noWrap w:val="0"/>
            <w:vAlign w:val="center"/>
          </w:tcPr>
          <w:p w14:paraId="71C36EF5">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衬里</w:t>
            </w:r>
          </w:p>
        </w:tc>
        <w:tc>
          <w:tcPr>
            <w:tcW w:w="1842" w:type="dxa"/>
            <w:noWrap w:val="0"/>
            <w:vAlign w:val="center"/>
          </w:tcPr>
          <w:p w14:paraId="3B04590D">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10</w:t>
            </w:r>
          </w:p>
        </w:tc>
      </w:tr>
      <w:tr w14:paraId="3DF7FC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0CF9EB4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4</w:t>
            </w:r>
          </w:p>
        </w:tc>
        <w:tc>
          <w:tcPr>
            <w:tcW w:w="2240" w:type="dxa"/>
            <w:noWrap w:val="0"/>
            <w:vAlign w:val="center"/>
          </w:tcPr>
          <w:p w14:paraId="7BB0D23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脱色釜</w:t>
            </w:r>
          </w:p>
        </w:tc>
        <w:tc>
          <w:tcPr>
            <w:tcW w:w="2136" w:type="dxa"/>
            <w:noWrap w:val="0"/>
            <w:vAlign w:val="center"/>
          </w:tcPr>
          <w:p w14:paraId="0E2399E4">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20m</w:t>
            </w:r>
            <w:r>
              <w:rPr>
                <w:rFonts w:hint="default" w:ascii="Times New Roman" w:hAnsi="Times New Roman"/>
                <w:szCs w:val="21"/>
                <w:vertAlign w:val="superscript"/>
              </w:rPr>
              <w:t>3</w:t>
            </w:r>
          </w:p>
        </w:tc>
        <w:tc>
          <w:tcPr>
            <w:tcW w:w="1383" w:type="dxa"/>
            <w:noWrap w:val="0"/>
            <w:vAlign w:val="center"/>
          </w:tcPr>
          <w:p w14:paraId="77EAE1F5">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衬里</w:t>
            </w:r>
          </w:p>
        </w:tc>
        <w:tc>
          <w:tcPr>
            <w:tcW w:w="1842" w:type="dxa"/>
            <w:noWrap w:val="0"/>
            <w:vAlign w:val="center"/>
          </w:tcPr>
          <w:p w14:paraId="353B520E">
            <w:pPr>
              <w:keepNext w:val="0"/>
              <w:keepLines w:val="0"/>
              <w:suppressLineNumbers w:val="0"/>
              <w:spacing w:before="0" w:beforeAutospacing="0" w:after="0" w:afterAutospacing="0"/>
              <w:ind w:left="0" w:right="0"/>
              <w:jc w:val="center"/>
              <w:textAlignment w:val="baseline"/>
              <w:rPr>
                <w:rFonts w:hint="eastAsia" w:ascii="Times New Roman" w:hAnsi="Times New Roman" w:eastAsia="宋体"/>
                <w:szCs w:val="21"/>
                <w:lang w:eastAsia="zh-CN"/>
              </w:rPr>
            </w:pPr>
            <w:r>
              <w:rPr>
                <w:rFonts w:hint="eastAsia" w:ascii="Times New Roman" w:hAnsi="Times New Roman"/>
                <w:szCs w:val="21"/>
                <w:lang w:val="en-US" w:eastAsia="zh-CN"/>
              </w:rPr>
              <w:t>6</w:t>
            </w:r>
          </w:p>
        </w:tc>
      </w:tr>
      <w:tr w14:paraId="5126D1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0B7289BC">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5</w:t>
            </w:r>
          </w:p>
        </w:tc>
        <w:tc>
          <w:tcPr>
            <w:tcW w:w="2240" w:type="dxa"/>
            <w:noWrap w:val="0"/>
            <w:vAlign w:val="center"/>
          </w:tcPr>
          <w:p w14:paraId="7D229A2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析出釜</w:t>
            </w:r>
          </w:p>
        </w:tc>
        <w:tc>
          <w:tcPr>
            <w:tcW w:w="2136" w:type="dxa"/>
            <w:noWrap w:val="0"/>
            <w:vAlign w:val="center"/>
          </w:tcPr>
          <w:p w14:paraId="56EBBEF4">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20m</w:t>
            </w:r>
            <w:r>
              <w:rPr>
                <w:rFonts w:hint="default" w:ascii="Times New Roman" w:hAnsi="Times New Roman"/>
                <w:szCs w:val="21"/>
                <w:vertAlign w:val="superscript"/>
              </w:rPr>
              <w:t>3</w:t>
            </w:r>
          </w:p>
        </w:tc>
        <w:tc>
          <w:tcPr>
            <w:tcW w:w="1383" w:type="dxa"/>
            <w:noWrap w:val="0"/>
            <w:vAlign w:val="center"/>
          </w:tcPr>
          <w:p w14:paraId="7CDB9BF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衬里</w:t>
            </w:r>
          </w:p>
        </w:tc>
        <w:tc>
          <w:tcPr>
            <w:tcW w:w="1842" w:type="dxa"/>
            <w:noWrap w:val="0"/>
            <w:vAlign w:val="center"/>
          </w:tcPr>
          <w:p w14:paraId="5A347A41">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25</w:t>
            </w:r>
          </w:p>
        </w:tc>
      </w:tr>
      <w:tr w14:paraId="65070F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2CF2502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6</w:t>
            </w:r>
          </w:p>
        </w:tc>
        <w:tc>
          <w:tcPr>
            <w:tcW w:w="2240" w:type="dxa"/>
            <w:noWrap w:val="0"/>
            <w:vAlign w:val="center"/>
          </w:tcPr>
          <w:p w14:paraId="508BAC5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中和槽</w:t>
            </w:r>
          </w:p>
        </w:tc>
        <w:tc>
          <w:tcPr>
            <w:tcW w:w="2136" w:type="dxa"/>
            <w:noWrap w:val="0"/>
            <w:vAlign w:val="center"/>
          </w:tcPr>
          <w:p w14:paraId="5C894826">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20m</w:t>
            </w:r>
            <w:r>
              <w:rPr>
                <w:rFonts w:hint="default" w:ascii="Times New Roman" w:hAnsi="Times New Roman"/>
                <w:szCs w:val="21"/>
                <w:vertAlign w:val="superscript"/>
              </w:rPr>
              <w:t>3</w:t>
            </w:r>
          </w:p>
        </w:tc>
        <w:tc>
          <w:tcPr>
            <w:tcW w:w="1383" w:type="dxa"/>
            <w:noWrap w:val="0"/>
            <w:vAlign w:val="center"/>
          </w:tcPr>
          <w:p w14:paraId="44478B7F">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衬里</w:t>
            </w:r>
          </w:p>
        </w:tc>
        <w:tc>
          <w:tcPr>
            <w:tcW w:w="1842" w:type="dxa"/>
            <w:noWrap w:val="0"/>
            <w:vAlign w:val="center"/>
          </w:tcPr>
          <w:p w14:paraId="683CCAEE">
            <w:pPr>
              <w:keepNext w:val="0"/>
              <w:keepLines w:val="0"/>
              <w:suppressLineNumbers w:val="0"/>
              <w:spacing w:before="0" w:beforeAutospacing="0" w:after="0" w:afterAutospacing="0"/>
              <w:ind w:left="0" w:right="0"/>
              <w:jc w:val="center"/>
              <w:textAlignment w:val="baseline"/>
              <w:rPr>
                <w:rFonts w:hint="eastAsia" w:ascii="Times New Roman" w:hAnsi="Times New Roman" w:eastAsia="宋体"/>
                <w:szCs w:val="21"/>
                <w:lang w:val="en-US" w:eastAsia="zh-CN"/>
              </w:rPr>
            </w:pPr>
            <w:r>
              <w:rPr>
                <w:rFonts w:hint="eastAsia" w:ascii="Times New Roman" w:hAnsi="Times New Roman"/>
                <w:szCs w:val="21"/>
                <w:lang w:val="en-US" w:eastAsia="zh-CN"/>
              </w:rPr>
              <w:t>6</w:t>
            </w:r>
          </w:p>
        </w:tc>
      </w:tr>
      <w:tr w14:paraId="2F1EC0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0D6983EC">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7</w:t>
            </w:r>
          </w:p>
        </w:tc>
        <w:tc>
          <w:tcPr>
            <w:tcW w:w="2240" w:type="dxa"/>
            <w:noWrap w:val="0"/>
            <w:vAlign w:val="center"/>
          </w:tcPr>
          <w:p w14:paraId="2EF1A8C3">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水环真空泵</w:t>
            </w:r>
          </w:p>
        </w:tc>
        <w:tc>
          <w:tcPr>
            <w:tcW w:w="2136" w:type="dxa"/>
            <w:noWrap w:val="0"/>
            <w:vAlign w:val="center"/>
          </w:tcPr>
          <w:p w14:paraId="61DC5764">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抽气量</w:t>
            </w:r>
            <w:r>
              <w:rPr>
                <w:rFonts w:hint="default" w:ascii="Times New Roman" w:hAnsi="Times New Roman"/>
                <w:szCs w:val="21"/>
              </w:rPr>
              <w:t>6m</w:t>
            </w:r>
            <w:r>
              <w:rPr>
                <w:rFonts w:hint="default" w:ascii="Times New Roman" w:hAnsi="Times New Roman"/>
                <w:szCs w:val="21"/>
                <w:vertAlign w:val="superscript"/>
              </w:rPr>
              <w:t>3</w:t>
            </w:r>
          </w:p>
        </w:tc>
        <w:tc>
          <w:tcPr>
            <w:tcW w:w="1383" w:type="dxa"/>
            <w:noWrap w:val="0"/>
            <w:vAlign w:val="center"/>
          </w:tcPr>
          <w:p w14:paraId="73333BA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铸钢</w:t>
            </w:r>
          </w:p>
        </w:tc>
        <w:tc>
          <w:tcPr>
            <w:tcW w:w="1842" w:type="dxa"/>
            <w:noWrap w:val="0"/>
            <w:vAlign w:val="center"/>
          </w:tcPr>
          <w:p w14:paraId="49A89D20">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4</w:t>
            </w:r>
          </w:p>
        </w:tc>
      </w:tr>
      <w:tr w14:paraId="2C2EB5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65E0890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8</w:t>
            </w:r>
          </w:p>
        </w:tc>
        <w:tc>
          <w:tcPr>
            <w:tcW w:w="2240" w:type="dxa"/>
            <w:noWrap w:val="0"/>
            <w:vAlign w:val="center"/>
          </w:tcPr>
          <w:p w14:paraId="7DE1C0C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离心泵</w:t>
            </w:r>
          </w:p>
        </w:tc>
        <w:tc>
          <w:tcPr>
            <w:tcW w:w="2136" w:type="dxa"/>
            <w:noWrap w:val="0"/>
            <w:vAlign w:val="center"/>
          </w:tcPr>
          <w:p w14:paraId="4657FF5C">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p>
        </w:tc>
        <w:tc>
          <w:tcPr>
            <w:tcW w:w="1383" w:type="dxa"/>
            <w:noWrap w:val="0"/>
            <w:vAlign w:val="center"/>
          </w:tcPr>
          <w:p w14:paraId="694453D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 4/</w:t>
            </w:r>
            <w:r>
              <w:rPr>
                <w:rFonts w:hint="default" w:ascii="Times New Roman" w:hAnsi="宋体"/>
                <w:szCs w:val="21"/>
              </w:rPr>
              <w:t>碳钢</w:t>
            </w:r>
          </w:p>
        </w:tc>
        <w:tc>
          <w:tcPr>
            <w:tcW w:w="1842" w:type="dxa"/>
            <w:noWrap w:val="0"/>
            <w:vAlign w:val="center"/>
          </w:tcPr>
          <w:p w14:paraId="628F3D0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48</w:t>
            </w:r>
          </w:p>
        </w:tc>
      </w:tr>
      <w:tr w14:paraId="48DCA0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6278C13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9</w:t>
            </w:r>
          </w:p>
        </w:tc>
        <w:tc>
          <w:tcPr>
            <w:tcW w:w="2240" w:type="dxa"/>
            <w:noWrap w:val="0"/>
            <w:vAlign w:val="center"/>
          </w:tcPr>
          <w:p w14:paraId="6FF26D96">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冷凝器</w:t>
            </w:r>
          </w:p>
        </w:tc>
        <w:tc>
          <w:tcPr>
            <w:tcW w:w="2136" w:type="dxa"/>
            <w:noWrap w:val="0"/>
            <w:vAlign w:val="center"/>
          </w:tcPr>
          <w:p w14:paraId="01B74D4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F=15 m</w:t>
            </w:r>
            <w:r>
              <w:rPr>
                <w:rFonts w:hint="default" w:ascii="Times New Roman" w:hAnsi="Times New Roman"/>
                <w:szCs w:val="21"/>
                <w:vertAlign w:val="superscript"/>
              </w:rPr>
              <w:t>3</w:t>
            </w:r>
          </w:p>
        </w:tc>
        <w:tc>
          <w:tcPr>
            <w:tcW w:w="1383" w:type="dxa"/>
            <w:noWrap w:val="0"/>
            <w:vAlign w:val="center"/>
          </w:tcPr>
          <w:p w14:paraId="1604F34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石墨</w:t>
            </w:r>
          </w:p>
        </w:tc>
        <w:tc>
          <w:tcPr>
            <w:tcW w:w="1842" w:type="dxa"/>
            <w:noWrap w:val="0"/>
            <w:vAlign w:val="center"/>
          </w:tcPr>
          <w:p w14:paraId="6DFB01BB">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14</w:t>
            </w:r>
          </w:p>
        </w:tc>
      </w:tr>
      <w:tr w14:paraId="7B69C3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1B38382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10</w:t>
            </w:r>
          </w:p>
        </w:tc>
        <w:tc>
          <w:tcPr>
            <w:tcW w:w="2240" w:type="dxa"/>
            <w:noWrap w:val="0"/>
            <w:vAlign w:val="center"/>
          </w:tcPr>
          <w:p w14:paraId="5376D506">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还原液槽</w:t>
            </w:r>
          </w:p>
        </w:tc>
        <w:tc>
          <w:tcPr>
            <w:tcW w:w="2136" w:type="dxa"/>
            <w:noWrap w:val="0"/>
            <w:vAlign w:val="center"/>
          </w:tcPr>
          <w:p w14:paraId="7778F43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3.8m</w:t>
            </w:r>
            <w:r>
              <w:rPr>
                <w:rFonts w:hint="default" w:ascii="Times New Roman" w:hAnsi="Times New Roman"/>
                <w:szCs w:val="21"/>
                <w:vertAlign w:val="superscript"/>
              </w:rPr>
              <w:t>3</w:t>
            </w:r>
          </w:p>
        </w:tc>
        <w:tc>
          <w:tcPr>
            <w:tcW w:w="1383" w:type="dxa"/>
            <w:noWrap w:val="0"/>
            <w:vAlign w:val="center"/>
          </w:tcPr>
          <w:p w14:paraId="47F5EE6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304</w:t>
            </w:r>
          </w:p>
        </w:tc>
        <w:tc>
          <w:tcPr>
            <w:tcW w:w="1842" w:type="dxa"/>
            <w:noWrap w:val="0"/>
            <w:vAlign w:val="center"/>
          </w:tcPr>
          <w:p w14:paraId="0036D078">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6</w:t>
            </w:r>
          </w:p>
        </w:tc>
      </w:tr>
      <w:tr w14:paraId="7721EE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54CAD2E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11</w:t>
            </w:r>
          </w:p>
        </w:tc>
        <w:tc>
          <w:tcPr>
            <w:tcW w:w="2240" w:type="dxa"/>
            <w:noWrap w:val="0"/>
            <w:vAlign w:val="center"/>
          </w:tcPr>
          <w:p w14:paraId="54B3F3F8">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还原液分离槽</w:t>
            </w:r>
          </w:p>
        </w:tc>
        <w:tc>
          <w:tcPr>
            <w:tcW w:w="2136" w:type="dxa"/>
            <w:noWrap w:val="0"/>
            <w:vAlign w:val="center"/>
          </w:tcPr>
          <w:p w14:paraId="4DA1002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4m</w:t>
            </w:r>
            <w:r>
              <w:rPr>
                <w:rFonts w:hint="default" w:ascii="Times New Roman" w:hAnsi="Times New Roman"/>
                <w:szCs w:val="21"/>
                <w:vertAlign w:val="superscript"/>
              </w:rPr>
              <w:t>3</w:t>
            </w:r>
          </w:p>
        </w:tc>
        <w:tc>
          <w:tcPr>
            <w:tcW w:w="1383" w:type="dxa"/>
            <w:noWrap w:val="0"/>
            <w:vAlign w:val="center"/>
          </w:tcPr>
          <w:p w14:paraId="18E9A15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304</w:t>
            </w:r>
          </w:p>
        </w:tc>
        <w:tc>
          <w:tcPr>
            <w:tcW w:w="1842" w:type="dxa"/>
            <w:noWrap w:val="0"/>
            <w:vAlign w:val="center"/>
          </w:tcPr>
          <w:p w14:paraId="1C62575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6</w:t>
            </w:r>
          </w:p>
        </w:tc>
      </w:tr>
      <w:tr w14:paraId="6DCAA2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591A09C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12</w:t>
            </w:r>
          </w:p>
        </w:tc>
        <w:tc>
          <w:tcPr>
            <w:tcW w:w="2240" w:type="dxa"/>
            <w:noWrap w:val="0"/>
            <w:vAlign w:val="center"/>
          </w:tcPr>
          <w:p w14:paraId="2B39811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盐酸计量槽</w:t>
            </w:r>
          </w:p>
        </w:tc>
        <w:tc>
          <w:tcPr>
            <w:tcW w:w="2136" w:type="dxa"/>
            <w:noWrap w:val="0"/>
            <w:vAlign w:val="center"/>
          </w:tcPr>
          <w:p w14:paraId="2ADAA978">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3m</w:t>
            </w:r>
            <w:r>
              <w:rPr>
                <w:rFonts w:hint="default" w:ascii="Times New Roman" w:hAnsi="Times New Roman"/>
                <w:szCs w:val="21"/>
                <w:vertAlign w:val="superscript"/>
              </w:rPr>
              <w:t>3</w:t>
            </w:r>
          </w:p>
        </w:tc>
        <w:tc>
          <w:tcPr>
            <w:tcW w:w="1383" w:type="dxa"/>
            <w:noWrap w:val="0"/>
            <w:vAlign w:val="center"/>
          </w:tcPr>
          <w:p w14:paraId="7CF9E4B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FRP</w:t>
            </w:r>
          </w:p>
        </w:tc>
        <w:tc>
          <w:tcPr>
            <w:tcW w:w="1842" w:type="dxa"/>
            <w:noWrap w:val="0"/>
            <w:vAlign w:val="center"/>
          </w:tcPr>
          <w:p w14:paraId="1E91A3B6">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8</w:t>
            </w:r>
          </w:p>
        </w:tc>
      </w:tr>
      <w:tr w14:paraId="6D17E8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3B519780">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13</w:t>
            </w:r>
          </w:p>
        </w:tc>
        <w:tc>
          <w:tcPr>
            <w:tcW w:w="2240" w:type="dxa"/>
            <w:noWrap w:val="0"/>
            <w:vAlign w:val="center"/>
          </w:tcPr>
          <w:p w14:paraId="618FB95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热水罐</w:t>
            </w:r>
          </w:p>
        </w:tc>
        <w:tc>
          <w:tcPr>
            <w:tcW w:w="2136" w:type="dxa"/>
            <w:noWrap w:val="0"/>
            <w:vAlign w:val="center"/>
          </w:tcPr>
          <w:p w14:paraId="5628A57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Φ2800×3500</w:t>
            </w:r>
          </w:p>
        </w:tc>
        <w:tc>
          <w:tcPr>
            <w:tcW w:w="1383" w:type="dxa"/>
            <w:noWrap w:val="0"/>
            <w:vAlign w:val="center"/>
          </w:tcPr>
          <w:p w14:paraId="4559A4B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304</w:t>
            </w:r>
          </w:p>
        </w:tc>
        <w:tc>
          <w:tcPr>
            <w:tcW w:w="1842" w:type="dxa"/>
            <w:noWrap w:val="0"/>
            <w:vAlign w:val="center"/>
          </w:tcPr>
          <w:p w14:paraId="3090B39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w:t>
            </w:r>
          </w:p>
        </w:tc>
      </w:tr>
      <w:tr w14:paraId="028777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351E905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14</w:t>
            </w:r>
          </w:p>
        </w:tc>
        <w:tc>
          <w:tcPr>
            <w:tcW w:w="2240" w:type="dxa"/>
            <w:noWrap w:val="0"/>
            <w:vAlign w:val="center"/>
          </w:tcPr>
          <w:p w14:paraId="13D4A37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DCB</w:t>
            </w:r>
            <w:r>
              <w:rPr>
                <w:rFonts w:hint="default" w:ascii="Times New Roman" w:hAnsi="宋体"/>
                <w:szCs w:val="21"/>
              </w:rPr>
              <w:t>中间罐</w:t>
            </w:r>
          </w:p>
        </w:tc>
        <w:tc>
          <w:tcPr>
            <w:tcW w:w="2136" w:type="dxa"/>
            <w:noWrap w:val="0"/>
            <w:vAlign w:val="center"/>
          </w:tcPr>
          <w:p w14:paraId="13FD15E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25m</w:t>
            </w:r>
            <w:r>
              <w:rPr>
                <w:rFonts w:hint="default" w:ascii="Times New Roman" w:hAnsi="Times New Roman"/>
                <w:szCs w:val="21"/>
                <w:vertAlign w:val="superscript"/>
              </w:rPr>
              <w:t>3</w:t>
            </w:r>
          </w:p>
        </w:tc>
        <w:tc>
          <w:tcPr>
            <w:tcW w:w="1383" w:type="dxa"/>
            <w:noWrap w:val="0"/>
            <w:vAlign w:val="center"/>
          </w:tcPr>
          <w:p w14:paraId="560D66F5">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FRP</w:t>
            </w:r>
          </w:p>
        </w:tc>
        <w:tc>
          <w:tcPr>
            <w:tcW w:w="1842" w:type="dxa"/>
            <w:noWrap w:val="0"/>
            <w:vAlign w:val="center"/>
          </w:tcPr>
          <w:p w14:paraId="504DE760">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w:t>
            </w:r>
          </w:p>
        </w:tc>
      </w:tr>
      <w:tr w14:paraId="4AE8C4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20294086">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15</w:t>
            </w:r>
          </w:p>
        </w:tc>
        <w:tc>
          <w:tcPr>
            <w:tcW w:w="2240" w:type="dxa"/>
            <w:noWrap w:val="0"/>
            <w:vAlign w:val="center"/>
          </w:tcPr>
          <w:p w14:paraId="1ED60580">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邻氯硝基苯贮罐</w:t>
            </w:r>
          </w:p>
        </w:tc>
        <w:tc>
          <w:tcPr>
            <w:tcW w:w="2136" w:type="dxa"/>
            <w:noWrap w:val="0"/>
            <w:vAlign w:val="center"/>
          </w:tcPr>
          <w:p w14:paraId="0B1D938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eastAsia" w:ascii="Times New Roman" w:hAnsi="Times New Roman"/>
                <w:szCs w:val="21"/>
                <w:lang w:val="en-US" w:eastAsia="zh-CN"/>
              </w:rPr>
              <w:t>3</w:t>
            </w:r>
            <w:r>
              <w:rPr>
                <w:rFonts w:hint="default" w:ascii="Times New Roman" w:hAnsi="Times New Roman"/>
                <w:szCs w:val="21"/>
              </w:rPr>
              <w:t>00m</w:t>
            </w:r>
            <w:r>
              <w:rPr>
                <w:rFonts w:hint="default" w:ascii="Times New Roman" w:hAnsi="Times New Roman"/>
                <w:szCs w:val="21"/>
                <w:vertAlign w:val="superscript"/>
              </w:rPr>
              <w:t>3</w:t>
            </w:r>
          </w:p>
        </w:tc>
        <w:tc>
          <w:tcPr>
            <w:tcW w:w="1383" w:type="dxa"/>
            <w:noWrap w:val="0"/>
            <w:vAlign w:val="center"/>
          </w:tcPr>
          <w:p w14:paraId="332B88C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碳钢</w:t>
            </w:r>
          </w:p>
        </w:tc>
        <w:tc>
          <w:tcPr>
            <w:tcW w:w="1842" w:type="dxa"/>
            <w:noWrap w:val="0"/>
            <w:vAlign w:val="center"/>
          </w:tcPr>
          <w:p w14:paraId="3F26FD73">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w:t>
            </w:r>
          </w:p>
        </w:tc>
      </w:tr>
      <w:tr w14:paraId="764599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3E69AED4">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16</w:t>
            </w:r>
          </w:p>
        </w:tc>
        <w:tc>
          <w:tcPr>
            <w:tcW w:w="2240" w:type="dxa"/>
            <w:noWrap w:val="0"/>
            <w:vAlign w:val="center"/>
          </w:tcPr>
          <w:p w14:paraId="059BC76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甲苯贮罐</w:t>
            </w:r>
          </w:p>
        </w:tc>
        <w:tc>
          <w:tcPr>
            <w:tcW w:w="2136" w:type="dxa"/>
            <w:noWrap w:val="0"/>
            <w:vAlign w:val="center"/>
          </w:tcPr>
          <w:p w14:paraId="65A90A08">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100m</w:t>
            </w:r>
            <w:r>
              <w:rPr>
                <w:rFonts w:hint="default" w:ascii="Times New Roman" w:hAnsi="Times New Roman"/>
                <w:szCs w:val="21"/>
                <w:vertAlign w:val="superscript"/>
              </w:rPr>
              <w:t>3</w:t>
            </w:r>
          </w:p>
        </w:tc>
        <w:tc>
          <w:tcPr>
            <w:tcW w:w="1383" w:type="dxa"/>
            <w:noWrap w:val="0"/>
            <w:vAlign w:val="center"/>
          </w:tcPr>
          <w:p w14:paraId="4DC1746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碳钢</w:t>
            </w:r>
          </w:p>
        </w:tc>
        <w:tc>
          <w:tcPr>
            <w:tcW w:w="1842" w:type="dxa"/>
            <w:noWrap w:val="0"/>
            <w:vAlign w:val="center"/>
          </w:tcPr>
          <w:p w14:paraId="0F7E3B72">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w:t>
            </w:r>
          </w:p>
        </w:tc>
      </w:tr>
      <w:tr w14:paraId="0AEA48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4388805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17</w:t>
            </w:r>
          </w:p>
        </w:tc>
        <w:tc>
          <w:tcPr>
            <w:tcW w:w="2240" w:type="dxa"/>
            <w:noWrap w:val="0"/>
            <w:vAlign w:val="center"/>
          </w:tcPr>
          <w:p w14:paraId="68473F7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盐酸贮罐</w:t>
            </w:r>
          </w:p>
        </w:tc>
        <w:tc>
          <w:tcPr>
            <w:tcW w:w="2136" w:type="dxa"/>
            <w:noWrap w:val="0"/>
            <w:vAlign w:val="center"/>
          </w:tcPr>
          <w:p w14:paraId="32CAD6B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100m</w:t>
            </w:r>
            <w:r>
              <w:rPr>
                <w:rFonts w:hint="default" w:ascii="Times New Roman" w:hAnsi="Times New Roman"/>
                <w:szCs w:val="21"/>
                <w:vertAlign w:val="superscript"/>
              </w:rPr>
              <w:t>3</w:t>
            </w:r>
          </w:p>
        </w:tc>
        <w:tc>
          <w:tcPr>
            <w:tcW w:w="1383" w:type="dxa"/>
            <w:noWrap w:val="0"/>
            <w:vAlign w:val="center"/>
          </w:tcPr>
          <w:p w14:paraId="2DAD5A4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碳钢</w:t>
            </w:r>
          </w:p>
        </w:tc>
        <w:tc>
          <w:tcPr>
            <w:tcW w:w="1842" w:type="dxa"/>
            <w:noWrap w:val="0"/>
            <w:vAlign w:val="center"/>
          </w:tcPr>
          <w:p w14:paraId="186F73E3">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4</w:t>
            </w:r>
          </w:p>
        </w:tc>
      </w:tr>
      <w:tr w14:paraId="3810B9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662C60A3">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18</w:t>
            </w:r>
          </w:p>
        </w:tc>
        <w:tc>
          <w:tcPr>
            <w:tcW w:w="2240" w:type="dxa"/>
            <w:noWrap w:val="0"/>
            <w:vAlign w:val="center"/>
          </w:tcPr>
          <w:p w14:paraId="24CA5142">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液碱贮罐</w:t>
            </w:r>
          </w:p>
        </w:tc>
        <w:tc>
          <w:tcPr>
            <w:tcW w:w="2136" w:type="dxa"/>
            <w:noWrap w:val="0"/>
            <w:vAlign w:val="center"/>
          </w:tcPr>
          <w:p w14:paraId="2EEEF9C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eastAsia" w:ascii="Times New Roman" w:hAnsi="Times New Roman"/>
                <w:szCs w:val="21"/>
                <w:lang w:val="en-US" w:eastAsia="zh-CN"/>
              </w:rPr>
              <w:t>3</w:t>
            </w:r>
            <w:r>
              <w:rPr>
                <w:rFonts w:hint="default" w:ascii="Times New Roman" w:hAnsi="Times New Roman"/>
                <w:szCs w:val="21"/>
              </w:rPr>
              <w:t>00m</w:t>
            </w:r>
            <w:r>
              <w:rPr>
                <w:rFonts w:hint="default" w:ascii="Times New Roman" w:hAnsi="Times New Roman"/>
                <w:szCs w:val="21"/>
                <w:vertAlign w:val="superscript"/>
              </w:rPr>
              <w:t>3</w:t>
            </w:r>
          </w:p>
        </w:tc>
        <w:tc>
          <w:tcPr>
            <w:tcW w:w="1383" w:type="dxa"/>
            <w:noWrap w:val="0"/>
            <w:vAlign w:val="center"/>
          </w:tcPr>
          <w:p w14:paraId="2C13C45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碳钢</w:t>
            </w:r>
          </w:p>
        </w:tc>
        <w:tc>
          <w:tcPr>
            <w:tcW w:w="1842" w:type="dxa"/>
            <w:noWrap w:val="0"/>
            <w:vAlign w:val="center"/>
          </w:tcPr>
          <w:p w14:paraId="0A31386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w:t>
            </w:r>
          </w:p>
        </w:tc>
      </w:tr>
      <w:tr w14:paraId="2C0F8C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40565911">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19</w:t>
            </w:r>
          </w:p>
        </w:tc>
        <w:tc>
          <w:tcPr>
            <w:tcW w:w="2240" w:type="dxa"/>
            <w:noWrap w:val="0"/>
            <w:vAlign w:val="center"/>
          </w:tcPr>
          <w:p w14:paraId="12BEFFF4">
            <w:pPr>
              <w:keepNext w:val="0"/>
              <w:keepLines w:val="0"/>
              <w:suppressLineNumbers w:val="0"/>
              <w:spacing w:before="0" w:beforeAutospacing="0" w:after="0" w:afterAutospacing="0"/>
              <w:ind w:left="0" w:right="0"/>
              <w:jc w:val="center"/>
              <w:textAlignment w:val="baseline"/>
              <w:rPr>
                <w:rFonts w:hint="default" w:ascii="Times New Roman" w:hAnsi="宋体"/>
                <w:szCs w:val="21"/>
              </w:rPr>
            </w:pPr>
            <w:r>
              <w:rPr>
                <w:rFonts w:hint="default" w:ascii="Times New Roman" w:hAnsi="宋体"/>
                <w:szCs w:val="21"/>
              </w:rPr>
              <w:t>邻氯硝基苯贮罐</w:t>
            </w:r>
          </w:p>
        </w:tc>
        <w:tc>
          <w:tcPr>
            <w:tcW w:w="2136" w:type="dxa"/>
            <w:noWrap w:val="0"/>
            <w:vAlign w:val="center"/>
          </w:tcPr>
          <w:p w14:paraId="3885C6A1">
            <w:pPr>
              <w:keepNext w:val="0"/>
              <w:keepLines w:val="0"/>
              <w:suppressLineNumbers w:val="0"/>
              <w:spacing w:before="0" w:beforeAutospacing="0" w:after="0" w:afterAutospacing="0"/>
              <w:ind w:left="0" w:right="0"/>
              <w:jc w:val="center"/>
              <w:textAlignment w:val="baseline"/>
              <w:rPr>
                <w:rFonts w:hint="default" w:ascii="Times New Roman" w:hAnsi="Times New Roman"/>
                <w:szCs w:val="21"/>
                <w:lang w:val="en-US" w:eastAsia="zh-CN"/>
              </w:rPr>
            </w:pPr>
            <w:r>
              <w:rPr>
                <w:rFonts w:hint="eastAsia" w:ascii="Times New Roman" w:hAnsi="Times New Roman"/>
                <w:szCs w:val="21"/>
                <w:lang w:val="en-US" w:eastAsia="zh-CN"/>
              </w:rPr>
              <w:t>960</w:t>
            </w:r>
            <w:r>
              <w:rPr>
                <w:rFonts w:hint="default" w:ascii="Times New Roman" w:hAnsi="Times New Roman"/>
                <w:szCs w:val="21"/>
              </w:rPr>
              <w:t>m</w:t>
            </w:r>
            <w:r>
              <w:rPr>
                <w:rFonts w:hint="default" w:ascii="Times New Roman" w:hAnsi="Times New Roman"/>
                <w:szCs w:val="21"/>
                <w:vertAlign w:val="superscript"/>
              </w:rPr>
              <w:t>3</w:t>
            </w:r>
          </w:p>
        </w:tc>
        <w:tc>
          <w:tcPr>
            <w:tcW w:w="1383" w:type="dxa"/>
            <w:noWrap w:val="0"/>
            <w:vAlign w:val="center"/>
          </w:tcPr>
          <w:p w14:paraId="0A253190">
            <w:pPr>
              <w:keepNext w:val="0"/>
              <w:keepLines w:val="0"/>
              <w:suppressLineNumbers w:val="0"/>
              <w:spacing w:before="0" w:beforeAutospacing="0" w:after="0" w:afterAutospacing="0"/>
              <w:ind w:left="0" w:right="0"/>
              <w:jc w:val="center"/>
              <w:textAlignment w:val="baseline"/>
              <w:rPr>
                <w:rFonts w:hint="default" w:ascii="Times New Roman" w:hAnsi="宋体"/>
                <w:szCs w:val="21"/>
              </w:rPr>
            </w:pPr>
            <w:r>
              <w:rPr>
                <w:rFonts w:hint="default" w:ascii="Times New Roman" w:hAnsi="宋体"/>
                <w:szCs w:val="21"/>
              </w:rPr>
              <w:t>碳钢</w:t>
            </w:r>
          </w:p>
        </w:tc>
        <w:tc>
          <w:tcPr>
            <w:tcW w:w="1842" w:type="dxa"/>
            <w:noWrap w:val="0"/>
            <w:vAlign w:val="center"/>
          </w:tcPr>
          <w:p w14:paraId="43A32964">
            <w:pPr>
              <w:keepNext w:val="0"/>
              <w:keepLines w:val="0"/>
              <w:suppressLineNumbers w:val="0"/>
              <w:spacing w:before="0" w:beforeAutospacing="0" w:after="0" w:afterAutospacing="0"/>
              <w:ind w:left="0" w:right="0"/>
              <w:jc w:val="center"/>
              <w:textAlignment w:val="baseline"/>
              <w:rPr>
                <w:rFonts w:hint="eastAsia" w:ascii="Times New Roman" w:hAnsi="Times New Roman" w:eastAsia="宋体"/>
                <w:szCs w:val="21"/>
                <w:lang w:val="en-US" w:eastAsia="zh-CN"/>
              </w:rPr>
            </w:pPr>
            <w:r>
              <w:rPr>
                <w:rFonts w:hint="eastAsia" w:ascii="Times New Roman" w:hAnsi="Times New Roman"/>
                <w:szCs w:val="21"/>
                <w:lang w:val="en-US" w:eastAsia="zh-CN"/>
              </w:rPr>
              <w:t>2</w:t>
            </w:r>
          </w:p>
        </w:tc>
      </w:tr>
      <w:tr w14:paraId="78F6C5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311E733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19</w:t>
            </w:r>
          </w:p>
        </w:tc>
        <w:tc>
          <w:tcPr>
            <w:tcW w:w="2240" w:type="dxa"/>
            <w:noWrap w:val="0"/>
            <w:vAlign w:val="center"/>
          </w:tcPr>
          <w:p w14:paraId="34FB6A5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催化剂压滤机</w:t>
            </w:r>
          </w:p>
        </w:tc>
        <w:tc>
          <w:tcPr>
            <w:tcW w:w="2136" w:type="dxa"/>
            <w:noWrap w:val="0"/>
            <w:vAlign w:val="center"/>
          </w:tcPr>
          <w:p w14:paraId="4FCF2CE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F=10m</w:t>
            </w:r>
            <w:r>
              <w:rPr>
                <w:rFonts w:hint="default" w:ascii="Times New Roman" w:hAnsi="Times New Roman"/>
                <w:szCs w:val="21"/>
                <w:vertAlign w:val="superscript"/>
              </w:rPr>
              <w:t>3</w:t>
            </w:r>
          </w:p>
        </w:tc>
        <w:tc>
          <w:tcPr>
            <w:tcW w:w="1383" w:type="dxa"/>
            <w:noWrap w:val="0"/>
            <w:vAlign w:val="center"/>
          </w:tcPr>
          <w:p w14:paraId="477E8E0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PP</w:t>
            </w:r>
          </w:p>
        </w:tc>
        <w:tc>
          <w:tcPr>
            <w:tcW w:w="1842" w:type="dxa"/>
            <w:noWrap w:val="0"/>
            <w:vAlign w:val="center"/>
          </w:tcPr>
          <w:p w14:paraId="07642C5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6</w:t>
            </w:r>
          </w:p>
        </w:tc>
      </w:tr>
      <w:tr w14:paraId="7A55CA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0798940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20</w:t>
            </w:r>
          </w:p>
        </w:tc>
        <w:tc>
          <w:tcPr>
            <w:tcW w:w="2240" w:type="dxa"/>
            <w:noWrap w:val="0"/>
            <w:vAlign w:val="center"/>
          </w:tcPr>
          <w:p w14:paraId="51AEA538">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活性炭压滤机</w:t>
            </w:r>
          </w:p>
        </w:tc>
        <w:tc>
          <w:tcPr>
            <w:tcW w:w="2136" w:type="dxa"/>
            <w:noWrap w:val="0"/>
            <w:vAlign w:val="center"/>
          </w:tcPr>
          <w:p w14:paraId="19AD6153">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F=120m</w:t>
            </w:r>
            <w:r>
              <w:rPr>
                <w:rFonts w:hint="default" w:ascii="Times New Roman" w:hAnsi="Times New Roman"/>
                <w:szCs w:val="21"/>
                <w:vertAlign w:val="superscript"/>
              </w:rPr>
              <w:t>3</w:t>
            </w:r>
          </w:p>
        </w:tc>
        <w:tc>
          <w:tcPr>
            <w:tcW w:w="1383" w:type="dxa"/>
            <w:noWrap w:val="0"/>
            <w:vAlign w:val="center"/>
          </w:tcPr>
          <w:p w14:paraId="03F7C883">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PP</w:t>
            </w:r>
          </w:p>
        </w:tc>
        <w:tc>
          <w:tcPr>
            <w:tcW w:w="1842" w:type="dxa"/>
            <w:noWrap w:val="0"/>
            <w:vAlign w:val="center"/>
          </w:tcPr>
          <w:p w14:paraId="3E20DBEF">
            <w:pPr>
              <w:keepNext w:val="0"/>
              <w:keepLines w:val="0"/>
              <w:suppressLineNumbers w:val="0"/>
              <w:spacing w:before="0" w:beforeAutospacing="0" w:after="0" w:afterAutospacing="0"/>
              <w:ind w:left="0" w:right="0"/>
              <w:jc w:val="center"/>
              <w:textAlignment w:val="baseline"/>
              <w:rPr>
                <w:rFonts w:hint="eastAsia" w:ascii="Times New Roman" w:hAnsi="Times New Roman" w:eastAsia="宋体"/>
                <w:szCs w:val="21"/>
                <w:lang w:eastAsia="zh-CN"/>
              </w:rPr>
            </w:pPr>
            <w:r>
              <w:rPr>
                <w:rFonts w:hint="eastAsia" w:ascii="Times New Roman" w:hAnsi="Times New Roman"/>
                <w:szCs w:val="21"/>
                <w:lang w:val="en-US" w:eastAsia="zh-CN"/>
              </w:rPr>
              <w:t>4</w:t>
            </w:r>
          </w:p>
        </w:tc>
      </w:tr>
      <w:tr w14:paraId="405DC5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05EC410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21</w:t>
            </w:r>
          </w:p>
        </w:tc>
        <w:tc>
          <w:tcPr>
            <w:tcW w:w="2240" w:type="dxa"/>
            <w:noWrap w:val="0"/>
            <w:vAlign w:val="center"/>
          </w:tcPr>
          <w:p w14:paraId="15F13C8D">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DOB</w:t>
            </w:r>
            <w:r>
              <w:rPr>
                <w:rFonts w:hint="default" w:ascii="Times New Roman" w:hAnsi="宋体"/>
                <w:szCs w:val="21"/>
              </w:rPr>
              <w:t>离心机</w:t>
            </w:r>
          </w:p>
        </w:tc>
        <w:tc>
          <w:tcPr>
            <w:tcW w:w="2136" w:type="dxa"/>
            <w:noWrap w:val="0"/>
            <w:vAlign w:val="center"/>
          </w:tcPr>
          <w:p w14:paraId="6A2901BA">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Φ1250</w:t>
            </w:r>
          </w:p>
        </w:tc>
        <w:tc>
          <w:tcPr>
            <w:tcW w:w="1383" w:type="dxa"/>
            <w:noWrap w:val="0"/>
            <w:vAlign w:val="center"/>
          </w:tcPr>
          <w:p w14:paraId="5EC1AEB7">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PP</w:t>
            </w:r>
          </w:p>
        </w:tc>
        <w:tc>
          <w:tcPr>
            <w:tcW w:w="1842" w:type="dxa"/>
            <w:noWrap w:val="0"/>
            <w:vAlign w:val="center"/>
          </w:tcPr>
          <w:p w14:paraId="2585240B">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szCs w:val="21"/>
                <w:lang w:val="en-US" w:eastAsia="zh-CN"/>
              </w:rPr>
            </w:pPr>
            <w:r>
              <w:rPr>
                <w:rFonts w:hint="eastAsia" w:ascii="Times New Roman" w:hAnsi="Times New Roman"/>
                <w:szCs w:val="21"/>
                <w:lang w:val="en-US" w:eastAsia="zh-CN"/>
              </w:rPr>
              <w:t>16</w:t>
            </w:r>
          </w:p>
        </w:tc>
      </w:tr>
      <w:tr w14:paraId="7F7A79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6EEBE4EE">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22</w:t>
            </w:r>
          </w:p>
        </w:tc>
        <w:tc>
          <w:tcPr>
            <w:tcW w:w="2240" w:type="dxa"/>
            <w:noWrap w:val="0"/>
            <w:vAlign w:val="center"/>
          </w:tcPr>
          <w:p w14:paraId="102A28CC">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二滤品离心机</w:t>
            </w:r>
          </w:p>
        </w:tc>
        <w:tc>
          <w:tcPr>
            <w:tcW w:w="2136" w:type="dxa"/>
            <w:noWrap w:val="0"/>
            <w:vAlign w:val="center"/>
          </w:tcPr>
          <w:p w14:paraId="14177B18">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F=120m</w:t>
            </w:r>
            <w:r>
              <w:rPr>
                <w:rFonts w:hint="default" w:ascii="Times New Roman" w:hAnsi="Times New Roman"/>
                <w:szCs w:val="21"/>
                <w:vertAlign w:val="superscript"/>
              </w:rPr>
              <w:t>3</w:t>
            </w:r>
          </w:p>
        </w:tc>
        <w:tc>
          <w:tcPr>
            <w:tcW w:w="1383" w:type="dxa"/>
            <w:noWrap w:val="0"/>
            <w:vAlign w:val="center"/>
          </w:tcPr>
          <w:p w14:paraId="0448C401">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PP</w:t>
            </w:r>
          </w:p>
        </w:tc>
        <w:tc>
          <w:tcPr>
            <w:tcW w:w="1842" w:type="dxa"/>
            <w:noWrap w:val="0"/>
            <w:vAlign w:val="center"/>
          </w:tcPr>
          <w:p w14:paraId="4F9C1BFB">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w:t>
            </w:r>
          </w:p>
        </w:tc>
      </w:tr>
      <w:tr w14:paraId="269069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28" w:type="dxa"/>
            <w:noWrap w:val="0"/>
            <w:vAlign w:val="center"/>
          </w:tcPr>
          <w:p w14:paraId="23A63242">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23</w:t>
            </w:r>
          </w:p>
        </w:tc>
        <w:tc>
          <w:tcPr>
            <w:tcW w:w="2240" w:type="dxa"/>
            <w:noWrap w:val="0"/>
            <w:vAlign w:val="center"/>
          </w:tcPr>
          <w:p w14:paraId="6AAE490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宋体"/>
                <w:szCs w:val="21"/>
              </w:rPr>
              <w:t>甲苯回收系统</w:t>
            </w:r>
          </w:p>
        </w:tc>
        <w:tc>
          <w:tcPr>
            <w:tcW w:w="2136" w:type="dxa"/>
            <w:noWrap w:val="0"/>
            <w:vAlign w:val="center"/>
          </w:tcPr>
          <w:p w14:paraId="147EE499">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5m</w:t>
            </w:r>
            <w:r>
              <w:rPr>
                <w:rFonts w:hint="default" w:ascii="Times New Roman" w:hAnsi="Times New Roman"/>
                <w:szCs w:val="21"/>
                <w:vertAlign w:val="superscript"/>
              </w:rPr>
              <w:t>3</w:t>
            </w:r>
          </w:p>
        </w:tc>
        <w:tc>
          <w:tcPr>
            <w:tcW w:w="1383" w:type="dxa"/>
            <w:noWrap w:val="0"/>
            <w:vAlign w:val="center"/>
          </w:tcPr>
          <w:p w14:paraId="525F78BF">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304</w:t>
            </w:r>
          </w:p>
        </w:tc>
        <w:tc>
          <w:tcPr>
            <w:tcW w:w="1842" w:type="dxa"/>
            <w:noWrap w:val="0"/>
            <w:vAlign w:val="center"/>
          </w:tcPr>
          <w:p w14:paraId="190E2494">
            <w:pPr>
              <w:keepNext w:val="0"/>
              <w:keepLines w:val="0"/>
              <w:suppressLineNumbers w:val="0"/>
              <w:spacing w:before="0" w:beforeAutospacing="0" w:after="0" w:afterAutospacing="0"/>
              <w:ind w:left="0" w:right="0"/>
              <w:jc w:val="center"/>
              <w:textAlignment w:val="baseline"/>
              <w:rPr>
                <w:rFonts w:hint="default" w:ascii="Times New Roman" w:hAnsi="Times New Roman"/>
                <w:szCs w:val="21"/>
              </w:rPr>
            </w:pPr>
            <w:r>
              <w:rPr>
                <w:rFonts w:hint="default" w:ascii="Times New Roman" w:hAnsi="Times New Roman"/>
                <w:szCs w:val="21"/>
              </w:rPr>
              <w:t>2</w:t>
            </w:r>
          </w:p>
        </w:tc>
      </w:tr>
    </w:tbl>
    <w:p w14:paraId="4E6DA5DF">
      <w:pPr>
        <w:numPr>
          <w:ilvl w:val="0"/>
          <w:numId w:val="0"/>
        </w:numPr>
        <w:rPr>
          <w:rFonts w:hint="eastAsia"/>
          <w:lang w:val="en-US" w:eastAsia="zh-CN"/>
        </w:rPr>
      </w:pPr>
    </w:p>
    <w:p w14:paraId="4B959D4E">
      <w:pPr>
        <w:pStyle w:val="7"/>
        <w:spacing w:before="240" w:beforeLines="100"/>
        <w:rPr>
          <w:rFonts w:cs="Times New Roman"/>
          <w:color w:val="000000" w:themeColor="text1"/>
          <w14:textFill>
            <w14:solidFill>
              <w14:schemeClr w14:val="tx1"/>
            </w14:solidFill>
          </w14:textFill>
        </w:rPr>
      </w:pPr>
      <w:bookmarkStart w:id="44" w:name="_Toc127256776"/>
      <w:bookmarkStart w:id="45" w:name="_Toc12888"/>
      <w:r>
        <w:rPr>
          <w:rFonts w:hint="eastAsia" w:cs="Times New Roman"/>
          <w:color w:val="000000" w:themeColor="text1"/>
          <w:lang w:val="en-US" w:eastAsia="zh-CN"/>
          <w14:textFill>
            <w14:solidFill>
              <w14:schemeClr w14:val="tx1"/>
            </w14:solidFill>
          </w14:textFill>
        </w:rPr>
        <w:t>3.5</w:t>
      </w:r>
      <w:r>
        <w:rPr>
          <w:rFonts w:cs="Times New Roman"/>
          <w:color w:val="000000" w:themeColor="text1"/>
          <w14:textFill>
            <w14:solidFill>
              <w14:schemeClr w14:val="tx1"/>
            </w14:solidFill>
          </w14:textFill>
        </w:rPr>
        <w:t>安全生产管理</w:t>
      </w:r>
      <w:bookmarkEnd w:id="44"/>
      <w:bookmarkEnd w:id="45"/>
    </w:p>
    <w:p w14:paraId="3274D9FA">
      <w:pPr>
        <w:pStyle w:val="124"/>
        <w:rPr>
          <w:color w:val="000000" w:themeColor="text1"/>
          <w14:textFill>
            <w14:solidFill>
              <w14:schemeClr w14:val="tx1"/>
            </w14:solidFill>
          </w14:textFill>
        </w:rPr>
      </w:pPr>
      <w:r>
        <w:rPr>
          <w:color w:val="000000" w:themeColor="text1"/>
          <w:lang w:eastAsia="zh-CN"/>
          <w14:textFill>
            <w14:solidFill>
              <w14:schemeClr w14:val="tx1"/>
            </w14:solidFill>
          </w14:textFill>
        </w:rPr>
        <w:t>公司已通过消防验收，安全生产评估报告及生产安全事故应急预案均已备案</w:t>
      </w:r>
      <w:r>
        <w:rPr>
          <w:rFonts w:hint="eastAsia"/>
          <w:color w:val="000000" w:themeColor="text1"/>
          <w:lang w:eastAsia="zh-CN"/>
          <w14:textFill>
            <w14:solidFill>
              <w14:schemeClr w14:val="tx1"/>
            </w14:solidFill>
          </w14:textFill>
        </w:rPr>
        <w:t>，已经取得了安全生产许可证，并根据该公司使用危化品的实际情况制定了应急预案体系，主要分为安全生产事故综合应急预案、专项预案和现场应急处置方案，应急预案已备案。建设单位按照国家《突发环境事件应急预案管理暂行办法》的要求，每年至少组织两次应急演练，熟悉掌握对突发环境事件的处理措施，加强安全管理，安全生产，严格遵守《暂行办法》的规定。企业不涉及重大危险源。</w:t>
      </w:r>
    </w:p>
    <w:p w14:paraId="3F7A5ACF">
      <w:pPr>
        <w:pStyle w:val="128"/>
        <w:spacing w:before="72" w:after="48"/>
        <w:rPr>
          <w:color w:val="000000" w:themeColor="text1"/>
          <w14:textFill>
            <w14:solidFill>
              <w14:schemeClr w14:val="tx1"/>
            </w14:solidFill>
          </w14:textFill>
        </w:rPr>
      </w:pPr>
      <w:r>
        <w:rPr>
          <w:color w:val="000000" w:themeColor="text1"/>
          <w14:textFill>
            <w14:solidFill>
              <w14:schemeClr w14:val="tx1"/>
            </w14:solidFill>
          </w14:textFill>
        </w:rPr>
        <w:t>表</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STYLEREF 2 \s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noBreakHyphen/>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SEQ 表格 \* ARABIC \s 2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eastAsia"/>
          <w:color w:val="000000" w:themeColor="text1"/>
          <w14:textFill>
            <w14:solidFill>
              <w14:schemeClr w14:val="tx1"/>
            </w14:solidFill>
          </w14:textFill>
        </w:rPr>
        <w:t>公司安全生产管理情况一览表</w:t>
      </w:r>
    </w:p>
    <w:tbl>
      <w:tblPr>
        <w:tblStyle w:val="34"/>
        <w:tblpPr w:leftFromText="180" w:rightFromText="180" w:vertAnchor="text" w:tblpY="1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2319"/>
        <w:gridCol w:w="4790"/>
      </w:tblGrid>
      <w:tr w14:paraId="5CE6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08" w:type="pct"/>
            <w:vAlign w:val="center"/>
          </w:tcPr>
          <w:p w14:paraId="6C97ABB0">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评估项目</w:t>
            </w:r>
          </w:p>
        </w:tc>
        <w:tc>
          <w:tcPr>
            <w:tcW w:w="1204" w:type="pct"/>
            <w:vAlign w:val="center"/>
          </w:tcPr>
          <w:p w14:paraId="740CBDCA">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企业安全生产管理现状</w:t>
            </w:r>
          </w:p>
        </w:tc>
        <w:tc>
          <w:tcPr>
            <w:tcW w:w="2487" w:type="pct"/>
            <w:vAlign w:val="center"/>
          </w:tcPr>
          <w:p w14:paraId="5688E7A8">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结论</w:t>
            </w:r>
          </w:p>
        </w:tc>
      </w:tr>
      <w:tr w14:paraId="43E6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308" w:type="pct"/>
            <w:vAlign w:val="center"/>
          </w:tcPr>
          <w:p w14:paraId="2C37FB23">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消防验收</w:t>
            </w:r>
          </w:p>
        </w:tc>
        <w:tc>
          <w:tcPr>
            <w:tcW w:w="1204" w:type="pct"/>
            <w:vAlign w:val="center"/>
          </w:tcPr>
          <w:p w14:paraId="6FE732A7">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已取得</w:t>
            </w:r>
          </w:p>
        </w:tc>
        <w:tc>
          <w:tcPr>
            <w:tcW w:w="2487" w:type="pct"/>
            <w:vAlign w:val="center"/>
          </w:tcPr>
          <w:p w14:paraId="024989CC">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项目</w:t>
            </w:r>
            <w:r>
              <w:rPr>
                <w:rFonts w:hint="default"/>
                <w:color w:val="000000" w:themeColor="text1"/>
                <w14:textFill>
                  <w14:solidFill>
                    <w14:schemeClr w14:val="tx1"/>
                  </w14:solidFill>
                </w14:textFill>
              </w:rPr>
              <w:t>2009年7月14日经淄博市公安消防分局验收合格，取得了《建设工程消防验收意见书》（淄公消验[2009]第016号）；项目污水处理、甲苯回收及罐区于2009年9月30日经淄博市公安消防分局验收合格，取得了《建设工程消防验收意见书》（淄公消验[2009]第075号）；2015年5月25日经淄博市公安消防支队验收合格，取得了《建设工程消防验收意见书》（淄公消验[2015]第0123号）</w:t>
            </w:r>
          </w:p>
        </w:tc>
      </w:tr>
      <w:tr w14:paraId="45D35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308" w:type="pct"/>
            <w:vAlign w:val="center"/>
          </w:tcPr>
          <w:p w14:paraId="51173B2E">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安全事故应急预案备案</w:t>
            </w:r>
          </w:p>
        </w:tc>
        <w:tc>
          <w:tcPr>
            <w:tcW w:w="1204" w:type="pct"/>
            <w:vAlign w:val="center"/>
          </w:tcPr>
          <w:p w14:paraId="3EB82398">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已办理</w:t>
            </w:r>
          </w:p>
        </w:tc>
        <w:tc>
          <w:tcPr>
            <w:tcW w:w="2487" w:type="pct"/>
            <w:vAlign w:val="center"/>
          </w:tcPr>
          <w:p w14:paraId="477F69DE">
            <w:pPr>
              <w:pStyle w:val="127"/>
              <w:keepNext w:val="0"/>
              <w:keepLines w:val="0"/>
              <w:widowControl/>
              <w:suppressLineNumbers w:val="0"/>
              <w:spacing w:before="0" w:beforeAutospacing="0" w:after="0" w:afterAutospacing="0"/>
              <w:ind w:left="0" w:right="0"/>
              <w:rPr>
                <w:rFonts w:hint="default"/>
              </w:rPr>
            </w:pPr>
            <w:r>
              <w:rPr>
                <w:rFonts w:hint="default"/>
              </w:rPr>
              <w:t>2021年</w:t>
            </w:r>
            <w:r>
              <w:rPr>
                <w:rFonts w:hint="eastAsia"/>
                <w:lang w:val="en-US" w:eastAsia="zh-CN"/>
              </w:rPr>
              <w:t>12</w:t>
            </w:r>
            <w:r>
              <w:rPr>
                <w:rFonts w:hint="default"/>
              </w:rPr>
              <w:t>月</w:t>
            </w:r>
            <w:r>
              <w:rPr>
                <w:rFonts w:hint="eastAsia"/>
                <w:lang w:val="en-US" w:eastAsia="zh-CN"/>
              </w:rPr>
              <w:t>22</w:t>
            </w:r>
            <w:r>
              <w:rPr>
                <w:rFonts w:hint="default"/>
              </w:rPr>
              <w:t>日已备案并通过审查</w:t>
            </w:r>
          </w:p>
          <w:p w14:paraId="5785DF83">
            <w:pPr>
              <w:pStyle w:val="127"/>
              <w:keepNext w:val="0"/>
              <w:keepLines w:val="0"/>
              <w:widowControl/>
              <w:suppressLineNumbers w:val="0"/>
              <w:spacing w:before="0" w:beforeAutospacing="0" w:after="0" w:afterAutospacing="0"/>
              <w:ind w:left="0" w:right="0"/>
              <w:rPr>
                <w:rFonts w:hint="default" w:eastAsia="宋体"/>
                <w:b/>
                <w:bCs/>
                <w:color w:val="auto"/>
                <w:lang w:val="en-US" w:eastAsia="zh-CN"/>
              </w:rPr>
            </w:pPr>
            <w:r>
              <w:rPr>
                <w:rFonts w:hint="eastAsia"/>
              </w:rPr>
              <w:t>370305-2021-</w:t>
            </w:r>
            <w:r>
              <w:rPr>
                <w:rFonts w:hint="eastAsia"/>
                <w:lang w:val="en-US" w:eastAsia="zh-CN"/>
              </w:rPr>
              <w:t>1110</w:t>
            </w:r>
          </w:p>
        </w:tc>
      </w:tr>
      <w:tr w14:paraId="4822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308" w:type="pct"/>
            <w:vAlign w:val="center"/>
          </w:tcPr>
          <w:p w14:paraId="2975DA37">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安全评价</w:t>
            </w:r>
          </w:p>
        </w:tc>
        <w:tc>
          <w:tcPr>
            <w:tcW w:w="1204" w:type="pct"/>
            <w:vAlign w:val="center"/>
          </w:tcPr>
          <w:p w14:paraId="6DB724D4">
            <w:pPr>
              <w:pStyle w:val="127"/>
              <w:keepNext w:val="0"/>
              <w:keepLines w:val="0"/>
              <w:widowControl/>
              <w:suppressLineNumbers w:val="0"/>
              <w:spacing w:before="0" w:beforeAutospacing="0" w:after="0" w:afterAutospacing="0"/>
              <w:ind w:left="0" w:right="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通过安全设施竣工验收</w:t>
            </w:r>
          </w:p>
        </w:tc>
        <w:tc>
          <w:tcPr>
            <w:tcW w:w="2487" w:type="pct"/>
            <w:vAlign w:val="center"/>
          </w:tcPr>
          <w:p w14:paraId="7CF880C1">
            <w:pPr>
              <w:pStyle w:val="127"/>
              <w:keepNext w:val="0"/>
              <w:keepLines w:val="0"/>
              <w:widowControl/>
              <w:suppressLineNumbers w:val="0"/>
              <w:spacing w:before="0" w:beforeAutospacing="0" w:after="0" w:afterAutospacing="0"/>
              <w:ind w:left="0" w:right="0"/>
              <w:rPr>
                <w:rFonts w:hint="default" w:eastAsia="宋体"/>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已</w:t>
            </w:r>
            <w:r>
              <w:rPr>
                <w:rFonts w:hint="eastAsia"/>
                <w:color w:val="000000" w:themeColor="text1"/>
                <w14:textFill>
                  <w14:solidFill>
                    <w14:schemeClr w14:val="tx1"/>
                  </w14:solidFill>
                </w14:textFill>
              </w:rPr>
              <w:t>于2</w:t>
            </w:r>
            <w:r>
              <w:rPr>
                <w:rFonts w:hint="default"/>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23</w:t>
            </w:r>
            <w:r>
              <w:rPr>
                <w:rFonts w:hint="eastAsia"/>
                <w:color w:val="000000" w:themeColor="text1"/>
                <w14:textFill>
                  <w14:solidFill>
                    <w14:schemeClr w14:val="tx1"/>
                  </w14:solidFill>
                </w14:textFill>
              </w:rPr>
              <w:t>年1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 xml:space="preserve"> </w:t>
            </w:r>
            <w:r>
              <w:rPr>
                <w:rFonts w:hint="default"/>
                <w:color w:val="000000" w:themeColor="text1"/>
                <w14:textFill>
                  <w14:solidFill>
                    <w14:schemeClr w14:val="tx1"/>
                  </w14:solidFill>
                </w14:textFill>
              </w:rPr>
              <w:t>评价并通过审查</w:t>
            </w:r>
            <w:r>
              <w:rPr>
                <w:rFonts w:hint="eastAsia"/>
                <w:color w:val="000000" w:themeColor="text1"/>
                <w14:textFill>
                  <w14:solidFill>
                    <w14:schemeClr w14:val="tx1"/>
                  </w14:solidFill>
                </w14:textFill>
              </w:rPr>
              <w:t>，报告编号：</w:t>
            </w:r>
            <w:r>
              <w:rPr>
                <w:rFonts w:hint="eastAsia"/>
                <w:color w:val="000000" w:themeColor="text1"/>
                <w:lang w:val="en-US" w:eastAsia="zh-CN"/>
                <w14:textFill>
                  <w14:solidFill>
                    <w14:schemeClr w14:val="tx1"/>
                  </w14:solidFill>
                </w14:textFill>
              </w:rPr>
              <w:t>HDBG/AQ/AP</w:t>
            </w:r>
            <w:r>
              <w:rPr>
                <w:rFonts w:hint="default"/>
                <w:color w:val="000000" w:themeColor="text1"/>
                <w14:textFill>
                  <w14:solidFill>
                    <w14:schemeClr w14:val="tx1"/>
                  </w14:solidFill>
                </w14:textFill>
              </w:rPr>
              <w:t>-20</w:t>
            </w:r>
            <w:r>
              <w:rPr>
                <w:rFonts w:hint="eastAsia"/>
                <w:color w:val="000000" w:themeColor="text1"/>
                <w:lang w:val="en-US" w:eastAsia="zh-CN"/>
                <w14:textFill>
                  <w14:solidFill>
                    <w14:schemeClr w14:val="tx1"/>
                  </w14:solidFill>
                </w14:textFill>
              </w:rPr>
              <w:t>231112-03</w:t>
            </w:r>
          </w:p>
        </w:tc>
      </w:tr>
    </w:tbl>
    <w:p w14:paraId="1157E785">
      <w:pPr>
        <w:pStyle w:val="7"/>
        <w:pageBreakBefore w:val="0"/>
        <w:kinsoku/>
        <w:wordWrap/>
        <w:overflowPunct/>
        <w:topLinePunct w:val="0"/>
        <w:autoSpaceDE/>
        <w:autoSpaceDN/>
        <w:bidi w:val="0"/>
        <w:spacing w:before="0" w:after="0"/>
        <w:textAlignment w:val="auto"/>
        <w:rPr>
          <w:rFonts w:hint="eastAsia" w:cs="Times New Roman"/>
          <w:color w:val="000000" w:themeColor="text1"/>
          <w:lang w:val="en-US" w:eastAsia="zh-CN"/>
          <w14:textFill>
            <w14:solidFill>
              <w14:schemeClr w14:val="tx1"/>
            </w14:solidFill>
          </w14:textFill>
        </w:rPr>
      </w:pPr>
      <w:bookmarkStart w:id="46" w:name="_Toc127256777"/>
      <w:bookmarkStart w:id="47" w:name="_Toc73285819"/>
    </w:p>
    <w:p w14:paraId="51E674BC">
      <w:pPr>
        <w:pStyle w:val="7"/>
        <w:pageBreakBefore w:val="0"/>
        <w:kinsoku/>
        <w:wordWrap/>
        <w:overflowPunct/>
        <w:topLinePunct w:val="0"/>
        <w:autoSpaceDE/>
        <w:autoSpaceDN/>
        <w:bidi w:val="0"/>
        <w:spacing w:before="0" w:after="0"/>
        <w:textAlignment w:val="auto"/>
        <w:rPr>
          <w:rFonts w:cs="Times New Roman"/>
          <w:color w:val="000000" w:themeColor="text1"/>
          <w14:textFill>
            <w14:solidFill>
              <w14:schemeClr w14:val="tx1"/>
            </w14:solidFill>
          </w14:textFill>
        </w:rPr>
      </w:pPr>
      <w:bookmarkStart w:id="48" w:name="_Toc9013"/>
      <w:r>
        <w:rPr>
          <w:rFonts w:hint="eastAsia" w:cs="Times New Roman"/>
          <w:color w:val="000000" w:themeColor="text1"/>
          <w:lang w:val="en-US" w:eastAsia="zh-CN"/>
          <w14:textFill>
            <w14:solidFill>
              <w14:schemeClr w14:val="tx1"/>
            </w14:solidFill>
          </w14:textFill>
        </w:rPr>
        <w:t>3.6</w:t>
      </w:r>
      <w:r>
        <w:rPr>
          <w:rFonts w:cs="Times New Roman"/>
          <w:color w:val="000000" w:themeColor="text1"/>
          <w14:textFill>
            <w14:solidFill>
              <w14:schemeClr w14:val="tx1"/>
            </w14:solidFill>
          </w14:textFill>
        </w:rPr>
        <w:t>现有风险防控与应急措施情况</w:t>
      </w:r>
      <w:bookmarkEnd w:id="46"/>
      <w:bookmarkEnd w:id="47"/>
      <w:bookmarkEnd w:id="48"/>
    </w:p>
    <w:p w14:paraId="47EC40C6">
      <w:pPr>
        <w:pStyle w:val="8"/>
        <w:pageBreakBefore w:val="0"/>
        <w:kinsoku/>
        <w:wordWrap/>
        <w:overflowPunct/>
        <w:topLinePunct w:val="0"/>
        <w:autoSpaceDE/>
        <w:autoSpaceDN/>
        <w:bidi w:val="0"/>
        <w:spacing w:before="0" w:after="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3.6.1风险单元的划分</w:t>
      </w:r>
    </w:p>
    <w:p w14:paraId="092614AB">
      <w:pPr>
        <w:pStyle w:val="124"/>
        <w:pageBreakBefore w:val="0"/>
        <w:kinsoku/>
        <w:wordWrap/>
        <w:overflowPunct/>
        <w:topLinePunct w:val="0"/>
        <w:autoSpaceDE/>
        <w:autoSpaceDN/>
        <w:bidi w:val="0"/>
        <w:ind w:left="0" w:leftChars="0" w:firstLine="504"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color w:val="auto"/>
          <w:spacing w:val="6"/>
          <w:sz w:val="24"/>
          <w:highlight w:val="none"/>
        </w:rPr>
        <w:t>根据环境风险物质的筛选和工艺流程，确定生产设施风险单元及风险类型见下表。</w:t>
      </w:r>
    </w:p>
    <w:p w14:paraId="3AF3032F">
      <w:pPr>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表3.6-1厂区风险单元及风险类型一览表</w:t>
      </w:r>
    </w:p>
    <w:tbl>
      <w:tblPr>
        <w:tblStyle w:val="34"/>
        <w:tblW w:w="5072" w:type="pct"/>
        <w:jc w:val="center"/>
        <w:tblLayout w:type="autofit"/>
        <w:tblCellMar>
          <w:top w:w="0" w:type="dxa"/>
          <w:left w:w="0" w:type="dxa"/>
          <w:bottom w:w="0" w:type="dxa"/>
          <w:right w:w="0" w:type="dxa"/>
        </w:tblCellMar>
      </w:tblPr>
      <w:tblGrid>
        <w:gridCol w:w="555"/>
        <w:gridCol w:w="1081"/>
        <w:gridCol w:w="1944"/>
        <w:gridCol w:w="1473"/>
        <w:gridCol w:w="1469"/>
        <w:gridCol w:w="1400"/>
        <w:gridCol w:w="1636"/>
      </w:tblGrid>
      <w:tr w14:paraId="6DA2809E">
        <w:tblPrEx>
          <w:tblCellMar>
            <w:top w:w="0" w:type="dxa"/>
            <w:left w:w="0" w:type="dxa"/>
            <w:bottom w:w="0" w:type="dxa"/>
            <w:right w:w="0" w:type="dxa"/>
          </w:tblCellMar>
        </w:tblPrEx>
        <w:trPr>
          <w:trHeight w:val="397" w:hRule="atLeast"/>
          <w:jc w:val="center"/>
        </w:trPr>
        <w:tc>
          <w:tcPr>
            <w:tcW w:w="290" w:type="pct"/>
            <w:tcBorders>
              <w:top w:val="single" w:color="000000" w:sz="4" w:space="0"/>
              <w:left w:val="single" w:color="000000" w:sz="4" w:space="0"/>
              <w:bottom w:val="single" w:color="000000" w:sz="4" w:space="0"/>
              <w:right w:val="single" w:color="000000" w:sz="4" w:space="0"/>
            </w:tcBorders>
            <w:noWrap w:val="0"/>
            <w:vAlign w:val="center"/>
          </w:tcPr>
          <w:p w14:paraId="72B0A25D">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序号</w:t>
            </w:r>
          </w:p>
        </w:tc>
        <w:tc>
          <w:tcPr>
            <w:tcW w:w="565" w:type="pct"/>
            <w:tcBorders>
              <w:top w:val="single" w:color="000000" w:sz="4" w:space="0"/>
              <w:left w:val="single" w:color="000000" w:sz="4" w:space="0"/>
              <w:bottom w:val="single" w:color="000000" w:sz="4" w:space="0"/>
              <w:right w:val="single" w:color="000000" w:sz="4" w:space="0"/>
            </w:tcBorders>
            <w:noWrap w:val="0"/>
            <w:vAlign w:val="center"/>
          </w:tcPr>
          <w:p w14:paraId="372A5828">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危险单元</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63EF57AA">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风险源</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61C72BAA">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主要</w:t>
            </w:r>
            <w:r>
              <w:rPr>
                <w:rFonts w:hint="eastAsia"/>
                <w:color w:val="000000"/>
                <w:lang w:eastAsia="zh-CN"/>
              </w:rPr>
              <w:t>风险</w:t>
            </w:r>
            <w:r>
              <w:rPr>
                <w:rFonts w:hint="eastAsia"/>
                <w:color w:val="000000"/>
              </w:rPr>
              <w:t>物质</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0AAE613">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环境风险类型</w:t>
            </w:r>
          </w:p>
        </w:tc>
        <w:tc>
          <w:tcPr>
            <w:tcW w:w="732" w:type="pct"/>
            <w:tcBorders>
              <w:top w:val="single" w:color="000000" w:sz="4" w:space="0"/>
              <w:left w:val="single" w:color="000000" w:sz="4" w:space="0"/>
              <w:bottom w:val="single" w:color="000000" w:sz="4" w:space="0"/>
              <w:right w:val="single" w:color="000000" w:sz="4" w:space="0"/>
            </w:tcBorders>
            <w:noWrap w:val="0"/>
            <w:vAlign w:val="center"/>
          </w:tcPr>
          <w:p w14:paraId="6CDD39A4">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环境影响途径</w:t>
            </w:r>
          </w:p>
        </w:tc>
        <w:tc>
          <w:tcPr>
            <w:tcW w:w="855" w:type="pct"/>
            <w:tcBorders>
              <w:top w:val="single" w:color="000000" w:sz="4" w:space="0"/>
              <w:left w:val="single" w:color="000000" w:sz="4" w:space="0"/>
              <w:bottom w:val="single" w:color="000000" w:sz="4" w:space="0"/>
              <w:right w:val="single" w:color="000000" w:sz="4" w:space="0"/>
            </w:tcBorders>
            <w:noWrap w:val="0"/>
            <w:vAlign w:val="center"/>
          </w:tcPr>
          <w:p w14:paraId="4A3050DF">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事故触发因素</w:t>
            </w:r>
          </w:p>
        </w:tc>
      </w:tr>
      <w:tr w14:paraId="05DEF87E">
        <w:tblPrEx>
          <w:tblCellMar>
            <w:top w:w="0" w:type="dxa"/>
            <w:left w:w="0" w:type="dxa"/>
            <w:bottom w:w="0" w:type="dxa"/>
            <w:right w:w="0" w:type="dxa"/>
          </w:tblCellMar>
        </w:tblPrEx>
        <w:trPr>
          <w:trHeight w:val="397" w:hRule="atLeast"/>
          <w:jc w:val="center"/>
        </w:trPr>
        <w:tc>
          <w:tcPr>
            <w:tcW w:w="290" w:type="pct"/>
            <w:vMerge w:val="restart"/>
            <w:tcBorders>
              <w:top w:val="single" w:color="000000" w:sz="4" w:space="0"/>
              <w:left w:val="single" w:color="000000" w:sz="4" w:space="0"/>
              <w:right w:val="single" w:color="000000" w:sz="4" w:space="0"/>
            </w:tcBorders>
            <w:noWrap w:val="0"/>
            <w:vAlign w:val="center"/>
          </w:tcPr>
          <w:p w14:paraId="63D77F32">
            <w:pPr>
              <w:pStyle w:val="127"/>
              <w:keepNext w:val="0"/>
              <w:keepLines w:val="0"/>
              <w:widowControl/>
              <w:suppressLineNumbers w:val="0"/>
              <w:spacing w:before="0" w:beforeAutospacing="0" w:after="0" w:afterAutospacing="0"/>
              <w:ind w:left="0" w:right="0"/>
              <w:rPr>
                <w:rFonts w:hint="eastAsia" w:eastAsia="宋体" w:cs="Times New Roman"/>
                <w:color w:val="000000"/>
                <w:lang w:val="en-US" w:eastAsia="zh-CN"/>
              </w:rPr>
            </w:pPr>
            <w:r>
              <w:rPr>
                <w:rFonts w:hint="eastAsia" w:cs="Times New Roman"/>
                <w:color w:val="000000"/>
                <w:lang w:val="en-US" w:eastAsia="zh-CN"/>
              </w:rPr>
              <w:t>1</w:t>
            </w:r>
          </w:p>
        </w:tc>
        <w:tc>
          <w:tcPr>
            <w:tcW w:w="565" w:type="pct"/>
            <w:vMerge w:val="restart"/>
            <w:tcBorders>
              <w:top w:val="single" w:color="000000" w:sz="4" w:space="0"/>
              <w:left w:val="single" w:color="000000" w:sz="4" w:space="0"/>
              <w:right w:val="single" w:color="000000" w:sz="4" w:space="0"/>
            </w:tcBorders>
            <w:noWrap w:val="0"/>
            <w:vAlign w:val="center"/>
          </w:tcPr>
          <w:p w14:paraId="4E437E88">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储罐区</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43078D1F">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邻氯硝基苯</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46E39389">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邻氯硝基苯</w:t>
            </w:r>
          </w:p>
        </w:tc>
        <w:tc>
          <w:tcPr>
            <w:tcW w:w="768" w:type="pct"/>
            <w:vMerge w:val="restart"/>
            <w:tcBorders>
              <w:top w:val="single" w:color="000000" w:sz="4" w:space="0"/>
              <w:left w:val="single" w:color="000000" w:sz="4" w:space="0"/>
              <w:right w:val="single" w:color="000000" w:sz="4" w:space="0"/>
            </w:tcBorders>
            <w:noWrap w:val="0"/>
            <w:vAlign w:val="center"/>
          </w:tcPr>
          <w:p w14:paraId="3B80DAF9">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732" w:type="pct"/>
            <w:vMerge w:val="restart"/>
            <w:tcBorders>
              <w:top w:val="single" w:color="000000" w:sz="4" w:space="0"/>
              <w:left w:val="single" w:color="000000" w:sz="4" w:space="0"/>
              <w:right w:val="single" w:color="000000" w:sz="4" w:space="0"/>
            </w:tcBorders>
            <w:noWrap w:val="0"/>
            <w:vAlign w:val="center"/>
          </w:tcPr>
          <w:p w14:paraId="0B94E683">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eastAsia"/>
                <w:color w:val="000000"/>
              </w:rPr>
              <w:t>土壤、水环境</w:t>
            </w:r>
          </w:p>
        </w:tc>
        <w:tc>
          <w:tcPr>
            <w:tcW w:w="855" w:type="pct"/>
            <w:tcBorders>
              <w:top w:val="single" w:color="000000" w:sz="4" w:space="0"/>
              <w:left w:val="single" w:color="000000" w:sz="4" w:space="0"/>
              <w:bottom w:val="single" w:color="auto" w:sz="4" w:space="0"/>
              <w:right w:val="single" w:color="000000" w:sz="4" w:space="0"/>
            </w:tcBorders>
            <w:noWrap w:val="0"/>
            <w:vAlign w:val="center"/>
          </w:tcPr>
          <w:p w14:paraId="3623A67A">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遇明火或高热</w:t>
            </w:r>
          </w:p>
        </w:tc>
      </w:tr>
      <w:tr w14:paraId="0A9A4F39">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right w:val="single" w:color="000000" w:sz="4" w:space="0"/>
            </w:tcBorders>
            <w:noWrap w:val="0"/>
            <w:vAlign w:val="center"/>
          </w:tcPr>
          <w:p w14:paraId="6CD978C7">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6148FB8D">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7F6786D4">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rPr>
              <w:t>盐酸</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08A0375D">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盐酸</w:t>
            </w:r>
          </w:p>
        </w:tc>
        <w:tc>
          <w:tcPr>
            <w:tcW w:w="768" w:type="pct"/>
            <w:vMerge w:val="continue"/>
            <w:tcBorders>
              <w:left w:val="single" w:color="000000" w:sz="4" w:space="0"/>
              <w:bottom w:val="single" w:color="auto" w:sz="4" w:space="0"/>
              <w:right w:val="single" w:color="000000" w:sz="4" w:space="0"/>
            </w:tcBorders>
            <w:noWrap w:val="0"/>
            <w:vAlign w:val="center"/>
          </w:tcPr>
          <w:p w14:paraId="482218D2">
            <w:pPr>
              <w:pStyle w:val="127"/>
              <w:keepNext w:val="0"/>
              <w:keepLines w:val="0"/>
              <w:widowControl/>
              <w:suppressLineNumbers w:val="0"/>
              <w:spacing w:before="0" w:beforeAutospacing="0" w:after="0" w:afterAutospacing="0"/>
              <w:ind w:left="0" w:right="0"/>
              <w:rPr>
                <w:rFonts w:hint="eastAsia"/>
                <w:color w:val="000000"/>
              </w:rPr>
            </w:pPr>
          </w:p>
        </w:tc>
        <w:tc>
          <w:tcPr>
            <w:tcW w:w="732" w:type="pct"/>
            <w:vMerge w:val="continue"/>
            <w:tcBorders>
              <w:left w:val="single" w:color="000000" w:sz="4" w:space="0"/>
              <w:right w:val="single" w:color="000000" w:sz="4" w:space="0"/>
            </w:tcBorders>
            <w:noWrap w:val="0"/>
            <w:vAlign w:val="center"/>
          </w:tcPr>
          <w:p w14:paraId="231FB49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auto" w:sz="4" w:space="0"/>
              <w:right w:val="single" w:color="000000" w:sz="4" w:space="0"/>
            </w:tcBorders>
            <w:noWrap w:val="0"/>
            <w:vAlign w:val="center"/>
          </w:tcPr>
          <w:p w14:paraId="435CED1A">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与金属反应生成氢气，氢气遇明火或静电发生爆炸</w:t>
            </w:r>
          </w:p>
        </w:tc>
      </w:tr>
      <w:tr w14:paraId="446EB37B">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right w:val="single" w:color="000000" w:sz="4" w:space="0"/>
            </w:tcBorders>
            <w:noWrap w:val="0"/>
            <w:vAlign w:val="center"/>
          </w:tcPr>
          <w:p w14:paraId="34FB6054">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09F5DF6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287D9DC3">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甲苯</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75548E38">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甲苯</w:t>
            </w:r>
          </w:p>
        </w:tc>
        <w:tc>
          <w:tcPr>
            <w:tcW w:w="768" w:type="pct"/>
            <w:tcBorders>
              <w:top w:val="single" w:color="auto" w:sz="4" w:space="0"/>
              <w:left w:val="single" w:color="000000" w:sz="4" w:space="0"/>
              <w:bottom w:val="single" w:color="auto" w:sz="4" w:space="0"/>
              <w:right w:val="single" w:color="000000" w:sz="4" w:space="0"/>
            </w:tcBorders>
            <w:noWrap w:val="0"/>
            <w:vAlign w:val="center"/>
          </w:tcPr>
          <w:p w14:paraId="2D25A88F">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732" w:type="pct"/>
            <w:vMerge w:val="continue"/>
            <w:tcBorders>
              <w:left w:val="single" w:color="000000" w:sz="4" w:space="0"/>
              <w:right w:val="single" w:color="000000" w:sz="4" w:space="0"/>
            </w:tcBorders>
            <w:noWrap w:val="0"/>
            <w:vAlign w:val="center"/>
          </w:tcPr>
          <w:p w14:paraId="682B7808">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auto" w:sz="4" w:space="0"/>
              <w:right w:val="single" w:color="000000" w:sz="4" w:space="0"/>
            </w:tcBorders>
            <w:noWrap w:val="0"/>
            <w:vAlign w:val="center"/>
          </w:tcPr>
          <w:p w14:paraId="146775EF">
            <w:pPr>
              <w:pStyle w:val="127"/>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在空气中形成爆炸混合物</w:t>
            </w:r>
          </w:p>
        </w:tc>
      </w:tr>
      <w:tr w14:paraId="2663EB5A">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bottom w:val="single" w:color="000000" w:sz="4" w:space="0"/>
              <w:right w:val="single" w:color="000000" w:sz="4" w:space="0"/>
            </w:tcBorders>
            <w:noWrap w:val="0"/>
            <w:vAlign w:val="center"/>
          </w:tcPr>
          <w:p w14:paraId="032F2A31">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bottom w:val="single" w:color="000000" w:sz="4" w:space="0"/>
              <w:right w:val="single" w:color="000000" w:sz="4" w:space="0"/>
            </w:tcBorders>
            <w:noWrap w:val="0"/>
            <w:vAlign w:val="center"/>
          </w:tcPr>
          <w:p w14:paraId="4817037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73332A3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液碱</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2E063B92">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液碱</w:t>
            </w:r>
          </w:p>
        </w:tc>
        <w:tc>
          <w:tcPr>
            <w:tcW w:w="768" w:type="pct"/>
            <w:tcBorders>
              <w:top w:val="single" w:color="auto" w:sz="4" w:space="0"/>
              <w:left w:val="single" w:color="000000" w:sz="4" w:space="0"/>
              <w:bottom w:val="single" w:color="auto" w:sz="4" w:space="0"/>
              <w:right w:val="single" w:color="000000" w:sz="4" w:space="0"/>
            </w:tcBorders>
            <w:noWrap w:val="0"/>
            <w:vAlign w:val="center"/>
          </w:tcPr>
          <w:p w14:paraId="11DA6695">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32" w:type="pct"/>
            <w:vMerge w:val="continue"/>
            <w:tcBorders>
              <w:left w:val="single" w:color="000000" w:sz="4" w:space="0"/>
              <w:bottom w:val="single" w:color="000000" w:sz="4" w:space="0"/>
              <w:right w:val="single" w:color="000000" w:sz="4" w:space="0"/>
            </w:tcBorders>
            <w:noWrap w:val="0"/>
            <w:vAlign w:val="center"/>
          </w:tcPr>
          <w:p w14:paraId="4AD8DB15">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000000" w:sz="4" w:space="0"/>
              <w:right w:val="single" w:color="000000" w:sz="4" w:space="0"/>
            </w:tcBorders>
            <w:noWrap w:val="0"/>
            <w:vAlign w:val="center"/>
          </w:tcPr>
          <w:p w14:paraId="45792CD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与酸或某些金属接触，放热易引发爆炸</w:t>
            </w:r>
          </w:p>
        </w:tc>
      </w:tr>
      <w:tr w14:paraId="790E87A6">
        <w:tblPrEx>
          <w:tblCellMar>
            <w:top w:w="0" w:type="dxa"/>
            <w:left w:w="0" w:type="dxa"/>
            <w:bottom w:w="0" w:type="dxa"/>
            <w:right w:w="0" w:type="dxa"/>
          </w:tblCellMar>
        </w:tblPrEx>
        <w:trPr>
          <w:trHeight w:val="397" w:hRule="atLeast"/>
          <w:jc w:val="center"/>
        </w:trPr>
        <w:tc>
          <w:tcPr>
            <w:tcW w:w="290" w:type="pct"/>
            <w:vMerge w:val="restart"/>
            <w:tcBorders>
              <w:top w:val="single" w:color="000000" w:sz="4" w:space="0"/>
              <w:left w:val="single" w:color="000000" w:sz="4" w:space="0"/>
              <w:right w:val="single" w:color="000000" w:sz="4" w:space="0"/>
            </w:tcBorders>
            <w:noWrap w:val="0"/>
            <w:vAlign w:val="center"/>
          </w:tcPr>
          <w:p w14:paraId="7DC81457">
            <w:pPr>
              <w:pStyle w:val="127"/>
              <w:keepNext w:val="0"/>
              <w:keepLines w:val="0"/>
              <w:widowControl/>
              <w:suppressLineNumbers w:val="0"/>
              <w:spacing w:before="0" w:beforeAutospacing="0" w:after="0" w:afterAutospacing="0"/>
              <w:ind w:left="0" w:right="0"/>
              <w:rPr>
                <w:rFonts w:hint="eastAsia" w:eastAsia="宋体" w:cs="Times New Roman"/>
                <w:color w:val="000000"/>
                <w:lang w:eastAsia="zh-CN"/>
              </w:rPr>
            </w:pPr>
            <w:r>
              <w:rPr>
                <w:rFonts w:hint="eastAsia" w:cs="Times New Roman"/>
                <w:color w:val="000000"/>
                <w:lang w:val="en-US" w:eastAsia="zh-CN"/>
              </w:rPr>
              <w:t>2</w:t>
            </w:r>
          </w:p>
        </w:tc>
        <w:tc>
          <w:tcPr>
            <w:tcW w:w="565" w:type="pct"/>
            <w:vMerge w:val="restart"/>
            <w:tcBorders>
              <w:top w:val="single" w:color="000000" w:sz="4" w:space="0"/>
              <w:left w:val="single" w:color="000000" w:sz="4" w:space="0"/>
              <w:right w:val="single" w:color="000000" w:sz="4" w:space="0"/>
            </w:tcBorders>
            <w:noWrap w:val="0"/>
            <w:vAlign w:val="center"/>
          </w:tcPr>
          <w:p w14:paraId="7E53AD6F">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危废暂存</w:t>
            </w:r>
            <w:r>
              <w:rPr>
                <w:rFonts w:hint="eastAsia"/>
                <w:color w:val="000000"/>
                <w:lang w:eastAsia="zh-CN"/>
              </w:rPr>
              <w:t>间</w:t>
            </w:r>
            <w:r>
              <w:rPr>
                <w:rFonts w:hint="eastAsia"/>
                <w:color w:val="000000"/>
              </w:rPr>
              <w:t>库</w:t>
            </w:r>
          </w:p>
        </w:tc>
        <w:tc>
          <w:tcPr>
            <w:tcW w:w="1016" w:type="pct"/>
            <w:vMerge w:val="restart"/>
            <w:tcBorders>
              <w:top w:val="single" w:color="000000" w:sz="4" w:space="0"/>
              <w:left w:val="single" w:color="000000" w:sz="4" w:space="0"/>
              <w:right w:val="single" w:color="000000" w:sz="4" w:space="0"/>
            </w:tcBorders>
            <w:noWrap w:val="0"/>
            <w:vAlign w:val="center"/>
          </w:tcPr>
          <w:p w14:paraId="24468C20">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危险废物</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104F5CDE">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废</w:t>
            </w:r>
            <w:r>
              <w:rPr>
                <w:rFonts w:hint="eastAsia"/>
                <w:color w:val="000000"/>
                <w:lang w:eastAsia="zh-CN"/>
              </w:rPr>
              <w:t>活性炭</w:t>
            </w:r>
          </w:p>
        </w:tc>
        <w:tc>
          <w:tcPr>
            <w:tcW w:w="768" w:type="pct"/>
            <w:vMerge w:val="restart"/>
            <w:tcBorders>
              <w:top w:val="single" w:color="auto" w:sz="4" w:space="0"/>
              <w:left w:val="single" w:color="000000" w:sz="4" w:space="0"/>
              <w:bottom w:val="single" w:color="auto" w:sz="4" w:space="0"/>
              <w:right w:val="single" w:color="000000" w:sz="4" w:space="0"/>
            </w:tcBorders>
            <w:noWrap w:val="0"/>
            <w:vAlign w:val="center"/>
          </w:tcPr>
          <w:p w14:paraId="64871666">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732" w:type="pct"/>
            <w:vMerge w:val="restart"/>
            <w:tcBorders>
              <w:top w:val="single" w:color="000000" w:sz="4" w:space="0"/>
              <w:left w:val="single" w:color="000000" w:sz="4" w:space="0"/>
              <w:right w:val="single" w:color="000000" w:sz="4" w:space="0"/>
            </w:tcBorders>
            <w:noWrap w:val="0"/>
            <w:vAlign w:val="center"/>
          </w:tcPr>
          <w:p w14:paraId="759448CB">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default"/>
                <w:color w:val="000000"/>
              </w:rPr>
              <w:t>土壤、水环境</w:t>
            </w:r>
          </w:p>
        </w:tc>
        <w:tc>
          <w:tcPr>
            <w:tcW w:w="855" w:type="pct"/>
            <w:tcBorders>
              <w:top w:val="single" w:color="000000" w:sz="4" w:space="0"/>
              <w:left w:val="single" w:color="000000" w:sz="4" w:space="0"/>
              <w:bottom w:val="single" w:color="auto" w:sz="4" w:space="0"/>
              <w:right w:val="single" w:color="000000" w:sz="4" w:space="0"/>
            </w:tcBorders>
            <w:noWrap w:val="0"/>
            <w:vAlign w:val="center"/>
          </w:tcPr>
          <w:p w14:paraId="4570DA18">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贮存环境高温，热量积聚可达自燃点</w:t>
            </w:r>
          </w:p>
        </w:tc>
      </w:tr>
      <w:tr w14:paraId="1EE903A4">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right w:val="single" w:color="000000" w:sz="4" w:space="0"/>
            </w:tcBorders>
            <w:noWrap w:val="0"/>
            <w:vAlign w:val="center"/>
          </w:tcPr>
          <w:p w14:paraId="62E7E19E">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56C6DF47">
            <w:pPr>
              <w:pStyle w:val="127"/>
              <w:keepNext w:val="0"/>
              <w:keepLines w:val="0"/>
              <w:widowControl/>
              <w:suppressLineNumbers w:val="0"/>
              <w:spacing w:before="0" w:beforeAutospacing="0" w:after="0" w:afterAutospacing="0"/>
              <w:ind w:left="0" w:right="0"/>
              <w:rPr>
                <w:rFonts w:hint="eastAsia"/>
                <w:color w:val="000000"/>
              </w:rPr>
            </w:pPr>
          </w:p>
        </w:tc>
        <w:tc>
          <w:tcPr>
            <w:tcW w:w="1016" w:type="pct"/>
            <w:vMerge w:val="continue"/>
            <w:tcBorders>
              <w:left w:val="single" w:color="000000" w:sz="4" w:space="0"/>
              <w:right w:val="single" w:color="000000" w:sz="4" w:space="0"/>
            </w:tcBorders>
            <w:noWrap w:val="0"/>
            <w:vAlign w:val="center"/>
          </w:tcPr>
          <w:p w14:paraId="0C405B1E">
            <w:pPr>
              <w:pStyle w:val="127"/>
              <w:keepNext w:val="0"/>
              <w:keepLines w:val="0"/>
              <w:widowControl/>
              <w:suppressLineNumbers w:val="0"/>
              <w:spacing w:before="0" w:beforeAutospacing="0" w:after="0" w:afterAutospacing="0"/>
              <w:ind w:left="0" w:right="0"/>
              <w:rPr>
                <w:rFonts w:hint="eastAsia"/>
                <w:color w:val="000000"/>
              </w:rPr>
            </w:pP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0CF828D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蒸馏残渣</w:t>
            </w:r>
          </w:p>
        </w:tc>
        <w:tc>
          <w:tcPr>
            <w:tcW w:w="768" w:type="pct"/>
            <w:vMerge w:val="continue"/>
            <w:tcBorders>
              <w:top w:val="single" w:color="auto" w:sz="4" w:space="0"/>
              <w:left w:val="single" w:color="000000" w:sz="4" w:space="0"/>
              <w:bottom w:val="single" w:color="auto" w:sz="4" w:space="0"/>
              <w:right w:val="single" w:color="000000" w:sz="4" w:space="0"/>
            </w:tcBorders>
            <w:noWrap w:val="0"/>
            <w:vAlign w:val="center"/>
          </w:tcPr>
          <w:p w14:paraId="3F2AA93D">
            <w:pPr>
              <w:pStyle w:val="127"/>
              <w:keepNext w:val="0"/>
              <w:keepLines w:val="0"/>
              <w:widowControl/>
              <w:suppressLineNumbers w:val="0"/>
              <w:spacing w:before="0" w:beforeAutospacing="0" w:after="0" w:afterAutospacing="0"/>
              <w:ind w:left="0" w:right="0"/>
              <w:rPr>
                <w:rFonts w:hint="eastAsia"/>
                <w:color w:val="000000"/>
              </w:rPr>
            </w:pPr>
          </w:p>
        </w:tc>
        <w:tc>
          <w:tcPr>
            <w:tcW w:w="732" w:type="pct"/>
            <w:vMerge w:val="continue"/>
            <w:tcBorders>
              <w:left w:val="single" w:color="000000" w:sz="4" w:space="0"/>
              <w:right w:val="single" w:color="000000" w:sz="4" w:space="0"/>
            </w:tcBorders>
            <w:noWrap w:val="0"/>
            <w:vAlign w:val="center"/>
          </w:tcPr>
          <w:p w14:paraId="4052890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auto" w:sz="4" w:space="0"/>
              <w:right w:val="single" w:color="000000" w:sz="4" w:space="0"/>
            </w:tcBorders>
            <w:noWrap w:val="0"/>
            <w:vAlign w:val="center"/>
          </w:tcPr>
          <w:p w14:paraId="4082BFE3">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741D7633">
        <w:tblPrEx>
          <w:tblCellMar>
            <w:top w:w="0" w:type="dxa"/>
            <w:left w:w="0" w:type="dxa"/>
            <w:bottom w:w="0" w:type="dxa"/>
            <w:right w:w="0" w:type="dxa"/>
          </w:tblCellMar>
        </w:tblPrEx>
        <w:trPr>
          <w:trHeight w:val="391" w:hRule="atLeast"/>
          <w:jc w:val="center"/>
        </w:trPr>
        <w:tc>
          <w:tcPr>
            <w:tcW w:w="290" w:type="pct"/>
            <w:vMerge w:val="continue"/>
            <w:tcBorders>
              <w:left w:val="single" w:color="000000" w:sz="4" w:space="0"/>
              <w:right w:val="single" w:color="000000" w:sz="4" w:space="0"/>
            </w:tcBorders>
            <w:noWrap w:val="0"/>
            <w:vAlign w:val="center"/>
          </w:tcPr>
          <w:p w14:paraId="6ADCC55C">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21D01398">
            <w:pPr>
              <w:pStyle w:val="127"/>
              <w:keepNext w:val="0"/>
              <w:keepLines w:val="0"/>
              <w:widowControl/>
              <w:suppressLineNumbers w:val="0"/>
              <w:spacing w:before="0" w:beforeAutospacing="0" w:after="0" w:afterAutospacing="0"/>
              <w:ind w:left="0" w:right="0"/>
              <w:rPr>
                <w:rFonts w:hint="eastAsia"/>
                <w:color w:val="000000"/>
              </w:rPr>
            </w:pPr>
          </w:p>
        </w:tc>
        <w:tc>
          <w:tcPr>
            <w:tcW w:w="1016" w:type="pct"/>
            <w:vMerge w:val="continue"/>
            <w:tcBorders>
              <w:left w:val="single" w:color="000000" w:sz="4" w:space="0"/>
              <w:right w:val="single" w:color="000000" w:sz="4" w:space="0"/>
            </w:tcBorders>
            <w:noWrap w:val="0"/>
            <w:vAlign w:val="center"/>
          </w:tcPr>
          <w:p w14:paraId="179064F3">
            <w:pPr>
              <w:pStyle w:val="127"/>
              <w:keepNext w:val="0"/>
              <w:keepLines w:val="0"/>
              <w:widowControl/>
              <w:suppressLineNumbers w:val="0"/>
              <w:spacing w:before="0" w:beforeAutospacing="0" w:after="0" w:afterAutospacing="0"/>
              <w:ind w:left="0" w:right="0"/>
              <w:rPr>
                <w:rFonts w:hint="eastAsia"/>
                <w:color w:val="000000"/>
              </w:rPr>
            </w:pP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3A028EFC">
            <w:pPr>
              <w:pStyle w:val="127"/>
              <w:keepNext w:val="0"/>
              <w:keepLines w:val="0"/>
              <w:widowControl/>
              <w:suppressLineNumbers w:val="0"/>
              <w:spacing w:before="0" w:beforeAutospacing="0" w:after="0" w:afterAutospacing="0"/>
              <w:ind w:left="0" w:right="0"/>
              <w:rPr>
                <w:rFonts w:hint="eastAsia"/>
                <w:color w:val="000000"/>
                <w:lang w:eastAsia="zh-CN"/>
              </w:rPr>
            </w:pPr>
            <w:r>
              <w:rPr>
                <w:rStyle w:val="36"/>
                <w:rFonts w:hint="eastAsia" w:ascii="Times New Roman" w:hAnsi="Times New Roman" w:eastAsia="宋体" w:cs="Times New Roman"/>
                <w:color w:val="000000"/>
                <w:kern w:val="2"/>
                <w:sz w:val="21"/>
                <w:szCs w:val="20"/>
                <w:lang w:val="en-US" w:eastAsia="zh-CN" w:bidi="ar-SA"/>
              </w:rPr>
              <w:t>废机油</w:t>
            </w:r>
          </w:p>
        </w:tc>
        <w:tc>
          <w:tcPr>
            <w:tcW w:w="768" w:type="pct"/>
            <w:vMerge w:val="continue"/>
            <w:tcBorders>
              <w:top w:val="single" w:color="auto" w:sz="4" w:space="0"/>
              <w:left w:val="single" w:color="000000" w:sz="4" w:space="0"/>
              <w:bottom w:val="single" w:color="auto" w:sz="4" w:space="0"/>
              <w:right w:val="single" w:color="000000" w:sz="4" w:space="0"/>
            </w:tcBorders>
            <w:noWrap w:val="0"/>
            <w:vAlign w:val="center"/>
          </w:tcPr>
          <w:p w14:paraId="6AC36FC4">
            <w:pPr>
              <w:pStyle w:val="127"/>
              <w:keepNext w:val="0"/>
              <w:keepLines w:val="0"/>
              <w:widowControl/>
              <w:suppressLineNumbers w:val="0"/>
              <w:spacing w:before="0" w:beforeAutospacing="0" w:after="0" w:afterAutospacing="0"/>
              <w:ind w:left="0" w:right="0"/>
              <w:rPr>
                <w:rFonts w:hint="eastAsia"/>
                <w:color w:val="000000"/>
              </w:rPr>
            </w:pPr>
          </w:p>
        </w:tc>
        <w:tc>
          <w:tcPr>
            <w:tcW w:w="732" w:type="pct"/>
            <w:vMerge w:val="continue"/>
            <w:tcBorders>
              <w:left w:val="single" w:color="000000" w:sz="4" w:space="0"/>
              <w:right w:val="single" w:color="000000" w:sz="4" w:space="0"/>
            </w:tcBorders>
            <w:noWrap w:val="0"/>
            <w:vAlign w:val="center"/>
          </w:tcPr>
          <w:p w14:paraId="5BFE1BD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auto" w:sz="4" w:space="0"/>
              <w:right w:val="single" w:color="000000" w:sz="4" w:space="0"/>
            </w:tcBorders>
            <w:noWrap w:val="0"/>
            <w:vAlign w:val="center"/>
          </w:tcPr>
          <w:p w14:paraId="4C506B2C">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遇明火、切割火花等</w:t>
            </w:r>
          </w:p>
        </w:tc>
      </w:tr>
      <w:tr w14:paraId="0DCEEB3B">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bottom w:val="single" w:color="000000" w:sz="4" w:space="0"/>
              <w:right w:val="single" w:color="000000" w:sz="4" w:space="0"/>
            </w:tcBorders>
            <w:noWrap w:val="0"/>
            <w:vAlign w:val="center"/>
          </w:tcPr>
          <w:p w14:paraId="17F7808F">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bottom w:val="single" w:color="000000" w:sz="4" w:space="0"/>
              <w:right w:val="single" w:color="000000" w:sz="4" w:space="0"/>
            </w:tcBorders>
            <w:noWrap w:val="0"/>
            <w:vAlign w:val="center"/>
          </w:tcPr>
          <w:p w14:paraId="68C8CC97">
            <w:pPr>
              <w:pStyle w:val="127"/>
              <w:keepNext w:val="0"/>
              <w:keepLines w:val="0"/>
              <w:widowControl/>
              <w:suppressLineNumbers w:val="0"/>
              <w:spacing w:before="0" w:beforeAutospacing="0" w:after="0" w:afterAutospacing="0"/>
              <w:ind w:left="0" w:right="0"/>
              <w:rPr>
                <w:rFonts w:hint="eastAsia"/>
                <w:color w:val="000000"/>
              </w:rPr>
            </w:pPr>
          </w:p>
        </w:tc>
        <w:tc>
          <w:tcPr>
            <w:tcW w:w="1016" w:type="pct"/>
            <w:vMerge w:val="continue"/>
            <w:tcBorders>
              <w:left w:val="single" w:color="000000" w:sz="4" w:space="0"/>
              <w:bottom w:val="single" w:color="000000" w:sz="4" w:space="0"/>
              <w:right w:val="single" w:color="000000" w:sz="4" w:space="0"/>
            </w:tcBorders>
            <w:noWrap w:val="0"/>
            <w:vAlign w:val="center"/>
          </w:tcPr>
          <w:p w14:paraId="66E2245E">
            <w:pPr>
              <w:pStyle w:val="127"/>
              <w:keepNext w:val="0"/>
              <w:keepLines w:val="0"/>
              <w:widowControl/>
              <w:suppressLineNumbers w:val="0"/>
              <w:spacing w:before="0" w:beforeAutospacing="0" w:after="0" w:afterAutospacing="0"/>
              <w:ind w:left="0" w:right="0"/>
              <w:rPr>
                <w:rFonts w:hint="eastAsia"/>
                <w:color w:val="000000"/>
              </w:rPr>
            </w:pP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2EAE99AF">
            <w:pPr>
              <w:pStyle w:val="127"/>
              <w:keepNext w:val="0"/>
              <w:keepLines w:val="0"/>
              <w:widowControl/>
              <w:suppressLineNumbers w:val="0"/>
              <w:spacing w:before="0" w:beforeAutospacing="0" w:after="0" w:afterAutospacing="0"/>
              <w:ind w:left="0" w:right="0"/>
              <w:rPr>
                <w:rStyle w:val="36"/>
                <w:rFonts w:hint="eastAsia" w:ascii="Times New Roman" w:hAnsi="Times New Roman" w:eastAsia="宋体" w:cs="Times New Roman"/>
                <w:color w:val="000000"/>
                <w:kern w:val="2"/>
                <w:sz w:val="21"/>
                <w:szCs w:val="20"/>
                <w:lang w:val="en-US" w:eastAsia="zh-CN" w:bidi="ar-SA"/>
              </w:rPr>
            </w:pPr>
            <w:r>
              <w:rPr>
                <w:rStyle w:val="36"/>
                <w:rFonts w:hint="eastAsia" w:ascii="Times New Roman" w:hAnsi="Times New Roman" w:eastAsia="宋体" w:cs="Times New Roman"/>
                <w:color w:val="000000"/>
                <w:kern w:val="2"/>
                <w:sz w:val="21"/>
                <w:szCs w:val="20"/>
                <w:lang w:val="en-US" w:eastAsia="zh-CN" w:bidi="ar-SA"/>
              </w:rPr>
              <w:t>废催化剂</w:t>
            </w:r>
          </w:p>
        </w:tc>
        <w:tc>
          <w:tcPr>
            <w:tcW w:w="768" w:type="pct"/>
            <w:vMerge w:val="continue"/>
            <w:tcBorders>
              <w:top w:val="single" w:color="auto" w:sz="4" w:space="0"/>
              <w:left w:val="single" w:color="000000" w:sz="4" w:space="0"/>
              <w:bottom w:val="single" w:color="auto" w:sz="4" w:space="0"/>
              <w:right w:val="single" w:color="000000" w:sz="4" w:space="0"/>
            </w:tcBorders>
            <w:noWrap w:val="0"/>
            <w:vAlign w:val="center"/>
          </w:tcPr>
          <w:p w14:paraId="3A7A7F17">
            <w:pPr>
              <w:pStyle w:val="127"/>
              <w:keepNext w:val="0"/>
              <w:keepLines w:val="0"/>
              <w:widowControl/>
              <w:suppressLineNumbers w:val="0"/>
              <w:spacing w:before="0" w:beforeAutospacing="0" w:after="0" w:afterAutospacing="0"/>
              <w:ind w:left="0" w:right="0"/>
              <w:rPr>
                <w:rFonts w:hint="eastAsia"/>
                <w:color w:val="000000"/>
              </w:rPr>
            </w:pPr>
          </w:p>
        </w:tc>
        <w:tc>
          <w:tcPr>
            <w:tcW w:w="732" w:type="pct"/>
            <w:vMerge w:val="continue"/>
            <w:tcBorders>
              <w:left w:val="single" w:color="000000" w:sz="4" w:space="0"/>
              <w:bottom w:val="single" w:color="000000" w:sz="4" w:space="0"/>
              <w:right w:val="single" w:color="000000" w:sz="4" w:space="0"/>
            </w:tcBorders>
            <w:noWrap w:val="0"/>
            <w:vAlign w:val="center"/>
          </w:tcPr>
          <w:p w14:paraId="71B7BAB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000000" w:sz="4" w:space="0"/>
              <w:right w:val="single" w:color="auto" w:sz="4" w:space="0"/>
            </w:tcBorders>
            <w:noWrap w:val="0"/>
            <w:vAlign w:val="center"/>
          </w:tcPr>
          <w:p w14:paraId="6DC132B3">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热量积聚</w:t>
            </w:r>
          </w:p>
        </w:tc>
      </w:tr>
      <w:tr w14:paraId="7B6BB17F">
        <w:tblPrEx>
          <w:tblCellMar>
            <w:top w:w="0" w:type="dxa"/>
            <w:left w:w="0" w:type="dxa"/>
            <w:bottom w:w="0" w:type="dxa"/>
            <w:right w:w="0" w:type="dxa"/>
          </w:tblCellMar>
        </w:tblPrEx>
        <w:trPr>
          <w:trHeight w:val="397" w:hRule="atLeast"/>
          <w:jc w:val="center"/>
        </w:trPr>
        <w:tc>
          <w:tcPr>
            <w:tcW w:w="290" w:type="pct"/>
            <w:vMerge w:val="restart"/>
            <w:tcBorders>
              <w:top w:val="single" w:color="000000" w:sz="4" w:space="0"/>
              <w:left w:val="single" w:color="000000" w:sz="4" w:space="0"/>
              <w:right w:val="single" w:color="000000" w:sz="4" w:space="0"/>
            </w:tcBorders>
            <w:noWrap w:val="0"/>
            <w:vAlign w:val="center"/>
          </w:tcPr>
          <w:p w14:paraId="1C582F2C">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3</w:t>
            </w:r>
          </w:p>
        </w:tc>
        <w:tc>
          <w:tcPr>
            <w:tcW w:w="565" w:type="pct"/>
            <w:vMerge w:val="restart"/>
            <w:tcBorders>
              <w:top w:val="single" w:color="000000" w:sz="4" w:space="0"/>
              <w:left w:val="single" w:color="000000" w:sz="4" w:space="0"/>
              <w:right w:val="single" w:color="000000" w:sz="4" w:space="0"/>
            </w:tcBorders>
            <w:noWrap w:val="0"/>
            <w:vAlign w:val="center"/>
          </w:tcPr>
          <w:p w14:paraId="1295ABFC">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生产装置</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4FDE6D">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邻氯硝基苯</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CD7194">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邻氯硝基苯</w:t>
            </w:r>
          </w:p>
        </w:tc>
        <w:tc>
          <w:tcPr>
            <w:tcW w:w="768" w:type="pct"/>
            <w:tcBorders>
              <w:top w:val="single" w:color="auto" w:sz="4" w:space="0"/>
              <w:left w:val="single" w:color="000000" w:sz="4" w:space="0"/>
              <w:bottom w:val="single" w:color="000000" w:sz="4" w:space="0"/>
              <w:right w:val="single" w:color="000000" w:sz="4" w:space="0"/>
            </w:tcBorders>
            <w:noWrap w:val="0"/>
            <w:vAlign w:val="center"/>
          </w:tcPr>
          <w:p w14:paraId="04C73A2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32" w:type="pct"/>
            <w:vMerge w:val="restart"/>
            <w:tcBorders>
              <w:top w:val="single" w:color="000000" w:sz="4" w:space="0"/>
              <w:left w:val="single" w:color="000000" w:sz="4" w:space="0"/>
              <w:right w:val="single" w:color="auto" w:sz="4" w:space="0"/>
            </w:tcBorders>
            <w:noWrap w:val="0"/>
            <w:vAlign w:val="center"/>
          </w:tcPr>
          <w:p w14:paraId="314E0D49">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c>
          <w:tcPr>
            <w:tcW w:w="855" w:type="pct"/>
            <w:tcBorders>
              <w:top w:val="single" w:color="000000" w:sz="4" w:space="0"/>
              <w:left w:val="single" w:color="auto" w:sz="4" w:space="0"/>
              <w:bottom w:val="single" w:color="auto" w:sz="4" w:space="0"/>
              <w:right w:val="single" w:color="000000" w:sz="4" w:space="0"/>
            </w:tcBorders>
            <w:noWrap w:val="0"/>
            <w:vAlign w:val="center"/>
          </w:tcPr>
          <w:p w14:paraId="1779735C">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遇明火或高热</w:t>
            </w:r>
          </w:p>
        </w:tc>
      </w:tr>
      <w:tr w14:paraId="65C10218">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right w:val="single" w:color="000000" w:sz="4" w:space="0"/>
            </w:tcBorders>
            <w:noWrap w:val="0"/>
            <w:vAlign w:val="center"/>
          </w:tcPr>
          <w:p w14:paraId="3E247852">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1C7F6DFB">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F1D66E">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盐酸</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44382">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盐酸</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26916A7">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32" w:type="pct"/>
            <w:vMerge w:val="continue"/>
            <w:tcBorders>
              <w:left w:val="single" w:color="000000" w:sz="4" w:space="0"/>
              <w:right w:val="single" w:color="000000" w:sz="4" w:space="0"/>
            </w:tcBorders>
            <w:noWrap w:val="0"/>
            <w:vAlign w:val="center"/>
          </w:tcPr>
          <w:p w14:paraId="5142A725">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auto" w:sz="4" w:space="0"/>
              <w:right w:val="single" w:color="000000" w:sz="4" w:space="0"/>
            </w:tcBorders>
            <w:noWrap w:val="0"/>
            <w:vAlign w:val="center"/>
          </w:tcPr>
          <w:p w14:paraId="251A6F38">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与金属反应生成氢气，氢气遇明火或静电发生爆炸</w:t>
            </w:r>
          </w:p>
        </w:tc>
      </w:tr>
      <w:tr w14:paraId="14D78C64">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right w:val="single" w:color="000000" w:sz="4" w:space="0"/>
            </w:tcBorders>
            <w:noWrap w:val="0"/>
            <w:vAlign w:val="center"/>
          </w:tcPr>
          <w:p w14:paraId="3E714B33">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6A2985F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55B020">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甲苯</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2269B5">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6672619">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火灾、爆炸</w:t>
            </w:r>
          </w:p>
        </w:tc>
        <w:tc>
          <w:tcPr>
            <w:tcW w:w="732" w:type="pct"/>
            <w:vMerge w:val="continue"/>
            <w:tcBorders>
              <w:left w:val="single" w:color="000000" w:sz="4" w:space="0"/>
              <w:right w:val="single" w:color="000000" w:sz="4" w:space="0"/>
            </w:tcBorders>
            <w:noWrap w:val="0"/>
            <w:vAlign w:val="center"/>
          </w:tcPr>
          <w:p w14:paraId="3267587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auto" w:sz="4" w:space="0"/>
              <w:right w:val="single" w:color="000000" w:sz="4" w:space="0"/>
            </w:tcBorders>
            <w:noWrap w:val="0"/>
            <w:vAlign w:val="center"/>
          </w:tcPr>
          <w:p w14:paraId="16BD0B1B">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在空气中形成爆炸混合物</w:t>
            </w:r>
          </w:p>
        </w:tc>
      </w:tr>
      <w:tr w14:paraId="248C9D36">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right w:val="single" w:color="000000" w:sz="4" w:space="0"/>
            </w:tcBorders>
            <w:noWrap w:val="0"/>
            <w:vAlign w:val="center"/>
          </w:tcPr>
          <w:p w14:paraId="5EE0BD71">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right w:val="single" w:color="000000" w:sz="4" w:space="0"/>
            </w:tcBorders>
            <w:noWrap w:val="0"/>
            <w:vAlign w:val="center"/>
          </w:tcPr>
          <w:p w14:paraId="3706106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925BF">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液碱</w:t>
            </w:r>
          </w:p>
        </w:tc>
        <w:tc>
          <w:tcPr>
            <w:tcW w:w="770"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BCA0F">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液碱</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161F62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32" w:type="pct"/>
            <w:vMerge w:val="continue"/>
            <w:tcBorders>
              <w:left w:val="single" w:color="000000" w:sz="4" w:space="0"/>
              <w:right w:val="single" w:color="000000" w:sz="4" w:space="0"/>
            </w:tcBorders>
            <w:noWrap w:val="0"/>
            <w:vAlign w:val="center"/>
          </w:tcPr>
          <w:p w14:paraId="0EADA57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right w:val="single" w:color="000000" w:sz="4" w:space="0"/>
            </w:tcBorders>
            <w:noWrap w:val="0"/>
            <w:vAlign w:val="center"/>
          </w:tcPr>
          <w:p w14:paraId="0CFD2694">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与酸或某些金属接触，放热易引发爆炸</w:t>
            </w:r>
          </w:p>
        </w:tc>
      </w:tr>
      <w:tr w14:paraId="72A80F01">
        <w:tblPrEx>
          <w:tblCellMar>
            <w:top w:w="0" w:type="dxa"/>
            <w:left w:w="0" w:type="dxa"/>
            <w:bottom w:w="0" w:type="dxa"/>
            <w:right w:w="0" w:type="dxa"/>
          </w:tblCellMar>
        </w:tblPrEx>
        <w:trPr>
          <w:trHeight w:val="397" w:hRule="atLeast"/>
          <w:jc w:val="center"/>
        </w:trPr>
        <w:tc>
          <w:tcPr>
            <w:tcW w:w="290" w:type="pct"/>
            <w:vMerge w:val="restart"/>
            <w:tcBorders>
              <w:top w:val="single" w:color="000000" w:sz="4" w:space="0"/>
              <w:left w:val="single" w:color="000000" w:sz="4" w:space="0"/>
              <w:right w:val="single" w:color="000000" w:sz="4" w:space="0"/>
            </w:tcBorders>
            <w:noWrap w:val="0"/>
            <w:vAlign w:val="center"/>
          </w:tcPr>
          <w:p w14:paraId="2B23348E">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4</w:t>
            </w:r>
          </w:p>
        </w:tc>
        <w:tc>
          <w:tcPr>
            <w:tcW w:w="565" w:type="pct"/>
            <w:vMerge w:val="restart"/>
            <w:tcBorders>
              <w:top w:val="single" w:color="000000" w:sz="4" w:space="0"/>
              <w:left w:val="single" w:color="000000" w:sz="4" w:space="0"/>
              <w:right w:val="single" w:color="000000" w:sz="4" w:space="0"/>
            </w:tcBorders>
            <w:noWrap w:val="0"/>
            <w:vAlign w:val="center"/>
          </w:tcPr>
          <w:p w14:paraId="666B0E73">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产品</w:t>
            </w: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044FEC06">
            <w:pPr>
              <w:pStyle w:val="127"/>
              <w:keepNext w:val="0"/>
              <w:keepLines w:val="0"/>
              <w:widowControl/>
              <w:suppressLineNumbers w:val="0"/>
              <w:spacing w:before="0" w:beforeAutospacing="0" w:after="0" w:afterAutospacing="0"/>
              <w:ind w:left="0" w:right="0"/>
              <w:rPr>
                <w:rFonts w:hint="eastAsia"/>
                <w:color w:val="000000"/>
              </w:rPr>
            </w:pPr>
            <w:r>
              <w:rPr>
                <w:rStyle w:val="36"/>
                <w:rFonts w:hint="eastAsia" w:cs="Times New Roman"/>
                <w:color w:val="000000"/>
                <w:kern w:val="2"/>
                <w:sz w:val="21"/>
                <w:szCs w:val="20"/>
                <w:lang w:val="en-US" w:eastAsia="zh-CN" w:bidi="ar-SA"/>
              </w:rPr>
              <w:t>3.3-二氯联苯胺盐酸盐</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554C69DD">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Style w:val="36"/>
                <w:rFonts w:hint="eastAsia" w:cs="Times New Roman"/>
                <w:color w:val="000000"/>
                <w:kern w:val="2"/>
                <w:sz w:val="21"/>
                <w:szCs w:val="20"/>
                <w:lang w:val="en-US" w:eastAsia="zh-CN" w:bidi="ar-SA"/>
              </w:rPr>
              <w:t>苯胺类</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D975A96">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32" w:type="pct"/>
            <w:vMerge w:val="restart"/>
            <w:tcBorders>
              <w:top w:val="single" w:color="000000" w:sz="4" w:space="0"/>
              <w:left w:val="single" w:color="000000" w:sz="4" w:space="0"/>
              <w:right w:val="single" w:color="auto" w:sz="4" w:space="0"/>
            </w:tcBorders>
            <w:noWrap w:val="0"/>
            <w:vAlign w:val="center"/>
          </w:tcPr>
          <w:p w14:paraId="32103297">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c>
          <w:tcPr>
            <w:tcW w:w="855" w:type="pct"/>
            <w:tcBorders>
              <w:top w:val="single" w:color="000000" w:sz="4" w:space="0"/>
              <w:left w:val="single" w:color="auto" w:sz="4" w:space="0"/>
              <w:bottom w:val="single" w:color="auto" w:sz="4" w:space="0"/>
              <w:right w:val="single" w:color="000000" w:sz="4" w:space="0"/>
            </w:tcBorders>
            <w:noWrap w:val="0"/>
            <w:vAlign w:val="center"/>
          </w:tcPr>
          <w:p w14:paraId="62A74A90">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遇明火或高热、静电火花可燃爆</w:t>
            </w:r>
          </w:p>
        </w:tc>
      </w:tr>
      <w:tr w14:paraId="56AC998D">
        <w:tblPrEx>
          <w:tblCellMar>
            <w:top w:w="0" w:type="dxa"/>
            <w:left w:w="0" w:type="dxa"/>
            <w:bottom w:w="0" w:type="dxa"/>
            <w:right w:w="0" w:type="dxa"/>
          </w:tblCellMar>
        </w:tblPrEx>
        <w:trPr>
          <w:trHeight w:val="397" w:hRule="atLeast"/>
          <w:jc w:val="center"/>
        </w:trPr>
        <w:tc>
          <w:tcPr>
            <w:tcW w:w="290" w:type="pct"/>
            <w:vMerge w:val="continue"/>
            <w:tcBorders>
              <w:left w:val="single" w:color="000000" w:sz="4" w:space="0"/>
              <w:bottom w:val="single" w:color="000000" w:sz="4" w:space="0"/>
              <w:right w:val="single" w:color="000000" w:sz="4" w:space="0"/>
            </w:tcBorders>
            <w:noWrap w:val="0"/>
            <w:vAlign w:val="center"/>
          </w:tcPr>
          <w:p w14:paraId="260CCD5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565" w:type="pct"/>
            <w:vMerge w:val="continue"/>
            <w:tcBorders>
              <w:left w:val="single" w:color="000000" w:sz="4" w:space="0"/>
              <w:bottom w:val="single" w:color="000000" w:sz="4" w:space="0"/>
              <w:right w:val="single" w:color="000000" w:sz="4" w:space="0"/>
            </w:tcBorders>
            <w:noWrap w:val="0"/>
            <w:vAlign w:val="center"/>
          </w:tcPr>
          <w:p w14:paraId="6DC98C0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016" w:type="pct"/>
            <w:tcBorders>
              <w:top w:val="single" w:color="000000" w:sz="4" w:space="0"/>
              <w:left w:val="single" w:color="000000" w:sz="4" w:space="0"/>
              <w:bottom w:val="single" w:color="000000" w:sz="4" w:space="0"/>
              <w:right w:val="single" w:color="000000" w:sz="4" w:space="0"/>
            </w:tcBorders>
            <w:noWrap w:val="0"/>
            <w:vAlign w:val="center"/>
          </w:tcPr>
          <w:p w14:paraId="32469FF1">
            <w:pPr>
              <w:pStyle w:val="127"/>
              <w:keepNext w:val="0"/>
              <w:keepLines w:val="0"/>
              <w:widowControl/>
              <w:suppressLineNumbers w:val="0"/>
              <w:spacing w:before="0" w:beforeAutospacing="0" w:after="0" w:afterAutospacing="0"/>
              <w:ind w:left="0" w:right="0"/>
              <w:rPr>
                <w:rFonts w:hint="eastAsia"/>
                <w:color w:val="000000"/>
              </w:rPr>
            </w:pPr>
            <w:r>
              <w:rPr>
                <w:rStyle w:val="36"/>
                <w:rFonts w:hint="eastAsia" w:cs="Times New Roman"/>
                <w:color w:val="000000"/>
                <w:kern w:val="2"/>
                <w:sz w:val="21"/>
                <w:szCs w:val="20"/>
                <w:lang w:val="en-US" w:eastAsia="zh-CN" w:bidi="ar-SA"/>
              </w:rPr>
              <w:t>邻氯苯胺</w:t>
            </w:r>
          </w:p>
        </w:tc>
        <w:tc>
          <w:tcPr>
            <w:tcW w:w="770" w:type="pct"/>
            <w:tcBorders>
              <w:top w:val="single" w:color="000000" w:sz="4" w:space="0"/>
              <w:left w:val="single" w:color="000000" w:sz="4" w:space="0"/>
              <w:bottom w:val="single" w:color="000000" w:sz="4" w:space="0"/>
              <w:right w:val="single" w:color="000000" w:sz="4" w:space="0"/>
            </w:tcBorders>
            <w:noWrap w:val="0"/>
            <w:vAlign w:val="center"/>
          </w:tcPr>
          <w:p w14:paraId="35BBC4C4">
            <w:pPr>
              <w:pStyle w:val="127"/>
              <w:keepNext w:val="0"/>
              <w:keepLines w:val="0"/>
              <w:widowControl/>
              <w:suppressLineNumbers w:val="0"/>
              <w:spacing w:before="0" w:beforeAutospacing="0" w:after="0" w:afterAutospacing="0"/>
              <w:ind w:left="0" w:right="0"/>
              <w:rPr>
                <w:rFonts w:hint="eastAsia"/>
                <w:color w:val="000000"/>
              </w:rPr>
            </w:pPr>
            <w:r>
              <w:rPr>
                <w:rStyle w:val="36"/>
                <w:rFonts w:hint="eastAsia" w:cs="Times New Roman"/>
                <w:color w:val="000000"/>
                <w:kern w:val="2"/>
                <w:sz w:val="21"/>
                <w:szCs w:val="20"/>
                <w:lang w:val="en-US" w:eastAsia="zh-CN" w:bidi="ar-SA"/>
              </w:rPr>
              <w:t>邻氯苯胺</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8338D6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732" w:type="pct"/>
            <w:vMerge w:val="continue"/>
            <w:tcBorders>
              <w:left w:val="single" w:color="000000" w:sz="4" w:space="0"/>
              <w:bottom w:val="single" w:color="000000" w:sz="4" w:space="0"/>
              <w:right w:val="single" w:color="000000" w:sz="4" w:space="0"/>
            </w:tcBorders>
            <w:noWrap w:val="0"/>
            <w:vAlign w:val="center"/>
          </w:tcPr>
          <w:p w14:paraId="7EBA7E2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855" w:type="pct"/>
            <w:tcBorders>
              <w:top w:val="single" w:color="auto" w:sz="4" w:space="0"/>
              <w:left w:val="single" w:color="000000" w:sz="4" w:space="0"/>
              <w:bottom w:val="single" w:color="000000" w:sz="4" w:space="0"/>
              <w:right w:val="single" w:color="000000" w:sz="4" w:space="0"/>
            </w:tcBorders>
            <w:noWrap w:val="0"/>
            <w:vAlign w:val="center"/>
          </w:tcPr>
          <w:p w14:paraId="10988CC1">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遇明火或高热、静电火花可燃爆</w:t>
            </w:r>
          </w:p>
        </w:tc>
      </w:tr>
    </w:tbl>
    <w:p w14:paraId="2453F064">
      <w:pPr>
        <w:pStyle w:val="8"/>
        <w:spacing w:before="0" w:after="0"/>
        <w:rPr>
          <w:rFonts w:hint="default" w:ascii="Times New Roman" w:hAnsi="Times New Roman" w:cs="Times New Roman"/>
          <w:color w:val="auto"/>
          <w:highlight w:val="none"/>
        </w:rPr>
      </w:pPr>
    </w:p>
    <w:p w14:paraId="5F66EF5F">
      <w:pPr>
        <w:pStyle w:val="8"/>
        <w:spacing w:before="0" w:after="0"/>
        <w:rPr>
          <w:rFonts w:hint="default" w:ascii="Times New Roman" w:hAnsi="Times New Roman" w:cs="Times New Roman"/>
          <w:color w:val="auto"/>
          <w:highlight w:val="none"/>
        </w:rPr>
      </w:pPr>
      <w:r>
        <w:rPr>
          <w:rFonts w:hint="default" w:ascii="Times New Roman" w:hAnsi="Times New Roman" w:cs="Times New Roman"/>
          <w:color w:val="auto"/>
          <w:highlight w:val="none"/>
        </w:rPr>
        <w:t>3.6.2现有环境风险防控</w:t>
      </w:r>
      <w:r>
        <w:rPr>
          <w:rFonts w:hint="default" w:ascii="Times New Roman" w:hAnsi="Times New Roman" w:cs="Times New Roman"/>
          <w:color w:val="auto"/>
          <w:highlight w:val="none"/>
          <w:lang w:eastAsia="zh-CN"/>
        </w:rPr>
        <w:t>与应急措施</w:t>
      </w:r>
      <w:r>
        <w:rPr>
          <w:rFonts w:hint="default" w:ascii="Times New Roman" w:hAnsi="Times New Roman" w:cs="Times New Roman"/>
          <w:color w:val="auto"/>
          <w:highlight w:val="none"/>
        </w:rPr>
        <w:t>情况</w:t>
      </w:r>
    </w:p>
    <w:p w14:paraId="7CDF8B4E">
      <w:pPr>
        <w:keepNext w:val="0"/>
        <w:keepLines w:val="0"/>
        <w:pageBreakBefore w:val="0"/>
        <w:widowControl/>
        <w:kinsoku/>
        <w:wordWrap/>
        <w:overflowPunct/>
        <w:topLinePunct w:val="0"/>
        <w:autoSpaceDE/>
        <w:autoSpaceDN/>
        <w:bidi w:val="0"/>
        <w:adjustRightInd w:val="0"/>
        <w:snapToGrid w:val="0"/>
        <w:spacing w:line="360" w:lineRule="auto"/>
        <w:ind w:firstLine="472" w:firstLineChars="200"/>
        <w:textAlignment w:val="auto"/>
        <w:rPr>
          <w:rFonts w:hint="default" w:ascii="Times New Roman" w:hAnsi="Times New Roman" w:cs="Times New Roman"/>
          <w:color w:val="auto"/>
          <w:spacing w:val="-2"/>
          <w:kern w:val="0"/>
          <w:sz w:val="24"/>
          <w:highlight w:val="none"/>
        </w:rPr>
      </w:pPr>
      <w:r>
        <w:rPr>
          <w:rFonts w:hint="default" w:ascii="Times New Roman" w:hAnsi="Times New Roman" w:cs="Times New Roman"/>
          <w:color w:val="auto"/>
          <w:spacing w:val="-2"/>
          <w:kern w:val="0"/>
          <w:sz w:val="24"/>
          <w:highlight w:val="none"/>
        </w:rPr>
        <w:t>1、截流措施</w:t>
      </w:r>
    </w:p>
    <w:p w14:paraId="7331E9A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（1）生产过程中选用密封良好的输送泵，工艺管线密封防腐防泄漏，生产装置基本在室内车间，设备配套的阀门、仪表接头等密闭，基本无跑、冒、滴、漏现象，液体储罐、相应设备防腐蚀、设备严密不漏。</w:t>
      </w:r>
    </w:p>
    <w:p w14:paraId="3EB7C02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（2）罐区地面铺设防腐防渗层，罐区四周设有围堰。</w:t>
      </w:r>
    </w:p>
    <w:p w14:paraId="3A2535A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（3）全厂雨排水管道与污水管道不发生串漏。</w:t>
      </w:r>
    </w:p>
    <w:p w14:paraId="1BDC4AFD">
      <w:pPr>
        <w:keepNext w:val="0"/>
        <w:keepLines w:val="0"/>
        <w:pageBreakBefore w:val="0"/>
        <w:widowControl/>
        <w:kinsoku/>
        <w:wordWrap/>
        <w:overflowPunct/>
        <w:topLinePunct w:val="0"/>
        <w:autoSpaceDE/>
        <w:autoSpaceDN/>
        <w:bidi w:val="0"/>
        <w:adjustRightInd w:val="0"/>
        <w:snapToGrid w:val="0"/>
        <w:spacing w:line="360" w:lineRule="auto"/>
        <w:ind w:firstLine="472" w:firstLineChars="20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bCs/>
          <w:color w:val="auto"/>
          <w:spacing w:val="-2"/>
          <w:kern w:val="0"/>
          <w:sz w:val="24"/>
          <w:highlight w:val="none"/>
        </w:rPr>
        <w:t xml:space="preserve"> 2、</w:t>
      </w:r>
      <w:r>
        <w:rPr>
          <w:rFonts w:hint="default" w:ascii="Times New Roman" w:hAnsi="Times New Roman" w:cs="Times New Roman"/>
          <w:color w:val="auto"/>
          <w:spacing w:val="-2"/>
          <w:kern w:val="0"/>
          <w:sz w:val="24"/>
          <w:highlight w:val="none"/>
        </w:rPr>
        <w:t>事</w:t>
      </w:r>
      <w:r>
        <w:rPr>
          <w:rFonts w:hint="default" w:ascii="Times New Roman" w:hAnsi="Times New Roman" w:cs="Times New Roman"/>
          <w:color w:val="auto"/>
          <w:spacing w:val="-2"/>
          <w:kern w:val="0"/>
          <w:sz w:val="24"/>
          <w:szCs w:val="24"/>
          <w:highlight w:val="none"/>
        </w:rPr>
        <w:t>故排水收集措施</w:t>
      </w:r>
    </w:p>
    <w:p w14:paraId="198BE85B">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rPr>
        <w:t>（1）建造事故水池，收集事故时产生的消防污水，并根据污水性质进行处理。</w:t>
      </w:r>
    </w:p>
    <w:p w14:paraId="0581CD6C">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lang w:val="zh-CN"/>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2</w:t>
      </w:r>
      <w:r>
        <w:rPr>
          <w:rFonts w:hint="default" w:ascii="Times New Roman" w:hAnsi="Times New Roman" w:cs="Times New Roman"/>
          <w:color w:val="auto"/>
          <w:spacing w:val="-2"/>
          <w:kern w:val="0"/>
          <w:sz w:val="24"/>
          <w:szCs w:val="24"/>
          <w:highlight w:val="none"/>
          <w:lang w:val="zh-CN"/>
        </w:rPr>
        <w:t>）装置区反应釜、计量罐、罐区储罐等发生损坏，泄露的物料需排入事故水池，并根据其性质进行相应处理。</w:t>
      </w:r>
    </w:p>
    <w:p w14:paraId="1923A301">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lang w:val="zh-CN"/>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3</w:t>
      </w:r>
      <w:r>
        <w:rPr>
          <w:rFonts w:hint="default" w:ascii="Times New Roman" w:hAnsi="Times New Roman" w:cs="Times New Roman"/>
          <w:color w:val="auto"/>
          <w:spacing w:val="-2"/>
          <w:kern w:val="0"/>
          <w:sz w:val="24"/>
          <w:szCs w:val="24"/>
          <w:highlight w:val="none"/>
          <w:lang w:val="zh-CN"/>
        </w:rPr>
        <w:t>）项目区室外设置环形排水沟，截留下雨时厂内的初期雨水，将截留的初期雨水引入沉淀池，经沉淀后回用于生产不外排。</w:t>
      </w:r>
    </w:p>
    <w:p w14:paraId="5FCED066">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4</w:t>
      </w:r>
      <w:r>
        <w:rPr>
          <w:rFonts w:hint="default" w:ascii="Times New Roman" w:hAnsi="Times New Roman" w:cs="Times New Roman"/>
          <w:color w:val="auto"/>
          <w:spacing w:val="-2"/>
          <w:kern w:val="0"/>
          <w:sz w:val="24"/>
          <w:szCs w:val="24"/>
          <w:highlight w:val="none"/>
          <w:lang w:val="zh-CN"/>
        </w:rPr>
        <w:t>）加强管理和巡查制度，发现管道和阀门断裂、泄露应及时更换，反应装置泄露时应及时关闭有关阀门等</w:t>
      </w:r>
      <w:r>
        <w:rPr>
          <w:rFonts w:hint="default" w:ascii="Times New Roman" w:hAnsi="Times New Roman" w:cs="Times New Roman"/>
          <w:color w:val="auto"/>
          <w:spacing w:val="-2"/>
          <w:kern w:val="0"/>
          <w:sz w:val="24"/>
          <w:szCs w:val="24"/>
          <w:highlight w:val="none"/>
        </w:rPr>
        <w:t>；</w:t>
      </w:r>
    </w:p>
    <w:p w14:paraId="1AF4FBF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lang w:val="zh-CN" w:eastAsia="zh-CN"/>
        </w:rPr>
      </w:pP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zh-CN" w:eastAsia="zh-CN"/>
        </w:rPr>
        <w:t>）事故状态下产生的废液、消防废水、初期雨污水等均应及时导入事故应急水池。事故应急池平时应保持空池，加盖防止雨水落入。</w:t>
      </w:r>
    </w:p>
    <w:p w14:paraId="408E902E">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山东隆盛和助剂有限公司</w:t>
      </w:r>
      <w:r>
        <w:rPr>
          <w:rFonts w:hint="default" w:ascii="Times New Roman" w:hAnsi="Times New Roman" w:cs="Times New Roman"/>
          <w:color w:val="auto"/>
          <w:sz w:val="24"/>
          <w:szCs w:val="24"/>
          <w:highlight w:val="none"/>
          <w:lang w:eastAsia="zh-CN"/>
        </w:rPr>
        <w:t>厂区设置应急事故水池，</w:t>
      </w:r>
      <w:r>
        <w:rPr>
          <w:rFonts w:hint="eastAsia" w:cs="Times New Roman"/>
          <w:color w:val="auto"/>
          <w:sz w:val="24"/>
          <w:szCs w:val="24"/>
          <w:highlight w:val="none"/>
          <w:lang w:eastAsia="zh-CN"/>
        </w:rPr>
        <w:t>与淄博元齐生物科技有限公司、山东隆信药业有限公司共用。山东隆盛和助剂有限公司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028B9A6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396527B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1EFF54A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D94BE1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1A91CD2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消防废水量按最大消防用水量15L/s，扑救时间2h计，本工程消防废水产生量约108m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223359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00C4AC36">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3BD435E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013046E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1F37E46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37B5BA1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w:t>
      </w:r>
      <w:r>
        <w:rPr>
          <w:rFonts w:hint="eastAsia" w:cs="Times New Roman"/>
          <w:color w:val="auto"/>
          <w:sz w:val="24"/>
          <w:szCs w:val="24"/>
          <w:highlight w:val="none"/>
          <w:lang w:eastAsia="zh-CN"/>
        </w:rPr>
        <w:t>无罐区雨水</w:t>
      </w:r>
      <w:r>
        <w:rPr>
          <w:rFonts w:hint="default" w:ascii="Times New Roman" w:hAnsi="Times New Roman" w:cs="Times New Roman"/>
          <w:color w:val="auto"/>
          <w:sz w:val="24"/>
          <w:szCs w:val="24"/>
          <w:highlight w:val="none"/>
        </w:rPr>
        <w:t>，因此无雨水进入该系统，V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184923F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=108m³，即项目最大事故水量为108m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1D91EE3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淄博元齐生物科技有限公司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09BDD5D6">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123AE3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167EA57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3003385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3963A5A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L/s，扑救时间</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h计，本工程消防废水产生量约</w:t>
      </w:r>
      <w:r>
        <w:rPr>
          <w:rFonts w:hint="eastAsia" w:cs="Times New Roman"/>
          <w:color w:val="auto"/>
          <w:sz w:val="24"/>
          <w:szCs w:val="24"/>
          <w:highlight w:val="none"/>
          <w:lang w:val="en-US" w:eastAsia="zh-CN"/>
        </w:rPr>
        <w:t>54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54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E64EE9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5BCAE21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3B1EA02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38B44BA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05B81E8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11D73A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6CC1B6BC">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m³，即项目最大事故水量为</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707ADB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山东隆信药业有限公司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5C9D087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09EE0F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782B4A9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B8EE20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4315E7B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消防废水量按最大消防用水量15L/s，扑救时间</w:t>
      </w:r>
      <w:r>
        <w:rPr>
          <w:rFonts w:hint="eastAsia"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h计，本工程消防废水产生量约108m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5D388B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75EE404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43F4384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7B76765E">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5106F2F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472FD15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w:t>
      </w:r>
      <w:r>
        <w:rPr>
          <w:rFonts w:hint="eastAsia" w:cs="Times New Roman"/>
          <w:color w:val="auto"/>
          <w:sz w:val="24"/>
          <w:szCs w:val="24"/>
          <w:highlight w:val="none"/>
          <w:lang w:eastAsia="zh-CN"/>
        </w:rPr>
        <w:t>无罐区雨水</w:t>
      </w:r>
      <w:r>
        <w:rPr>
          <w:rFonts w:hint="default" w:ascii="Times New Roman" w:hAnsi="Times New Roman" w:cs="Times New Roman"/>
          <w:color w:val="auto"/>
          <w:sz w:val="24"/>
          <w:szCs w:val="24"/>
          <w:highlight w:val="none"/>
        </w:rPr>
        <w:t>，因此无雨水进入该系统，V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375E27D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m³，即项目最大事故水量为10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1752A290">
      <w:pPr>
        <w:pStyle w:val="90"/>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Times New Roman" w:hAnsi="Times New Roman" w:eastAsia="宋体" w:cs="Times New Roman"/>
          <w:caps w:val="0"/>
          <w:smallCaps w:val="0"/>
          <w:color w:val="auto"/>
          <w:spacing w:val="0"/>
          <w:kern w:val="2"/>
          <w:position w:val="0"/>
          <w:highlight w:val="none"/>
        </w:rPr>
      </w:pPr>
      <w:r>
        <w:rPr>
          <w:rFonts w:hint="eastAsia" w:ascii="Times New Roman" w:hAnsi="Times New Roman" w:cs="Times New Roman"/>
          <w:caps w:val="0"/>
          <w:smallCaps w:val="0"/>
          <w:color w:val="auto"/>
          <w:spacing w:val="0"/>
          <w:position w:val="0"/>
          <w:sz w:val="24"/>
          <w:szCs w:val="24"/>
          <w:highlight w:val="none"/>
          <w:lang w:eastAsia="zh-CN"/>
        </w:rPr>
        <w:t>厂区</w:t>
      </w:r>
      <w:r>
        <w:rPr>
          <w:rFonts w:hint="default" w:ascii="Times New Roman" w:hAnsi="Times New Roman" w:cs="Times New Roman"/>
          <w:caps w:val="0"/>
          <w:smallCaps w:val="0"/>
          <w:color w:val="auto"/>
          <w:spacing w:val="0"/>
          <w:position w:val="0"/>
          <w:sz w:val="24"/>
          <w:szCs w:val="24"/>
          <w:highlight w:val="none"/>
          <w:lang w:eastAsia="zh-CN"/>
        </w:rPr>
        <w:t>设置了</w:t>
      </w:r>
      <w:r>
        <w:rPr>
          <w:rFonts w:hint="default" w:ascii="Times New Roman" w:hAnsi="Times New Roman" w:cs="Times New Roman"/>
          <w:caps w:val="0"/>
          <w:smallCaps w:val="0"/>
          <w:color w:val="auto"/>
          <w:spacing w:val="0"/>
          <w:position w:val="0"/>
          <w:sz w:val="24"/>
          <w:szCs w:val="24"/>
          <w:highlight w:val="none"/>
          <w:lang w:val="en-US" w:eastAsia="zh-CN"/>
        </w:rPr>
        <w:t>500m</w:t>
      </w:r>
      <w:r>
        <w:rPr>
          <w:rFonts w:hint="default" w:ascii="Times New Roman" w:hAnsi="Times New Roman" w:cs="Times New Roman"/>
          <w:caps w:val="0"/>
          <w:smallCaps w:val="0"/>
          <w:color w:val="auto"/>
          <w:spacing w:val="0"/>
          <w:position w:val="0"/>
          <w:sz w:val="24"/>
          <w:szCs w:val="24"/>
          <w:highlight w:val="none"/>
          <w:vertAlign w:val="superscript"/>
          <w:lang w:val="en-US" w:eastAsia="zh-CN"/>
        </w:rPr>
        <w:t>3</w:t>
      </w:r>
      <w:r>
        <w:rPr>
          <w:rFonts w:hint="default" w:ascii="Times New Roman" w:hAnsi="Times New Roman" w:cs="Times New Roman"/>
          <w:caps w:val="0"/>
          <w:smallCaps w:val="0"/>
          <w:color w:val="auto"/>
          <w:spacing w:val="0"/>
          <w:position w:val="0"/>
          <w:sz w:val="24"/>
          <w:szCs w:val="24"/>
          <w:highlight w:val="none"/>
          <w:lang w:val="en-US" w:eastAsia="zh-CN"/>
        </w:rPr>
        <w:t>和2</w:t>
      </w:r>
      <w:r>
        <w:rPr>
          <w:rFonts w:hint="eastAsia" w:ascii="Times New Roman" w:hAnsi="Times New Roman" w:cs="Times New Roman"/>
          <w:caps w:val="0"/>
          <w:smallCaps w:val="0"/>
          <w:color w:val="auto"/>
          <w:spacing w:val="0"/>
          <w:position w:val="0"/>
          <w:sz w:val="24"/>
          <w:szCs w:val="24"/>
          <w:highlight w:val="none"/>
          <w:lang w:val="en-US" w:eastAsia="zh-CN"/>
        </w:rPr>
        <w:t>4</w:t>
      </w:r>
      <w:r>
        <w:rPr>
          <w:rFonts w:hint="default" w:ascii="Times New Roman" w:hAnsi="Times New Roman" w:cs="Times New Roman"/>
          <w:caps w:val="0"/>
          <w:smallCaps w:val="0"/>
          <w:color w:val="auto"/>
          <w:spacing w:val="0"/>
          <w:position w:val="0"/>
          <w:sz w:val="24"/>
          <w:szCs w:val="24"/>
          <w:highlight w:val="none"/>
          <w:lang w:val="en-US" w:eastAsia="zh-CN"/>
        </w:rPr>
        <w:t>0m</w:t>
      </w:r>
      <w:r>
        <w:rPr>
          <w:rFonts w:hint="default" w:ascii="Times New Roman" w:hAnsi="Times New Roman" w:cs="Times New Roman"/>
          <w:caps w:val="0"/>
          <w:smallCaps w:val="0"/>
          <w:color w:val="auto"/>
          <w:spacing w:val="0"/>
          <w:position w:val="0"/>
          <w:sz w:val="24"/>
          <w:szCs w:val="24"/>
          <w:highlight w:val="none"/>
          <w:vertAlign w:val="superscript"/>
          <w:lang w:val="en-US" w:eastAsia="zh-CN"/>
        </w:rPr>
        <w:t>3</w:t>
      </w:r>
      <w:r>
        <w:rPr>
          <w:rFonts w:hint="default" w:ascii="Times New Roman" w:hAnsi="Times New Roman" w:cs="Times New Roman"/>
          <w:caps w:val="0"/>
          <w:smallCaps w:val="0"/>
          <w:color w:val="auto"/>
          <w:spacing w:val="0"/>
          <w:position w:val="0"/>
          <w:sz w:val="24"/>
          <w:szCs w:val="24"/>
          <w:highlight w:val="none"/>
          <w:lang w:val="en-US" w:eastAsia="zh-CN"/>
        </w:rPr>
        <w:t>的事故水池</w:t>
      </w:r>
      <w:r>
        <w:rPr>
          <w:rFonts w:hint="default" w:ascii="Times New Roman" w:hAnsi="Times New Roman" w:eastAsia="宋体" w:cs="Times New Roman"/>
          <w:caps w:val="0"/>
          <w:smallCaps w:val="0"/>
          <w:color w:val="auto"/>
          <w:spacing w:val="0"/>
          <w:position w:val="0"/>
          <w:sz w:val="24"/>
          <w:szCs w:val="24"/>
          <w:highlight w:val="none"/>
        </w:rPr>
        <w:t>，</w:t>
      </w:r>
      <w:r>
        <w:rPr>
          <w:rFonts w:hint="default" w:ascii="Times New Roman" w:hAnsi="Times New Roman" w:eastAsia="宋体" w:cs="Times New Roman"/>
          <w:caps w:val="0"/>
          <w:smallCaps w:val="0"/>
          <w:color w:val="auto"/>
          <w:spacing w:val="0"/>
          <w:kern w:val="2"/>
          <w:position w:val="0"/>
          <w:highlight w:val="none"/>
        </w:rPr>
        <w:t>确保事故</w:t>
      </w:r>
      <w:r>
        <w:rPr>
          <w:rFonts w:hint="eastAsia" w:ascii="Times New Roman" w:hAnsi="Times New Roman" w:cs="Times New Roman"/>
          <w:caps w:val="0"/>
          <w:smallCaps w:val="0"/>
          <w:color w:val="auto"/>
          <w:spacing w:val="0"/>
          <w:kern w:val="2"/>
          <w:position w:val="0"/>
          <w:highlight w:val="none"/>
          <w:lang w:eastAsia="zh-CN"/>
        </w:rPr>
        <w:t>水池满足公司事故水盛装要求。</w:t>
      </w:r>
      <w:r>
        <w:rPr>
          <w:rFonts w:hint="default" w:ascii="Times New Roman" w:hAnsi="Times New Roman" w:eastAsia="宋体" w:cs="Times New Roman"/>
          <w:caps w:val="0"/>
          <w:smallCaps w:val="0"/>
          <w:color w:val="auto"/>
          <w:spacing w:val="0"/>
          <w:kern w:val="2"/>
          <w:position w:val="0"/>
          <w:highlight w:val="none"/>
        </w:rPr>
        <w:t>处置后的消洗液进入事故水池，污染物不会泄漏至厂外环境。厂区内不宜形成内涝</w:t>
      </w:r>
      <w:r>
        <w:rPr>
          <w:rFonts w:hint="default" w:ascii="Times New Roman" w:hAnsi="Times New Roman" w:eastAsia="宋体" w:cs="Times New Roman"/>
          <w:caps w:val="0"/>
          <w:smallCaps w:val="0"/>
          <w:color w:val="auto"/>
          <w:spacing w:val="0"/>
          <w:kern w:val="2"/>
          <w:position w:val="0"/>
          <w:highlight w:val="none"/>
          <w:lang w:eastAsia="zh-CN"/>
        </w:rPr>
        <w:t>；</w:t>
      </w:r>
      <w:r>
        <w:rPr>
          <w:rFonts w:hint="default" w:ascii="Times New Roman" w:hAnsi="Times New Roman" w:eastAsia="宋体" w:cs="Times New Roman"/>
          <w:caps w:val="0"/>
          <w:smallCaps w:val="0"/>
          <w:color w:val="auto"/>
          <w:spacing w:val="0"/>
          <w:kern w:val="2"/>
          <w:position w:val="0"/>
          <w:highlight w:val="none"/>
        </w:rPr>
        <w:t>公司制订了环保管理制度、安全操作规程等方面的程序文件和作业指导书，并严格按要求执行。按设计规范要求配备消防、环保等安全环保设备和设施，并加强维护保养，确保设备设施的完好。</w:t>
      </w:r>
    </w:p>
    <w:p w14:paraId="17375B32">
      <w:pPr>
        <w:pStyle w:val="2"/>
        <w:adjustRightInd w:val="0"/>
        <w:snapToGrid w:val="0"/>
        <w:spacing w:after="0" w:line="360" w:lineRule="auto"/>
        <w:ind w:left="0" w:leftChars="0" w:firstLine="31680"/>
        <w:rPr>
          <w:rFonts w:hint="default" w:ascii="Times New Roman" w:hAnsi="Times New Roman" w:cs="Times New Roman"/>
          <w:color w:val="auto"/>
          <w:spacing w:val="-2"/>
          <w:kern w:val="0"/>
          <w:sz w:val="24"/>
          <w:highlight w:val="none"/>
        </w:rPr>
      </w:pPr>
      <w:r>
        <w:rPr>
          <w:rFonts w:hint="default" w:ascii="Times New Roman" w:hAnsi="Times New Roman" w:cs="Times New Roman"/>
          <w:color w:val="auto"/>
          <w:spacing w:val="-2"/>
          <w:kern w:val="0"/>
          <w:sz w:val="24"/>
          <w:highlight w:val="none"/>
        </w:rPr>
        <w:t>（3）事故应急池做防腐防渗处理，事故状态下收集的物料待事故消除后经经</w:t>
      </w:r>
      <w:r>
        <w:rPr>
          <w:rFonts w:hint="eastAsia" w:cs="Times New Roman"/>
          <w:color w:val="auto"/>
          <w:spacing w:val="-2"/>
          <w:kern w:val="0"/>
          <w:sz w:val="24"/>
          <w:highlight w:val="none"/>
          <w:lang w:eastAsia="zh-CN"/>
        </w:rPr>
        <w:t>管线排入污水处理装置</w:t>
      </w:r>
      <w:r>
        <w:rPr>
          <w:rFonts w:hint="default" w:ascii="Times New Roman" w:hAnsi="Times New Roman" w:cs="Times New Roman"/>
          <w:color w:val="auto"/>
          <w:spacing w:val="-2"/>
          <w:kern w:val="0"/>
          <w:sz w:val="24"/>
          <w:highlight w:val="none"/>
        </w:rPr>
        <w:t>处理。</w:t>
      </w:r>
    </w:p>
    <w:p w14:paraId="2BA831E4">
      <w:pPr>
        <w:pStyle w:val="112"/>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3、雨排水系统收集措施</w:t>
      </w:r>
    </w:p>
    <w:p w14:paraId="595AE981">
      <w:pPr>
        <w:pStyle w:val="112"/>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厂区内设置了雨水排水沟</w:t>
      </w:r>
      <w:r>
        <w:rPr>
          <w:rFonts w:hint="default" w:ascii="Times New Roman" w:hAnsi="Times New Roman" w:cs="Times New Roman"/>
          <w:bCs/>
          <w:color w:val="auto"/>
          <w:spacing w:val="-2"/>
          <w:kern w:val="0"/>
          <w:sz w:val="24"/>
          <w:highlight w:val="none"/>
          <w:lang w:eastAsia="zh-CN"/>
        </w:rPr>
        <w:t>和</w:t>
      </w:r>
      <w:r>
        <w:rPr>
          <w:rFonts w:hint="default" w:ascii="Times New Roman" w:hAnsi="Times New Roman" w:cs="Times New Roman"/>
          <w:bCs/>
          <w:color w:val="auto"/>
          <w:spacing w:val="-2"/>
          <w:kern w:val="0"/>
          <w:sz w:val="24"/>
          <w:highlight w:val="none"/>
        </w:rPr>
        <w:t>初期雨水收集池。</w:t>
      </w:r>
    </w:p>
    <w:p w14:paraId="47F01703">
      <w:pPr>
        <w:pStyle w:val="112"/>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eastAsia" w:cs="Times New Roman"/>
          <w:bCs/>
          <w:color w:val="auto"/>
          <w:spacing w:val="-2"/>
          <w:kern w:val="0"/>
          <w:sz w:val="24"/>
          <w:highlight w:val="none"/>
          <w:lang w:val="en-US" w:eastAsia="zh-CN"/>
        </w:rPr>
        <w:t>4</w:t>
      </w:r>
      <w:r>
        <w:rPr>
          <w:rFonts w:hint="default" w:ascii="Times New Roman" w:hAnsi="Times New Roman" w:cs="Times New Roman"/>
          <w:bCs/>
          <w:color w:val="auto"/>
          <w:spacing w:val="-2"/>
          <w:kern w:val="0"/>
          <w:sz w:val="24"/>
          <w:highlight w:val="none"/>
        </w:rPr>
        <w:t>、生产废水处理系统收集措施</w:t>
      </w:r>
    </w:p>
    <w:p w14:paraId="1DAE8AE9">
      <w:pPr>
        <w:pStyle w:val="112"/>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厂区生产过程</w:t>
      </w:r>
      <w:r>
        <w:rPr>
          <w:rFonts w:hint="default" w:ascii="Times New Roman" w:hAnsi="Times New Roman" w:cs="Times New Roman"/>
          <w:bCs/>
          <w:color w:val="auto"/>
          <w:spacing w:val="-2"/>
          <w:kern w:val="0"/>
          <w:sz w:val="24"/>
          <w:highlight w:val="none"/>
          <w:lang w:eastAsia="zh-CN"/>
        </w:rPr>
        <w:t>产生的废水</w:t>
      </w:r>
      <w:r>
        <w:rPr>
          <w:rFonts w:hint="default" w:ascii="Times New Roman" w:hAnsi="Times New Roman" w:cs="Times New Roman"/>
          <w:color w:val="auto"/>
          <w:sz w:val="24"/>
          <w:highlight w:val="none"/>
          <w:lang w:eastAsia="zh-CN"/>
        </w:rPr>
        <w:t>经厂内污水处理装置预处理后通过管网排入齐鲁石化供排水厂深度处理，处理达标后经排海管线排海</w:t>
      </w:r>
      <w:r>
        <w:rPr>
          <w:rFonts w:hint="default" w:ascii="Times New Roman" w:hAnsi="Times New Roman" w:cs="Times New Roman"/>
          <w:bCs/>
          <w:color w:val="auto"/>
          <w:spacing w:val="-2"/>
          <w:kern w:val="0"/>
          <w:sz w:val="24"/>
          <w:highlight w:val="none"/>
        </w:rPr>
        <w:t>。</w:t>
      </w:r>
    </w:p>
    <w:p w14:paraId="7A496281">
      <w:pPr>
        <w:pStyle w:val="112"/>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2" w:firstLineChars="200"/>
        <w:jc w:val="both"/>
        <w:textAlignment w:val="auto"/>
        <w:outlineLvl w:val="9"/>
        <w:rPr>
          <w:rFonts w:hint="default" w:ascii="Times New Roman" w:hAnsi="Times New Roman" w:eastAsia="宋体" w:cs="Times New Roman"/>
          <w:color w:val="auto"/>
          <w:kern w:val="0"/>
          <w:sz w:val="24"/>
          <w:szCs w:val="24"/>
          <w:highlight w:val="none"/>
        </w:rPr>
      </w:pPr>
      <w:r>
        <w:rPr>
          <w:rFonts w:hint="default" w:ascii="Times New Roman" w:hAnsi="Times New Roman" w:cs="Times New Roman"/>
          <w:bCs/>
          <w:color w:val="auto"/>
          <w:spacing w:val="-2"/>
          <w:kern w:val="0"/>
          <w:sz w:val="24"/>
          <w:highlight w:val="none"/>
        </w:rPr>
        <w:t>发生突发环境事件，立即启动公司应急预案，公司应急预案体系中，应急救援组织机构中通讯联络组协助应急指挥组做好事件报警、通报及联络工作；</w:t>
      </w:r>
      <w:r>
        <w:rPr>
          <w:rFonts w:hint="default" w:ascii="Times New Roman" w:hAnsi="Times New Roman" w:cs="Times New Roman"/>
          <w:bCs/>
          <w:color w:val="auto"/>
          <w:spacing w:val="-2"/>
          <w:kern w:val="0"/>
          <w:sz w:val="24"/>
          <w:highlight w:val="none"/>
          <w:lang w:eastAsia="zh-CN"/>
        </w:rPr>
        <w:t>抢险救援洗消组</w:t>
      </w:r>
      <w:r>
        <w:rPr>
          <w:rFonts w:hint="default" w:ascii="Times New Roman" w:hAnsi="Times New Roman" w:cs="Times New Roman"/>
          <w:bCs/>
          <w:color w:val="auto"/>
          <w:spacing w:val="-2"/>
          <w:kern w:val="0"/>
          <w:sz w:val="24"/>
          <w:highlight w:val="none"/>
        </w:rPr>
        <w:t>对设备进行抢修；</w:t>
      </w:r>
      <w:r>
        <w:rPr>
          <w:rFonts w:hint="default" w:ascii="Times New Roman" w:hAnsi="Times New Roman" w:cs="Times New Roman"/>
          <w:bCs/>
          <w:color w:val="auto"/>
          <w:spacing w:val="-2"/>
          <w:kern w:val="0"/>
          <w:sz w:val="24"/>
          <w:highlight w:val="none"/>
          <w:lang w:eastAsia="zh-CN"/>
        </w:rPr>
        <w:t>警戒保卫组</w:t>
      </w:r>
      <w:r>
        <w:rPr>
          <w:rFonts w:hint="default" w:ascii="Times New Roman" w:hAnsi="Times New Roman" w:cs="Times New Roman"/>
          <w:bCs/>
          <w:color w:val="auto"/>
          <w:spacing w:val="-2"/>
          <w:kern w:val="0"/>
          <w:sz w:val="24"/>
          <w:highlight w:val="none"/>
        </w:rPr>
        <w:t>根据现场情况判断是否需要人员紧急疏散和抢救物资，如需紧急疏散须及时规定疏散路线和疏散路口；后勤保障组、</w:t>
      </w:r>
      <w:r>
        <w:rPr>
          <w:rFonts w:hint="default" w:ascii="Times New Roman" w:hAnsi="Times New Roman" w:cs="Times New Roman"/>
          <w:bCs/>
          <w:color w:val="auto"/>
          <w:spacing w:val="-2"/>
          <w:kern w:val="0"/>
          <w:sz w:val="24"/>
          <w:highlight w:val="none"/>
          <w:lang w:eastAsia="zh-CN"/>
        </w:rPr>
        <w:t>医疗救援组</w:t>
      </w:r>
      <w:r>
        <w:rPr>
          <w:rFonts w:hint="default" w:ascii="Times New Roman" w:hAnsi="Times New Roman" w:cs="Times New Roman"/>
          <w:bCs/>
          <w:color w:val="auto"/>
          <w:spacing w:val="-2"/>
          <w:kern w:val="0"/>
          <w:sz w:val="24"/>
          <w:highlight w:val="none"/>
        </w:rPr>
        <w:t>等协调对救援人员的后勤、医疗进行处理。公司现有环境风险防控措施及应急措施基本完善，能有效应对突发环境事件所造成的风险及影响。</w:t>
      </w:r>
    </w:p>
    <w:p w14:paraId="548004F1">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针对本公司的具体情况，按不同事故类型，包括污染源监测、厂界环境质量监测和厂外环境质量监测三类，</w:t>
      </w:r>
      <w:r>
        <w:rPr>
          <w:rFonts w:hint="default" w:ascii="Times New Roman" w:hAnsi="Times New Roman" w:eastAsia="宋体" w:cs="Times New Roman"/>
          <w:color w:val="auto"/>
          <w:kern w:val="36"/>
          <w:sz w:val="24"/>
          <w:szCs w:val="24"/>
          <w:highlight w:val="none"/>
          <w:lang w:val="en-US" w:eastAsia="zh-CN" w:bidi="ar-SA"/>
        </w:rPr>
        <w:t>企业不具备监测条件，</w:t>
      </w:r>
      <w:r>
        <w:rPr>
          <w:rFonts w:hint="default" w:ascii="Times New Roman" w:hAnsi="Times New Roman" w:eastAsia="宋体" w:cs="Times New Roman"/>
          <w:caps w:val="0"/>
          <w:smallCaps w:val="0"/>
          <w:color w:val="auto"/>
          <w:spacing w:val="0"/>
          <w:kern w:val="2"/>
          <w:position w:val="0"/>
          <w:highlight w:val="none"/>
        </w:rPr>
        <w:t>由有资质的的监测单位</w:t>
      </w:r>
      <w:r>
        <w:rPr>
          <w:rFonts w:hint="eastAsia" w:ascii="Times New Roman" w:hAnsi="Times New Roman" w:cs="Times New Roman"/>
          <w:caps w:val="0"/>
          <w:smallCaps w:val="0"/>
          <w:color w:val="auto"/>
          <w:spacing w:val="0"/>
          <w:kern w:val="2"/>
          <w:position w:val="0"/>
          <w:highlight w:val="none"/>
          <w:lang w:eastAsia="zh-CN"/>
        </w:rPr>
        <w:t>（山东九盛检测有限公司）</w:t>
      </w:r>
      <w:r>
        <w:rPr>
          <w:rFonts w:hint="default" w:ascii="Times New Roman" w:hAnsi="Times New Roman" w:eastAsia="宋体" w:cs="Times New Roman"/>
          <w:caps w:val="0"/>
          <w:smallCaps w:val="0"/>
          <w:color w:val="auto"/>
          <w:spacing w:val="0"/>
          <w:kern w:val="2"/>
          <w:position w:val="0"/>
          <w:highlight w:val="none"/>
        </w:rPr>
        <w:t>负责应急监测，满足事故应急监测的要求</w:t>
      </w:r>
      <w:r>
        <w:rPr>
          <w:rFonts w:hint="eastAsia" w:ascii="Times New Roman" w:hAnsi="Times New Roman" w:cs="Times New Roman"/>
          <w:caps w:val="0"/>
          <w:smallCaps w:val="0"/>
          <w:color w:val="auto"/>
          <w:spacing w:val="0"/>
          <w:kern w:val="2"/>
          <w:position w:val="0"/>
          <w:highlight w:val="none"/>
          <w:lang w:eastAsia="zh-CN"/>
        </w:rPr>
        <w:t>（监测协议见附件）</w:t>
      </w:r>
      <w:r>
        <w:rPr>
          <w:rFonts w:hint="default" w:ascii="Times New Roman" w:hAnsi="Times New Roman" w:eastAsia="宋体" w:cs="Times New Roman"/>
          <w:caps w:val="0"/>
          <w:smallCaps w:val="0"/>
          <w:color w:val="auto"/>
          <w:spacing w:val="0"/>
          <w:kern w:val="2"/>
          <w:position w:val="0"/>
          <w:highlight w:val="none"/>
        </w:rPr>
        <w:t>。</w:t>
      </w:r>
    </w:p>
    <w:p w14:paraId="7FF144A4">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（1）火灾</w:t>
      </w:r>
      <w:r>
        <w:rPr>
          <w:rFonts w:hint="default" w:ascii="Times New Roman" w:hAnsi="Times New Roman" w:eastAsia="宋体" w:cs="Times New Roman"/>
          <w:caps w:val="0"/>
          <w:smallCaps w:val="0"/>
          <w:color w:val="auto"/>
          <w:spacing w:val="0"/>
          <w:kern w:val="2"/>
          <w:position w:val="0"/>
          <w:highlight w:val="none"/>
          <w:lang w:eastAsia="zh-CN"/>
        </w:rPr>
        <w:t>、泄漏</w:t>
      </w:r>
      <w:r>
        <w:rPr>
          <w:rFonts w:hint="default" w:ascii="Times New Roman" w:hAnsi="Times New Roman" w:eastAsia="宋体" w:cs="Times New Roman"/>
          <w:caps w:val="0"/>
          <w:smallCaps w:val="0"/>
          <w:color w:val="auto"/>
          <w:spacing w:val="0"/>
          <w:kern w:val="2"/>
          <w:position w:val="0"/>
          <w:highlight w:val="none"/>
        </w:rPr>
        <w:t>可能造成大气污染</w:t>
      </w:r>
    </w:p>
    <w:p w14:paraId="0433D694">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大气监测点位：针对发生的火灾</w:t>
      </w:r>
      <w:r>
        <w:rPr>
          <w:rFonts w:hint="default" w:ascii="Times New Roman" w:hAnsi="Times New Roman" w:eastAsia="宋体" w:cs="Times New Roman"/>
          <w:caps w:val="0"/>
          <w:smallCaps w:val="0"/>
          <w:color w:val="auto"/>
          <w:spacing w:val="0"/>
          <w:kern w:val="2"/>
          <w:position w:val="0"/>
          <w:highlight w:val="none"/>
          <w:lang w:eastAsia="zh-CN"/>
        </w:rPr>
        <w:t>、</w:t>
      </w:r>
      <w:r>
        <w:rPr>
          <w:rFonts w:hint="default" w:ascii="Times New Roman" w:hAnsi="Times New Roman" w:eastAsia="宋体" w:cs="Times New Roman"/>
          <w:caps w:val="0"/>
          <w:smallCaps w:val="0"/>
          <w:color w:val="auto"/>
          <w:spacing w:val="0"/>
          <w:kern w:val="2"/>
          <w:position w:val="0"/>
          <w:highlight w:val="none"/>
          <w:lang w:val="en-US" w:eastAsia="zh-CN"/>
        </w:rPr>
        <w:t>爆炸、</w:t>
      </w:r>
      <w:r>
        <w:rPr>
          <w:rFonts w:hint="default" w:ascii="Times New Roman" w:hAnsi="Times New Roman" w:eastAsia="宋体" w:cs="Times New Roman"/>
          <w:caps w:val="0"/>
          <w:smallCaps w:val="0"/>
          <w:color w:val="auto"/>
          <w:spacing w:val="0"/>
          <w:kern w:val="2"/>
          <w:position w:val="0"/>
          <w:highlight w:val="none"/>
          <w:lang w:eastAsia="zh-CN"/>
        </w:rPr>
        <w:t>泄漏</w:t>
      </w:r>
      <w:r>
        <w:rPr>
          <w:rFonts w:hint="default" w:ascii="Times New Roman" w:hAnsi="Times New Roman" w:eastAsia="宋体" w:cs="Times New Roman"/>
          <w:caps w:val="0"/>
          <w:smallCaps w:val="0"/>
          <w:color w:val="auto"/>
          <w:spacing w:val="0"/>
          <w:kern w:val="2"/>
          <w:position w:val="0"/>
          <w:highlight w:val="none"/>
        </w:rPr>
        <w:t>事故，大气污染监测在事故</w:t>
      </w:r>
      <w:r>
        <w:rPr>
          <w:rFonts w:hint="default" w:ascii="Times New Roman" w:hAnsi="Times New Roman" w:eastAsia="宋体" w:cs="Times New Roman"/>
          <w:caps w:val="0"/>
          <w:smallCaps w:val="0"/>
          <w:color w:val="auto"/>
          <w:spacing w:val="0"/>
          <w:kern w:val="2"/>
          <w:position w:val="0"/>
          <w:highlight w:val="none"/>
          <w:lang w:val="en-US" w:eastAsia="zh-CN"/>
        </w:rPr>
        <w:t>点为中心，当时风向的上风向</w:t>
      </w:r>
      <w:r>
        <w:rPr>
          <w:rFonts w:hint="eastAsia" w:ascii="Times New Roman" w:hAnsi="Times New Roman" w:cs="Times New Roman"/>
          <w:caps w:val="0"/>
          <w:smallCaps w:val="0"/>
          <w:color w:val="auto"/>
          <w:spacing w:val="0"/>
          <w:kern w:val="2"/>
          <w:position w:val="0"/>
          <w:highlight w:val="none"/>
          <w:lang w:val="en-US" w:eastAsia="zh-CN"/>
        </w:rPr>
        <w:t>做</w:t>
      </w:r>
      <w:r>
        <w:rPr>
          <w:rFonts w:hint="default" w:ascii="Times New Roman" w:hAnsi="Times New Roman" w:eastAsia="宋体" w:cs="Times New Roman"/>
          <w:caps w:val="0"/>
          <w:smallCaps w:val="0"/>
          <w:color w:val="auto"/>
          <w:spacing w:val="0"/>
          <w:kern w:val="2"/>
          <w:position w:val="0"/>
          <w:highlight w:val="none"/>
        </w:rPr>
        <w:t>对照点、事故</w:t>
      </w:r>
      <w:r>
        <w:rPr>
          <w:rFonts w:hint="eastAsia" w:ascii="Times New Roman" w:hAnsi="Times New Roman" w:cs="Times New Roman"/>
          <w:caps w:val="0"/>
          <w:smallCaps w:val="0"/>
          <w:color w:val="auto"/>
          <w:spacing w:val="0"/>
          <w:kern w:val="2"/>
          <w:position w:val="0"/>
          <w:highlight w:val="none"/>
          <w:lang w:eastAsia="zh-CN"/>
        </w:rPr>
        <w:t>中心点</w:t>
      </w:r>
      <w:r>
        <w:rPr>
          <w:rFonts w:hint="default" w:ascii="Times New Roman" w:hAnsi="Times New Roman" w:eastAsia="宋体" w:cs="Times New Roman"/>
          <w:caps w:val="0"/>
          <w:smallCaps w:val="0"/>
          <w:color w:val="auto"/>
          <w:spacing w:val="0"/>
          <w:kern w:val="2"/>
          <w:position w:val="0"/>
          <w:highlight w:val="none"/>
        </w:rPr>
        <w:t>的下风向</w:t>
      </w:r>
      <w:r>
        <w:rPr>
          <w:rFonts w:hint="default" w:ascii="Times New Roman" w:hAnsi="Times New Roman" w:eastAsia="宋体" w:cs="Times New Roman"/>
          <w:caps w:val="0"/>
          <w:smallCaps w:val="0"/>
          <w:color w:val="auto"/>
          <w:spacing w:val="0"/>
          <w:kern w:val="2"/>
          <w:position w:val="0"/>
          <w:highlight w:val="none"/>
          <w:lang w:val="en-US" w:eastAsia="zh-CN"/>
        </w:rPr>
        <w:t>每隔100m布设一个监控点，共布设3</w:t>
      </w:r>
      <w:r>
        <w:rPr>
          <w:rFonts w:hint="default" w:ascii="Times New Roman" w:hAnsi="Times New Roman" w:eastAsia="宋体" w:cs="Times New Roman"/>
          <w:caps w:val="0"/>
          <w:smallCaps w:val="0"/>
          <w:color w:val="auto"/>
          <w:spacing w:val="0"/>
          <w:kern w:val="2"/>
          <w:position w:val="0"/>
          <w:highlight w:val="none"/>
        </w:rPr>
        <w:t>点。采样过程中应注意风向的变化，及时调整采样点位置。</w:t>
      </w:r>
    </w:p>
    <w:p w14:paraId="0B4E36BD">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sz w:val="24"/>
          <w:szCs w:val="24"/>
          <w:highlight w:val="none"/>
        </w:rPr>
      </w:pPr>
      <w:r>
        <w:rPr>
          <w:rFonts w:hint="default" w:ascii="Times New Roman" w:hAnsi="Times New Roman" w:eastAsia="宋体" w:cs="Times New Roman"/>
          <w:caps w:val="0"/>
          <w:smallCaps w:val="0"/>
          <w:color w:val="auto"/>
          <w:spacing w:val="0"/>
          <w:kern w:val="2"/>
          <w:position w:val="0"/>
          <w:highlight w:val="none"/>
        </w:rPr>
        <w:t>应急监测频次：</w:t>
      </w:r>
      <w:r>
        <w:rPr>
          <w:rFonts w:hint="default" w:ascii="Times New Roman" w:hAnsi="Times New Roman" w:eastAsia="宋体" w:cs="Times New Roman"/>
          <w:caps w:val="0"/>
          <w:smallCaps w:val="0"/>
          <w:color w:val="auto"/>
          <w:spacing w:val="0"/>
          <w:kern w:val="2"/>
          <w:position w:val="0"/>
          <w:sz w:val="24"/>
          <w:szCs w:val="24"/>
          <w:highlight w:val="none"/>
          <w:lang w:eastAsia="zh-CN"/>
        </w:rPr>
        <w:t>每</w:t>
      </w:r>
      <w:r>
        <w:rPr>
          <w:rFonts w:hint="default" w:ascii="Times New Roman" w:hAnsi="Times New Roman" w:eastAsia="宋体" w:cs="Times New Roman"/>
          <w:caps w:val="0"/>
          <w:smallCaps w:val="0"/>
          <w:color w:val="auto"/>
          <w:spacing w:val="0"/>
          <w:kern w:val="2"/>
          <w:position w:val="0"/>
          <w:sz w:val="24"/>
          <w:szCs w:val="24"/>
          <w:highlight w:val="none"/>
          <w:lang w:val="en-US" w:eastAsia="zh-CN"/>
        </w:rPr>
        <w:t>10min监测一次，随事故控制减弱</w:t>
      </w:r>
      <w:r>
        <w:rPr>
          <w:rFonts w:hint="eastAsia" w:ascii="Times New Roman" w:hAnsi="Times New Roman" w:cs="Times New Roman"/>
          <w:caps w:val="0"/>
          <w:smallCaps w:val="0"/>
          <w:color w:val="auto"/>
          <w:spacing w:val="0"/>
          <w:kern w:val="2"/>
          <w:position w:val="0"/>
          <w:sz w:val="24"/>
          <w:szCs w:val="24"/>
          <w:highlight w:val="none"/>
          <w:lang w:val="en-US" w:eastAsia="zh-CN"/>
        </w:rPr>
        <w:t>。</w:t>
      </w:r>
    </w:p>
    <w:p w14:paraId="19C7E752">
      <w:pPr>
        <w:pStyle w:val="32"/>
        <w:widowControl w:val="0"/>
        <w:adjustRightInd w:val="0"/>
        <w:snapToGrid w:val="0"/>
        <w:spacing w:before="0" w:beforeAutospacing="0" w:after="0" w:afterAutospacing="0" w:line="360" w:lineRule="auto"/>
        <w:ind w:firstLine="480" w:firstLineChars="200"/>
        <w:jc w:val="both"/>
        <w:rPr>
          <w:rFonts w:hint="eastAsia" w:ascii="Times New Roman" w:hAnsi="Times New Roman" w:cs="Times New Roman"/>
          <w:caps w:val="0"/>
          <w:smallCaps w:val="0"/>
          <w:color w:val="auto"/>
          <w:spacing w:val="0"/>
          <w:kern w:val="2"/>
          <w:position w:val="0"/>
          <w:sz w:val="24"/>
          <w:szCs w:val="24"/>
          <w:highlight w:val="none"/>
          <w:lang w:val="en-US" w:eastAsia="zh-CN"/>
        </w:rPr>
      </w:pPr>
      <w:r>
        <w:rPr>
          <w:rFonts w:hint="default" w:ascii="Times New Roman" w:hAnsi="Times New Roman" w:eastAsia="宋体" w:cs="Times New Roman"/>
          <w:caps w:val="0"/>
          <w:smallCaps w:val="0"/>
          <w:color w:val="auto"/>
          <w:spacing w:val="0"/>
          <w:kern w:val="2"/>
          <w:position w:val="0"/>
          <w:sz w:val="24"/>
          <w:szCs w:val="24"/>
          <w:highlight w:val="none"/>
        </w:rPr>
        <w:t>大气环境监测因子：根据厂区发生不同突发环境事件，确定相关监测因子</w:t>
      </w:r>
      <w:r>
        <w:rPr>
          <w:rFonts w:hint="default" w:ascii="Times New Roman" w:hAnsi="Times New Roman" w:eastAsia="宋体" w:cs="Times New Roman"/>
          <w:caps w:val="0"/>
          <w:smallCaps w:val="0"/>
          <w:color w:val="auto"/>
          <w:spacing w:val="0"/>
          <w:kern w:val="2"/>
          <w:position w:val="0"/>
          <w:sz w:val="24"/>
          <w:szCs w:val="24"/>
          <w:highlight w:val="none"/>
          <w:lang w:val="en-US" w:eastAsia="zh-CN"/>
        </w:rPr>
        <w:t>可能为有机物、HCL、氮氧化物、甲苯、CO等</w:t>
      </w:r>
      <w:r>
        <w:rPr>
          <w:rFonts w:hint="eastAsia" w:ascii="Times New Roman" w:hAnsi="Times New Roman" w:cs="Times New Roman"/>
          <w:caps w:val="0"/>
          <w:smallCaps w:val="0"/>
          <w:color w:val="auto"/>
          <w:spacing w:val="0"/>
          <w:kern w:val="2"/>
          <w:position w:val="0"/>
          <w:sz w:val="24"/>
          <w:szCs w:val="24"/>
          <w:highlight w:val="none"/>
          <w:lang w:val="en-US" w:eastAsia="zh-CN"/>
        </w:rPr>
        <w:t>。</w:t>
      </w:r>
    </w:p>
    <w:p w14:paraId="60977A98">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sz w:val="24"/>
          <w:szCs w:val="24"/>
          <w:highlight w:val="none"/>
        </w:rPr>
        <w:t>厂界气体监测的一般原则：排放源下风向设监控点，同时在排放源上风向设参照点，以监控点同参照点的浓度差值不超过规定限值来限制无组织排放，</w:t>
      </w:r>
      <w:r>
        <w:rPr>
          <w:rFonts w:hint="default" w:ascii="Times New Roman" w:hAnsi="Times New Roman" w:cs="Times New Roman"/>
          <w:color w:val="auto"/>
          <w:sz w:val="24"/>
          <w:szCs w:val="24"/>
          <w:highlight w:val="none"/>
          <w:lang w:val="en-US" w:eastAsia="zh-CN"/>
        </w:rPr>
        <w:t>颗粒物、HCL、VOCs</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甲苯</w:t>
      </w:r>
      <w:r>
        <w:rPr>
          <w:rFonts w:hint="default" w:ascii="Times New Roman" w:hAnsi="Times New Roman" w:eastAsia="宋体" w:cs="Times New Roman"/>
          <w:caps w:val="0"/>
          <w:smallCaps w:val="0"/>
          <w:color w:val="auto"/>
          <w:spacing w:val="0"/>
          <w:kern w:val="2"/>
          <w:position w:val="0"/>
          <w:sz w:val="24"/>
          <w:szCs w:val="24"/>
          <w:highlight w:val="none"/>
        </w:rPr>
        <w:t>监控点设在无组织排放源下风向</w:t>
      </w:r>
      <w:r>
        <w:rPr>
          <w:rFonts w:hint="eastAsia" w:ascii="Times New Roman" w:hAnsi="Times New Roman" w:cs="Times New Roman"/>
          <w:caps w:val="0"/>
          <w:smallCaps w:val="0"/>
          <w:color w:val="auto"/>
          <w:spacing w:val="0"/>
          <w:kern w:val="2"/>
          <w:position w:val="0"/>
          <w:sz w:val="24"/>
          <w:szCs w:val="24"/>
          <w:highlight w:val="none"/>
          <w:lang w:val="en-US" w:eastAsia="zh-CN"/>
        </w:rPr>
        <w:t>100</w:t>
      </w:r>
      <w:r>
        <w:rPr>
          <w:rFonts w:hint="default" w:ascii="Times New Roman" w:hAnsi="Times New Roman" w:eastAsia="宋体" w:cs="Times New Roman"/>
          <w:caps w:val="0"/>
          <w:smallCaps w:val="0"/>
          <w:color w:val="auto"/>
          <w:spacing w:val="0"/>
          <w:kern w:val="2"/>
          <w:position w:val="0"/>
          <w:sz w:val="24"/>
          <w:szCs w:val="24"/>
          <w:highlight w:val="none"/>
        </w:rPr>
        <w:t>m范围内的浓度最高点，相对应的参照点设在排放源上风向50m范围内；其余物质的监控点设在单位周界外10m范围内的浓度最高点。按规定监控点最多可设4个</w:t>
      </w:r>
      <w:r>
        <w:rPr>
          <w:rFonts w:hint="default" w:ascii="Times New Roman" w:hAnsi="Times New Roman" w:eastAsia="宋体" w:cs="Times New Roman"/>
          <w:caps w:val="0"/>
          <w:smallCaps w:val="0"/>
          <w:color w:val="auto"/>
          <w:spacing w:val="0"/>
          <w:kern w:val="2"/>
          <w:position w:val="0"/>
          <w:szCs w:val="22"/>
          <w:highlight w:val="none"/>
        </w:rPr>
        <w:t>，参照点只设1个。实行连续1小时的采样，或者实行在1小时内以等时间间隔采集4个样品计平均值。在进行实际监测时，为了捕捉到监控点最高浓度的时段，实际安排的采样时间可超过1小时。</w:t>
      </w:r>
    </w:p>
    <w:p w14:paraId="461A5177">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（2）消防废水处理</w:t>
      </w:r>
    </w:p>
    <w:p w14:paraId="63AC2CD1">
      <w:pPr>
        <w:pStyle w:val="32"/>
        <w:widowControl w:val="0"/>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在发生火灾、产生事故废水导致水质出现超标时，需要对</w:t>
      </w:r>
      <w:r>
        <w:rPr>
          <w:rFonts w:hint="eastAsia" w:ascii="Times New Roman" w:hAnsi="Times New Roman" w:cs="Times New Roman"/>
          <w:caps w:val="0"/>
          <w:smallCaps w:val="0"/>
          <w:color w:val="auto"/>
          <w:spacing w:val="0"/>
          <w:kern w:val="2"/>
          <w:position w:val="0"/>
          <w:highlight w:val="none"/>
          <w:lang w:eastAsia="zh-CN"/>
        </w:rPr>
        <w:t>地表水</w:t>
      </w:r>
      <w:r>
        <w:rPr>
          <w:rFonts w:hint="default" w:ascii="Times New Roman" w:hAnsi="Times New Roman" w:eastAsia="宋体" w:cs="Times New Roman"/>
          <w:caps w:val="0"/>
          <w:smallCaps w:val="0"/>
          <w:color w:val="auto"/>
          <w:spacing w:val="0"/>
          <w:kern w:val="2"/>
          <w:position w:val="0"/>
          <w:highlight w:val="none"/>
        </w:rPr>
        <w:t>进行监测。</w:t>
      </w:r>
    </w:p>
    <w:p w14:paraId="13C9F13C">
      <w:pPr>
        <w:pStyle w:val="32"/>
        <w:widowControl w:val="0"/>
        <w:adjustRightInd w:val="0"/>
        <w:snapToGrid w:val="0"/>
        <w:spacing w:before="0" w:beforeAutospacing="0" w:after="0" w:afterAutospacing="0" w:line="360" w:lineRule="auto"/>
        <w:ind w:firstLine="480" w:firstLineChars="200"/>
        <w:jc w:val="both"/>
        <w:rPr>
          <w:rFonts w:hint="eastAsia" w:ascii="Times New Roman" w:hAnsi="Times New Roman" w:cs="Times New Roman"/>
          <w:caps w:val="0"/>
          <w:smallCaps w:val="0"/>
          <w:color w:val="auto"/>
          <w:spacing w:val="0"/>
          <w:kern w:val="2"/>
          <w:position w:val="0"/>
          <w:highlight w:val="none"/>
          <w:lang w:val="en-US" w:eastAsia="zh-CN"/>
        </w:rPr>
      </w:pPr>
      <w:r>
        <w:rPr>
          <w:rFonts w:hint="default" w:ascii="Times New Roman" w:hAnsi="Times New Roman" w:eastAsia="宋体" w:cs="Times New Roman"/>
          <w:caps w:val="0"/>
          <w:smallCaps w:val="0"/>
          <w:color w:val="auto"/>
          <w:spacing w:val="0"/>
          <w:kern w:val="2"/>
          <w:position w:val="0"/>
          <w:highlight w:val="none"/>
        </w:rPr>
        <w:t>监测点位：</w:t>
      </w:r>
      <w:r>
        <w:rPr>
          <w:rFonts w:hint="default" w:ascii="Times New Roman" w:hAnsi="Times New Roman" w:eastAsia="宋体" w:cs="Times New Roman"/>
          <w:caps w:val="0"/>
          <w:smallCaps w:val="0"/>
          <w:color w:val="auto"/>
          <w:spacing w:val="0"/>
          <w:kern w:val="2"/>
          <w:position w:val="0"/>
          <w:highlight w:val="none"/>
          <w:lang w:eastAsia="zh-CN"/>
        </w:rPr>
        <w:t>上游清洁段，事故点及下游</w:t>
      </w:r>
      <w:r>
        <w:rPr>
          <w:rFonts w:hint="eastAsia" w:ascii="Times New Roman" w:hAnsi="Times New Roman" w:cs="Times New Roman"/>
          <w:caps w:val="0"/>
          <w:smallCaps w:val="0"/>
          <w:color w:val="auto"/>
          <w:spacing w:val="0"/>
          <w:kern w:val="2"/>
          <w:position w:val="0"/>
          <w:highlight w:val="none"/>
          <w:lang w:val="en-US" w:eastAsia="zh-CN"/>
        </w:rPr>
        <w:t xml:space="preserve"> </w:t>
      </w:r>
    </w:p>
    <w:p w14:paraId="0CB96779">
      <w:pPr>
        <w:pStyle w:val="112"/>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default" w:ascii="Times New Roman" w:hAnsi="Times New Roman" w:eastAsia="宋体" w:cs="Times New Roman"/>
          <w:caps w:val="0"/>
          <w:smallCaps w:val="0"/>
          <w:color w:val="auto"/>
          <w:spacing w:val="0"/>
          <w:kern w:val="2"/>
          <w:position w:val="0"/>
          <w:sz w:val="24"/>
          <w:szCs w:val="24"/>
          <w:highlight w:val="none"/>
          <w:lang w:val="en-US" w:eastAsia="zh-CN"/>
        </w:rPr>
      </w:pPr>
      <w:r>
        <w:rPr>
          <w:rFonts w:hint="default" w:ascii="Times New Roman" w:hAnsi="Times New Roman" w:eastAsia="宋体" w:cs="Times New Roman"/>
          <w:caps w:val="0"/>
          <w:smallCaps w:val="0"/>
          <w:color w:val="auto"/>
          <w:spacing w:val="0"/>
          <w:kern w:val="2"/>
          <w:position w:val="0"/>
          <w:sz w:val="24"/>
          <w:szCs w:val="24"/>
          <w:highlight w:val="none"/>
        </w:rPr>
        <w:t>应急监测频次：</w:t>
      </w:r>
      <w:r>
        <w:rPr>
          <w:rFonts w:hint="default" w:ascii="Times New Roman" w:hAnsi="Times New Roman" w:eastAsia="宋体" w:cs="Times New Roman"/>
          <w:caps w:val="0"/>
          <w:smallCaps w:val="0"/>
          <w:color w:val="auto"/>
          <w:spacing w:val="0"/>
          <w:kern w:val="2"/>
          <w:position w:val="0"/>
          <w:sz w:val="24"/>
          <w:szCs w:val="24"/>
          <w:highlight w:val="none"/>
          <w:lang w:eastAsia="zh-CN"/>
        </w:rPr>
        <w:t>每</w:t>
      </w:r>
      <w:r>
        <w:rPr>
          <w:rFonts w:hint="default" w:ascii="Times New Roman" w:hAnsi="Times New Roman" w:eastAsia="宋体" w:cs="Times New Roman"/>
          <w:caps w:val="0"/>
          <w:smallCaps w:val="0"/>
          <w:color w:val="auto"/>
          <w:spacing w:val="0"/>
          <w:kern w:val="2"/>
          <w:position w:val="0"/>
          <w:sz w:val="24"/>
          <w:szCs w:val="24"/>
          <w:highlight w:val="none"/>
          <w:lang w:val="en-US" w:eastAsia="zh-CN"/>
        </w:rPr>
        <w:t>1小时监测一次，随事故控制减弱</w:t>
      </w:r>
    </w:p>
    <w:p w14:paraId="312E5CB9">
      <w:pPr>
        <w:pStyle w:val="112"/>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right="0" w:rightChars="0" w:firstLine="480" w:firstLineChars="200"/>
        <w:jc w:val="both"/>
        <w:textAlignment w:val="auto"/>
        <w:outlineLvl w:val="9"/>
        <w:rPr>
          <w:rFonts w:hint="default" w:ascii="Times New Roman" w:hAnsi="Times New Roman" w:eastAsia="宋体" w:cs="Times New Roman"/>
          <w:color w:val="auto"/>
          <w:kern w:val="36"/>
          <w:sz w:val="24"/>
          <w:szCs w:val="24"/>
          <w:highlight w:val="none"/>
          <w:lang w:val="en-US" w:eastAsia="zh-CN" w:bidi="ar-SA"/>
        </w:rPr>
      </w:pPr>
      <w:r>
        <w:rPr>
          <w:rFonts w:hint="default" w:ascii="Times New Roman" w:hAnsi="Times New Roman" w:eastAsia="宋体" w:cs="Times New Roman"/>
          <w:caps w:val="0"/>
          <w:smallCaps w:val="0"/>
          <w:color w:val="auto"/>
          <w:spacing w:val="0"/>
          <w:kern w:val="2"/>
          <w:position w:val="0"/>
          <w:sz w:val="24"/>
          <w:szCs w:val="24"/>
          <w:highlight w:val="none"/>
        </w:rPr>
        <w:t>监测因子：根据厂区发生不同突发环境事件，确定相关监测因子</w:t>
      </w:r>
      <w:r>
        <w:rPr>
          <w:rFonts w:hint="default" w:ascii="Times New Roman" w:hAnsi="Times New Roman" w:eastAsia="宋体" w:cs="Times New Roman"/>
          <w:caps w:val="0"/>
          <w:smallCaps w:val="0"/>
          <w:color w:val="auto"/>
          <w:spacing w:val="0"/>
          <w:kern w:val="2"/>
          <w:position w:val="0"/>
          <w:sz w:val="24"/>
          <w:szCs w:val="24"/>
          <w:highlight w:val="none"/>
          <w:lang w:val="en-US" w:eastAsia="zh-CN"/>
        </w:rPr>
        <w:t>pH、SS、COD、氨氮等</w:t>
      </w:r>
      <w:r>
        <w:rPr>
          <w:rFonts w:hint="eastAsia" w:cs="Times New Roman"/>
          <w:caps w:val="0"/>
          <w:smallCaps w:val="0"/>
          <w:color w:val="auto"/>
          <w:spacing w:val="0"/>
          <w:kern w:val="2"/>
          <w:position w:val="0"/>
          <w:sz w:val="24"/>
          <w:szCs w:val="24"/>
          <w:highlight w:val="none"/>
          <w:lang w:val="en-US" w:eastAsia="zh-CN"/>
        </w:rPr>
        <w:t>。</w:t>
      </w:r>
      <w:r>
        <w:rPr>
          <w:rFonts w:hint="default" w:ascii="Times New Roman" w:hAnsi="Times New Roman" w:cs="Times New Roman"/>
          <w:color w:val="auto"/>
          <w:kern w:val="36"/>
          <w:sz w:val="24"/>
          <w:szCs w:val="24"/>
          <w:highlight w:val="none"/>
          <w:lang w:val="en-US" w:eastAsia="zh-CN" w:bidi="ar-SA"/>
        </w:rPr>
        <w:t>自行</w:t>
      </w:r>
      <w:r>
        <w:rPr>
          <w:rFonts w:hint="default" w:ascii="Times New Roman" w:hAnsi="Times New Roman" w:eastAsia="宋体" w:cs="Times New Roman"/>
          <w:color w:val="auto"/>
          <w:kern w:val="36"/>
          <w:sz w:val="24"/>
          <w:szCs w:val="24"/>
          <w:highlight w:val="none"/>
          <w:lang w:val="en-US" w:eastAsia="zh-CN" w:bidi="ar-SA"/>
        </w:rPr>
        <w:t>监测计划见</w:t>
      </w:r>
      <w:r>
        <w:rPr>
          <w:rFonts w:hint="default" w:ascii="Times New Roman" w:hAnsi="Times New Roman" w:cs="Times New Roman"/>
          <w:color w:val="auto"/>
          <w:kern w:val="36"/>
          <w:sz w:val="24"/>
          <w:szCs w:val="24"/>
          <w:highlight w:val="none"/>
          <w:lang w:val="en-US" w:eastAsia="zh-CN" w:bidi="ar-SA"/>
        </w:rPr>
        <w:t>下表</w:t>
      </w:r>
      <w:r>
        <w:rPr>
          <w:rFonts w:hint="default" w:ascii="Times New Roman" w:hAnsi="Times New Roman" w:eastAsia="宋体" w:cs="Times New Roman"/>
          <w:color w:val="auto"/>
          <w:kern w:val="36"/>
          <w:sz w:val="24"/>
          <w:szCs w:val="24"/>
          <w:highlight w:val="none"/>
          <w:lang w:val="en-US" w:eastAsia="zh-CN" w:bidi="ar-SA"/>
        </w:rPr>
        <w:t>。</w:t>
      </w:r>
    </w:p>
    <w:p w14:paraId="7F6F269B">
      <w:pPr>
        <w:pStyle w:val="112"/>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leftChars="200" w:right="0" w:rightChars="0"/>
        <w:jc w:val="center"/>
        <w:textAlignment w:val="auto"/>
        <w:outlineLvl w:val="9"/>
        <w:rPr>
          <w:rFonts w:hint="default" w:ascii="Times New Roman" w:hAnsi="Times New Roman" w:eastAsia="宋体" w:cs="Times New Roman"/>
          <w:b/>
          <w:bCs/>
          <w:color w:val="auto"/>
          <w:kern w:val="36"/>
          <w:sz w:val="24"/>
          <w:szCs w:val="24"/>
          <w:highlight w:val="none"/>
          <w:lang w:val="en-US" w:eastAsia="zh-CN" w:bidi="ar-SA"/>
        </w:rPr>
      </w:pPr>
      <w:r>
        <w:rPr>
          <w:rFonts w:hint="default" w:ascii="Times New Roman" w:hAnsi="Times New Roman" w:eastAsia="宋体" w:cs="Times New Roman"/>
          <w:b/>
          <w:bCs/>
          <w:color w:val="auto"/>
          <w:kern w:val="36"/>
          <w:sz w:val="24"/>
          <w:szCs w:val="24"/>
          <w:highlight w:val="none"/>
          <w:lang w:val="en-US" w:eastAsia="zh-CN" w:bidi="ar-SA"/>
        </w:rPr>
        <w:t>表</w:t>
      </w:r>
      <w:r>
        <w:rPr>
          <w:rFonts w:hint="default" w:ascii="Times New Roman" w:hAnsi="Times New Roman" w:cs="Times New Roman"/>
          <w:b/>
          <w:bCs/>
          <w:color w:val="auto"/>
          <w:kern w:val="36"/>
          <w:sz w:val="24"/>
          <w:szCs w:val="24"/>
          <w:highlight w:val="none"/>
          <w:lang w:val="en-US" w:eastAsia="zh-CN" w:bidi="ar-SA"/>
        </w:rPr>
        <w:t>3.6-2</w:t>
      </w:r>
      <w:r>
        <w:rPr>
          <w:rFonts w:hint="default" w:ascii="Times New Roman" w:hAnsi="Times New Roman" w:eastAsia="宋体" w:cs="Times New Roman"/>
          <w:b/>
          <w:bCs/>
          <w:color w:val="auto"/>
          <w:kern w:val="36"/>
          <w:sz w:val="24"/>
          <w:szCs w:val="24"/>
          <w:highlight w:val="none"/>
          <w:lang w:val="en-US" w:eastAsia="zh-CN" w:bidi="ar-SA"/>
        </w:rPr>
        <w:t xml:space="preserve"> 企业应急监测计划</w:t>
      </w:r>
    </w:p>
    <w:tbl>
      <w:tblPr>
        <w:tblStyle w:val="35"/>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410"/>
        <w:gridCol w:w="1470"/>
        <w:gridCol w:w="1665"/>
        <w:gridCol w:w="1430"/>
        <w:gridCol w:w="1320"/>
        <w:gridCol w:w="1230"/>
      </w:tblGrid>
      <w:tr w14:paraId="7D29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5" w:type="dxa"/>
            <w:noWrap w:val="0"/>
            <w:vAlign w:val="center"/>
          </w:tcPr>
          <w:p w14:paraId="06EBD468">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环境要素</w:t>
            </w:r>
          </w:p>
        </w:tc>
        <w:tc>
          <w:tcPr>
            <w:tcW w:w="1410" w:type="dxa"/>
            <w:noWrap w:val="0"/>
            <w:vAlign w:val="center"/>
          </w:tcPr>
          <w:p w14:paraId="64D0B555">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测点名称</w:t>
            </w:r>
          </w:p>
        </w:tc>
        <w:tc>
          <w:tcPr>
            <w:tcW w:w="1470" w:type="dxa"/>
            <w:noWrap w:val="0"/>
            <w:vAlign w:val="center"/>
          </w:tcPr>
          <w:p w14:paraId="1284E3CD">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监测方位</w:t>
            </w:r>
          </w:p>
        </w:tc>
        <w:tc>
          <w:tcPr>
            <w:tcW w:w="1665" w:type="dxa"/>
            <w:noWrap w:val="0"/>
            <w:vAlign w:val="center"/>
          </w:tcPr>
          <w:p w14:paraId="6146FE66">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监测项目</w:t>
            </w:r>
          </w:p>
        </w:tc>
        <w:tc>
          <w:tcPr>
            <w:tcW w:w="1430" w:type="dxa"/>
            <w:noWrap w:val="0"/>
            <w:vAlign w:val="center"/>
          </w:tcPr>
          <w:p w14:paraId="5A73CDD2">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监测设备</w:t>
            </w:r>
          </w:p>
        </w:tc>
        <w:tc>
          <w:tcPr>
            <w:tcW w:w="1320" w:type="dxa"/>
            <w:noWrap w:val="0"/>
            <w:vAlign w:val="center"/>
          </w:tcPr>
          <w:p w14:paraId="03C2042D">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监测频次</w:t>
            </w:r>
          </w:p>
        </w:tc>
        <w:tc>
          <w:tcPr>
            <w:tcW w:w="1230" w:type="dxa"/>
            <w:noWrap w:val="0"/>
            <w:vAlign w:val="center"/>
          </w:tcPr>
          <w:p w14:paraId="11963A16">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备注</w:t>
            </w:r>
          </w:p>
        </w:tc>
      </w:tr>
      <w:tr w14:paraId="589E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915" w:type="dxa"/>
            <w:vMerge w:val="restart"/>
            <w:noWrap w:val="0"/>
            <w:vAlign w:val="center"/>
          </w:tcPr>
          <w:p w14:paraId="0257F789">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eastAsia="zh-CN"/>
              </w:rPr>
              <w:t>环境空气</w:t>
            </w:r>
          </w:p>
        </w:tc>
        <w:tc>
          <w:tcPr>
            <w:tcW w:w="1410" w:type="dxa"/>
            <w:noWrap w:val="0"/>
            <w:vAlign w:val="center"/>
          </w:tcPr>
          <w:p w14:paraId="351DD446">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事故点为中心，</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当时风向的下风向</w:t>
            </w:r>
          </w:p>
        </w:tc>
        <w:tc>
          <w:tcPr>
            <w:tcW w:w="1470" w:type="dxa"/>
            <w:noWrap w:val="0"/>
            <w:vAlign w:val="center"/>
          </w:tcPr>
          <w:p w14:paraId="1EC0BE8E">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每隔</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1</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00m布设一个监控点，共布设3个</w:t>
            </w:r>
          </w:p>
        </w:tc>
        <w:tc>
          <w:tcPr>
            <w:tcW w:w="1665" w:type="dxa"/>
            <w:vMerge w:val="restart"/>
            <w:noWrap w:val="0"/>
            <w:vAlign w:val="center"/>
          </w:tcPr>
          <w:p w14:paraId="5AF2BB52">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发生火灾、</w:t>
            </w:r>
            <w:r>
              <w:rPr>
                <w:rFonts w:hint="default" w:ascii="Times New Roman" w:hAnsi="Times New Roman" w:eastAsia="宋体" w:cs="Times New Roman"/>
                <w:caps w:val="0"/>
                <w:smallCaps w:val="0"/>
                <w:color w:val="auto"/>
                <w:spacing w:val="0"/>
                <w:position w:val="0"/>
                <w:sz w:val="21"/>
                <w:szCs w:val="21"/>
                <w:highlight w:val="none"/>
                <w:lang w:eastAsia="zh-CN"/>
              </w:rPr>
              <w:t>爆炸、泄漏</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事故时监测</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挥发性有机物</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、HCL、</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氮氧化物、</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甲苯</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、CO</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等</w:t>
            </w:r>
          </w:p>
        </w:tc>
        <w:tc>
          <w:tcPr>
            <w:tcW w:w="1430" w:type="dxa"/>
            <w:vMerge w:val="restart"/>
            <w:noWrap w:val="0"/>
            <w:vAlign w:val="center"/>
          </w:tcPr>
          <w:p w14:paraId="3C2C5960">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eastAsia="zh-CN"/>
              </w:rPr>
              <w:t>便携式气体检测仪</w:t>
            </w:r>
            <w:r>
              <w:rPr>
                <w:rFonts w:hint="eastAsia" w:ascii="Times New Roman" w:hAnsi="Times New Roman" w:cs="Times New Roman"/>
                <w:caps w:val="0"/>
                <w:smallCaps w:val="0"/>
                <w:color w:val="auto"/>
                <w:spacing w:val="0"/>
                <w:position w:val="0"/>
                <w:sz w:val="21"/>
                <w:szCs w:val="21"/>
                <w:highlight w:val="none"/>
                <w:lang w:val="en-US" w:eastAsia="zh-CN"/>
              </w:rPr>
              <w:t>/ FID氢火焰监测</w:t>
            </w:r>
            <w:r>
              <w:rPr>
                <w:rFonts w:hint="eastAsia" w:ascii="Times New Roman" w:hAnsi="Times New Roman" w:cs="Times New Roman"/>
                <w:caps w:val="0"/>
                <w:smallCaps w:val="0"/>
                <w:color w:val="auto"/>
                <w:spacing w:val="0"/>
                <w:position w:val="0"/>
                <w:sz w:val="21"/>
                <w:szCs w:val="21"/>
                <w:highlight w:val="none"/>
                <w:lang w:eastAsia="zh-CN"/>
              </w:rPr>
              <w:t>仪</w:t>
            </w:r>
          </w:p>
        </w:tc>
        <w:tc>
          <w:tcPr>
            <w:tcW w:w="1320" w:type="dxa"/>
            <w:vMerge w:val="restart"/>
            <w:noWrap w:val="0"/>
            <w:vAlign w:val="center"/>
          </w:tcPr>
          <w:p w14:paraId="792851CE">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10min监测一次，随事故控制减弱</w:t>
            </w:r>
          </w:p>
        </w:tc>
        <w:tc>
          <w:tcPr>
            <w:tcW w:w="1230" w:type="dxa"/>
            <w:vMerge w:val="restart"/>
            <w:noWrap w:val="0"/>
            <w:vAlign w:val="center"/>
          </w:tcPr>
          <w:p w14:paraId="1ACD0478">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sz w:val="21"/>
                <w:szCs w:val="21"/>
              </w:rPr>
              <w:t>委托第三方监测单位进行监测</w:t>
            </w:r>
          </w:p>
        </w:tc>
      </w:tr>
      <w:tr w14:paraId="70BA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915" w:type="dxa"/>
            <w:vMerge w:val="continue"/>
            <w:noWrap w:val="0"/>
            <w:vAlign w:val="center"/>
          </w:tcPr>
          <w:p w14:paraId="5B12F52E">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p>
        </w:tc>
        <w:tc>
          <w:tcPr>
            <w:tcW w:w="1410" w:type="dxa"/>
            <w:noWrap w:val="0"/>
            <w:vAlign w:val="center"/>
          </w:tcPr>
          <w:p w14:paraId="3B0C2D7E">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事故点为中心，</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当时风向的</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上风向</w:t>
            </w:r>
          </w:p>
        </w:tc>
        <w:tc>
          <w:tcPr>
            <w:tcW w:w="1470" w:type="dxa"/>
            <w:noWrap w:val="0"/>
            <w:vAlign w:val="center"/>
          </w:tcPr>
          <w:p w14:paraId="6F14111D">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两侧各布设一个监控点，共布设两个</w:t>
            </w:r>
          </w:p>
        </w:tc>
        <w:tc>
          <w:tcPr>
            <w:tcW w:w="1665" w:type="dxa"/>
            <w:vMerge w:val="continue"/>
            <w:noWrap w:val="0"/>
            <w:vAlign w:val="center"/>
          </w:tcPr>
          <w:p w14:paraId="72151943">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p>
        </w:tc>
        <w:tc>
          <w:tcPr>
            <w:tcW w:w="1430" w:type="dxa"/>
            <w:vMerge w:val="continue"/>
            <w:noWrap w:val="0"/>
            <w:vAlign w:val="center"/>
          </w:tcPr>
          <w:p w14:paraId="3BD9B4F6">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c>
          <w:tcPr>
            <w:tcW w:w="1320" w:type="dxa"/>
            <w:vMerge w:val="continue"/>
            <w:noWrap w:val="0"/>
            <w:vAlign w:val="center"/>
          </w:tcPr>
          <w:p w14:paraId="1B0B4CD8">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c>
          <w:tcPr>
            <w:tcW w:w="1230" w:type="dxa"/>
            <w:vMerge w:val="continue"/>
            <w:noWrap w:val="0"/>
            <w:vAlign w:val="center"/>
          </w:tcPr>
          <w:p w14:paraId="077A0A01">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r>
      <w:tr w14:paraId="5E44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5" w:type="dxa"/>
            <w:noWrap w:val="0"/>
            <w:vAlign w:val="center"/>
          </w:tcPr>
          <w:p w14:paraId="5E929575">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地表水</w:t>
            </w:r>
          </w:p>
        </w:tc>
        <w:tc>
          <w:tcPr>
            <w:tcW w:w="2880" w:type="dxa"/>
            <w:gridSpan w:val="2"/>
            <w:noWrap w:val="0"/>
            <w:vAlign w:val="center"/>
          </w:tcPr>
          <w:p w14:paraId="0EA8CC64">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上游清洁段，事故点及下游</w:t>
            </w:r>
          </w:p>
        </w:tc>
        <w:tc>
          <w:tcPr>
            <w:tcW w:w="1665" w:type="dxa"/>
            <w:noWrap w:val="0"/>
            <w:vAlign w:val="center"/>
          </w:tcPr>
          <w:p w14:paraId="06DDED5B">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pH、SS、COD、氨氮等</w:t>
            </w:r>
          </w:p>
        </w:tc>
        <w:tc>
          <w:tcPr>
            <w:tcW w:w="1430" w:type="dxa"/>
            <w:noWrap w:val="0"/>
            <w:vAlign w:val="center"/>
          </w:tcPr>
          <w:p w14:paraId="5DD38468">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便携式水质分析仪</w:t>
            </w:r>
          </w:p>
        </w:tc>
        <w:tc>
          <w:tcPr>
            <w:tcW w:w="1320" w:type="dxa"/>
            <w:noWrap w:val="0"/>
            <w:vAlign w:val="center"/>
          </w:tcPr>
          <w:p w14:paraId="5C8C903E">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1小时监测一次，随事故控制减弱</w:t>
            </w:r>
          </w:p>
        </w:tc>
        <w:tc>
          <w:tcPr>
            <w:tcW w:w="1230" w:type="dxa"/>
            <w:noWrap w:val="0"/>
            <w:vAlign w:val="center"/>
          </w:tcPr>
          <w:p w14:paraId="5E4B116F">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r>
              <w:rPr>
                <w:rFonts w:hint="default" w:ascii="Times New Roman" w:hAnsi="Times New Roman" w:eastAsia="宋体" w:cs="Times New Roman"/>
                <w:caps w:val="0"/>
                <w:smallCaps w:val="0"/>
                <w:color w:val="auto"/>
                <w:spacing w:val="0"/>
                <w:position w:val="0"/>
                <w:sz w:val="21"/>
                <w:szCs w:val="21"/>
                <w:highlight w:val="none"/>
              </w:rPr>
              <w:t>委托第三方监测单位进行监测</w:t>
            </w:r>
          </w:p>
        </w:tc>
      </w:tr>
      <w:tr w14:paraId="070D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915" w:type="dxa"/>
            <w:noWrap w:val="0"/>
            <w:vAlign w:val="center"/>
          </w:tcPr>
          <w:p w14:paraId="7FA08E70">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土壤地下水</w:t>
            </w:r>
          </w:p>
        </w:tc>
        <w:tc>
          <w:tcPr>
            <w:tcW w:w="2880" w:type="dxa"/>
            <w:gridSpan w:val="2"/>
            <w:noWrap w:val="0"/>
            <w:vAlign w:val="center"/>
          </w:tcPr>
          <w:p w14:paraId="217F83F6">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val="en-US" w:eastAsia="zh-CN"/>
              </w:rPr>
              <w:t>1个对照点，3个控制点</w:t>
            </w:r>
          </w:p>
        </w:tc>
        <w:tc>
          <w:tcPr>
            <w:tcW w:w="1665" w:type="dxa"/>
            <w:noWrap w:val="0"/>
            <w:vAlign w:val="center"/>
          </w:tcPr>
          <w:p w14:paraId="59E6901B">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val="en-US" w:eastAsia="zh-CN"/>
              </w:rPr>
              <w:t>PH、石油烃、甲苯、苯胺类</w:t>
            </w:r>
          </w:p>
        </w:tc>
        <w:tc>
          <w:tcPr>
            <w:tcW w:w="1430" w:type="dxa"/>
            <w:noWrap w:val="0"/>
            <w:vAlign w:val="center"/>
          </w:tcPr>
          <w:p w14:paraId="77E0E8C3">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三合一土壤检测仪，水质分析仪</w:t>
            </w:r>
          </w:p>
        </w:tc>
        <w:tc>
          <w:tcPr>
            <w:tcW w:w="1320" w:type="dxa"/>
            <w:noWrap w:val="0"/>
            <w:vAlign w:val="center"/>
          </w:tcPr>
          <w:p w14:paraId="77614814">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1小时监测一次，随事故控制减弱</w:t>
            </w:r>
          </w:p>
        </w:tc>
        <w:tc>
          <w:tcPr>
            <w:tcW w:w="1230" w:type="dxa"/>
            <w:noWrap w:val="0"/>
            <w:vAlign w:val="center"/>
          </w:tcPr>
          <w:p w14:paraId="25DDB657">
            <w:pPr>
              <w:pStyle w:val="112"/>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snapToGrid w:val="0"/>
                <w:color w:val="auto"/>
                <w:spacing w:val="0"/>
                <w:kern w:val="21"/>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rPr>
              <w:t>委托第三方监测单位进行监测</w:t>
            </w:r>
          </w:p>
        </w:tc>
      </w:tr>
    </w:tbl>
    <w:p w14:paraId="4A941E5F">
      <w:pPr>
        <w:rPr>
          <w:rFonts w:hint="default"/>
          <w:lang w:val="en-US" w:eastAsia="zh-CN"/>
        </w:rPr>
      </w:pPr>
    </w:p>
    <w:p w14:paraId="045702CA">
      <w:pPr>
        <w:outlineLvl w:val="9"/>
        <w:rPr>
          <w:b w:val="0"/>
          <w:bCs w:val="0"/>
          <w:color w:val="000000" w:themeColor="text1"/>
          <w:sz w:val="24"/>
          <w:szCs w:val="24"/>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6、</w:t>
      </w:r>
      <w:r>
        <w:rPr>
          <w:b w:val="0"/>
          <w:bCs w:val="0"/>
          <w:color w:val="000000" w:themeColor="text1"/>
          <w:sz w:val="24"/>
          <w:szCs w:val="24"/>
          <w14:textFill>
            <w14:solidFill>
              <w14:schemeClr w14:val="tx1"/>
            </w14:solidFill>
          </w14:textFill>
        </w:rPr>
        <w:t>毒性、易燃气体泄漏紧急处置装置</w:t>
      </w:r>
    </w:p>
    <w:p w14:paraId="6E841066">
      <w:pPr>
        <w:overflowPunct w:val="0"/>
        <w:spacing w:line="360" w:lineRule="auto"/>
        <w:ind w:firstLine="420" w:firstLineChars="200"/>
        <w:rPr>
          <w:color w:val="000000" w:themeColor="text1"/>
          <w:sz w:val="24"/>
          <w:szCs w:val="24"/>
          <w14:textFill>
            <w14:solidFill>
              <w14:schemeClr w14:val="tx1"/>
            </w14:solidFill>
          </w14:textFill>
        </w:rPr>
      </w:pPr>
      <w:r>
        <w:rPr>
          <w:rFonts w:hint="eastAsia"/>
          <w:color w:val="000000" w:themeColor="text1"/>
          <w14:textFill>
            <w14:solidFill>
              <w14:schemeClr w14:val="tx1"/>
            </w14:solidFill>
          </w14:textFill>
        </w:rPr>
        <w:t>（</w:t>
      </w:r>
      <w:r>
        <w:rPr>
          <w:color w:val="000000" w:themeColor="text1"/>
          <w:sz w:val="24"/>
          <w:szCs w:val="24"/>
          <w14:textFill>
            <w14:solidFill>
              <w14:schemeClr w14:val="tx1"/>
            </w14:solidFill>
          </w14:textFill>
        </w:rPr>
        <w:t>1）</w:t>
      </w:r>
      <w:r>
        <w:rPr>
          <w:rFonts w:hint="eastAsia"/>
          <w:color w:val="000000" w:themeColor="text1"/>
          <w:sz w:val="24"/>
          <w:szCs w:val="24"/>
          <w14:textFill>
            <w14:solidFill>
              <w14:schemeClr w14:val="tx1"/>
            </w14:solidFill>
          </w14:textFill>
        </w:rPr>
        <w:t>公司配备可燃气体报警仪、有毒气体报警仪、火灾报警系统以及便携式检测仪，在事故状态下检测污染物浓度。</w:t>
      </w:r>
    </w:p>
    <w:p w14:paraId="20DABF58">
      <w:pPr>
        <w:overflowPunct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2）发生突发环境事件，立即启动公司应急预案，应急救援组织机构中技术组协助指挥部做好事件报警、通报及处置工作；向周边企业、村落提供本单位有关危险物质特性、应急救援、救援知识等；疏散组根据现场情况判断是否需要人员紧急疏散和抢救物资，如需紧急疏散须及时规定疏散路线和疏散路口；并及时协助厂内员工和周围人员及居民的紧急疏散工作。</w:t>
      </w:r>
    </w:p>
    <w:p w14:paraId="6B68A18A">
      <w:pPr>
        <w:pStyle w:val="128"/>
        <w:spacing w:before="72" w:after="48"/>
        <w:rPr>
          <w:rFonts w:hint="eastAsia" w:ascii="宋体" w:hAnsi="宋体" w:eastAsia="宋体" w:cs="宋体"/>
          <w:color w:val="000000" w:themeColor="text1"/>
          <w:sz w:val="24"/>
          <w:szCs w:val="24"/>
          <w14:textFill>
            <w14:solidFill>
              <w14:schemeClr w14:val="tx1"/>
            </w14:solidFill>
          </w14:textFill>
        </w:rPr>
      </w:pPr>
      <w:r>
        <w:rPr>
          <w:rFonts w:hint="default" w:ascii="Times New Roman" w:hAnsi="Times New Roman" w:eastAsia="宋体" w:cs="Times New Roman"/>
          <w:b/>
          <w:bCs/>
          <w:color w:val="auto"/>
          <w:kern w:val="36"/>
          <w:sz w:val="24"/>
          <w:szCs w:val="24"/>
          <w:highlight w:val="none"/>
          <w:lang w:val="en-US" w:eastAsia="zh-CN" w:bidi="ar-SA"/>
        </w:rPr>
        <w:t>表</w:t>
      </w:r>
      <w:r>
        <w:rPr>
          <w:rFonts w:hint="default" w:ascii="Times New Roman" w:hAnsi="Times New Roman" w:cs="Times New Roman"/>
          <w:b/>
          <w:bCs/>
          <w:color w:val="auto"/>
          <w:kern w:val="36"/>
          <w:sz w:val="24"/>
          <w:szCs w:val="24"/>
          <w:highlight w:val="none"/>
          <w:lang w:val="en-US" w:eastAsia="zh-CN" w:bidi="ar-SA"/>
        </w:rPr>
        <w:t>3.6-</w:t>
      </w:r>
      <w:r>
        <w:rPr>
          <w:rFonts w:hint="eastAsia" w:ascii="Times New Roman" w:hAnsi="Times New Roman" w:cs="Times New Roman"/>
          <w:b/>
          <w:bCs/>
          <w:color w:val="auto"/>
          <w:kern w:val="36"/>
          <w:sz w:val="24"/>
          <w:szCs w:val="24"/>
          <w:highlight w:val="none"/>
          <w:lang w:val="en-US" w:eastAsia="zh-CN" w:bidi="ar-SA"/>
        </w:rPr>
        <w:t>3</w:t>
      </w:r>
      <w:r>
        <w:rPr>
          <w:rFonts w:hint="default" w:ascii="Times New Roman" w:hAnsi="Times New Roman" w:eastAsia="宋体" w:cs="Times New Roman"/>
          <w:b/>
          <w:bCs/>
          <w:color w:val="auto"/>
          <w:kern w:val="36"/>
          <w:sz w:val="24"/>
          <w:szCs w:val="24"/>
          <w:highlight w:val="none"/>
          <w:lang w:val="en-US" w:eastAsia="zh-CN" w:bidi="ar-SA"/>
        </w:rPr>
        <w:t xml:space="preserve"> </w:t>
      </w:r>
      <w:r>
        <w:rPr>
          <w:rFonts w:hint="eastAsia" w:ascii="宋体" w:hAnsi="宋体" w:eastAsia="宋体" w:cs="宋体"/>
          <w:color w:val="000000" w:themeColor="text1"/>
          <w:sz w:val="24"/>
          <w:szCs w:val="24"/>
          <w14:textFill>
            <w14:solidFill>
              <w14:schemeClr w14:val="tx1"/>
            </w14:solidFill>
          </w14:textFill>
        </w:rPr>
        <w:t>厂区易燃气体报警系统建设情况一览表</w:t>
      </w:r>
    </w:p>
    <w:tbl>
      <w:tblPr>
        <w:tblStyle w:val="34"/>
        <w:tblW w:w="495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68"/>
        <w:gridCol w:w="1790"/>
        <w:gridCol w:w="695"/>
        <w:gridCol w:w="1725"/>
        <w:gridCol w:w="1120"/>
        <w:gridCol w:w="1730"/>
      </w:tblGrid>
      <w:tr w14:paraId="40195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15" w:type="pct"/>
            <w:noWrap w:val="0"/>
            <w:vAlign w:val="center"/>
          </w:tcPr>
          <w:p w14:paraId="64293390">
            <w:pPr>
              <w:pStyle w:val="127"/>
              <w:keepNext w:val="0"/>
              <w:keepLines w:val="0"/>
              <w:widowControl/>
              <w:suppressLineNumbers w:val="0"/>
              <w:spacing w:before="0" w:beforeAutospacing="0" w:after="0" w:afterAutospacing="0"/>
              <w:ind w:left="0" w:right="0"/>
              <w:rPr>
                <w:rFonts w:hint="default"/>
              </w:rPr>
            </w:pPr>
            <w:r>
              <w:rPr>
                <w:rFonts w:hint="eastAsia"/>
              </w:rPr>
              <w:t>物资名称</w:t>
            </w:r>
          </w:p>
        </w:tc>
        <w:tc>
          <w:tcPr>
            <w:tcW w:w="959" w:type="pct"/>
            <w:noWrap w:val="0"/>
            <w:vAlign w:val="center"/>
          </w:tcPr>
          <w:p w14:paraId="6A6C64A2">
            <w:pPr>
              <w:pStyle w:val="127"/>
              <w:keepNext w:val="0"/>
              <w:keepLines w:val="0"/>
              <w:widowControl/>
              <w:suppressLineNumbers w:val="0"/>
              <w:spacing w:before="0" w:beforeAutospacing="0" w:after="0" w:afterAutospacing="0"/>
              <w:ind w:left="0" w:right="0"/>
              <w:rPr>
                <w:rFonts w:hint="default"/>
              </w:rPr>
            </w:pPr>
            <w:r>
              <w:rPr>
                <w:rFonts w:hint="default"/>
              </w:rPr>
              <w:t>规格型号</w:t>
            </w:r>
          </w:p>
        </w:tc>
        <w:tc>
          <w:tcPr>
            <w:tcW w:w="372" w:type="pct"/>
            <w:noWrap w:val="0"/>
            <w:vAlign w:val="center"/>
          </w:tcPr>
          <w:p w14:paraId="62377683">
            <w:pPr>
              <w:pStyle w:val="127"/>
              <w:keepNext w:val="0"/>
              <w:keepLines w:val="0"/>
              <w:widowControl/>
              <w:suppressLineNumbers w:val="0"/>
              <w:spacing w:before="0" w:beforeAutospacing="0" w:after="0" w:afterAutospacing="0"/>
              <w:ind w:left="0" w:right="0"/>
              <w:rPr>
                <w:rFonts w:hint="default"/>
              </w:rPr>
            </w:pPr>
            <w:r>
              <w:rPr>
                <w:rFonts w:hint="default"/>
              </w:rPr>
              <w:t>数量</w:t>
            </w:r>
          </w:p>
        </w:tc>
        <w:tc>
          <w:tcPr>
            <w:tcW w:w="924" w:type="pct"/>
            <w:noWrap w:val="0"/>
            <w:vAlign w:val="center"/>
          </w:tcPr>
          <w:p w14:paraId="1278CA63">
            <w:pPr>
              <w:pStyle w:val="127"/>
              <w:keepNext w:val="0"/>
              <w:keepLines w:val="0"/>
              <w:widowControl/>
              <w:suppressLineNumbers w:val="0"/>
              <w:spacing w:before="0" w:beforeAutospacing="0" w:after="0" w:afterAutospacing="0"/>
              <w:ind w:left="0" w:right="0"/>
              <w:rPr>
                <w:rFonts w:hint="default"/>
              </w:rPr>
            </w:pPr>
            <w:r>
              <w:rPr>
                <w:rFonts w:hint="default"/>
              </w:rPr>
              <w:t>存放位置</w:t>
            </w:r>
          </w:p>
        </w:tc>
        <w:tc>
          <w:tcPr>
            <w:tcW w:w="600" w:type="pct"/>
            <w:noWrap w:val="0"/>
            <w:vAlign w:val="center"/>
          </w:tcPr>
          <w:p w14:paraId="040E4F5B">
            <w:pPr>
              <w:pStyle w:val="127"/>
              <w:keepNext w:val="0"/>
              <w:keepLines w:val="0"/>
              <w:widowControl/>
              <w:suppressLineNumbers w:val="0"/>
              <w:spacing w:before="0" w:beforeAutospacing="0" w:after="0" w:afterAutospacing="0"/>
              <w:ind w:left="0" w:right="0"/>
              <w:rPr>
                <w:rFonts w:hint="default"/>
              </w:rPr>
            </w:pPr>
            <w:r>
              <w:rPr>
                <w:rFonts w:hint="default"/>
              </w:rPr>
              <w:t>责任人</w:t>
            </w:r>
          </w:p>
        </w:tc>
        <w:tc>
          <w:tcPr>
            <w:tcW w:w="926" w:type="pct"/>
            <w:noWrap w:val="0"/>
            <w:vAlign w:val="center"/>
          </w:tcPr>
          <w:p w14:paraId="0C420B39">
            <w:pPr>
              <w:pStyle w:val="127"/>
              <w:keepNext w:val="0"/>
              <w:keepLines w:val="0"/>
              <w:widowControl/>
              <w:suppressLineNumbers w:val="0"/>
              <w:spacing w:before="0" w:beforeAutospacing="0" w:after="0" w:afterAutospacing="0"/>
              <w:ind w:left="0" w:right="0"/>
              <w:rPr>
                <w:rFonts w:hint="default"/>
              </w:rPr>
            </w:pPr>
            <w:r>
              <w:rPr>
                <w:rFonts w:hint="default"/>
              </w:rPr>
              <w:t>联系电话</w:t>
            </w:r>
          </w:p>
        </w:tc>
      </w:tr>
      <w:tr w14:paraId="6EF1B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15" w:type="pct"/>
            <w:vMerge w:val="restart"/>
            <w:noWrap w:val="0"/>
            <w:vAlign w:val="center"/>
          </w:tcPr>
          <w:p w14:paraId="7D75CD94">
            <w:pPr>
              <w:pStyle w:val="127"/>
              <w:keepNext w:val="0"/>
              <w:keepLines w:val="0"/>
              <w:widowControl/>
              <w:suppressLineNumbers w:val="0"/>
              <w:spacing w:before="0" w:beforeAutospacing="0" w:after="0" w:afterAutospacing="0"/>
              <w:ind w:left="0" w:right="0"/>
              <w:jc w:val="center"/>
              <w:rPr>
                <w:rFonts w:hint="default"/>
              </w:rPr>
            </w:pPr>
            <w:r>
              <w:rPr>
                <w:rFonts w:hint="default"/>
              </w:rPr>
              <w:t>可燃气体报警器</w:t>
            </w:r>
          </w:p>
          <w:p w14:paraId="77EF882B">
            <w:pPr>
              <w:pStyle w:val="127"/>
              <w:keepNext w:val="0"/>
              <w:keepLines w:val="0"/>
              <w:widowControl/>
              <w:suppressLineNumbers w:val="0"/>
              <w:spacing w:before="0" w:beforeAutospacing="0" w:after="0" w:afterAutospacing="0"/>
              <w:ind w:left="0" w:right="0"/>
              <w:jc w:val="center"/>
              <w:rPr>
                <w:rFonts w:hint="default"/>
              </w:rPr>
            </w:pPr>
          </w:p>
        </w:tc>
        <w:tc>
          <w:tcPr>
            <w:tcW w:w="959" w:type="pct"/>
            <w:noWrap w:val="0"/>
            <w:vAlign w:val="center"/>
          </w:tcPr>
          <w:p w14:paraId="4CDAB0E7">
            <w:pPr>
              <w:pStyle w:val="127"/>
              <w:keepNext w:val="0"/>
              <w:keepLines w:val="0"/>
              <w:widowControl/>
              <w:suppressLineNumbers w:val="0"/>
              <w:spacing w:before="0" w:beforeAutospacing="0" w:after="0" w:afterAutospacing="0"/>
              <w:ind w:left="0" w:right="0"/>
              <w:jc w:val="center"/>
              <w:rPr>
                <w:rFonts w:hint="default" w:eastAsia="宋体"/>
                <w:lang w:val="en-US" w:eastAsia="zh-CN"/>
              </w:rPr>
            </w:pPr>
            <w:r>
              <w:rPr>
                <w:rFonts w:hint="eastAsia"/>
                <w:lang w:val="en-US" w:eastAsia="zh-CN"/>
              </w:rPr>
              <w:t>QD6310</w:t>
            </w:r>
          </w:p>
        </w:tc>
        <w:tc>
          <w:tcPr>
            <w:tcW w:w="372" w:type="pct"/>
            <w:noWrap w:val="0"/>
            <w:vAlign w:val="center"/>
          </w:tcPr>
          <w:p w14:paraId="01BC5723">
            <w:pPr>
              <w:pStyle w:val="127"/>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33</w:t>
            </w:r>
          </w:p>
        </w:tc>
        <w:tc>
          <w:tcPr>
            <w:tcW w:w="924" w:type="pct"/>
            <w:noWrap w:val="0"/>
            <w:vAlign w:val="center"/>
          </w:tcPr>
          <w:p w14:paraId="0E3F3AF2">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转位、还原、分离</w:t>
            </w:r>
          </w:p>
        </w:tc>
        <w:tc>
          <w:tcPr>
            <w:tcW w:w="600" w:type="pct"/>
            <w:noWrap w:val="0"/>
            <w:vAlign w:val="center"/>
          </w:tcPr>
          <w:p w14:paraId="29E758B6">
            <w:pPr>
              <w:pStyle w:val="127"/>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王洪全</w:t>
            </w:r>
          </w:p>
        </w:tc>
        <w:tc>
          <w:tcPr>
            <w:tcW w:w="926" w:type="pct"/>
            <w:noWrap w:val="0"/>
            <w:vAlign w:val="center"/>
          </w:tcPr>
          <w:p w14:paraId="3EA773EF">
            <w:pPr>
              <w:pStyle w:val="127"/>
              <w:keepNext w:val="0"/>
              <w:keepLines w:val="0"/>
              <w:widowControl/>
              <w:suppressLineNumbers w:val="0"/>
              <w:spacing w:before="0" w:beforeAutospacing="0" w:after="0" w:afterAutospacing="0"/>
              <w:ind w:left="0" w:right="0" w:firstLine="210" w:firstLineChars="100"/>
              <w:jc w:val="both"/>
              <w:rPr>
                <w:rFonts w:hint="default"/>
              </w:rPr>
            </w:pPr>
            <w:r>
              <w:rPr>
                <w:rFonts w:hint="eastAsia"/>
              </w:rPr>
              <w:t>15169276836</w:t>
            </w:r>
          </w:p>
        </w:tc>
      </w:tr>
      <w:tr w14:paraId="0DAD5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15" w:type="pct"/>
            <w:vMerge w:val="continue"/>
            <w:noWrap w:val="0"/>
            <w:vAlign w:val="center"/>
          </w:tcPr>
          <w:p w14:paraId="3E60224B">
            <w:pPr>
              <w:pStyle w:val="127"/>
              <w:keepNext w:val="0"/>
              <w:keepLines w:val="0"/>
              <w:widowControl/>
              <w:suppressLineNumbers w:val="0"/>
              <w:spacing w:before="0" w:beforeAutospacing="0" w:after="0" w:afterAutospacing="0"/>
              <w:ind w:left="0" w:right="0"/>
              <w:jc w:val="center"/>
              <w:rPr>
                <w:rFonts w:hint="default"/>
              </w:rPr>
            </w:pPr>
          </w:p>
        </w:tc>
        <w:tc>
          <w:tcPr>
            <w:tcW w:w="959" w:type="pct"/>
            <w:noWrap w:val="0"/>
            <w:vAlign w:val="center"/>
          </w:tcPr>
          <w:p w14:paraId="45DD92DA">
            <w:pPr>
              <w:pStyle w:val="127"/>
              <w:keepNext w:val="0"/>
              <w:keepLines w:val="0"/>
              <w:widowControl/>
              <w:suppressLineNumbers w:val="0"/>
              <w:spacing w:before="0" w:beforeAutospacing="0" w:after="0" w:afterAutospacing="0"/>
              <w:ind w:left="0" w:right="0"/>
              <w:jc w:val="center"/>
              <w:rPr>
                <w:rFonts w:hint="default" w:eastAsia="宋体"/>
                <w:lang w:val="en-US" w:eastAsia="zh-CN"/>
              </w:rPr>
            </w:pPr>
            <w:r>
              <w:rPr>
                <w:rFonts w:hint="eastAsia"/>
                <w:lang w:val="en-US" w:eastAsia="zh-CN"/>
              </w:rPr>
              <w:t>KX6331</w:t>
            </w:r>
          </w:p>
        </w:tc>
        <w:tc>
          <w:tcPr>
            <w:tcW w:w="372" w:type="pct"/>
            <w:noWrap w:val="0"/>
            <w:vAlign w:val="center"/>
          </w:tcPr>
          <w:p w14:paraId="5944115A">
            <w:pPr>
              <w:pStyle w:val="127"/>
              <w:keepNext w:val="0"/>
              <w:keepLines w:val="0"/>
              <w:widowControl/>
              <w:suppressLineNumbers w:val="0"/>
              <w:spacing w:before="0" w:beforeAutospacing="0" w:after="0" w:afterAutospacing="0"/>
              <w:ind w:left="0" w:right="0"/>
              <w:rPr>
                <w:rFonts w:hint="eastAsia" w:eastAsia="宋体"/>
                <w:lang w:val="en-US" w:eastAsia="zh-CN"/>
              </w:rPr>
            </w:pPr>
            <w:r>
              <w:rPr>
                <w:rFonts w:hint="eastAsia"/>
                <w:lang w:val="en-US" w:eastAsia="zh-CN"/>
              </w:rPr>
              <w:t>1</w:t>
            </w:r>
          </w:p>
        </w:tc>
        <w:tc>
          <w:tcPr>
            <w:tcW w:w="924" w:type="pct"/>
            <w:noWrap w:val="0"/>
            <w:vAlign w:val="center"/>
          </w:tcPr>
          <w:p w14:paraId="19F45A5F">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转位高位槽</w:t>
            </w:r>
          </w:p>
        </w:tc>
        <w:tc>
          <w:tcPr>
            <w:tcW w:w="600" w:type="pct"/>
            <w:noWrap w:val="0"/>
            <w:vAlign w:val="center"/>
          </w:tcPr>
          <w:p w14:paraId="5673C5C2">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杨化村</w:t>
            </w:r>
          </w:p>
        </w:tc>
        <w:tc>
          <w:tcPr>
            <w:tcW w:w="926" w:type="pct"/>
            <w:noWrap w:val="0"/>
            <w:vAlign w:val="center"/>
          </w:tcPr>
          <w:p w14:paraId="3D45597B">
            <w:pPr>
              <w:pStyle w:val="127"/>
              <w:keepNext w:val="0"/>
              <w:keepLines w:val="0"/>
              <w:widowControl/>
              <w:suppressLineNumbers w:val="0"/>
              <w:spacing w:before="0" w:beforeAutospacing="0" w:after="0" w:afterAutospacing="0"/>
              <w:ind w:left="0" w:right="0" w:firstLine="210" w:firstLineChars="100"/>
              <w:jc w:val="both"/>
              <w:rPr>
                <w:rFonts w:hint="default" w:eastAsia="宋体"/>
                <w:lang w:val="en-US" w:eastAsia="zh-CN"/>
              </w:rPr>
            </w:pPr>
            <w:r>
              <w:rPr>
                <w:rFonts w:hint="eastAsia"/>
                <w:lang w:val="en-US" w:eastAsia="zh-CN"/>
              </w:rPr>
              <w:t>13176557816</w:t>
            </w:r>
          </w:p>
        </w:tc>
      </w:tr>
      <w:tr w14:paraId="6A1EA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15" w:type="pct"/>
            <w:vMerge w:val="continue"/>
            <w:noWrap w:val="0"/>
            <w:vAlign w:val="center"/>
          </w:tcPr>
          <w:p w14:paraId="23805AFE">
            <w:pPr>
              <w:pStyle w:val="127"/>
              <w:keepNext w:val="0"/>
              <w:keepLines w:val="0"/>
              <w:widowControl/>
              <w:suppressLineNumbers w:val="0"/>
              <w:spacing w:before="0" w:beforeAutospacing="0" w:after="0" w:afterAutospacing="0"/>
              <w:ind w:left="0" w:right="0"/>
              <w:jc w:val="center"/>
              <w:rPr>
                <w:rFonts w:hint="default"/>
              </w:rPr>
            </w:pPr>
          </w:p>
        </w:tc>
        <w:tc>
          <w:tcPr>
            <w:tcW w:w="959" w:type="pct"/>
            <w:noWrap w:val="0"/>
            <w:vAlign w:val="center"/>
          </w:tcPr>
          <w:p w14:paraId="4DDE13C2">
            <w:pPr>
              <w:pStyle w:val="127"/>
              <w:keepNext w:val="0"/>
              <w:keepLines w:val="0"/>
              <w:widowControl/>
              <w:suppressLineNumbers w:val="0"/>
              <w:spacing w:before="0" w:beforeAutospacing="0" w:after="0" w:afterAutospacing="0"/>
              <w:ind w:left="0" w:right="0"/>
              <w:jc w:val="center"/>
              <w:rPr>
                <w:rFonts w:hint="default"/>
                <w:lang w:val="en-US"/>
              </w:rPr>
            </w:pPr>
            <w:r>
              <w:rPr>
                <w:rFonts w:hint="eastAsia"/>
                <w:lang w:val="en-US" w:eastAsia="zh-CN"/>
              </w:rPr>
              <w:t>KX6330</w:t>
            </w:r>
          </w:p>
        </w:tc>
        <w:tc>
          <w:tcPr>
            <w:tcW w:w="372" w:type="pct"/>
            <w:noWrap w:val="0"/>
            <w:vAlign w:val="center"/>
          </w:tcPr>
          <w:p w14:paraId="6544E1F4">
            <w:pPr>
              <w:pStyle w:val="127"/>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25</w:t>
            </w:r>
          </w:p>
        </w:tc>
        <w:tc>
          <w:tcPr>
            <w:tcW w:w="924" w:type="pct"/>
            <w:noWrap w:val="0"/>
            <w:vAlign w:val="center"/>
          </w:tcPr>
          <w:p w14:paraId="0254521E">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还原、分离、加氢</w:t>
            </w:r>
          </w:p>
        </w:tc>
        <w:tc>
          <w:tcPr>
            <w:tcW w:w="600" w:type="pct"/>
            <w:noWrap w:val="0"/>
            <w:vAlign w:val="center"/>
          </w:tcPr>
          <w:p w14:paraId="077803A5">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崔永兴</w:t>
            </w:r>
          </w:p>
        </w:tc>
        <w:tc>
          <w:tcPr>
            <w:tcW w:w="926" w:type="pct"/>
            <w:noWrap w:val="0"/>
            <w:vAlign w:val="center"/>
          </w:tcPr>
          <w:p w14:paraId="1480036E">
            <w:pPr>
              <w:pStyle w:val="127"/>
              <w:keepNext w:val="0"/>
              <w:keepLines w:val="0"/>
              <w:widowControl/>
              <w:suppressLineNumbers w:val="0"/>
              <w:spacing w:before="0" w:beforeAutospacing="0" w:after="0" w:afterAutospacing="0"/>
              <w:ind w:left="0" w:right="0"/>
              <w:rPr>
                <w:rFonts w:hint="default" w:eastAsia="宋体"/>
                <w:lang w:val="en-US" w:eastAsia="zh-CN"/>
              </w:rPr>
            </w:pPr>
            <w:r>
              <w:rPr>
                <w:rFonts w:hint="eastAsia"/>
                <w:lang w:val="en-US" w:eastAsia="zh-CN"/>
              </w:rPr>
              <w:t>13864477183</w:t>
            </w:r>
          </w:p>
        </w:tc>
      </w:tr>
      <w:tr w14:paraId="5C66F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15" w:type="pct"/>
            <w:noWrap w:val="0"/>
            <w:vAlign w:val="center"/>
          </w:tcPr>
          <w:p w14:paraId="2ACB5FB4">
            <w:pPr>
              <w:pStyle w:val="127"/>
              <w:keepNext w:val="0"/>
              <w:keepLines w:val="0"/>
              <w:widowControl/>
              <w:suppressLineNumbers w:val="0"/>
              <w:spacing w:before="0" w:beforeAutospacing="0" w:after="0" w:afterAutospacing="0"/>
              <w:ind w:left="0" w:right="0"/>
              <w:jc w:val="center"/>
              <w:rPr>
                <w:rFonts w:hint="eastAsia" w:eastAsia="宋体"/>
                <w:lang w:eastAsia="zh-CN"/>
              </w:rPr>
            </w:pPr>
            <w:r>
              <w:rPr>
                <w:rFonts w:hint="eastAsia"/>
                <w:lang w:eastAsia="zh-CN"/>
              </w:rPr>
              <w:t>便携式可燃气体探测器</w:t>
            </w:r>
          </w:p>
        </w:tc>
        <w:tc>
          <w:tcPr>
            <w:tcW w:w="959" w:type="pct"/>
            <w:noWrap w:val="0"/>
            <w:vAlign w:val="center"/>
          </w:tcPr>
          <w:p w14:paraId="1273D0A4">
            <w:pPr>
              <w:pStyle w:val="127"/>
              <w:keepNext w:val="0"/>
              <w:keepLines w:val="0"/>
              <w:widowControl/>
              <w:suppressLineNumbers w:val="0"/>
              <w:spacing w:before="0" w:beforeAutospacing="0" w:after="0" w:afterAutospacing="0"/>
              <w:ind w:left="0" w:right="0"/>
              <w:jc w:val="center"/>
              <w:rPr>
                <w:rFonts w:hint="default"/>
                <w:lang w:val="en-US"/>
              </w:rPr>
            </w:pPr>
            <w:r>
              <w:rPr>
                <w:rFonts w:hint="eastAsia"/>
                <w:lang w:val="en-US" w:eastAsia="zh-CN"/>
              </w:rPr>
              <w:t>XP-3160</w:t>
            </w:r>
          </w:p>
        </w:tc>
        <w:tc>
          <w:tcPr>
            <w:tcW w:w="372" w:type="pct"/>
            <w:noWrap w:val="0"/>
            <w:vAlign w:val="center"/>
          </w:tcPr>
          <w:p w14:paraId="31F135F9">
            <w:pPr>
              <w:pStyle w:val="127"/>
              <w:keepNext w:val="0"/>
              <w:keepLines w:val="0"/>
              <w:widowControl/>
              <w:suppressLineNumbers w:val="0"/>
              <w:spacing w:before="0" w:beforeAutospacing="0" w:after="0" w:afterAutospacing="0"/>
              <w:ind w:left="0" w:right="0"/>
              <w:rPr>
                <w:rFonts w:hint="default"/>
              </w:rPr>
            </w:pPr>
            <w:r>
              <w:rPr>
                <w:rFonts w:hint="default"/>
              </w:rPr>
              <w:t>1</w:t>
            </w:r>
          </w:p>
        </w:tc>
        <w:tc>
          <w:tcPr>
            <w:tcW w:w="924" w:type="pct"/>
            <w:noWrap w:val="0"/>
            <w:vAlign w:val="center"/>
          </w:tcPr>
          <w:p w14:paraId="67962B75">
            <w:pPr>
              <w:pStyle w:val="127"/>
              <w:keepNext w:val="0"/>
              <w:keepLines w:val="0"/>
              <w:widowControl/>
              <w:suppressLineNumbers w:val="0"/>
              <w:spacing w:before="0" w:beforeAutospacing="0" w:after="0" w:afterAutospacing="0"/>
              <w:ind w:left="0" w:right="0"/>
              <w:rPr>
                <w:rFonts w:hint="eastAsia" w:eastAsia="宋体"/>
                <w:lang w:val="en-US" w:eastAsia="zh-CN"/>
              </w:rPr>
            </w:pPr>
            <w:r>
              <w:rPr>
                <w:rFonts w:hint="eastAsia"/>
                <w:lang w:val="en-US" w:eastAsia="zh-CN"/>
              </w:rPr>
              <w:t>/</w:t>
            </w:r>
          </w:p>
        </w:tc>
        <w:tc>
          <w:tcPr>
            <w:tcW w:w="600" w:type="pct"/>
            <w:noWrap w:val="0"/>
            <w:vAlign w:val="center"/>
          </w:tcPr>
          <w:p w14:paraId="646B9C3E">
            <w:pPr>
              <w:pStyle w:val="127"/>
              <w:keepNext w:val="0"/>
              <w:keepLines w:val="0"/>
              <w:widowControl/>
              <w:suppressLineNumbers w:val="0"/>
              <w:spacing w:before="0" w:beforeAutospacing="0" w:after="0" w:afterAutospacing="0"/>
              <w:ind w:left="0" w:right="0"/>
              <w:rPr>
                <w:rFonts w:hint="eastAsia" w:eastAsia="宋体"/>
                <w:lang w:eastAsia="zh-CN"/>
              </w:rPr>
            </w:pPr>
            <w:r>
              <w:rPr>
                <w:rFonts w:hint="eastAsia"/>
                <w:lang w:eastAsia="zh-CN"/>
              </w:rPr>
              <w:t>丁健</w:t>
            </w:r>
          </w:p>
        </w:tc>
        <w:tc>
          <w:tcPr>
            <w:tcW w:w="926" w:type="pct"/>
            <w:noWrap w:val="0"/>
            <w:vAlign w:val="center"/>
          </w:tcPr>
          <w:p w14:paraId="7D7B04E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2"/>
                <w:sz w:val="22"/>
                <w:szCs w:val="22"/>
                <w:u w:val="none"/>
                <w:lang w:val="en-US" w:eastAsia="zh-CN" w:bidi="ar-SA"/>
              </w:rPr>
              <w:t>13806483586</w:t>
            </w:r>
          </w:p>
        </w:tc>
      </w:tr>
      <w:tr w14:paraId="56144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215" w:type="pct"/>
            <w:noWrap w:val="0"/>
            <w:vAlign w:val="center"/>
          </w:tcPr>
          <w:p w14:paraId="00034C5A">
            <w:pPr>
              <w:pStyle w:val="127"/>
              <w:keepNext w:val="0"/>
              <w:keepLines w:val="0"/>
              <w:widowControl/>
              <w:suppressLineNumbers w:val="0"/>
              <w:spacing w:before="0" w:beforeAutospacing="0" w:after="0" w:afterAutospacing="0"/>
              <w:ind w:left="0" w:right="0"/>
              <w:jc w:val="center"/>
              <w:rPr>
                <w:rFonts w:hint="default" w:eastAsia="宋体"/>
                <w:lang w:val="en-US" w:eastAsia="zh-CN"/>
              </w:rPr>
            </w:pPr>
            <w:r>
              <w:rPr>
                <w:rFonts w:hint="eastAsia"/>
                <w:lang w:val="en-US" w:eastAsia="zh-CN"/>
              </w:rPr>
              <w:t>氧气浓度计</w:t>
            </w:r>
          </w:p>
        </w:tc>
        <w:tc>
          <w:tcPr>
            <w:tcW w:w="959" w:type="pct"/>
            <w:noWrap w:val="0"/>
            <w:vAlign w:val="center"/>
          </w:tcPr>
          <w:p w14:paraId="01B22955">
            <w:pPr>
              <w:pStyle w:val="127"/>
              <w:keepNext w:val="0"/>
              <w:keepLines w:val="0"/>
              <w:widowControl/>
              <w:suppressLineNumbers w:val="0"/>
              <w:spacing w:before="0" w:beforeAutospacing="0" w:after="0" w:afterAutospacing="0"/>
              <w:ind w:left="0" w:right="0"/>
              <w:jc w:val="center"/>
              <w:rPr>
                <w:rFonts w:hint="default"/>
              </w:rPr>
            </w:pPr>
            <w:r>
              <w:rPr>
                <w:rFonts w:hint="eastAsia"/>
                <w:lang w:val="en-US" w:eastAsia="zh-CN"/>
              </w:rPr>
              <w:t>XP-3180</w:t>
            </w:r>
          </w:p>
        </w:tc>
        <w:tc>
          <w:tcPr>
            <w:tcW w:w="372" w:type="pct"/>
            <w:noWrap w:val="0"/>
            <w:vAlign w:val="center"/>
          </w:tcPr>
          <w:p w14:paraId="02BAA88B">
            <w:pPr>
              <w:pStyle w:val="127"/>
              <w:keepNext w:val="0"/>
              <w:keepLines w:val="0"/>
              <w:widowControl/>
              <w:suppressLineNumbers w:val="0"/>
              <w:spacing w:before="0" w:beforeAutospacing="0" w:after="0" w:afterAutospacing="0"/>
              <w:ind w:left="0" w:right="0"/>
              <w:rPr>
                <w:rFonts w:hint="eastAsia" w:eastAsia="宋体"/>
                <w:lang w:val="en-US" w:eastAsia="zh-CN"/>
              </w:rPr>
            </w:pPr>
            <w:r>
              <w:rPr>
                <w:rFonts w:hint="eastAsia"/>
                <w:lang w:val="en-US" w:eastAsia="zh-CN"/>
              </w:rPr>
              <w:t>1</w:t>
            </w:r>
          </w:p>
        </w:tc>
        <w:tc>
          <w:tcPr>
            <w:tcW w:w="924" w:type="pct"/>
            <w:noWrap w:val="0"/>
            <w:vAlign w:val="center"/>
          </w:tcPr>
          <w:p w14:paraId="0FE60A61">
            <w:pPr>
              <w:pStyle w:val="127"/>
              <w:keepNext w:val="0"/>
              <w:keepLines w:val="0"/>
              <w:widowControl/>
              <w:suppressLineNumbers w:val="0"/>
              <w:spacing w:before="0" w:beforeAutospacing="0" w:after="0" w:afterAutospacing="0"/>
              <w:ind w:left="0" w:right="0"/>
              <w:rPr>
                <w:rFonts w:hint="default"/>
              </w:rPr>
            </w:pPr>
            <w:r>
              <w:rPr>
                <w:rFonts w:hint="eastAsia"/>
                <w:lang w:val="en-US" w:eastAsia="zh-CN"/>
              </w:rPr>
              <w:t>/</w:t>
            </w:r>
          </w:p>
        </w:tc>
        <w:tc>
          <w:tcPr>
            <w:tcW w:w="600" w:type="pct"/>
            <w:noWrap w:val="0"/>
            <w:vAlign w:val="center"/>
          </w:tcPr>
          <w:p w14:paraId="163197CC">
            <w:pPr>
              <w:pStyle w:val="127"/>
              <w:keepNext w:val="0"/>
              <w:keepLines w:val="0"/>
              <w:widowControl/>
              <w:suppressLineNumbers w:val="0"/>
              <w:spacing w:before="0" w:beforeAutospacing="0" w:after="0" w:afterAutospacing="0"/>
              <w:ind w:left="0" w:right="0"/>
              <w:rPr>
                <w:rFonts w:hint="default"/>
              </w:rPr>
            </w:pPr>
            <w:r>
              <w:rPr>
                <w:rFonts w:hint="eastAsia"/>
                <w:lang w:eastAsia="zh-CN"/>
              </w:rPr>
              <w:t>王庆</w:t>
            </w:r>
          </w:p>
        </w:tc>
        <w:tc>
          <w:tcPr>
            <w:tcW w:w="926" w:type="pct"/>
            <w:noWrap w:val="0"/>
            <w:vAlign w:val="center"/>
          </w:tcPr>
          <w:p w14:paraId="3174E308">
            <w:pPr>
              <w:pStyle w:val="127"/>
              <w:keepNext w:val="0"/>
              <w:keepLines w:val="0"/>
              <w:widowControl/>
              <w:suppressLineNumbers w:val="0"/>
              <w:spacing w:before="0" w:beforeAutospacing="0" w:after="0" w:afterAutospacing="0"/>
              <w:ind w:left="0" w:right="0"/>
              <w:rPr>
                <w:rFonts w:hint="default"/>
                <w:lang w:val="en-US"/>
              </w:rPr>
            </w:pPr>
            <w:r>
              <w:rPr>
                <w:rFonts w:hint="eastAsia"/>
                <w:lang w:val="en-US" w:eastAsia="zh-CN"/>
              </w:rPr>
              <w:t>18615123110</w:t>
            </w:r>
          </w:p>
        </w:tc>
      </w:tr>
    </w:tbl>
    <w:p w14:paraId="7100952E"/>
    <w:p w14:paraId="1D5D4ECF">
      <w:pPr>
        <w:pStyle w:val="7"/>
        <w:spacing w:before="0" w:after="0"/>
        <w:rPr>
          <w:rFonts w:hint="default" w:ascii="Times New Roman" w:hAnsi="Times New Roman" w:cs="Times New Roman"/>
          <w:color w:val="auto"/>
          <w:highlight w:val="none"/>
        </w:rPr>
      </w:pPr>
      <w:bookmarkStart w:id="49" w:name="_Toc19629"/>
      <w:r>
        <w:rPr>
          <w:rFonts w:hint="default" w:ascii="Times New Roman" w:hAnsi="Times New Roman" w:cs="Times New Roman"/>
          <w:color w:val="auto"/>
          <w:highlight w:val="none"/>
        </w:rPr>
        <w:t>3.7 现有应急物资与装备、救援队伍情况</w:t>
      </w:r>
      <w:bookmarkEnd w:id="49"/>
    </w:p>
    <w:p w14:paraId="0CDF0902">
      <w:pPr>
        <w:pStyle w:val="8"/>
        <w:spacing w:before="0" w:after="0"/>
        <w:rPr>
          <w:rFonts w:hint="default" w:ascii="Times New Roman" w:hAnsi="Times New Roman" w:cs="Times New Roman"/>
          <w:color w:val="auto"/>
          <w:highlight w:val="none"/>
        </w:rPr>
      </w:pPr>
      <w:r>
        <w:rPr>
          <w:rFonts w:hint="default" w:ascii="Times New Roman" w:hAnsi="Times New Roman" w:cs="Times New Roman"/>
          <w:color w:val="auto"/>
          <w:highlight w:val="none"/>
        </w:rPr>
        <w:t>3.7.1 现有应急物资与装备</w:t>
      </w:r>
    </w:p>
    <w:p w14:paraId="61A7705C">
      <w:pPr>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公司现有应急物资及装备见表3.7-1。</w:t>
      </w:r>
    </w:p>
    <w:p w14:paraId="257FFB4E">
      <w:pPr>
        <w:pStyle w:val="4"/>
        <w:spacing w:after="0" w:line="360" w:lineRule="auto"/>
        <w:ind w:firstLine="31680"/>
        <w:jc w:val="center"/>
        <w:rPr>
          <w:rFonts w:hint="default" w:ascii="Times New Roman" w:hAnsi="Times New Roman" w:cs="Times New Roman"/>
          <w:b/>
          <w:bCs/>
          <w:color w:val="auto"/>
          <w:szCs w:val="24"/>
          <w:highlight w:val="none"/>
          <w:lang w:val="nl-BE"/>
        </w:rPr>
      </w:pPr>
      <w:r>
        <w:rPr>
          <w:rFonts w:hint="default" w:ascii="Times New Roman" w:hAnsi="Times New Roman" w:cs="Times New Roman"/>
          <w:b/>
          <w:bCs/>
          <w:color w:val="auto"/>
          <w:szCs w:val="24"/>
          <w:highlight w:val="none"/>
          <w:lang w:val="nl-BE"/>
        </w:rPr>
        <w:t>表3.7-1  公司现有应急物资及装备情况一览表</w:t>
      </w:r>
    </w:p>
    <w:tbl>
      <w:tblPr>
        <w:tblStyle w:val="34"/>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745"/>
        <w:gridCol w:w="904"/>
        <w:gridCol w:w="1815"/>
        <w:gridCol w:w="1725"/>
        <w:gridCol w:w="1845"/>
      </w:tblGrid>
      <w:tr w14:paraId="798D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2009" w:type="dxa"/>
            <w:tcBorders>
              <w:top w:val="single" w:color="auto" w:sz="4" w:space="0"/>
              <w:left w:val="single" w:color="auto" w:sz="4" w:space="0"/>
              <w:bottom w:val="single" w:color="auto" w:sz="4" w:space="0"/>
              <w:right w:val="single" w:color="auto" w:sz="4" w:space="0"/>
            </w:tcBorders>
            <w:vAlign w:val="center"/>
          </w:tcPr>
          <w:p w14:paraId="0E6C6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745" w:type="dxa"/>
            <w:tcBorders>
              <w:top w:val="single" w:color="auto" w:sz="4" w:space="0"/>
              <w:left w:val="single" w:color="auto" w:sz="4" w:space="0"/>
              <w:bottom w:val="single" w:color="auto" w:sz="4" w:space="0"/>
              <w:right w:val="single" w:color="auto" w:sz="4" w:space="0"/>
            </w:tcBorders>
            <w:vAlign w:val="center"/>
          </w:tcPr>
          <w:p w14:paraId="7CBECB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单位</w:t>
            </w:r>
          </w:p>
        </w:tc>
        <w:tc>
          <w:tcPr>
            <w:tcW w:w="904" w:type="dxa"/>
            <w:tcBorders>
              <w:top w:val="single" w:color="auto" w:sz="4" w:space="0"/>
              <w:left w:val="single" w:color="auto" w:sz="4" w:space="0"/>
              <w:bottom w:val="single" w:color="auto" w:sz="4" w:space="0"/>
              <w:right w:val="single" w:color="auto" w:sz="4" w:space="0"/>
            </w:tcBorders>
            <w:vAlign w:val="center"/>
          </w:tcPr>
          <w:p w14:paraId="4FA1A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1815" w:type="dxa"/>
            <w:tcBorders>
              <w:top w:val="single" w:color="auto" w:sz="4" w:space="0"/>
              <w:left w:val="single" w:color="auto" w:sz="4" w:space="0"/>
              <w:bottom w:val="single" w:color="auto" w:sz="4" w:space="0"/>
              <w:right w:val="single" w:color="auto" w:sz="4" w:space="0"/>
            </w:tcBorders>
            <w:vAlign w:val="center"/>
          </w:tcPr>
          <w:p w14:paraId="643414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1725" w:type="dxa"/>
            <w:tcBorders>
              <w:top w:val="single" w:color="auto" w:sz="4" w:space="0"/>
              <w:left w:val="single" w:color="auto" w:sz="4" w:space="0"/>
              <w:bottom w:val="single" w:color="auto" w:sz="4" w:space="0"/>
              <w:right w:val="single" w:color="auto" w:sz="4" w:space="0"/>
            </w:tcBorders>
            <w:vAlign w:val="center"/>
          </w:tcPr>
          <w:p w14:paraId="4DEF80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845" w:type="dxa"/>
            <w:tcBorders>
              <w:top w:val="single" w:color="auto" w:sz="4" w:space="0"/>
              <w:left w:val="single" w:color="auto" w:sz="4" w:space="0"/>
              <w:bottom w:val="single" w:color="auto" w:sz="4" w:space="0"/>
              <w:right w:val="single" w:color="auto" w:sz="4" w:space="0"/>
            </w:tcBorders>
            <w:vAlign w:val="center"/>
          </w:tcPr>
          <w:p w14:paraId="47D5E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lang w:eastAsia="zh-CN"/>
              </w:rPr>
              <w:t>电话</w:t>
            </w:r>
          </w:p>
        </w:tc>
      </w:tr>
      <w:tr w14:paraId="0571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00F31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空气呼吸器</w:t>
            </w:r>
          </w:p>
        </w:tc>
        <w:tc>
          <w:tcPr>
            <w:tcW w:w="745" w:type="dxa"/>
            <w:tcBorders>
              <w:top w:val="single" w:color="auto" w:sz="4" w:space="0"/>
              <w:left w:val="single" w:color="auto" w:sz="4" w:space="0"/>
              <w:bottom w:val="single" w:color="auto" w:sz="4" w:space="0"/>
              <w:right w:val="single" w:color="auto" w:sz="4" w:space="0"/>
            </w:tcBorders>
            <w:vAlign w:val="center"/>
          </w:tcPr>
          <w:p w14:paraId="2F1B3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套</w:t>
            </w:r>
          </w:p>
        </w:tc>
        <w:tc>
          <w:tcPr>
            <w:tcW w:w="904" w:type="dxa"/>
            <w:tcBorders>
              <w:top w:val="single" w:color="auto" w:sz="4" w:space="0"/>
              <w:left w:val="single" w:color="auto" w:sz="4" w:space="0"/>
              <w:bottom w:val="single" w:color="auto" w:sz="4" w:space="0"/>
              <w:right w:val="single" w:color="auto" w:sz="4" w:space="0"/>
            </w:tcBorders>
            <w:vAlign w:val="center"/>
          </w:tcPr>
          <w:p w14:paraId="112149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815" w:type="dxa"/>
            <w:tcBorders>
              <w:top w:val="single" w:color="auto" w:sz="4" w:space="0"/>
              <w:left w:val="single" w:color="auto" w:sz="4" w:space="0"/>
              <w:bottom w:val="single" w:color="auto" w:sz="4" w:space="0"/>
              <w:right w:val="single" w:color="auto" w:sz="4" w:space="0"/>
            </w:tcBorders>
            <w:vAlign w:val="center"/>
          </w:tcPr>
          <w:p w14:paraId="3BC0D6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top w:val="single" w:color="auto" w:sz="4" w:space="0"/>
              <w:left w:val="single" w:color="auto" w:sz="4" w:space="0"/>
              <w:right w:val="single" w:color="auto" w:sz="4" w:space="0"/>
            </w:tcBorders>
            <w:vAlign w:val="center"/>
          </w:tcPr>
          <w:p w14:paraId="673C4D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right w:val="single" w:color="auto" w:sz="4" w:space="0"/>
            </w:tcBorders>
            <w:vAlign w:val="center"/>
          </w:tcPr>
          <w:p w14:paraId="11DF04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06ED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08034E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长管呼吸器</w:t>
            </w:r>
          </w:p>
        </w:tc>
        <w:tc>
          <w:tcPr>
            <w:tcW w:w="745" w:type="dxa"/>
            <w:tcBorders>
              <w:top w:val="single" w:color="auto" w:sz="4" w:space="0"/>
              <w:left w:val="single" w:color="auto" w:sz="4" w:space="0"/>
              <w:bottom w:val="single" w:color="auto" w:sz="4" w:space="0"/>
              <w:right w:val="single" w:color="auto" w:sz="4" w:space="0"/>
            </w:tcBorders>
            <w:vAlign w:val="center"/>
          </w:tcPr>
          <w:p w14:paraId="15D999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具</w:t>
            </w:r>
          </w:p>
        </w:tc>
        <w:tc>
          <w:tcPr>
            <w:tcW w:w="904" w:type="dxa"/>
            <w:tcBorders>
              <w:top w:val="single" w:color="auto" w:sz="4" w:space="0"/>
              <w:left w:val="single" w:color="auto" w:sz="4" w:space="0"/>
              <w:bottom w:val="single" w:color="auto" w:sz="4" w:space="0"/>
              <w:right w:val="single" w:color="auto" w:sz="4" w:space="0"/>
            </w:tcBorders>
            <w:vAlign w:val="center"/>
          </w:tcPr>
          <w:p w14:paraId="2EB1B9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c>
          <w:tcPr>
            <w:tcW w:w="1815" w:type="dxa"/>
            <w:tcBorders>
              <w:top w:val="single" w:color="auto" w:sz="4" w:space="0"/>
              <w:left w:val="single" w:color="auto" w:sz="4" w:space="0"/>
              <w:bottom w:val="single" w:color="auto" w:sz="4" w:space="0"/>
              <w:right w:val="single" w:color="auto" w:sz="4" w:space="0"/>
            </w:tcBorders>
            <w:vAlign w:val="center"/>
          </w:tcPr>
          <w:p w14:paraId="0EDD0F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left w:val="single" w:color="auto" w:sz="4" w:space="0"/>
              <w:right w:val="single" w:color="auto" w:sz="4" w:space="0"/>
            </w:tcBorders>
            <w:vAlign w:val="center"/>
          </w:tcPr>
          <w:p w14:paraId="210C19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47FBA0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18615123158</w:t>
            </w:r>
          </w:p>
        </w:tc>
      </w:tr>
      <w:tr w14:paraId="63AA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46658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防毒口罩</w:t>
            </w:r>
          </w:p>
        </w:tc>
        <w:tc>
          <w:tcPr>
            <w:tcW w:w="745" w:type="dxa"/>
            <w:tcBorders>
              <w:top w:val="single" w:color="auto" w:sz="4" w:space="0"/>
              <w:left w:val="single" w:color="auto" w:sz="4" w:space="0"/>
              <w:bottom w:val="single" w:color="auto" w:sz="4" w:space="0"/>
              <w:right w:val="single" w:color="auto" w:sz="4" w:space="0"/>
            </w:tcBorders>
            <w:vAlign w:val="center"/>
          </w:tcPr>
          <w:p w14:paraId="423B1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个</w:t>
            </w:r>
          </w:p>
        </w:tc>
        <w:tc>
          <w:tcPr>
            <w:tcW w:w="904" w:type="dxa"/>
            <w:tcBorders>
              <w:top w:val="single" w:color="auto" w:sz="4" w:space="0"/>
              <w:left w:val="single" w:color="auto" w:sz="4" w:space="0"/>
              <w:bottom w:val="single" w:color="auto" w:sz="4" w:space="0"/>
              <w:right w:val="single" w:color="auto" w:sz="4" w:space="0"/>
            </w:tcBorders>
            <w:vAlign w:val="center"/>
          </w:tcPr>
          <w:p w14:paraId="2B26A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815" w:type="dxa"/>
            <w:tcBorders>
              <w:top w:val="single" w:color="auto" w:sz="4" w:space="0"/>
              <w:left w:val="single" w:color="auto" w:sz="4" w:space="0"/>
              <w:bottom w:val="single" w:color="auto" w:sz="4" w:space="0"/>
              <w:right w:val="single" w:color="auto" w:sz="4" w:space="0"/>
            </w:tcBorders>
            <w:vAlign w:val="center"/>
          </w:tcPr>
          <w:p w14:paraId="025698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left w:val="single" w:color="auto" w:sz="4" w:space="0"/>
              <w:right w:val="single" w:color="auto" w:sz="4" w:space="0"/>
            </w:tcBorders>
            <w:vAlign w:val="center"/>
          </w:tcPr>
          <w:p w14:paraId="33D279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568032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18615123158</w:t>
            </w:r>
          </w:p>
        </w:tc>
      </w:tr>
      <w:tr w14:paraId="26D6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7DFAAD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胶手套</w:t>
            </w:r>
          </w:p>
        </w:tc>
        <w:tc>
          <w:tcPr>
            <w:tcW w:w="745" w:type="dxa"/>
            <w:tcBorders>
              <w:top w:val="single" w:color="auto" w:sz="4" w:space="0"/>
              <w:left w:val="single" w:color="auto" w:sz="4" w:space="0"/>
              <w:bottom w:val="single" w:color="auto" w:sz="4" w:space="0"/>
              <w:right w:val="single" w:color="auto" w:sz="4" w:space="0"/>
            </w:tcBorders>
            <w:vAlign w:val="center"/>
          </w:tcPr>
          <w:p w14:paraId="6BEDC8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付</w:t>
            </w:r>
          </w:p>
        </w:tc>
        <w:tc>
          <w:tcPr>
            <w:tcW w:w="904" w:type="dxa"/>
            <w:tcBorders>
              <w:top w:val="single" w:color="auto" w:sz="4" w:space="0"/>
              <w:left w:val="single" w:color="auto" w:sz="4" w:space="0"/>
              <w:bottom w:val="single" w:color="auto" w:sz="4" w:space="0"/>
              <w:right w:val="single" w:color="auto" w:sz="4" w:space="0"/>
            </w:tcBorders>
            <w:vAlign w:val="center"/>
          </w:tcPr>
          <w:p w14:paraId="4DB25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815" w:type="dxa"/>
            <w:tcBorders>
              <w:top w:val="single" w:color="auto" w:sz="4" w:space="0"/>
              <w:left w:val="single" w:color="auto" w:sz="4" w:space="0"/>
              <w:bottom w:val="single" w:color="auto" w:sz="4" w:space="0"/>
              <w:right w:val="single" w:color="auto" w:sz="4" w:space="0"/>
            </w:tcBorders>
            <w:vAlign w:val="center"/>
          </w:tcPr>
          <w:p w14:paraId="2CCF6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中控室</w:t>
            </w:r>
          </w:p>
        </w:tc>
        <w:tc>
          <w:tcPr>
            <w:tcW w:w="1725" w:type="dxa"/>
            <w:tcBorders>
              <w:top w:val="single" w:color="auto" w:sz="4" w:space="0"/>
              <w:left w:val="single" w:color="auto" w:sz="4" w:space="0"/>
              <w:right w:val="single" w:color="auto" w:sz="4" w:space="0"/>
            </w:tcBorders>
            <w:vAlign w:val="center"/>
          </w:tcPr>
          <w:p w14:paraId="374897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right w:val="single" w:color="auto" w:sz="4" w:space="0"/>
            </w:tcBorders>
            <w:vAlign w:val="center"/>
          </w:tcPr>
          <w:p w14:paraId="5EDAEB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FAA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21232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消防栓</w:t>
            </w:r>
          </w:p>
        </w:tc>
        <w:tc>
          <w:tcPr>
            <w:tcW w:w="745" w:type="dxa"/>
            <w:tcBorders>
              <w:top w:val="single" w:color="auto" w:sz="4" w:space="0"/>
              <w:left w:val="single" w:color="auto" w:sz="4" w:space="0"/>
              <w:bottom w:val="single" w:color="auto" w:sz="4" w:space="0"/>
              <w:right w:val="single" w:color="auto" w:sz="4" w:space="0"/>
            </w:tcBorders>
            <w:vAlign w:val="center"/>
          </w:tcPr>
          <w:p w14:paraId="0F6C4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个</w:t>
            </w:r>
          </w:p>
        </w:tc>
        <w:tc>
          <w:tcPr>
            <w:tcW w:w="904" w:type="dxa"/>
            <w:tcBorders>
              <w:top w:val="single" w:color="auto" w:sz="4" w:space="0"/>
              <w:left w:val="single" w:color="auto" w:sz="4" w:space="0"/>
              <w:bottom w:val="single" w:color="auto" w:sz="4" w:space="0"/>
              <w:right w:val="single" w:color="auto" w:sz="4" w:space="0"/>
            </w:tcBorders>
            <w:vAlign w:val="center"/>
          </w:tcPr>
          <w:p w14:paraId="2F46C4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33</w:t>
            </w:r>
          </w:p>
        </w:tc>
        <w:tc>
          <w:tcPr>
            <w:tcW w:w="1815" w:type="dxa"/>
            <w:tcBorders>
              <w:top w:val="single" w:color="auto" w:sz="4" w:space="0"/>
              <w:left w:val="single" w:color="auto" w:sz="4" w:space="0"/>
              <w:bottom w:val="single" w:color="auto" w:sz="4" w:space="0"/>
              <w:right w:val="single" w:color="auto" w:sz="4" w:space="0"/>
            </w:tcBorders>
            <w:vAlign w:val="center"/>
          </w:tcPr>
          <w:p w14:paraId="0DC41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厂区</w:t>
            </w:r>
          </w:p>
        </w:tc>
        <w:tc>
          <w:tcPr>
            <w:tcW w:w="1725" w:type="dxa"/>
            <w:tcBorders>
              <w:left w:val="single" w:color="auto" w:sz="4" w:space="0"/>
              <w:right w:val="single" w:color="auto" w:sz="4" w:space="0"/>
            </w:tcBorders>
            <w:vAlign w:val="center"/>
          </w:tcPr>
          <w:p w14:paraId="273E09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437D688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AA8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146D2E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消防泵</w:t>
            </w:r>
          </w:p>
        </w:tc>
        <w:tc>
          <w:tcPr>
            <w:tcW w:w="745" w:type="dxa"/>
            <w:tcBorders>
              <w:top w:val="single" w:color="auto" w:sz="4" w:space="0"/>
              <w:left w:val="single" w:color="auto" w:sz="4" w:space="0"/>
              <w:bottom w:val="single" w:color="auto" w:sz="4" w:space="0"/>
              <w:right w:val="single" w:color="auto" w:sz="4" w:space="0"/>
            </w:tcBorders>
            <w:vAlign w:val="center"/>
          </w:tcPr>
          <w:p w14:paraId="36039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12053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w:t>
            </w:r>
          </w:p>
        </w:tc>
        <w:tc>
          <w:tcPr>
            <w:tcW w:w="1815" w:type="dxa"/>
            <w:tcBorders>
              <w:top w:val="single" w:color="auto" w:sz="4" w:space="0"/>
              <w:left w:val="single" w:color="auto" w:sz="4" w:space="0"/>
              <w:bottom w:val="single" w:color="auto" w:sz="4" w:space="0"/>
              <w:right w:val="single" w:color="auto" w:sz="4" w:space="0"/>
            </w:tcBorders>
            <w:vAlign w:val="center"/>
          </w:tcPr>
          <w:p w14:paraId="4E30F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循环水池处</w:t>
            </w:r>
          </w:p>
        </w:tc>
        <w:tc>
          <w:tcPr>
            <w:tcW w:w="1725" w:type="dxa"/>
            <w:tcBorders>
              <w:left w:val="single" w:color="auto" w:sz="4" w:space="0"/>
              <w:right w:val="single" w:color="auto" w:sz="4" w:space="0"/>
            </w:tcBorders>
            <w:vAlign w:val="center"/>
          </w:tcPr>
          <w:p w14:paraId="5A9EA9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52225A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E1E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7FC59F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干粉灭火器</w:t>
            </w:r>
          </w:p>
        </w:tc>
        <w:tc>
          <w:tcPr>
            <w:tcW w:w="745" w:type="dxa"/>
            <w:tcBorders>
              <w:top w:val="single" w:color="auto" w:sz="4" w:space="0"/>
              <w:left w:val="single" w:color="auto" w:sz="4" w:space="0"/>
              <w:bottom w:val="single" w:color="auto" w:sz="4" w:space="0"/>
              <w:right w:val="single" w:color="auto" w:sz="4" w:space="0"/>
            </w:tcBorders>
            <w:vAlign w:val="center"/>
          </w:tcPr>
          <w:p w14:paraId="6A326C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710C0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112</w:t>
            </w:r>
          </w:p>
        </w:tc>
        <w:tc>
          <w:tcPr>
            <w:tcW w:w="1815" w:type="dxa"/>
            <w:tcBorders>
              <w:top w:val="single" w:color="auto" w:sz="4" w:space="0"/>
              <w:left w:val="single" w:color="auto" w:sz="4" w:space="0"/>
              <w:bottom w:val="single" w:color="auto" w:sz="4" w:space="0"/>
              <w:right w:val="single" w:color="auto" w:sz="4" w:space="0"/>
            </w:tcBorders>
            <w:vAlign w:val="center"/>
          </w:tcPr>
          <w:p w14:paraId="694C1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left w:val="single" w:color="auto" w:sz="4" w:space="0"/>
              <w:right w:val="single" w:color="auto" w:sz="4" w:space="0"/>
            </w:tcBorders>
            <w:vAlign w:val="center"/>
          </w:tcPr>
          <w:p w14:paraId="222B9F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5030F8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78A1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2425BB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推车式干粉灭火器</w:t>
            </w:r>
          </w:p>
        </w:tc>
        <w:tc>
          <w:tcPr>
            <w:tcW w:w="745" w:type="dxa"/>
            <w:tcBorders>
              <w:top w:val="single" w:color="auto" w:sz="4" w:space="0"/>
              <w:left w:val="single" w:color="auto" w:sz="4" w:space="0"/>
              <w:bottom w:val="single" w:color="auto" w:sz="4" w:space="0"/>
              <w:right w:val="single" w:color="auto" w:sz="4" w:space="0"/>
            </w:tcBorders>
            <w:vAlign w:val="center"/>
          </w:tcPr>
          <w:p w14:paraId="1F67C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38B69C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w:t>
            </w:r>
          </w:p>
        </w:tc>
        <w:tc>
          <w:tcPr>
            <w:tcW w:w="1815" w:type="dxa"/>
            <w:tcBorders>
              <w:top w:val="single" w:color="auto" w:sz="4" w:space="0"/>
              <w:left w:val="single" w:color="auto" w:sz="4" w:space="0"/>
              <w:bottom w:val="single" w:color="auto" w:sz="4" w:space="0"/>
              <w:right w:val="single" w:color="auto" w:sz="4" w:space="0"/>
            </w:tcBorders>
            <w:vAlign w:val="center"/>
          </w:tcPr>
          <w:p w14:paraId="268B9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left w:val="single" w:color="auto" w:sz="4" w:space="0"/>
              <w:right w:val="single" w:color="auto" w:sz="4" w:space="0"/>
            </w:tcBorders>
            <w:vAlign w:val="center"/>
          </w:tcPr>
          <w:p w14:paraId="526BC7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2EF56E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34EF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43553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二氧化碳灭火器</w:t>
            </w:r>
          </w:p>
        </w:tc>
        <w:tc>
          <w:tcPr>
            <w:tcW w:w="745" w:type="dxa"/>
            <w:tcBorders>
              <w:top w:val="single" w:color="auto" w:sz="4" w:space="0"/>
              <w:left w:val="single" w:color="auto" w:sz="4" w:space="0"/>
              <w:bottom w:val="single" w:color="auto" w:sz="4" w:space="0"/>
              <w:right w:val="single" w:color="auto" w:sz="4" w:space="0"/>
            </w:tcBorders>
            <w:vAlign w:val="center"/>
          </w:tcPr>
          <w:p w14:paraId="205A6C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台</w:t>
            </w:r>
          </w:p>
        </w:tc>
        <w:tc>
          <w:tcPr>
            <w:tcW w:w="904" w:type="dxa"/>
            <w:tcBorders>
              <w:top w:val="single" w:color="auto" w:sz="4" w:space="0"/>
              <w:left w:val="single" w:color="auto" w:sz="4" w:space="0"/>
              <w:bottom w:val="single" w:color="auto" w:sz="4" w:space="0"/>
              <w:right w:val="single" w:color="auto" w:sz="4" w:space="0"/>
            </w:tcBorders>
            <w:vAlign w:val="center"/>
          </w:tcPr>
          <w:p w14:paraId="6C85EF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10</w:t>
            </w:r>
          </w:p>
        </w:tc>
        <w:tc>
          <w:tcPr>
            <w:tcW w:w="1815" w:type="dxa"/>
            <w:tcBorders>
              <w:top w:val="single" w:color="auto" w:sz="4" w:space="0"/>
              <w:left w:val="single" w:color="auto" w:sz="4" w:space="0"/>
              <w:bottom w:val="single" w:color="auto" w:sz="4" w:space="0"/>
              <w:right w:val="single" w:color="auto" w:sz="4" w:space="0"/>
            </w:tcBorders>
            <w:vAlign w:val="center"/>
          </w:tcPr>
          <w:p w14:paraId="360ED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配电室</w:t>
            </w:r>
          </w:p>
        </w:tc>
        <w:tc>
          <w:tcPr>
            <w:tcW w:w="1725" w:type="dxa"/>
            <w:tcBorders>
              <w:left w:val="single" w:color="auto" w:sz="4" w:space="0"/>
              <w:right w:val="single" w:color="auto" w:sz="4" w:space="0"/>
            </w:tcBorders>
            <w:vAlign w:val="center"/>
          </w:tcPr>
          <w:p w14:paraId="1EA4C6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487655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585B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022D1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消防沙</w:t>
            </w:r>
          </w:p>
        </w:tc>
        <w:tc>
          <w:tcPr>
            <w:tcW w:w="745" w:type="dxa"/>
            <w:tcBorders>
              <w:top w:val="single" w:color="auto" w:sz="4" w:space="0"/>
              <w:left w:val="single" w:color="auto" w:sz="4" w:space="0"/>
              <w:bottom w:val="single" w:color="auto" w:sz="4" w:space="0"/>
              <w:right w:val="single" w:color="auto" w:sz="4" w:space="0"/>
            </w:tcBorders>
            <w:vAlign w:val="center"/>
          </w:tcPr>
          <w:p w14:paraId="04B85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立方</w:t>
            </w:r>
          </w:p>
        </w:tc>
        <w:tc>
          <w:tcPr>
            <w:tcW w:w="904" w:type="dxa"/>
            <w:tcBorders>
              <w:top w:val="single" w:color="auto" w:sz="4" w:space="0"/>
              <w:left w:val="single" w:color="auto" w:sz="4" w:space="0"/>
              <w:bottom w:val="single" w:color="auto" w:sz="4" w:space="0"/>
              <w:right w:val="single" w:color="auto" w:sz="4" w:space="0"/>
            </w:tcBorders>
            <w:vAlign w:val="center"/>
          </w:tcPr>
          <w:p w14:paraId="306BD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815" w:type="dxa"/>
            <w:tcBorders>
              <w:top w:val="single" w:color="auto" w:sz="4" w:space="0"/>
              <w:left w:val="single" w:color="auto" w:sz="4" w:space="0"/>
              <w:bottom w:val="single" w:color="auto" w:sz="4" w:space="0"/>
              <w:right w:val="single" w:color="auto" w:sz="4" w:space="0"/>
            </w:tcBorders>
            <w:vAlign w:val="center"/>
          </w:tcPr>
          <w:p w14:paraId="6E534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罐区</w:t>
            </w:r>
          </w:p>
        </w:tc>
        <w:tc>
          <w:tcPr>
            <w:tcW w:w="1725" w:type="dxa"/>
            <w:tcBorders>
              <w:left w:val="single" w:color="auto" w:sz="4" w:space="0"/>
              <w:right w:val="single" w:color="auto" w:sz="4" w:space="0"/>
            </w:tcBorders>
            <w:vAlign w:val="center"/>
          </w:tcPr>
          <w:p w14:paraId="7E818A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770E51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0F06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20D97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洗眼器、淋洗器</w:t>
            </w:r>
          </w:p>
        </w:tc>
        <w:tc>
          <w:tcPr>
            <w:tcW w:w="745" w:type="dxa"/>
            <w:tcBorders>
              <w:top w:val="single" w:color="auto" w:sz="4" w:space="0"/>
              <w:left w:val="single" w:color="auto" w:sz="4" w:space="0"/>
              <w:bottom w:val="single" w:color="auto" w:sz="4" w:space="0"/>
              <w:right w:val="single" w:color="auto" w:sz="4" w:space="0"/>
            </w:tcBorders>
            <w:vAlign w:val="center"/>
          </w:tcPr>
          <w:p w14:paraId="7E0F8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套</w:t>
            </w:r>
          </w:p>
        </w:tc>
        <w:tc>
          <w:tcPr>
            <w:tcW w:w="904" w:type="dxa"/>
            <w:tcBorders>
              <w:top w:val="single" w:color="auto" w:sz="4" w:space="0"/>
              <w:left w:val="single" w:color="auto" w:sz="4" w:space="0"/>
              <w:bottom w:val="single" w:color="auto" w:sz="4" w:space="0"/>
              <w:right w:val="single" w:color="auto" w:sz="4" w:space="0"/>
            </w:tcBorders>
            <w:vAlign w:val="center"/>
          </w:tcPr>
          <w:p w14:paraId="1D2D42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1815" w:type="dxa"/>
            <w:tcBorders>
              <w:top w:val="single" w:color="auto" w:sz="4" w:space="0"/>
              <w:left w:val="single" w:color="auto" w:sz="4" w:space="0"/>
              <w:bottom w:val="single" w:color="auto" w:sz="4" w:space="0"/>
              <w:right w:val="single" w:color="auto" w:sz="4" w:space="0"/>
            </w:tcBorders>
            <w:vAlign w:val="center"/>
          </w:tcPr>
          <w:p w14:paraId="457BB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车间、罐区</w:t>
            </w:r>
          </w:p>
        </w:tc>
        <w:tc>
          <w:tcPr>
            <w:tcW w:w="1725" w:type="dxa"/>
            <w:tcBorders>
              <w:left w:val="single" w:color="auto" w:sz="4" w:space="0"/>
              <w:right w:val="single" w:color="auto" w:sz="4" w:space="0"/>
            </w:tcBorders>
            <w:vAlign w:val="center"/>
          </w:tcPr>
          <w:p w14:paraId="074B5E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right w:val="single" w:color="auto" w:sz="4" w:space="0"/>
            </w:tcBorders>
            <w:vAlign w:val="center"/>
          </w:tcPr>
          <w:p w14:paraId="172924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B1C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01BE6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可燃气体报警仪</w:t>
            </w:r>
          </w:p>
        </w:tc>
        <w:tc>
          <w:tcPr>
            <w:tcW w:w="745" w:type="dxa"/>
            <w:tcBorders>
              <w:top w:val="single" w:color="auto" w:sz="4" w:space="0"/>
              <w:left w:val="single" w:color="auto" w:sz="4" w:space="0"/>
              <w:bottom w:val="single" w:color="auto" w:sz="4" w:space="0"/>
              <w:right w:val="single" w:color="auto" w:sz="4" w:space="0"/>
            </w:tcBorders>
            <w:vAlign w:val="center"/>
          </w:tcPr>
          <w:p w14:paraId="6065F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只</w:t>
            </w:r>
          </w:p>
        </w:tc>
        <w:tc>
          <w:tcPr>
            <w:tcW w:w="904" w:type="dxa"/>
            <w:tcBorders>
              <w:top w:val="single" w:color="auto" w:sz="4" w:space="0"/>
              <w:left w:val="single" w:color="auto" w:sz="4" w:space="0"/>
              <w:bottom w:val="single" w:color="auto" w:sz="4" w:space="0"/>
              <w:right w:val="single" w:color="auto" w:sz="4" w:space="0"/>
            </w:tcBorders>
            <w:vAlign w:val="center"/>
          </w:tcPr>
          <w:p w14:paraId="3EFEF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32</w:t>
            </w:r>
          </w:p>
        </w:tc>
        <w:tc>
          <w:tcPr>
            <w:tcW w:w="1815" w:type="dxa"/>
            <w:tcBorders>
              <w:top w:val="single" w:color="auto" w:sz="4" w:space="0"/>
              <w:left w:val="single" w:color="auto" w:sz="4" w:space="0"/>
              <w:bottom w:val="single" w:color="auto" w:sz="4" w:space="0"/>
              <w:right w:val="single" w:color="auto" w:sz="4" w:space="0"/>
            </w:tcBorders>
            <w:vAlign w:val="center"/>
          </w:tcPr>
          <w:p w14:paraId="5B7A7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left w:val="single" w:color="auto" w:sz="4" w:space="0"/>
              <w:bottom w:val="single" w:color="auto" w:sz="4" w:space="0"/>
              <w:right w:val="single" w:color="auto" w:sz="4" w:space="0"/>
            </w:tcBorders>
            <w:vAlign w:val="center"/>
          </w:tcPr>
          <w:p w14:paraId="01F875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崔成武</w:t>
            </w:r>
          </w:p>
        </w:tc>
        <w:tc>
          <w:tcPr>
            <w:tcW w:w="1845" w:type="dxa"/>
            <w:tcBorders>
              <w:left w:val="single" w:color="auto" w:sz="4" w:space="0"/>
              <w:bottom w:val="single" w:color="auto" w:sz="4" w:space="0"/>
              <w:right w:val="single" w:color="auto" w:sz="4" w:space="0"/>
            </w:tcBorders>
            <w:vAlign w:val="center"/>
          </w:tcPr>
          <w:p w14:paraId="0993B7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787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3DA41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应急灯</w:t>
            </w:r>
          </w:p>
        </w:tc>
        <w:tc>
          <w:tcPr>
            <w:tcW w:w="745" w:type="dxa"/>
            <w:tcBorders>
              <w:top w:val="single" w:color="auto" w:sz="4" w:space="0"/>
              <w:left w:val="single" w:color="auto" w:sz="4" w:space="0"/>
              <w:bottom w:val="single" w:color="auto" w:sz="4" w:space="0"/>
              <w:right w:val="single" w:color="auto" w:sz="4" w:space="0"/>
            </w:tcBorders>
            <w:vAlign w:val="center"/>
          </w:tcPr>
          <w:p w14:paraId="57BCCF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个</w:t>
            </w:r>
          </w:p>
        </w:tc>
        <w:tc>
          <w:tcPr>
            <w:tcW w:w="904" w:type="dxa"/>
            <w:tcBorders>
              <w:top w:val="single" w:color="auto" w:sz="4" w:space="0"/>
              <w:left w:val="single" w:color="auto" w:sz="4" w:space="0"/>
              <w:bottom w:val="single" w:color="auto" w:sz="4" w:space="0"/>
              <w:right w:val="single" w:color="auto" w:sz="4" w:space="0"/>
            </w:tcBorders>
            <w:vAlign w:val="center"/>
          </w:tcPr>
          <w:p w14:paraId="3162FF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815" w:type="dxa"/>
            <w:tcBorders>
              <w:top w:val="single" w:color="auto" w:sz="4" w:space="0"/>
              <w:left w:val="single" w:color="auto" w:sz="4" w:space="0"/>
              <w:bottom w:val="single" w:color="auto" w:sz="4" w:space="0"/>
              <w:right w:val="single" w:color="auto" w:sz="4" w:space="0"/>
            </w:tcBorders>
            <w:vAlign w:val="center"/>
          </w:tcPr>
          <w:p w14:paraId="1B341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车间、办公室</w:t>
            </w:r>
          </w:p>
        </w:tc>
        <w:tc>
          <w:tcPr>
            <w:tcW w:w="1725" w:type="dxa"/>
            <w:tcBorders>
              <w:top w:val="single" w:color="auto" w:sz="4" w:space="0"/>
              <w:left w:val="single" w:color="auto" w:sz="4" w:space="0"/>
              <w:bottom w:val="single" w:color="auto" w:sz="4" w:space="0"/>
              <w:right w:val="single" w:color="auto" w:sz="4" w:space="0"/>
            </w:tcBorders>
            <w:vAlign w:val="center"/>
          </w:tcPr>
          <w:p w14:paraId="1D5418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3D9925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335A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37C99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沙袋</w:t>
            </w:r>
          </w:p>
        </w:tc>
        <w:tc>
          <w:tcPr>
            <w:tcW w:w="745" w:type="dxa"/>
            <w:tcBorders>
              <w:top w:val="single" w:color="auto" w:sz="4" w:space="0"/>
              <w:left w:val="single" w:color="auto" w:sz="4" w:space="0"/>
              <w:bottom w:val="single" w:color="auto" w:sz="4" w:space="0"/>
              <w:right w:val="single" w:color="auto" w:sz="4" w:space="0"/>
            </w:tcBorders>
            <w:vAlign w:val="center"/>
          </w:tcPr>
          <w:p w14:paraId="0611CB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条</w:t>
            </w:r>
          </w:p>
        </w:tc>
        <w:tc>
          <w:tcPr>
            <w:tcW w:w="904" w:type="dxa"/>
            <w:tcBorders>
              <w:top w:val="single" w:color="auto" w:sz="4" w:space="0"/>
              <w:left w:val="single" w:color="auto" w:sz="4" w:space="0"/>
              <w:bottom w:val="single" w:color="auto" w:sz="4" w:space="0"/>
              <w:right w:val="single" w:color="auto" w:sz="4" w:space="0"/>
            </w:tcBorders>
            <w:vAlign w:val="center"/>
          </w:tcPr>
          <w:p w14:paraId="6EA509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w:t>
            </w:r>
          </w:p>
        </w:tc>
        <w:tc>
          <w:tcPr>
            <w:tcW w:w="1815" w:type="dxa"/>
            <w:tcBorders>
              <w:top w:val="single" w:color="auto" w:sz="4" w:space="0"/>
              <w:left w:val="single" w:color="auto" w:sz="4" w:space="0"/>
              <w:bottom w:val="single" w:color="auto" w:sz="4" w:space="0"/>
              <w:right w:val="single" w:color="auto" w:sz="4" w:space="0"/>
            </w:tcBorders>
            <w:vAlign w:val="center"/>
          </w:tcPr>
          <w:p w14:paraId="0162BF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6EE5E1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0D634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330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12B0E6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吸油毡</w:t>
            </w:r>
          </w:p>
        </w:tc>
        <w:tc>
          <w:tcPr>
            <w:tcW w:w="745" w:type="dxa"/>
            <w:tcBorders>
              <w:top w:val="single" w:color="auto" w:sz="4" w:space="0"/>
              <w:left w:val="single" w:color="auto" w:sz="4" w:space="0"/>
              <w:bottom w:val="single" w:color="auto" w:sz="4" w:space="0"/>
              <w:right w:val="single" w:color="auto" w:sz="4" w:space="0"/>
            </w:tcBorders>
            <w:vAlign w:val="center"/>
          </w:tcPr>
          <w:p w14:paraId="4FAE53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904" w:type="dxa"/>
            <w:tcBorders>
              <w:top w:val="single" w:color="auto" w:sz="4" w:space="0"/>
              <w:left w:val="single" w:color="auto" w:sz="4" w:space="0"/>
              <w:bottom w:val="single" w:color="auto" w:sz="4" w:space="0"/>
              <w:right w:val="single" w:color="auto" w:sz="4" w:space="0"/>
            </w:tcBorders>
            <w:vAlign w:val="center"/>
          </w:tcPr>
          <w:p w14:paraId="6A68C4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w:t>
            </w:r>
          </w:p>
        </w:tc>
        <w:tc>
          <w:tcPr>
            <w:tcW w:w="1815" w:type="dxa"/>
            <w:tcBorders>
              <w:top w:val="single" w:color="auto" w:sz="4" w:space="0"/>
              <w:left w:val="single" w:color="auto" w:sz="4" w:space="0"/>
              <w:bottom w:val="single" w:color="auto" w:sz="4" w:space="0"/>
              <w:right w:val="single" w:color="auto" w:sz="4" w:space="0"/>
            </w:tcBorders>
            <w:vAlign w:val="center"/>
          </w:tcPr>
          <w:p w14:paraId="36550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5D898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17FFAB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629F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3ED6B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塑料布</w:t>
            </w:r>
          </w:p>
        </w:tc>
        <w:tc>
          <w:tcPr>
            <w:tcW w:w="745" w:type="dxa"/>
            <w:tcBorders>
              <w:top w:val="single" w:color="auto" w:sz="4" w:space="0"/>
              <w:left w:val="single" w:color="auto" w:sz="4" w:space="0"/>
              <w:bottom w:val="single" w:color="auto" w:sz="4" w:space="0"/>
              <w:right w:val="single" w:color="auto" w:sz="4" w:space="0"/>
            </w:tcBorders>
            <w:vAlign w:val="center"/>
          </w:tcPr>
          <w:p w14:paraId="3BE73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904" w:type="dxa"/>
            <w:tcBorders>
              <w:top w:val="single" w:color="auto" w:sz="4" w:space="0"/>
              <w:left w:val="single" w:color="auto" w:sz="4" w:space="0"/>
              <w:bottom w:val="single" w:color="auto" w:sz="4" w:space="0"/>
              <w:right w:val="single" w:color="auto" w:sz="4" w:space="0"/>
            </w:tcBorders>
            <w:vAlign w:val="center"/>
          </w:tcPr>
          <w:p w14:paraId="5F4A99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10</w:t>
            </w:r>
          </w:p>
        </w:tc>
        <w:tc>
          <w:tcPr>
            <w:tcW w:w="1815" w:type="dxa"/>
            <w:tcBorders>
              <w:top w:val="single" w:color="auto" w:sz="4" w:space="0"/>
              <w:left w:val="single" w:color="auto" w:sz="4" w:space="0"/>
              <w:bottom w:val="single" w:color="auto" w:sz="4" w:space="0"/>
              <w:right w:val="single" w:color="auto" w:sz="4" w:space="0"/>
            </w:tcBorders>
            <w:vAlign w:val="center"/>
          </w:tcPr>
          <w:p w14:paraId="0A38B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0F5519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251942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04C8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434581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粘合剂</w:t>
            </w:r>
          </w:p>
        </w:tc>
        <w:tc>
          <w:tcPr>
            <w:tcW w:w="745" w:type="dxa"/>
            <w:tcBorders>
              <w:top w:val="single" w:color="auto" w:sz="4" w:space="0"/>
              <w:left w:val="single" w:color="auto" w:sz="4" w:space="0"/>
              <w:bottom w:val="single" w:color="auto" w:sz="4" w:space="0"/>
              <w:right w:val="single" w:color="auto" w:sz="4" w:space="0"/>
            </w:tcBorders>
            <w:vAlign w:val="center"/>
          </w:tcPr>
          <w:p w14:paraId="7FB002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盒</w:t>
            </w:r>
          </w:p>
        </w:tc>
        <w:tc>
          <w:tcPr>
            <w:tcW w:w="904" w:type="dxa"/>
            <w:tcBorders>
              <w:top w:val="single" w:color="auto" w:sz="4" w:space="0"/>
              <w:left w:val="single" w:color="auto" w:sz="4" w:space="0"/>
              <w:bottom w:val="single" w:color="auto" w:sz="4" w:space="0"/>
              <w:right w:val="single" w:color="auto" w:sz="4" w:space="0"/>
            </w:tcBorders>
            <w:vAlign w:val="center"/>
          </w:tcPr>
          <w:p w14:paraId="042C36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w:t>
            </w:r>
          </w:p>
        </w:tc>
        <w:tc>
          <w:tcPr>
            <w:tcW w:w="1815" w:type="dxa"/>
            <w:tcBorders>
              <w:top w:val="single" w:color="auto" w:sz="4" w:space="0"/>
              <w:left w:val="single" w:color="auto" w:sz="4" w:space="0"/>
              <w:bottom w:val="single" w:color="auto" w:sz="4" w:space="0"/>
              <w:right w:val="single" w:color="auto" w:sz="4" w:space="0"/>
            </w:tcBorders>
            <w:vAlign w:val="center"/>
          </w:tcPr>
          <w:p w14:paraId="59272F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3C17A3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52BA80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678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3F6EFD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堵漏胶泥</w:t>
            </w:r>
          </w:p>
        </w:tc>
        <w:tc>
          <w:tcPr>
            <w:tcW w:w="745" w:type="dxa"/>
            <w:tcBorders>
              <w:top w:val="single" w:color="auto" w:sz="4" w:space="0"/>
              <w:left w:val="single" w:color="auto" w:sz="4" w:space="0"/>
              <w:bottom w:val="single" w:color="auto" w:sz="4" w:space="0"/>
              <w:right w:val="single" w:color="auto" w:sz="4" w:space="0"/>
            </w:tcBorders>
            <w:vAlign w:val="center"/>
          </w:tcPr>
          <w:p w14:paraId="3D603E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块</w:t>
            </w:r>
          </w:p>
        </w:tc>
        <w:tc>
          <w:tcPr>
            <w:tcW w:w="904" w:type="dxa"/>
            <w:tcBorders>
              <w:top w:val="single" w:color="auto" w:sz="4" w:space="0"/>
              <w:left w:val="single" w:color="auto" w:sz="4" w:space="0"/>
              <w:bottom w:val="single" w:color="auto" w:sz="4" w:space="0"/>
              <w:right w:val="single" w:color="auto" w:sz="4" w:space="0"/>
            </w:tcBorders>
            <w:vAlign w:val="center"/>
          </w:tcPr>
          <w:p w14:paraId="1CB100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w:t>
            </w:r>
          </w:p>
        </w:tc>
        <w:tc>
          <w:tcPr>
            <w:tcW w:w="1815" w:type="dxa"/>
            <w:tcBorders>
              <w:top w:val="single" w:color="auto" w:sz="4" w:space="0"/>
              <w:left w:val="single" w:color="auto" w:sz="4" w:space="0"/>
              <w:bottom w:val="single" w:color="auto" w:sz="4" w:space="0"/>
              <w:right w:val="single" w:color="auto" w:sz="4" w:space="0"/>
            </w:tcBorders>
            <w:vAlign w:val="center"/>
          </w:tcPr>
          <w:p w14:paraId="55FD57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5581FC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2C5095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8A0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622F32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堵漏工具</w:t>
            </w:r>
          </w:p>
        </w:tc>
        <w:tc>
          <w:tcPr>
            <w:tcW w:w="745" w:type="dxa"/>
            <w:tcBorders>
              <w:top w:val="single" w:color="auto" w:sz="4" w:space="0"/>
              <w:left w:val="single" w:color="auto" w:sz="4" w:space="0"/>
              <w:bottom w:val="single" w:color="auto" w:sz="4" w:space="0"/>
              <w:right w:val="single" w:color="auto" w:sz="4" w:space="0"/>
            </w:tcBorders>
            <w:vAlign w:val="center"/>
          </w:tcPr>
          <w:p w14:paraId="36A6B2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套</w:t>
            </w:r>
          </w:p>
        </w:tc>
        <w:tc>
          <w:tcPr>
            <w:tcW w:w="904" w:type="dxa"/>
            <w:tcBorders>
              <w:top w:val="single" w:color="auto" w:sz="4" w:space="0"/>
              <w:left w:val="single" w:color="auto" w:sz="4" w:space="0"/>
              <w:bottom w:val="single" w:color="auto" w:sz="4" w:space="0"/>
              <w:right w:val="single" w:color="auto" w:sz="4" w:space="0"/>
            </w:tcBorders>
            <w:vAlign w:val="center"/>
          </w:tcPr>
          <w:p w14:paraId="0B32BE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w:t>
            </w:r>
          </w:p>
        </w:tc>
        <w:tc>
          <w:tcPr>
            <w:tcW w:w="1815" w:type="dxa"/>
            <w:tcBorders>
              <w:top w:val="single" w:color="auto" w:sz="4" w:space="0"/>
              <w:left w:val="single" w:color="auto" w:sz="4" w:space="0"/>
              <w:bottom w:val="single" w:color="auto" w:sz="4" w:space="0"/>
              <w:right w:val="single" w:color="auto" w:sz="4" w:space="0"/>
            </w:tcBorders>
            <w:vAlign w:val="center"/>
          </w:tcPr>
          <w:p w14:paraId="6B77B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152C4C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66E1DC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r w14:paraId="27DC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vAlign w:val="center"/>
          </w:tcPr>
          <w:p w14:paraId="5BE48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消防</w:t>
            </w:r>
            <w:r>
              <w:rPr>
                <w:rFonts w:hint="eastAsia" w:cs="Times New Roman"/>
                <w:color w:val="auto"/>
                <w:sz w:val="21"/>
                <w:szCs w:val="21"/>
                <w:lang w:eastAsia="zh-CN"/>
              </w:rPr>
              <w:t>锨</w:t>
            </w:r>
          </w:p>
        </w:tc>
        <w:tc>
          <w:tcPr>
            <w:tcW w:w="745" w:type="dxa"/>
            <w:tcBorders>
              <w:top w:val="single" w:color="auto" w:sz="4" w:space="0"/>
              <w:left w:val="single" w:color="auto" w:sz="4" w:space="0"/>
              <w:bottom w:val="single" w:color="auto" w:sz="4" w:space="0"/>
              <w:right w:val="single" w:color="auto" w:sz="4" w:space="0"/>
            </w:tcBorders>
            <w:vAlign w:val="center"/>
          </w:tcPr>
          <w:p w14:paraId="3C1D10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把</w:t>
            </w:r>
          </w:p>
        </w:tc>
        <w:tc>
          <w:tcPr>
            <w:tcW w:w="904" w:type="dxa"/>
            <w:tcBorders>
              <w:top w:val="single" w:color="auto" w:sz="4" w:space="0"/>
              <w:left w:val="single" w:color="auto" w:sz="4" w:space="0"/>
              <w:bottom w:val="single" w:color="auto" w:sz="4" w:space="0"/>
              <w:right w:val="single" w:color="auto" w:sz="4" w:space="0"/>
            </w:tcBorders>
            <w:vAlign w:val="center"/>
          </w:tcPr>
          <w:p w14:paraId="630A8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1815" w:type="dxa"/>
            <w:tcBorders>
              <w:top w:val="single" w:color="auto" w:sz="4" w:space="0"/>
              <w:left w:val="single" w:color="auto" w:sz="4" w:space="0"/>
              <w:bottom w:val="single" w:color="auto" w:sz="4" w:space="0"/>
              <w:right w:val="single" w:color="auto" w:sz="4" w:space="0"/>
            </w:tcBorders>
            <w:vAlign w:val="center"/>
          </w:tcPr>
          <w:p w14:paraId="36CFC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725" w:type="dxa"/>
            <w:tcBorders>
              <w:top w:val="single" w:color="auto" w:sz="4" w:space="0"/>
              <w:left w:val="single" w:color="auto" w:sz="4" w:space="0"/>
              <w:bottom w:val="single" w:color="auto" w:sz="4" w:space="0"/>
              <w:right w:val="single" w:color="auto" w:sz="4" w:space="0"/>
            </w:tcBorders>
            <w:vAlign w:val="center"/>
          </w:tcPr>
          <w:p w14:paraId="75A942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45" w:type="dxa"/>
            <w:tcBorders>
              <w:top w:val="single" w:color="auto" w:sz="4" w:space="0"/>
              <w:left w:val="single" w:color="auto" w:sz="4" w:space="0"/>
              <w:bottom w:val="single" w:color="auto" w:sz="4" w:space="0"/>
              <w:right w:val="single" w:color="auto" w:sz="4" w:space="0"/>
            </w:tcBorders>
            <w:vAlign w:val="center"/>
          </w:tcPr>
          <w:p w14:paraId="6BA612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18615123158</w:t>
            </w:r>
          </w:p>
        </w:tc>
      </w:tr>
    </w:tbl>
    <w:p w14:paraId="2C025B23">
      <w:pPr>
        <w:pStyle w:val="8"/>
        <w:pageBreakBefore w:val="0"/>
        <w:kinsoku/>
        <w:wordWrap/>
        <w:overflowPunct/>
        <w:topLinePunct w:val="0"/>
        <w:autoSpaceDE/>
        <w:autoSpaceDN/>
        <w:bidi w:val="0"/>
        <w:spacing w:before="0" w:after="0"/>
        <w:textAlignment w:val="auto"/>
        <w:rPr>
          <w:rFonts w:hint="eastAsia"/>
          <w:lang w:val="en-US" w:eastAsia="zh-CN"/>
        </w:rPr>
      </w:pPr>
    </w:p>
    <w:p w14:paraId="13E2DD19">
      <w:pPr>
        <w:pStyle w:val="8"/>
        <w:pageBreakBefore w:val="0"/>
        <w:kinsoku/>
        <w:wordWrap/>
        <w:overflowPunct/>
        <w:topLinePunct w:val="0"/>
        <w:autoSpaceDE/>
        <w:autoSpaceDN/>
        <w:bidi w:val="0"/>
        <w:spacing w:before="0" w:after="0"/>
        <w:textAlignment w:val="auto"/>
      </w:pPr>
      <w:r>
        <w:rPr>
          <w:rFonts w:hint="eastAsia"/>
          <w:lang w:val="en-US" w:eastAsia="zh-CN"/>
        </w:rPr>
        <w:t>3.7.2</w:t>
      </w:r>
      <w:r>
        <w:t>内部救援队伍</w:t>
      </w:r>
    </w:p>
    <w:p w14:paraId="491643CD">
      <w:pPr>
        <w:pStyle w:val="9"/>
        <w:pageBreakBefore w:val="0"/>
        <w:numPr>
          <w:ilvl w:val="3"/>
          <w:numId w:val="0"/>
        </w:numPr>
        <w:kinsoku/>
        <w:wordWrap/>
        <w:overflowPunct/>
        <w:topLinePunct w:val="0"/>
        <w:autoSpaceDE/>
        <w:autoSpaceDN/>
        <w:bidi w:val="0"/>
        <w:ind w:left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3.7.2.1</w:t>
      </w:r>
      <w:r>
        <w:rPr>
          <w:rFonts w:hint="eastAsia" w:ascii="宋体" w:hAnsi="宋体" w:eastAsia="宋体" w:cs="宋体"/>
          <w:sz w:val="24"/>
          <w:szCs w:val="24"/>
        </w:rPr>
        <w:t>应急组织体系</w:t>
      </w:r>
    </w:p>
    <w:p w14:paraId="51B40620">
      <w:pPr>
        <w:pStyle w:val="124"/>
        <w:pageBreakBefore w:val="0"/>
        <w:kinsoku/>
        <w:wordWrap/>
        <w:overflowPunct/>
        <w:topLinePunct w:val="0"/>
        <w:autoSpaceDE/>
        <w:autoSpaceDN/>
        <w:bidi w:val="0"/>
        <w:adjustRightInd/>
        <w:snapToGrid/>
        <w:spacing w:line="360" w:lineRule="auto"/>
        <w:textAlignment w:val="auto"/>
        <w:rPr>
          <w:lang w:eastAsia="zh-CN"/>
        </w:rPr>
      </w:pPr>
      <w:bookmarkStart w:id="50" w:name="_Hlk17878841"/>
      <w:bookmarkStart w:id="51" w:name="_Hlk78130349"/>
      <w:bookmarkStart w:id="52" w:name="_Hlk113270044"/>
      <w:r>
        <w:rPr>
          <w:lang w:eastAsia="zh-CN"/>
        </w:rPr>
        <w:t>总指挥：</w:t>
      </w:r>
      <w:r>
        <w:rPr>
          <w:rFonts w:hint="eastAsia"/>
          <w:lang w:eastAsia="zh-CN"/>
        </w:rPr>
        <w:t>崔成武</w:t>
      </w:r>
      <w:r>
        <w:rPr>
          <w:lang w:eastAsia="zh-CN"/>
        </w:rPr>
        <w:t xml:space="preserve">     </w:t>
      </w:r>
    </w:p>
    <w:p w14:paraId="5D6E40DA">
      <w:pPr>
        <w:pStyle w:val="124"/>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caps w:val="0"/>
          <w:smallCaps w:val="0"/>
          <w:snapToGrid w:val="0"/>
          <w:color w:val="auto"/>
          <w:spacing w:val="0"/>
          <w:kern w:val="0"/>
          <w:position w:val="0"/>
          <w:sz w:val="24"/>
          <w:szCs w:val="24"/>
        </w:rPr>
      </w:pPr>
      <w:r>
        <w:rPr>
          <w:lang w:eastAsia="zh-CN"/>
        </w:rPr>
        <w:t>副总指挥：</w:t>
      </w:r>
      <w:r>
        <w:rPr>
          <w:rFonts w:hint="eastAsia" w:ascii="Times New Roman" w:hAnsi="Times New Roman" w:cs="Times New Roman"/>
          <w:bCs/>
          <w:caps w:val="0"/>
          <w:smallCaps w:val="0"/>
          <w:snapToGrid w:val="0"/>
          <w:color w:val="auto"/>
          <w:spacing w:val="0"/>
          <w:kern w:val="0"/>
          <w:position w:val="0"/>
          <w:sz w:val="24"/>
          <w:szCs w:val="24"/>
          <w:lang w:eastAsia="zh-CN"/>
        </w:rPr>
        <w:t>王庆</w:t>
      </w:r>
      <w:r>
        <w:rPr>
          <w:rFonts w:hint="default" w:ascii="Times New Roman" w:hAnsi="Times New Roman" w:eastAsia="宋体" w:cs="Times New Roman"/>
          <w:bCs/>
          <w:caps w:val="0"/>
          <w:smallCaps w:val="0"/>
          <w:snapToGrid w:val="0"/>
          <w:color w:val="auto"/>
          <w:spacing w:val="0"/>
          <w:kern w:val="0"/>
          <w:position w:val="0"/>
          <w:sz w:val="24"/>
          <w:szCs w:val="24"/>
        </w:rPr>
        <w:t xml:space="preserve">  </w:t>
      </w:r>
    </w:p>
    <w:p w14:paraId="1B6CDE4F">
      <w:pPr>
        <w:keepNext/>
        <w:keepLines/>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outlineLvl w:val="9"/>
        <w:rPr>
          <w:rFonts w:hint="default" w:ascii="Times New Roman" w:hAnsi="Times New Roman" w:eastAsia="宋体" w:cs="Times New Roman"/>
          <w:caps w:val="0"/>
          <w:smallCaps w:val="0"/>
          <w:color w:val="auto"/>
          <w:spacing w:val="0"/>
          <w:position w:val="0"/>
          <w:sz w:val="24"/>
          <w:szCs w:val="24"/>
          <w:lang w:val="en-US" w:eastAsia="zh-CN"/>
        </w:rPr>
      </w:pPr>
      <w:r>
        <w:rPr>
          <w:rFonts w:ascii="Times New Roman" w:hAnsi="Times New Roman" w:eastAsia="宋体" w:cs="Times New Roman"/>
          <w:kern w:val="0"/>
          <w:sz w:val="24"/>
          <w:szCs w:val="24"/>
          <w:lang w:val="en-US" w:eastAsia="zh-CN" w:bidi="ar-SA"/>
        </w:rPr>
        <w:t>指挥部成员</w:t>
      </w:r>
      <w:r>
        <w:rPr>
          <w:lang w:eastAsia="zh-CN"/>
        </w:rPr>
        <w:t>：</w:t>
      </w:r>
      <w:bookmarkEnd w:id="50"/>
      <w:r>
        <w:rPr>
          <w:rFonts w:hint="default" w:ascii="Times New Roman" w:hAnsi="Times New Roman" w:eastAsia="宋体" w:cs="Times New Roman"/>
          <w:caps w:val="0"/>
          <w:smallCaps w:val="0"/>
          <w:color w:val="auto"/>
          <w:spacing w:val="0"/>
          <w:position w:val="0"/>
          <w:sz w:val="24"/>
          <w:szCs w:val="24"/>
          <w:lang w:eastAsia="zh-CN"/>
        </w:rPr>
        <w:t>王鹏超、</w:t>
      </w:r>
      <w:r>
        <w:rPr>
          <w:rFonts w:hint="eastAsia" w:ascii="Times New Roman" w:hAnsi="Times New Roman" w:eastAsia="宋体" w:cs="Times New Roman"/>
          <w:caps w:val="0"/>
          <w:smallCaps w:val="0"/>
          <w:color w:val="auto"/>
          <w:spacing w:val="0"/>
          <w:position w:val="0"/>
          <w:sz w:val="24"/>
          <w:szCs w:val="24"/>
          <w:lang w:eastAsia="zh-CN"/>
        </w:rPr>
        <w:t>曹元学、王伦</w:t>
      </w:r>
      <w:r>
        <w:rPr>
          <w:rFonts w:hint="default" w:ascii="Times New Roman" w:hAnsi="Times New Roman" w:eastAsia="宋体" w:cs="Times New Roman"/>
          <w:caps w:val="0"/>
          <w:smallCaps w:val="0"/>
          <w:color w:val="auto"/>
          <w:spacing w:val="0"/>
          <w:position w:val="0"/>
          <w:sz w:val="24"/>
          <w:szCs w:val="24"/>
        </w:rPr>
        <w:t>、薛晓霞、</w:t>
      </w:r>
      <w:r>
        <w:rPr>
          <w:rFonts w:hint="eastAsia" w:ascii="Times New Roman" w:hAnsi="Times New Roman" w:eastAsia="宋体" w:cs="Times New Roman"/>
          <w:caps w:val="0"/>
          <w:smallCaps w:val="0"/>
          <w:color w:val="auto"/>
          <w:spacing w:val="0"/>
          <w:position w:val="0"/>
          <w:sz w:val="24"/>
          <w:szCs w:val="24"/>
          <w:lang w:eastAsia="zh-CN"/>
        </w:rPr>
        <w:t>刘华、李超</w:t>
      </w:r>
    </w:p>
    <w:p w14:paraId="23631456">
      <w:pPr>
        <w:pStyle w:val="124"/>
        <w:rPr>
          <w:lang w:eastAsia="zh-CN"/>
        </w:rPr>
      </w:pPr>
      <w:r>
        <w:rPr>
          <w:lang w:eastAsia="zh-CN"/>
        </w:rPr>
        <w:t>日常工作由</w:t>
      </w:r>
      <w:r>
        <w:rPr>
          <w:rFonts w:hint="eastAsia"/>
          <w:lang w:eastAsia="zh-CN"/>
        </w:rPr>
        <w:t>安环部</w:t>
      </w:r>
      <w:r>
        <w:rPr>
          <w:lang w:eastAsia="zh-CN"/>
        </w:rPr>
        <w:t>负责。事故发生时以应急指挥部为中心协调各专业组工作。</w:t>
      </w:r>
      <w:bookmarkEnd w:id="51"/>
      <w:r>
        <w:rPr>
          <w:rFonts w:hint="eastAsia"/>
          <w:lang w:eastAsia="zh-CN"/>
        </w:rPr>
        <w:t>指挥部设在公司安环部。</w:t>
      </w:r>
    </w:p>
    <w:p w14:paraId="77E5C2F1">
      <w:pPr>
        <w:pStyle w:val="124"/>
        <w:ind w:left="0" w:leftChars="0" w:firstLine="480" w:firstLineChars="200"/>
      </w:pPr>
      <w:r>
        <w:rPr>
          <w:rFonts w:hint="eastAsia"/>
          <w:lang w:eastAsia="zh-CN"/>
        </w:rPr>
        <w:t>事故指挥部成立各事故救援小组，统一由指挥部指挥。</w:t>
      </w:r>
      <w:r>
        <w:rPr>
          <w:rFonts w:hint="eastAsia"/>
        </w:rPr>
        <w:t>组织结构图如下所示：</w:t>
      </w:r>
      <w:bookmarkEnd w:id="52"/>
      <w:bookmarkStart w:id="53" w:name="_Toc15446"/>
      <w:bookmarkStart w:id="54" w:name="_Toc24041"/>
    </w:p>
    <w:p w14:paraId="02C31D7E">
      <w:pPr>
        <w:pStyle w:val="124"/>
        <w:spacing w:before="120"/>
        <w:ind w:left="0" w:leftChars="0" w:firstLine="0" w:firstLineChars="0"/>
      </w:pPr>
      <w:r>
        <w:drawing>
          <wp:anchor distT="0" distB="0" distL="0" distR="0" simplePos="0" relativeHeight="251663360" behindDoc="0" locked="0" layoutInCell="1" allowOverlap="1">
            <wp:simplePos x="0" y="0"/>
            <wp:positionH relativeFrom="column">
              <wp:posOffset>1228725</wp:posOffset>
            </wp:positionH>
            <wp:positionV relativeFrom="paragraph">
              <wp:posOffset>252095</wp:posOffset>
            </wp:positionV>
            <wp:extent cx="3469005" cy="2737485"/>
            <wp:effectExtent l="0" t="0" r="17145" b="5715"/>
            <wp:wrapSquare wrapText="bothSides"/>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469005" cy="2737485"/>
                    </a:xfrm>
                    <a:prstGeom prst="rect">
                      <a:avLst/>
                    </a:prstGeom>
                    <a:noFill/>
                  </pic:spPr>
                </pic:pic>
              </a:graphicData>
            </a:graphic>
          </wp:anchor>
        </w:drawing>
      </w:r>
    </w:p>
    <w:p w14:paraId="12DF404D">
      <w:pPr>
        <w:pStyle w:val="124"/>
        <w:spacing w:before="120"/>
        <w:ind w:left="0" w:leftChars="0" w:firstLine="0" w:firstLineChars="0"/>
      </w:pPr>
    </w:p>
    <w:p w14:paraId="00994762">
      <w:pPr>
        <w:pStyle w:val="124"/>
        <w:spacing w:before="120"/>
        <w:ind w:left="0" w:leftChars="0" w:firstLine="0" w:firstLineChars="0"/>
      </w:pPr>
    </w:p>
    <w:p w14:paraId="5F80F497">
      <w:pPr>
        <w:pStyle w:val="124"/>
        <w:spacing w:before="120"/>
        <w:ind w:left="0" w:leftChars="0" w:firstLine="0" w:firstLineChars="0"/>
      </w:pPr>
    </w:p>
    <w:p w14:paraId="2D6C8592">
      <w:pPr>
        <w:pStyle w:val="124"/>
        <w:spacing w:before="120"/>
        <w:ind w:left="0" w:leftChars="0" w:firstLine="0" w:firstLineChars="0"/>
      </w:pPr>
    </w:p>
    <w:p w14:paraId="3770AAD1">
      <w:pPr>
        <w:pStyle w:val="124"/>
        <w:spacing w:before="120"/>
        <w:ind w:left="0" w:leftChars="0" w:firstLine="0" w:firstLineChars="0"/>
      </w:pPr>
    </w:p>
    <w:p w14:paraId="689ED665">
      <w:pPr>
        <w:pStyle w:val="130"/>
        <w:spacing w:after="240"/>
        <w:rPr>
          <w:rFonts w:hint="eastAsia"/>
        </w:rPr>
      </w:pPr>
    </w:p>
    <w:p w14:paraId="17FE5155">
      <w:pPr>
        <w:pStyle w:val="112"/>
        <w:rPr>
          <w:rFonts w:hint="eastAsia"/>
        </w:rPr>
      </w:pPr>
    </w:p>
    <w:p w14:paraId="69BCFDDB">
      <w:pPr>
        <w:pStyle w:val="112"/>
        <w:ind w:left="0" w:leftChars="0" w:firstLine="0" w:firstLineChars="0"/>
        <w:rPr>
          <w:rFonts w:hint="eastAsia"/>
        </w:rPr>
      </w:pPr>
    </w:p>
    <w:p w14:paraId="1B9CA232">
      <w:pPr>
        <w:pStyle w:val="130"/>
        <w:spacing w:after="240"/>
        <w:rPr>
          <w:rFonts w:hint="eastAsia"/>
          <w:lang w:val="en-US" w:eastAsia="zh-CN"/>
        </w:rPr>
      </w:pPr>
      <w:r>
        <w:rPr>
          <w:rFonts w:hint="eastAsia"/>
          <w:lang w:val="en-US" w:eastAsia="zh-CN"/>
        </w:rPr>
        <w:t xml:space="preserve">      </w:t>
      </w:r>
    </w:p>
    <w:p w14:paraId="3FE9F375">
      <w:pPr>
        <w:pStyle w:val="130"/>
        <w:spacing w:after="240"/>
      </w:pPr>
      <w:r>
        <w:rPr>
          <w:rFonts w:hint="eastAsia"/>
        </w:rPr>
        <w:t xml:space="preserve">图 </w:t>
      </w:r>
      <w:r>
        <w:fldChar w:fldCharType="begin"/>
      </w:r>
      <w:r>
        <w:instrText xml:space="preserve"> </w:instrText>
      </w:r>
      <w:r>
        <w:rPr>
          <w:rFonts w:hint="eastAsia"/>
        </w:rPr>
        <w:instrText xml:space="preserve">STYLEREF 2 \s</w:instrText>
      </w:r>
      <w:r>
        <w:instrText xml:space="preserve"> </w:instrText>
      </w:r>
      <w:r>
        <w:fldChar w:fldCharType="separate"/>
      </w:r>
      <w:r>
        <w:t>3.7</w:t>
      </w:r>
      <w:r>
        <w:fldChar w:fldCharType="end"/>
      </w:r>
      <w:r>
        <w:noBreakHyphen/>
      </w:r>
      <w:r>
        <w:fldChar w:fldCharType="begin"/>
      </w:r>
      <w:r>
        <w:instrText xml:space="preserve"> </w:instrText>
      </w:r>
      <w:r>
        <w:rPr>
          <w:rFonts w:hint="eastAsia"/>
        </w:rPr>
        <w:instrText xml:space="preserve">SEQ 图表 \* ARABIC \s 2</w:instrText>
      </w:r>
      <w:r>
        <w:instrText xml:space="preserve"> </w:instrText>
      </w:r>
      <w:r>
        <w:fldChar w:fldCharType="separate"/>
      </w:r>
      <w:r>
        <w:t>1</w:t>
      </w:r>
      <w:r>
        <w:fldChar w:fldCharType="end"/>
      </w:r>
      <w:r>
        <w:t xml:space="preserve"> </w:t>
      </w:r>
      <w:r>
        <w:rPr>
          <w:rFonts w:hint="eastAsia"/>
        </w:rPr>
        <w:t>企业突发环境事件应急组织结构图</w:t>
      </w:r>
    </w:p>
    <w:p w14:paraId="3F147C5C">
      <w:pPr>
        <w:pStyle w:val="124"/>
        <w:spacing w:before="120"/>
        <w:ind w:left="0" w:leftChars="0" w:firstLine="480" w:firstLineChars="200"/>
        <w:rPr>
          <w:rFonts w:hint="default" w:ascii="Times New Roman" w:hAnsi="Times New Roman" w:cs="Times New Roman"/>
          <w:b w:val="0"/>
          <w:bCs/>
          <w:color w:val="auto"/>
          <w:sz w:val="24"/>
          <w:szCs w:val="24"/>
          <w:highlight w:val="none"/>
          <w:lang w:eastAsia="zh-CN"/>
        </w:rPr>
      </w:pPr>
      <w:r>
        <w:rPr>
          <w:rFonts w:hint="default" w:ascii="Times New Roman" w:hAnsi="Times New Roman" w:cs="Times New Roman"/>
          <w:b w:val="0"/>
          <w:bCs/>
          <w:color w:val="auto"/>
          <w:sz w:val="24"/>
          <w:szCs w:val="24"/>
          <w:highlight w:val="none"/>
          <w:lang w:eastAsia="zh-CN"/>
        </w:rPr>
        <w:t>发生突发环境事故时，</w:t>
      </w:r>
      <w:r>
        <w:rPr>
          <w:rFonts w:hint="eastAsia" w:cs="Times New Roman"/>
          <w:b w:val="0"/>
          <w:bCs/>
          <w:color w:val="auto"/>
          <w:sz w:val="24"/>
          <w:szCs w:val="24"/>
          <w:highlight w:val="none"/>
          <w:lang w:eastAsia="zh-CN"/>
        </w:rPr>
        <w:t>总</w:t>
      </w:r>
      <w:r>
        <w:rPr>
          <w:rFonts w:hint="default" w:ascii="Times New Roman" w:hAnsi="Times New Roman" w:cs="Times New Roman"/>
          <w:b w:val="0"/>
          <w:bCs/>
          <w:color w:val="auto"/>
          <w:sz w:val="24"/>
          <w:szCs w:val="24"/>
          <w:highlight w:val="none"/>
          <w:lang w:eastAsia="zh-CN"/>
        </w:rPr>
        <w:t>指挥为</w:t>
      </w:r>
      <w:r>
        <w:rPr>
          <w:rFonts w:hint="eastAsia" w:cs="Times New Roman"/>
          <w:b w:val="0"/>
          <w:bCs/>
          <w:color w:val="auto"/>
          <w:sz w:val="24"/>
          <w:szCs w:val="24"/>
          <w:highlight w:val="none"/>
          <w:lang w:eastAsia="zh-CN"/>
        </w:rPr>
        <w:t>企业主要负责</w:t>
      </w:r>
      <w:r>
        <w:rPr>
          <w:rFonts w:hint="default" w:ascii="Times New Roman" w:hAnsi="Times New Roman" w:cs="Times New Roman"/>
          <w:b w:val="0"/>
          <w:bCs/>
          <w:color w:val="auto"/>
          <w:sz w:val="24"/>
          <w:szCs w:val="24"/>
          <w:highlight w:val="none"/>
          <w:lang w:eastAsia="zh-CN"/>
        </w:rPr>
        <w:t>人，若</w:t>
      </w:r>
      <w:r>
        <w:rPr>
          <w:rFonts w:hint="eastAsia" w:cs="Times New Roman"/>
          <w:b w:val="0"/>
          <w:bCs/>
          <w:color w:val="auto"/>
          <w:sz w:val="24"/>
          <w:szCs w:val="24"/>
          <w:highlight w:val="none"/>
          <w:lang w:eastAsia="zh-CN"/>
        </w:rPr>
        <w:t>总</w:t>
      </w:r>
      <w:r>
        <w:rPr>
          <w:rFonts w:hint="default" w:ascii="Times New Roman" w:hAnsi="Times New Roman" w:cs="Times New Roman"/>
          <w:b w:val="0"/>
          <w:bCs/>
          <w:color w:val="auto"/>
          <w:sz w:val="24"/>
          <w:szCs w:val="24"/>
          <w:highlight w:val="none"/>
          <w:lang w:eastAsia="zh-CN"/>
        </w:rPr>
        <w:t>指挥不在时，由副指挥为临时指挥，负责全厂应急救援工作的组织和指挥，指挥部设在</w:t>
      </w:r>
      <w:r>
        <w:rPr>
          <w:rFonts w:hint="eastAsia" w:cs="Times New Roman"/>
          <w:b w:val="0"/>
          <w:bCs/>
          <w:color w:val="auto"/>
          <w:sz w:val="24"/>
          <w:szCs w:val="24"/>
          <w:highlight w:val="none"/>
          <w:lang w:eastAsia="zh-CN"/>
        </w:rPr>
        <w:t>公司安环部</w:t>
      </w:r>
      <w:r>
        <w:rPr>
          <w:rFonts w:hint="default" w:ascii="Times New Roman" w:hAnsi="Times New Roman" w:cs="Times New Roman"/>
          <w:b w:val="0"/>
          <w:bCs/>
          <w:color w:val="auto"/>
          <w:sz w:val="24"/>
          <w:szCs w:val="24"/>
          <w:highlight w:val="none"/>
          <w:lang w:eastAsia="zh-CN"/>
        </w:rPr>
        <w:t>。</w:t>
      </w:r>
    </w:p>
    <w:p w14:paraId="11748911">
      <w:pPr>
        <w:pStyle w:val="124"/>
        <w:spacing w:before="120"/>
        <w:ind w:left="0" w:leftChars="0" w:firstLine="0" w:firstLineChars="0"/>
        <w:rPr>
          <w:rFonts w:hint="eastAsia" w:ascii="宋体" w:hAnsi="宋体" w:eastAsia="宋体" w:cs="宋体"/>
          <w:b/>
          <w:bCs/>
        </w:rPr>
      </w:pPr>
      <w:r>
        <w:rPr>
          <w:rFonts w:hint="eastAsia" w:ascii="宋体" w:hAnsi="宋体" w:eastAsia="宋体" w:cs="宋体"/>
          <w:b/>
          <w:bCs/>
          <w:lang w:val="en-US" w:eastAsia="zh-CN"/>
        </w:rPr>
        <w:t>3.7.2.2</w:t>
      </w:r>
      <w:r>
        <w:rPr>
          <w:rFonts w:hint="eastAsia" w:ascii="宋体" w:hAnsi="宋体" w:eastAsia="宋体" w:cs="宋体"/>
          <w:b/>
          <w:bCs/>
        </w:rPr>
        <w:t>指挥部职责</w:t>
      </w:r>
    </w:p>
    <w:p w14:paraId="33F71AA5">
      <w:pPr>
        <w:pStyle w:val="124"/>
        <w:rPr>
          <w:lang w:eastAsia="zh-CN"/>
        </w:rPr>
      </w:pPr>
      <w:r>
        <w:rPr>
          <w:lang w:eastAsia="zh-CN"/>
        </w:rPr>
        <w:t>（1）负责事故应急救援预案的组织制定,审核重大环保事故处理预案；</w:t>
      </w:r>
    </w:p>
    <w:p w14:paraId="53355CCD">
      <w:pPr>
        <w:pStyle w:val="124"/>
        <w:rPr>
          <w:lang w:eastAsia="zh-CN"/>
        </w:rPr>
      </w:pPr>
      <w:r>
        <w:rPr>
          <w:lang w:eastAsia="zh-CN"/>
        </w:rPr>
        <w:t>（2）负责重大环保事故应急救援工作的指挥，负责人员、资源配置、应急队伍的调动工作,组织调动各抢险队伍救灾抢险；</w:t>
      </w:r>
    </w:p>
    <w:p w14:paraId="38F562A3">
      <w:pPr>
        <w:pStyle w:val="124"/>
        <w:rPr>
          <w:lang w:eastAsia="zh-CN"/>
        </w:rPr>
      </w:pPr>
      <w:r>
        <w:rPr>
          <w:lang w:eastAsia="zh-CN"/>
        </w:rPr>
        <w:t>（3）随时研究救灾情况与出现的新问题，对重大问题做出决策；</w:t>
      </w:r>
    </w:p>
    <w:p w14:paraId="5E9AED13">
      <w:pPr>
        <w:pStyle w:val="124"/>
        <w:rPr>
          <w:lang w:eastAsia="zh-CN"/>
        </w:rPr>
      </w:pPr>
      <w:r>
        <w:rPr>
          <w:lang w:eastAsia="zh-CN"/>
        </w:rPr>
        <w:t>（4）组织有关部门做好善后处理及事故统计报告工作。</w:t>
      </w:r>
    </w:p>
    <w:p w14:paraId="09FCF12A">
      <w:pPr>
        <w:pStyle w:val="124"/>
        <w:rPr>
          <w:lang w:eastAsia="zh-CN"/>
        </w:rPr>
      </w:pPr>
      <w:r>
        <w:rPr>
          <w:lang w:eastAsia="zh-CN"/>
        </w:rPr>
        <w:t>（5）组织指挥全厂的应急救援工作；</w:t>
      </w:r>
    </w:p>
    <w:p w14:paraId="0A56D151">
      <w:pPr>
        <w:pStyle w:val="9"/>
        <w:pageBreakBefore w:val="0"/>
        <w:numPr>
          <w:ilvl w:val="3"/>
          <w:numId w:val="0"/>
        </w:numPr>
        <w:kinsoku/>
        <w:wordWrap/>
        <w:overflowPunct/>
        <w:topLinePunct w:val="0"/>
        <w:autoSpaceDE/>
        <w:autoSpaceDN/>
        <w:bidi w:val="0"/>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3.7.2.3指挥部成员职责 </w:t>
      </w:r>
    </w:p>
    <w:p w14:paraId="48F885D4">
      <w:pPr>
        <w:pStyle w:val="124"/>
        <w:rPr>
          <w:lang w:eastAsia="zh-CN"/>
        </w:rPr>
      </w:pPr>
      <w:r>
        <w:rPr>
          <w:lang w:eastAsia="zh-CN"/>
        </w:rPr>
        <w:t>（1）总指挥：负责指挥、组织协调重大环保事故应急救援工作，对重大问题做出决策，下达救援抢险命令。</w:t>
      </w:r>
    </w:p>
    <w:p w14:paraId="28D03FF4">
      <w:pPr>
        <w:pStyle w:val="124"/>
        <w:rPr>
          <w:lang w:eastAsia="zh-CN"/>
        </w:rPr>
      </w:pPr>
      <w:r>
        <w:rPr>
          <w:rFonts w:hint="eastAsia"/>
          <w:lang w:eastAsia="zh-CN"/>
        </w:rPr>
        <w:t>①</w:t>
      </w:r>
      <w:r>
        <w:rPr>
          <w:lang w:eastAsia="zh-CN"/>
        </w:rPr>
        <w:t>组织制订突发环境事件应急预案；</w:t>
      </w:r>
    </w:p>
    <w:p w14:paraId="265B8932">
      <w:pPr>
        <w:pStyle w:val="124"/>
        <w:rPr>
          <w:lang w:eastAsia="zh-CN"/>
        </w:rPr>
      </w:pPr>
      <w:r>
        <w:rPr>
          <w:rFonts w:hint="eastAsia"/>
          <w:lang w:eastAsia="zh-CN"/>
        </w:rPr>
        <w:t>②</w:t>
      </w:r>
      <w:r>
        <w:rPr>
          <w:lang w:eastAsia="zh-CN"/>
        </w:rPr>
        <w:t>负责人员、资源配置、应急队伍的调动；</w:t>
      </w:r>
    </w:p>
    <w:p w14:paraId="32097F54">
      <w:pPr>
        <w:pStyle w:val="124"/>
        <w:rPr>
          <w:lang w:eastAsia="zh-CN"/>
        </w:rPr>
      </w:pPr>
      <w:r>
        <w:rPr>
          <w:rFonts w:hint="eastAsia"/>
          <w:lang w:eastAsia="zh-CN"/>
        </w:rPr>
        <w:t>③</w:t>
      </w:r>
      <w:r>
        <w:rPr>
          <w:lang w:eastAsia="zh-CN"/>
        </w:rPr>
        <w:t>确定现场指挥人员；</w:t>
      </w:r>
    </w:p>
    <w:p w14:paraId="16938D80">
      <w:pPr>
        <w:pStyle w:val="124"/>
        <w:rPr>
          <w:lang w:eastAsia="zh-CN"/>
        </w:rPr>
      </w:pPr>
      <w:r>
        <w:rPr>
          <w:rFonts w:hint="eastAsia"/>
          <w:lang w:eastAsia="zh-CN"/>
        </w:rPr>
        <w:t>④</w:t>
      </w:r>
      <w:r>
        <w:rPr>
          <w:lang w:eastAsia="zh-CN"/>
        </w:rPr>
        <w:t>协调事故现场有关工作；</w:t>
      </w:r>
    </w:p>
    <w:p w14:paraId="274B1727">
      <w:pPr>
        <w:pStyle w:val="124"/>
        <w:rPr>
          <w:lang w:eastAsia="zh-CN"/>
        </w:rPr>
      </w:pPr>
      <w:r>
        <w:rPr>
          <w:rFonts w:hint="eastAsia"/>
          <w:lang w:eastAsia="zh-CN"/>
        </w:rPr>
        <w:t>⑤</w:t>
      </w:r>
      <w:r>
        <w:rPr>
          <w:lang w:eastAsia="zh-CN"/>
        </w:rPr>
        <w:t>发布本预案的启动与终止；</w:t>
      </w:r>
    </w:p>
    <w:p w14:paraId="56FDAC9D">
      <w:pPr>
        <w:pStyle w:val="124"/>
        <w:rPr>
          <w:lang w:eastAsia="zh-CN"/>
        </w:rPr>
      </w:pPr>
      <w:r>
        <w:rPr>
          <w:rFonts w:hint="eastAsia"/>
          <w:lang w:eastAsia="zh-CN"/>
        </w:rPr>
        <w:t>⑥</w:t>
      </w:r>
      <w:r>
        <w:rPr>
          <w:lang w:eastAsia="zh-CN"/>
        </w:rPr>
        <w:t>负责突发环境事件信息的上报工作；</w:t>
      </w:r>
    </w:p>
    <w:p w14:paraId="0F9AB174">
      <w:pPr>
        <w:pStyle w:val="124"/>
        <w:rPr>
          <w:lang w:eastAsia="zh-CN"/>
        </w:rPr>
      </w:pPr>
      <w:r>
        <w:rPr>
          <w:rFonts w:hint="eastAsia"/>
          <w:lang w:eastAsia="zh-CN"/>
        </w:rPr>
        <w:t>⑦</w:t>
      </w:r>
      <w:r>
        <w:rPr>
          <w:lang w:eastAsia="zh-CN"/>
        </w:rPr>
        <w:t>接受政府的指令和调动；</w:t>
      </w:r>
    </w:p>
    <w:p w14:paraId="2E04C79A">
      <w:pPr>
        <w:pStyle w:val="124"/>
        <w:rPr>
          <w:lang w:eastAsia="zh-CN"/>
        </w:rPr>
      </w:pPr>
      <w:r>
        <w:rPr>
          <w:rFonts w:hint="eastAsia"/>
          <w:lang w:eastAsia="zh-CN"/>
        </w:rPr>
        <w:t>⑧</w:t>
      </w:r>
      <w:r>
        <w:rPr>
          <w:lang w:eastAsia="zh-CN"/>
        </w:rPr>
        <w:t>组织应急预案的演练；</w:t>
      </w:r>
    </w:p>
    <w:p w14:paraId="2B2A5DD5">
      <w:pPr>
        <w:pStyle w:val="124"/>
        <w:rPr>
          <w:lang w:eastAsia="zh-CN"/>
        </w:rPr>
      </w:pPr>
      <w:r>
        <w:rPr>
          <w:rFonts w:hint="eastAsia"/>
          <w:lang w:eastAsia="zh-CN"/>
        </w:rPr>
        <w:t>⑨</w:t>
      </w:r>
      <w:r>
        <w:rPr>
          <w:lang w:eastAsia="zh-CN"/>
        </w:rPr>
        <w:t>负责保护事故现场及相关数据。</w:t>
      </w:r>
    </w:p>
    <w:p w14:paraId="367CD7A6">
      <w:pPr>
        <w:pStyle w:val="124"/>
        <w:rPr>
          <w:lang w:eastAsia="zh-CN"/>
        </w:rPr>
      </w:pPr>
      <w:r>
        <w:rPr>
          <w:lang w:eastAsia="zh-CN"/>
        </w:rPr>
        <w:t>（2）副总指挥：组织指挥应急抢险工作的实施，指挥协调各抢险队的抢险工作，向上级有关部门报告抢险情况，组织搞好善后处理。</w:t>
      </w:r>
    </w:p>
    <w:p w14:paraId="500F6E42">
      <w:pPr>
        <w:pStyle w:val="124"/>
        <w:rPr>
          <w:lang w:eastAsia="zh-CN"/>
        </w:rPr>
      </w:pPr>
      <w:r>
        <w:rPr>
          <w:rFonts w:hint="eastAsia"/>
          <w:lang w:eastAsia="zh-CN"/>
        </w:rPr>
        <w:t>①判断是否可能或已经发生突发环境事故，是否要求应急服务机构帮助；</w:t>
      </w:r>
    </w:p>
    <w:p w14:paraId="504FA6E1">
      <w:pPr>
        <w:pStyle w:val="124"/>
        <w:rPr>
          <w:lang w:eastAsia="zh-CN"/>
        </w:rPr>
      </w:pPr>
      <w:r>
        <w:rPr>
          <w:rFonts w:hint="eastAsia"/>
          <w:lang w:eastAsia="zh-CN"/>
        </w:rPr>
        <w:t>②在确保安全的前提下，尝试对危险设施进行直接操作、控制；</w:t>
      </w:r>
    </w:p>
    <w:p w14:paraId="3780F5A8">
      <w:pPr>
        <w:pStyle w:val="124"/>
        <w:rPr>
          <w:lang w:eastAsia="zh-CN"/>
        </w:rPr>
      </w:pPr>
      <w:r>
        <w:rPr>
          <w:rFonts w:hint="eastAsia"/>
          <w:lang w:eastAsia="zh-CN"/>
        </w:rPr>
        <w:t>③继续调查和评估事故的可能发展方向，以预测事故的发展过程；</w:t>
      </w:r>
    </w:p>
    <w:p w14:paraId="3BF4894F">
      <w:pPr>
        <w:pStyle w:val="124"/>
        <w:rPr>
          <w:lang w:eastAsia="zh-CN"/>
        </w:rPr>
      </w:pPr>
      <w:r>
        <w:rPr>
          <w:rFonts w:hint="eastAsia"/>
          <w:lang w:eastAsia="zh-CN"/>
        </w:rPr>
        <w:t>④指导危险设施的全部或部分停止运行，并与现场管理人员和关键岗位的人员配合，指挥现场人员撤离；</w:t>
      </w:r>
    </w:p>
    <w:p w14:paraId="163BCAA8">
      <w:pPr>
        <w:pStyle w:val="124"/>
        <w:rPr>
          <w:lang w:eastAsia="zh-CN"/>
        </w:rPr>
      </w:pPr>
      <w:r>
        <w:rPr>
          <w:rFonts w:hint="eastAsia"/>
          <w:lang w:eastAsia="zh-CN"/>
        </w:rPr>
        <w:t>⑤与消防人员、地方政府和政府安全监管人员保持密切联系；</w:t>
      </w:r>
    </w:p>
    <w:p w14:paraId="36D6658C">
      <w:pPr>
        <w:pStyle w:val="124"/>
        <w:rPr>
          <w:lang w:eastAsia="zh-CN"/>
        </w:rPr>
      </w:pPr>
      <w:r>
        <w:rPr>
          <w:rFonts w:hint="eastAsia"/>
          <w:lang w:eastAsia="zh-CN"/>
        </w:rPr>
        <w:t>⑥在危险源现场实施交通管制；</w:t>
      </w:r>
    </w:p>
    <w:p w14:paraId="228CEA27">
      <w:pPr>
        <w:pStyle w:val="124"/>
        <w:rPr>
          <w:lang w:eastAsia="zh-CN"/>
        </w:rPr>
      </w:pPr>
      <w:r>
        <w:rPr>
          <w:rFonts w:hint="eastAsia"/>
          <w:lang w:eastAsia="zh-CN"/>
        </w:rPr>
        <w:t>⑦对难以解决的紧急情况做出安排；</w:t>
      </w:r>
    </w:p>
    <w:p w14:paraId="460760DF">
      <w:pPr>
        <w:pStyle w:val="124"/>
        <w:rPr>
          <w:lang w:eastAsia="zh-CN"/>
        </w:rPr>
      </w:pPr>
      <w:r>
        <w:rPr>
          <w:rFonts w:hint="eastAsia"/>
          <w:lang w:eastAsia="zh-CN"/>
        </w:rPr>
        <w:t>⑧在事故紧急状态结束之后，安排恢复受事故影响地区的正常秩序；</w:t>
      </w:r>
    </w:p>
    <w:p w14:paraId="51C05FB5">
      <w:pPr>
        <w:pStyle w:val="124"/>
        <w:rPr>
          <w:lang w:eastAsia="zh-CN"/>
        </w:rPr>
      </w:pPr>
      <w:r>
        <w:rPr>
          <w:rFonts w:hint="eastAsia"/>
          <w:lang w:eastAsia="zh-CN"/>
        </w:rPr>
        <w:t>⑨当总指挥不在企业时，负责代理总指挥行使应急救援权力。</w:t>
      </w:r>
    </w:p>
    <w:p w14:paraId="378A7F86">
      <w:pPr>
        <w:pStyle w:val="124"/>
        <w:rPr>
          <w:lang w:eastAsia="zh-CN"/>
        </w:rPr>
      </w:pPr>
      <w:bookmarkStart w:id="55" w:name="_Hlk73092737"/>
      <w:r>
        <w:rPr>
          <w:lang w:eastAsia="zh-CN"/>
        </w:rPr>
        <w:t>（3）现场处置组：</w:t>
      </w:r>
      <w:r>
        <w:rPr>
          <w:rFonts w:hint="eastAsia"/>
          <w:lang w:eastAsia="zh-CN"/>
        </w:rPr>
        <w:t>由调度殷锡福任正组长，王伦、孙永利任副组长</w:t>
      </w:r>
      <w:r>
        <w:rPr>
          <w:lang w:eastAsia="zh-CN"/>
        </w:rPr>
        <w:t>，成员由班组长、技术工人组成，负责排除险情，抢救受伤受困员工，保护周边环境；负责抢险抢修物资的储备及管理。协助总指挥完成对设备的处置、隔离、修复和抢险用物资的调用，及时关闭雨水系统，打开污水系统阀门，将污水引入应急缓冲池，防止事故扩大。执行应急指挥部下达抢修任务。</w:t>
      </w:r>
    </w:p>
    <w:p w14:paraId="64A529E1">
      <w:pPr>
        <w:pStyle w:val="124"/>
        <w:rPr>
          <w:lang w:eastAsia="zh-CN"/>
        </w:rPr>
      </w:pPr>
      <w:r>
        <w:rPr>
          <w:rFonts w:hint="eastAsia"/>
          <w:lang w:eastAsia="zh-CN"/>
        </w:rPr>
        <w:t>①</w:t>
      </w:r>
      <w:r>
        <w:rPr>
          <w:lang w:eastAsia="zh-CN"/>
        </w:rPr>
        <w:t>发生事故后，厂值班室应立即通知有关部门和单位赶赴现场，按照总指挥下达的指令，做好厂内各部门及对外协调的工作。负责组织切断泄漏物料、平衡系统物料、安排紧急停车、泄露物料回收等事宜。划定危险区和指挥区，控制车辆、人员的进入。</w:t>
      </w:r>
    </w:p>
    <w:p w14:paraId="68A44341">
      <w:pPr>
        <w:pStyle w:val="124"/>
        <w:rPr>
          <w:lang w:eastAsia="zh-CN"/>
        </w:rPr>
      </w:pPr>
      <w:r>
        <w:rPr>
          <w:rFonts w:hint="eastAsia"/>
          <w:lang w:eastAsia="zh-CN"/>
        </w:rPr>
        <w:t>②</w:t>
      </w:r>
      <w:r>
        <w:rPr>
          <w:lang w:eastAsia="zh-CN"/>
        </w:rPr>
        <w:t>具体制定并实施防止事故扩大的安全防范措施。</w:t>
      </w:r>
    </w:p>
    <w:p w14:paraId="3678FA28">
      <w:pPr>
        <w:pStyle w:val="124"/>
        <w:rPr>
          <w:lang w:eastAsia="zh-CN"/>
        </w:rPr>
      </w:pPr>
      <w:r>
        <w:rPr>
          <w:rFonts w:hint="eastAsia"/>
          <w:lang w:eastAsia="zh-CN"/>
        </w:rPr>
        <w:t>③</w:t>
      </w:r>
      <w:r>
        <w:rPr>
          <w:lang w:eastAsia="zh-CN"/>
        </w:rPr>
        <w:t>迅速查明事故的性质、类别、影响范围等基本情况，制定救援方案，报指挥部审定后实施。</w:t>
      </w:r>
    </w:p>
    <w:p w14:paraId="0EA58A25">
      <w:pPr>
        <w:pStyle w:val="124"/>
        <w:rPr>
          <w:lang w:eastAsia="zh-CN"/>
        </w:rPr>
      </w:pPr>
      <w:r>
        <w:rPr>
          <w:rFonts w:hint="eastAsia"/>
          <w:lang w:eastAsia="zh-CN"/>
        </w:rPr>
        <w:t>④</w:t>
      </w:r>
      <w:r>
        <w:rPr>
          <w:lang w:eastAsia="zh-CN"/>
        </w:rPr>
        <w:t>负责事故现场人员疏散工作。</w:t>
      </w:r>
    </w:p>
    <w:p w14:paraId="540B4F49">
      <w:pPr>
        <w:pStyle w:val="124"/>
        <w:rPr>
          <w:lang w:eastAsia="zh-CN"/>
        </w:rPr>
      </w:pPr>
      <w:r>
        <w:rPr>
          <w:rFonts w:hint="eastAsia"/>
          <w:lang w:eastAsia="zh-CN"/>
        </w:rPr>
        <w:t>⑤</w:t>
      </w:r>
      <w:r>
        <w:rPr>
          <w:lang w:eastAsia="zh-CN"/>
        </w:rPr>
        <w:t>承办指挥部负责人交办的其它工作。</w:t>
      </w:r>
    </w:p>
    <w:p w14:paraId="786F5609">
      <w:pPr>
        <w:pStyle w:val="124"/>
        <w:rPr>
          <w:lang w:eastAsia="zh-CN"/>
        </w:rPr>
      </w:pPr>
      <w:r>
        <w:rPr>
          <w:rFonts w:hint="eastAsia"/>
          <w:lang w:eastAsia="zh-CN"/>
        </w:rPr>
        <w:t>⑥</w:t>
      </w:r>
      <w:r>
        <w:rPr>
          <w:lang w:eastAsia="zh-CN"/>
        </w:rPr>
        <w:t>主要负责事故现场及抢险过程泄漏物料和消防废水的监测、堵截、中和、洗消等。</w:t>
      </w:r>
    </w:p>
    <w:bookmarkEnd w:id="55"/>
    <w:p w14:paraId="1061DE93">
      <w:pPr>
        <w:pStyle w:val="124"/>
        <w:rPr>
          <w:lang w:eastAsia="zh-CN"/>
        </w:rPr>
      </w:pPr>
      <w:r>
        <w:rPr>
          <w:rFonts w:hint="eastAsia"/>
          <w:lang w:eastAsia="zh-CN"/>
        </w:rPr>
        <w:t>（4）</w:t>
      </w:r>
      <w:r>
        <w:rPr>
          <w:lang w:eastAsia="zh-CN"/>
        </w:rPr>
        <w:t>通讯联络组：由</w:t>
      </w:r>
      <w:r>
        <w:rPr>
          <w:rFonts w:hint="eastAsia"/>
          <w:lang w:eastAsia="zh-CN"/>
        </w:rPr>
        <w:t>安环部部长兼环保专工王鹏超</w:t>
      </w:r>
      <w:r>
        <w:rPr>
          <w:lang w:eastAsia="zh-CN"/>
        </w:rPr>
        <w:t>担任</w:t>
      </w:r>
      <w:r>
        <w:rPr>
          <w:rFonts w:hint="eastAsia"/>
          <w:lang w:eastAsia="zh-CN"/>
        </w:rPr>
        <w:t>组长</w:t>
      </w:r>
      <w:r>
        <w:rPr>
          <w:lang w:eastAsia="zh-CN"/>
        </w:rPr>
        <w:t>，负责紧急情况下，协助指挥部做好事故报警、情况通报及事故处置工作；</w:t>
      </w:r>
      <w:r>
        <w:rPr>
          <w:rFonts w:hint="eastAsia"/>
          <w:lang w:eastAsia="zh-CN"/>
        </w:rPr>
        <w:t>应急状态下负责与周边单位联系，通知相关单位做好事故扩大后可能波及的应急处置工作，联系方式包括电话、短信通知、喇叭广播、派遣人员下达通知，做好周边群众的疏散、避险、撤离工作，距离较远敏感目标可以通过报告镇政府后由镇政府通知组织疏散。</w:t>
      </w:r>
    </w:p>
    <w:p w14:paraId="587BF84D">
      <w:pPr>
        <w:pStyle w:val="124"/>
        <w:rPr>
          <w:lang w:eastAsia="zh-CN"/>
        </w:rPr>
      </w:pPr>
      <w:r>
        <w:rPr>
          <w:lang w:eastAsia="zh-CN"/>
        </w:rPr>
        <w:t>（5）应急保障组：</w:t>
      </w:r>
      <w:r>
        <w:rPr>
          <w:rFonts w:hint="eastAsia"/>
          <w:lang w:eastAsia="zh-CN"/>
        </w:rPr>
        <w:t>由销售部长薛晓霞</w:t>
      </w:r>
      <w:r>
        <w:rPr>
          <w:lang w:eastAsia="zh-CN"/>
        </w:rPr>
        <w:t>任组长，负责应急物资的日常维护、确保在第一时间供应充沛的应急物资。</w:t>
      </w:r>
    </w:p>
    <w:p w14:paraId="501D3726">
      <w:pPr>
        <w:pStyle w:val="124"/>
        <w:rPr>
          <w:lang w:eastAsia="zh-CN"/>
        </w:rPr>
      </w:pPr>
      <w:r>
        <w:rPr>
          <w:rFonts w:hint="eastAsia"/>
          <w:lang w:eastAsia="zh-CN"/>
        </w:rPr>
        <w:t>①</w:t>
      </w:r>
      <w:r>
        <w:rPr>
          <w:lang w:eastAsia="zh-CN"/>
        </w:rPr>
        <w:t>按规定保管好各种抢险、救援、救护物资及各种备用的消防、灭火器材、防毒器具。同时要登记建帐，定期检查、核实，确保其使用性能。</w:t>
      </w:r>
    </w:p>
    <w:p w14:paraId="0C8A5F94">
      <w:pPr>
        <w:pStyle w:val="124"/>
        <w:rPr>
          <w:lang w:eastAsia="zh-CN"/>
        </w:rPr>
      </w:pPr>
      <w:r>
        <w:rPr>
          <w:rFonts w:hint="eastAsia"/>
          <w:lang w:eastAsia="zh-CN"/>
        </w:rPr>
        <w:t>②</w:t>
      </w:r>
      <w:r>
        <w:rPr>
          <w:lang w:eastAsia="zh-CN"/>
        </w:rPr>
        <w:t>根据不同事故的需要，发放各类物资、器材。对临时供应不足的部分可请示总指挥向临近单位借用。</w:t>
      </w:r>
    </w:p>
    <w:p w14:paraId="0548F4A3">
      <w:pPr>
        <w:pStyle w:val="124"/>
        <w:rPr>
          <w:lang w:eastAsia="zh-CN"/>
        </w:rPr>
      </w:pPr>
      <w:r>
        <w:rPr>
          <w:rFonts w:hint="eastAsia"/>
          <w:lang w:eastAsia="zh-CN"/>
        </w:rPr>
        <w:t>③</w:t>
      </w:r>
      <w:r>
        <w:rPr>
          <w:lang w:eastAsia="zh-CN"/>
        </w:rPr>
        <w:t xml:space="preserve">应急预案终止之后，及时收回各类抢险救援器具，清理、清点。对损失、损坏的部分要列出清单，打申请报告，补充添齐，妥善保管备用。 </w:t>
      </w:r>
    </w:p>
    <w:p w14:paraId="0DA060D6">
      <w:pPr>
        <w:pStyle w:val="124"/>
        <w:rPr>
          <w:lang w:eastAsia="zh-CN"/>
        </w:rPr>
      </w:pPr>
      <w:r>
        <w:rPr>
          <w:rFonts w:hint="eastAsia"/>
          <w:lang w:eastAsia="zh-CN"/>
        </w:rPr>
        <w:t>（</w:t>
      </w:r>
      <w:r>
        <w:rPr>
          <w:lang w:eastAsia="zh-CN"/>
        </w:rPr>
        <w:t xml:space="preserve">6）医疗救护组 </w:t>
      </w:r>
    </w:p>
    <w:p w14:paraId="126CB1C6">
      <w:pPr>
        <w:pStyle w:val="124"/>
        <w:rPr>
          <w:lang w:eastAsia="zh-CN"/>
        </w:rPr>
      </w:pPr>
      <w:r>
        <w:rPr>
          <w:rFonts w:hint="eastAsia"/>
          <w:lang w:eastAsia="zh-CN"/>
        </w:rPr>
        <w:t>由财务部长刘华任</w:t>
      </w:r>
      <w:r>
        <w:rPr>
          <w:lang w:eastAsia="zh-CN"/>
        </w:rPr>
        <w:t>组长，组织相关人员和外部救援力量编成医疗救助小组。主要职责如下：</w:t>
      </w:r>
    </w:p>
    <w:p w14:paraId="2B3F3AA8">
      <w:pPr>
        <w:pStyle w:val="124"/>
        <w:rPr>
          <w:lang w:eastAsia="zh-CN"/>
        </w:rPr>
      </w:pPr>
      <w:r>
        <w:rPr>
          <w:rFonts w:hint="eastAsia"/>
          <w:lang w:eastAsia="zh-CN"/>
        </w:rPr>
        <w:t>①</w:t>
      </w:r>
      <w:r>
        <w:rPr>
          <w:lang w:eastAsia="zh-CN"/>
        </w:rPr>
        <w:t xml:space="preserve">负责事故现场的伤员转移、救助工作； </w:t>
      </w:r>
    </w:p>
    <w:p w14:paraId="798A4F2B">
      <w:pPr>
        <w:pStyle w:val="124"/>
        <w:rPr>
          <w:lang w:eastAsia="zh-CN"/>
        </w:rPr>
      </w:pPr>
      <w:r>
        <w:rPr>
          <w:rFonts w:hint="eastAsia"/>
          <w:lang w:eastAsia="zh-CN"/>
        </w:rPr>
        <w:t>②</w:t>
      </w:r>
      <w:r>
        <w:rPr>
          <w:lang w:eastAsia="zh-CN"/>
        </w:rPr>
        <w:t xml:space="preserve">协助医疗救护部门将伤员护送到相关单位进行抢救和安置； </w:t>
      </w:r>
    </w:p>
    <w:p w14:paraId="1327AD20">
      <w:pPr>
        <w:pStyle w:val="124"/>
        <w:rPr>
          <w:lang w:eastAsia="zh-CN"/>
        </w:rPr>
      </w:pPr>
      <w:r>
        <w:rPr>
          <w:rFonts w:hint="eastAsia"/>
          <w:lang w:eastAsia="zh-CN"/>
        </w:rPr>
        <w:t>③</w:t>
      </w:r>
      <w:r>
        <w:rPr>
          <w:lang w:eastAsia="zh-CN"/>
        </w:rPr>
        <w:t>发生重大污染事故时，组织厂区人员安全撤离现场</w:t>
      </w:r>
      <w:r>
        <w:rPr>
          <w:rFonts w:hint="eastAsia"/>
          <w:lang w:eastAsia="zh-CN"/>
        </w:rPr>
        <w:t>。</w:t>
      </w:r>
    </w:p>
    <w:p w14:paraId="0BF7B542">
      <w:pPr>
        <w:pStyle w:val="124"/>
        <w:rPr>
          <w:lang w:eastAsia="zh-CN"/>
        </w:rPr>
      </w:pPr>
      <w:r>
        <w:rPr>
          <w:lang w:eastAsia="zh-CN"/>
        </w:rPr>
        <w:t>（7）警戒保卫组</w:t>
      </w:r>
    </w:p>
    <w:p w14:paraId="463D7040">
      <w:pPr>
        <w:pStyle w:val="124"/>
        <w:rPr>
          <w:lang w:eastAsia="zh-CN"/>
        </w:rPr>
      </w:pPr>
      <w:r>
        <w:rPr>
          <w:lang w:eastAsia="zh-CN"/>
        </w:rPr>
        <w:t>由</w:t>
      </w:r>
      <w:r>
        <w:rPr>
          <w:rFonts w:hint="eastAsia"/>
          <w:lang w:eastAsia="zh-CN"/>
        </w:rPr>
        <w:t>保安队长苗佑其</w:t>
      </w:r>
      <w:r>
        <w:rPr>
          <w:lang w:eastAsia="zh-CN"/>
        </w:rPr>
        <w:t>任组长，组织相关人员和外部救援力量组成。主要负责警戒、治安保卫、疏散、道路管制工作。</w:t>
      </w:r>
    </w:p>
    <w:p w14:paraId="2858E6E5">
      <w:pPr>
        <w:pStyle w:val="124"/>
        <w:rPr>
          <w:lang w:eastAsia="zh-CN"/>
        </w:rPr>
      </w:pPr>
      <w:r>
        <w:rPr>
          <w:lang w:eastAsia="zh-CN"/>
        </w:rPr>
        <w:t>（8）环境应急监测组</w:t>
      </w:r>
    </w:p>
    <w:p w14:paraId="607BC509">
      <w:pPr>
        <w:pStyle w:val="124"/>
        <w:pageBreakBefore w:val="0"/>
        <w:kinsoku/>
        <w:wordWrap/>
        <w:overflowPunct/>
        <w:topLinePunct w:val="0"/>
        <w:autoSpaceDE/>
        <w:autoSpaceDN/>
        <w:bidi w:val="0"/>
        <w:adjustRightInd/>
        <w:snapToGrid/>
        <w:spacing w:line="360" w:lineRule="auto"/>
        <w:textAlignment w:val="auto"/>
        <w:rPr>
          <w:lang w:eastAsia="zh-CN"/>
        </w:rPr>
      </w:pPr>
      <w:r>
        <w:rPr>
          <w:rFonts w:hint="eastAsia"/>
          <w:lang w:eastAsia="zh-CN"/>
        </w:rPr>
        <w:t>由曹元学认组长，协调九盛检测人员使用</w:t>
      </w:r>
      <w:r>
        <w:rPr>
          <w:rFonts w:hint="eastAsia"/>
          <w:lang w:val="en-US" w:eastAsia="zh-CN"/>
        </w:rPr>
        <w:t>FID监测仪器</w:t>
      </w:r>
      <w:r>
        <w:rPr>
          <w:lang w:eastAsia="zh-CN"/>
        </w:rPr>
        <w:t>对事故周围的环境进行监测分析，根据当前风向确定安全卫生防护距离，并将分析结果及时向指挥部报告，</w:t>
      </w:r>
      <w:r>
        <w:rPr>
          <w:rFonts w:hint="eastAsia"/>
          <w:lang w:eastAsia="zh-CN"/>
        </w:rPr>
        <w:t>配合</w:t>
      </w:r>
      <w:r>
        <w:rPr>
          <w:lang w:eastAsia="zh-CN"/>
        </w:rPr>
        <w:t>组织开展救援活动。</w:t>
      </w:r>
    </w:p>
    <w:p w14:paraId="66141442">
      <w:pPr>
        <w:pStyle w:val="124"/>
        <w:numPr>
          <w:ilvl w:val="0"/>
          <w:numId w:val="5"/>
        </w:numPr>
        <w:rPr>
          <w:lang w:eastAsia="zh-CN"/>
        </w:rPr>
      </w:pPr>
      <w:r>
        <w:rPr>
          <w:lang w:eastAsia="zh-CN"/>
        </w:rPr>
        <w:t>应急专家组</w:t>
      </w:r>
    </w:p>
    <w:p w14:paraId="690F9BE4">
      <w:pPr>
        <w:pStyle w:val="124"/>
        <w:pageBreakBefore w:val="0"/>
        <w:numPr>
          <w:ilvl w:val="0"/>
          <w:numId w:val="0"/>
        </w:numPr>
        <w:kinsoku/>
        <w:wordWrap/>
        <w:overflowPunct/>
        <w:topLinePunct w:val="0"/>
        <w:autoSpaceDE/>
        <w:autoSpaceDN/>
        <w:bidi w:val="0"/>
        <w:adjustRightInd/>
        <w:snapToGrid/>
        <w:spacing w:line="360" w:lineRule="auto"/>
        <w:ind w:left="482" w:leftChars="0"/>
        <w:textAlignment w:val="auto"/>
        <w:rPr>
          <w:lang w:eastAsia="zh-CN"/>
        </w:rPr>
      </w:pPr>
      <w:r>
        <w:rPr>
          <w:lang w:eastAsia="zh-CN"/>
        </w:rPr>
        <w:t>对突发事件（故）进行分析、研判，提出决策建议，并为灾情核查、损失评估、灾害</w:t>
      </w:r>
    </w:p>
    <w:p w14:paraId="134EE3D8">
      <w:pPr>
        <w:pStyle w:val="124"/>
        <w:pageBreakBefore w:val="0"/>
        <w:numPr>
          <w:ilvl w:val="0"/>
          <w:numId w:val="0"/>
        </w:numPr>
        <w:kinsoku/>
        <w:wordWrap/>
        <w:overflowPunct/>
        <w:topLinePunct w:val="0"/>
        <w:autoSpaceDE/>
        <w:autoSpaceDN/>
        <w:bidi w:val="0"/>
        <w:adjustRightInd/>
        <w:snapToGrid/>
        <w:spacing w:line="360" w:lineRule="auto"/>
        <w:textAlignment w:val="auto"/>
        <w:rPr>
          <w:lang w:eastAsia="zh-CN"/>
        </w:rPr>
      </w:pPr>
      <w:r>
        <w:rPr>
          <w:lang w:eastAsia="zh-CN"/>
        </w:rPr>
        <w:t>调查评估提供技术支持。</w:t>
      </w:r>
      <w:r>
        <w:rPr>
          <w:rFonts w:hint="eastAsia"/>
          <w:lang w:eastAsia="zh-CN"/>
        </w:rPr>
        <w:t>聘用第三方专家在公司应急指挥中心领导开展应急工作，职责如下：</w:t>
      </w:r>
    </w:p>
    <w:p w14:paraId="57A4DD69">
      <w:pPr>
        <w:pStyle w:val="124"/>
        <w:rPr>
          <w:lang w:eastAsia="zh-CN"/>
        </w:rPr>
      </w:pPr>
      <w:r>
        <w:rPr>
          <w:lang w:eastAsia="zh-CN"/>
        </w:rPr>
        <w:t>1、指导环境应急预案的编制及修改完善；参与制定应急救援方案；</w:t>
      </w:r>
    </w:p>
    <w:p w14:paraId="4C8924DF">
      <w:pPr>
        <w:pStyle w:val="124"/>
        <w:rPr>
          <w:lang w:eastAsia="zh-CN"/>
        </w:rPr>
      </w:pPr>
      <w:r>
        <w:rPr>
          <w:lang w:eastAsia="zh-CN"/>
        </w:rPr>
        <w:t>2、对环境污染事故的危害范围、发展趋势做出科学评估，预测事故发展趋势，及时提出事故应急处理对策，为应急领导组的决策和指挥提供科学依据；</w:t>
      </w:r>
    </w:p>
    <w:p w14:paraId="738E97EE">
      <w:pPr>
        <w:pStyle w:val="124"/>
        <w:rPr>
          <w:lang w:eastAsia="zh-CN"/>
        </w:rPr>
      </w:pPr>
      <w:r>
        <w:rPr>
          <w:lang w:eastAsia="zh-CN"/>
        </w:rPr>
        <w:t>3、参与污染程度、危害范围、事件等级的判定，对污染区域的警报设立与解除等重大防护措施的决策提供技术依据。</w:t>
      </w:r>
    </w:p>
    <w:p w14:paraId="2B0CF5FB">
      <w:pPr>
        <w:pStyle w:val="124"/>
        <w:rPr>
          <w:lang w:eastAsia="zh-CN"/>
        </w:rPr>
      </w:pPr>
      <w:r>
        <w:rPr>
          <w:rFonts w:hint="eastAsia"/>
          <w:lang w:eastAsia="zh-CN"/>
        </w:rPr>
        <w:t>（</w:t>
      </w:r>
      <w:r>
        <w:rPr>
          <w:lang w:eastAsia="zh-CN"/>
        </w:rPr>
        <w:t>10）其他人员职责：服从安排积极参加事故救援；积极配合疏导、引导无关人员到</w:t>
      </w:r>
      <w:r>
        <w:rPr>
          <w:rFonts w:hint="eastAsia"/>
          <w:lang w:eastAsia="zh-CN"/>
        </w:rPr>
        <w:t>厂外</w:t>
      </w:r>
      <w:r>
        <w:rPr>
          <w:lang w:eastAsia="zh-CN"/>
        </w:rPr>
        <w:t>安</w:t>
      </w:r>
      <w:r>
        <w:rPr>
          <w:rFonts w:hint="eastAsia"/>
          <w:lang w:eastAsia="zh-CN"/>
        </w:rPr>
        <w:t>全区域。应急</w:t>
      </w:r>
      <w:r>
        <w:rPr>
          <w:lang w:eastAsia="zh-CN"/>
        </w:rPr>
        <w:t>组织机构内部通讯联络方式见下表：</w:t>
      </w:r>
    </w:p>
    <w:tbl>
      <w:tblPr>
        <w:tblStyle w:val="34"/>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441"/>
        <w:gridCol w:w="1945"/>
        <w:gridCol w:w="2601"/>
        <w:gridCol w:w="1578"/>
      </w:tblGrid>
      <w:tr w14:paraId="3BDA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976" w:type="pct"/>
            <w:noWrap w:val="0"/>
            <w:vAlign w:val="center"/>
          </w:tcPr>
          <w:p w14:paraId="00466644">
            <w:pPr>
              <w:pStyle w:val="127"/>
              <w:keepNext w:val="0"/>
              <w:keepLines w:val="0"/>
              <w:widowControl/>
              <w:suppressLineNumbers w:val="0"/>
              <w:spacing w:before="0" w:beforeAutospacing="0" w:after="0" w:afterAutospacing="0"/>
              <w:ind w:left="360" w:right="0"/>
              <w:jc w:val="both"/>
              <w:rPr>
                <w:rFonts w:hint="default"/>
                <w:b/>
                <w:bCs/>
                <w:color w:val="auto"/>
              </w:rPr>
            </w:pPr>
            <w:r>
              <w:rPr>
                <w:rFonts w:hint="eastAsia"/>
                <w:b/>
                <w:bCs/>
                <w:color w:val="auto"/>
              </w:rPr>
              <w:t>机构名称</w:t>
            </w:r>
          </w:p>
        </w:tc>
        <w:tc>
          <w:tcPr>
            <w:tcW w:w="766" w:type="pct"/>
            <w:noWrap w:val="0"/>
            <w:vAlign w:val="center"/>
          </w:tcPr>
          <w:p w14:paraId="38F54A3B">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应急职务</w:t>
            </w:r>
          </w:p>
        </w:tc>
        <w:tc>
          <w:tcPr>
            <w:tcW w:w="1034" w:type="pct"/>
            <w:noWrap w:val="0"/>
            <w:vAlign w:val="center"/>
          </w:tcPr>
          <w:p w14:paraId="6CEA0267">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姓名</w:t>
            </w:r>
          </w:p>
        </w:tc>
        <w:tc>
          <w:tcPr>
            <w:tcW w:w="1383" w:type="pct"/>
            <w:noWrap w:val="0"/>
            <w:vAlign w:val="center"/>
          </w:tcPr>
          <w:p w14:paraId="1336EE16">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日常职务</w:t>
            </w:r>
          </w:p>
        </w:tc>
        <w:tc>
          <w:tcPr>
            <w:tcW w:w="839" w:type="pct"/>
            <w:noWrap w:val="0"/>
            <w:vAlign w:val="center"/>
          </w:tcPr>
          <w:p w14:paraId="0645998E">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手机号码</w:t>
            </w:r>
          </w:p>
        </w:tc>
      </w:tr>
      <w:tr w14:paraId="0C75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6" w:type="pct"/>
            <w:vMerge w:val="restart"/>
            <w:noWrap w:val="0"/>
            <w:vAlign w:val="center"/>
          </w:tcPr>
          <w:p w14:paraId="3939D1A2">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应急指挥部</w:t>
            </w:r>
          </w:p>
        </w:tc>
        <w:tc>
          <w:tcPr>
            <w:tcW w:w="766" w:type="pct"/>
            <w:noWrap w:val="0"/>
            <w:vAlign w:val="center"/>
          </w:tcPr>
          <w:p w14:paraId="179570F7">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总指挥</w:t>
            </w:r>
          </w:p>
        </w:tc>
        <w:tc>
          <w:tcPr>
            <w:tcW w:w="1034" w:type="pct"/>
            <w:noWrap w:val="0"/>
            <w:vAlign w:val="center"/>
          </w:tcPr>
          <w:p w14:paraId="4E532274">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eastAsia="宋体" w:cs="宋体"/>
                <w:color w:val="auto"/>
                <w:lang w:eastAsia="zh-CN"/>
              </w:rPr>
              <w:t>崔成武</w:t>
            </w:r>
          </w:p>
        </w:tc>
        <w:tc>
          <w:tcPr>
            <w:tcW w:w="1383" w:type="pct"/>
            <w:noWrap w:val="0"/>
            <w:vAlign w:val="center"/>
          </w:tcPr>
          <w:p w14:paraId="26D3F0B6">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cs="宋体"/>
                <w:color w:val="auto"/>
                <w:lang w:eastAsia="zh-CN"/>
              </w:rPr>
              <w:t>制造部</w:t>
            </w:r>
            <w:r>
              <w:rPr>
                <w:rFonts w:hint="eastAsia" w:ascii="宋体" w:hAnsi="宋体" w:eastAsia="宋体" w:cs="宋体"/>
                <w:color w:val="auto"/>
              </w:rPr>
              <w:t>经理</w:t>
            </w:r>
          </w:p>
        </w:tc>
        <w:tc>
          <w:tcPr>
            <w:tcW w:w="839" w:type="pct"/>
            <w:noWrap w:val="0"/>
            <w:vAlign w:val="center"/>
          </w:tcPr>
          <w:p w14:paraId="5A403E73">
            <w:pPr>
              <w:pStyle w:val="127"/>
              <w:keepNext w:val="0"/>
              <w:keepLines w:val="0"/>
              <w:widowControl/>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lang w:val="en-US" w:eastAsia="zh-CN"/>
              </w:rPr>
              <w:t>18615123158</w:t>
            </w:r>
          </w:p>
        </w:tc>
      </w:tr>
      <w:tr w14:paraId="28A7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76" w:type="pct"/>
            <w:vMerge w:val="continue"/>
            <w:noWrap w:val="0"/>
            <w:vAlign w:val="center"/>
          </w:tcPr>
          <w:p w14:paraId="58BE2BF3">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65F0FB25">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副总指挥</w:t>
            </w:r>
          </w:p>
        </w:tc>
        <w:tc>
          <w:tcPr>
            <w:tcW w:w="1034" w:type="pct"/>
            <w:noWrap w:val="0"/>
            <w:vAlign w:val="center"/>
          </w:tcPr>
          <w:p w14:paraId="43BEAF11">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eastAsia="宋体" w:cs="宋体"/>
                <w:color w:val="auto"/>
                <w:lang w:eastAsia="zh-CN"/>
              </w:rPr>
              <w:t>王</w:t>
            </w:r>
            <w:r>
              <w:rPr>
                <w:rFonts w:hint="eastAsia" w:ascii="宋体" w:hAnsi="宋体" w:cs="宋体"/>
                <w:color w:val="auto"/>
                <w:lang w:val="en-US" w:eastAsia="zh-CN"/>
              </w:rPr>
              <w:t xml:space="preserve"> </w:t>
            </w:r>
            <w:r>
              <w:rPr>
                <w:rFonts w:hint="eastAsia" w:ascii="宋体" w:hAnsi="宋体" w:eastAsia="宋体" w:cs="宋体"/>
                <w:color w:val="auto"/>
                <w:lang w:eastAsia="zh-CN"/>
              </w:rPr>
              <w:t>庆</w:t>
            </w:r>
          </w:p>
        </w:tc>
        <w:tc>
          <w:tcPr>
            <w:tcW w:w="1383" w:type="pct"/>
            <w:noWrap w:val="0"/>
            <w:vAlign w:val="center"/>
          </w:tcPr>
          <w:p w14:paraId="12FF7153">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制造部</w:t>
            </w:r>
            <w:r>
              <w:rPr>
                <w:rFonts w:hint="eastAsia" w:ascii="宋体" w:hAnsi="宋体" w:eastAsia="宋体" w:cs="宋体"/>
                <w:color w:val="auto"/>
                <w:lang w:eastAsia="zh-CN"/>
              </w:rPr>
              <w:t>调度长</w:t>
            </w:r>
          </w:p>
        </w:tc>
        <w:tc>
          <w:tcPr>
            <w:tcW w:w="839" w:type="pct"/>
            <w:noWrap w:val="0"/>
            <w:vAlign w:val="center"/>
          </w:tcPr>
          <w:p w14:paraId="41BEE6C0">
            <w:pPr>
              <w:pStyle w:val="127"/>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i w:val="0"/>
                <w:iCs w:val="0"/>
                <w:color w:val="000000"/>
                <w:kern w:val="0"/>
                <w:sz w:val="21"/>
                <w:szCs w:val="21"/>
                <w:u w:val="none"/>
                <w:lang w:val="en-US" w:eastAsia="zh-CN" w:bidi="ar"/>
              </w:rPr>
              <w:t>18615123110</w:t>
            </w:r>
          </w:p>
        </w:tc>
      </w:tr>
      <w:tr w14:paraId="4013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14D659BB">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5CE1D497">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组长</w:t>
            </w:r>
          </w:p>
        </w:tc>
        <w:tc>
          <w:tcPr>
            <w:tcW w:w="1034" w:type="pct"/>
            <w:noWrap w:val="0"/>
            <w:vAlign w:val="center"/>
          </w:tcPr>
          <w:p w14:paraId="6DE4E44D">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王</w:t>
            </w:r>
            <w:r>
              <w:rPr>
                <w:rFonts w:hint="eastAsia" w:ascii="宋体" w:hAnsi="宋体" w:cs="宋体"/>
                <w:color w:val="auto"/>
                <w:lang w:val="en-US" w:eastAsia="zh-CN"/>
              </w:rPr>
              <w:t xml:space="preserve"> </w:t>
            </w:r>
            <w:r>
              <w:rPr>
                <w:rFonts w:hint="eastAsia" w:ascii="宋体" w:hAnsi="宋体" w:cs="宋体"/>
                <w:color w:val="auto"/>
                <w:lang w:eastAsia="zh-CN"/>
              </w:rPr>
              <w:t>伦</w:t>
            </w:r>
          </w:p>
        </w:tc>
        <w:tc>
          <w:tcPr>
            <w:tcW w:w="1383" w:type="pct"/>
            <w:noWrap w:val="0"/>
            <w:vAlign w:val="center"/>
          </w:tcPr>
          <w:p w14:paraId="592396B8">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车间主任</w:t>
            </w:r>
          </w:p>
        </w:tc>
        <w:tc>
          <w:tcPr>
            <w:tcW w:w="839" w:type="pct"/>
            <w:noWrap w:val="0"/>
            <w:vAlign w:val="center"/>
          </w:tcPr>
          <w:p w14:paraId="3914AA91">
            <w:pPr>
              <w:pStyle w:val="127"/>
              <w:keepNext w:val="0"/>
              <w:keepLines w:val="0"/>
              <w:widowControl/>
              <w:suppressLineNumbers w:val="0"/>
              <w:spacing w:before="0" w:beforeAutospacing="0" w:after="0" w:afterAutospacing="0"/>
              <w:ind w:left="0" w:right="0"/>
              <w:jc w:val="center"/>
              <w:rPr>
                <w:rFonts w:hint="eastAsia" w:ascii="宋体" w:hAnsi="宋体" w:eastAsia="宋体" w:cs="宋体"/>
                <w:color w:val="auto"/>
              </w:rPr>
            </w:pPr>
            <w:r>
              <w:rPr>
                <w:rFonts w:hint="eastAsia" w:ascii="宋体" w:hAnsi="宋体" w:eastAsia="宋体" w:cs="宋体"/>
                <w:color w:val="auto"/>
                <w:sz w:val="21"/>
                <w:szCs w:val="21"/>
              </w:rPr>
              <w:t>15064347866</w:t>
            </w:r>
          </w:p>
        </w:tc>
      </w:tr>
      <w:tr w14:paraId="25CF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7236CA5E">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25A6F4F5">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副组长</w:t>
            </w:r>
          </w:p>
        </w:tc>
        <w:tc>
          <w:tcPr>
            <w:tcW w:w="1034" w:type="pct"/>
            <w:noWrap w:val="0"/>
            <w:vAlign w:val="center"/>
          </w:tcPr>
          <w:p w14:paraId="26389D9F">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w:t>
            </w:r>
            <w:r>
              <w:rPr>
                <w:rFonts w:hint="eastAsia"/>
                <w:color w:val="auto"/>
                <w:lang w:val="en-US" w:eastAsia="zh-CN"/>
              </w:rPr>
              <w:t xml:space="preserve"> </w:t>
            </w:r>
            <w:r>
              <w:rPr>
                <w:rFonts w:hint="eastAsia"/>
                <w:color w:val="auto"/>
                <w:lang w:eastAsia="zh-CN"/>
              </w:rPr>
              <w:t>凯</w:t>
            </w:r>
          </w:p>
        </w:tc>
        <w:tc>
          <w:tcPr>
            <w:tcW w:w="1383" w:type="pct"/>
            <w:noWrap w:val="0"/>
            <w:vAlign w:val="center"/>
          </w:tcPr>
          <w:p w14:paraId="5F4E992F">
            <w:pPr>
              <w:pStyle w:val="127"/>
              <w:keepNext w:val="0"/>
              <w:keepLines w:val="0"/>
              <w:widowControl/>
              <w:suppressLineNumbers w:val="0"/>
              <w:spacing w:before="0" w:beforeAutospacing="0" w:after="0" w:afterAutospacing="0"/>
              <w:ind w:left="0" w:right="0"/>
              <w:rPr>
                <w:rFonts w:hint="default"/>
                <w:color w:val="auto"/>
              </w:rPr>
            </w:pPr>
            <w:r>
              <w:rPr>
                <w:rFonts w:hint="eastAsia" w:ascii="宋体" w:hAnsi="宋体" w:cs="宋体"/>
                <w:color w:val="auto"/>
                <w:lang w:eastAsia="zh-CN"/>
              </w:rPr>
              <w:t>车间主任</w:t>
            </w:r>
          </w:p>
        </w:tc>
        <w:tc>
          <w:tcPr>
            <w:tcW w:w="839" w:type="pct"/>
            <w:noWrap w:val="0"/>
            <w:vAlign w:val="center"/>
          </w:tcPr>
          <w:p w14:paraId="01A431F4">
            <w:pPr>
              <w:pStyle w:val="127"/>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ascii="宋体" w:hAnsi="宋体" w:eastAsia="宋体" w:cs="宋体"/>
                <w:color w:val="auto"/>
                <w:sz w:val="21"/>
                <w:szCs w:val="21"/>
                <w:lang w:val="en-US" w:eastAsia="zh-CN"/>
              </w:rPr>
              <w:t>18560883088</w:t>
            </w:r>
          </w:p>
        </w:tc>
      </w:tr>
      <w:tr w14:paraId="00A6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5A8AC623">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48912258">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3703773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崔永兴</w:t>
            </w:r>
          </w:p>
        </w:tc>
        <w:tc>
          <w:tcPr>
            <w:tcW w:w="1383" w:type="pct"/>
            <w:noWrap w:val="0"/>
            <w:vAlign w:val="center"/>
          </w:tcPr>
          <w:p w14:paraId="5C6EC8F0">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班长</w:t>
            </w:r>
          </w:p>
        </w:tc>
        <w:tc>
          <w:tcPr>
            <w:tcW w:w="839" w:type="pct"/>
            <w:noWrap w:val="0"/>
            <w:vAlign w:val="center"/>
          </w:tcPr>
          <w:p w14:paraId="68971ED7">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15253306591</w:t>
            </w:r>
          </w:p>
        </w:tc>
      </w:tr>
      <w:tr w14:paraId="55F2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CEC0BCF">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2733DBE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1B1A4739">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杨化村</w:t>
            </w:r>
          </w:p>
        </w:tc>
        <w:tc>
          <w:tcPr>
            <w:tcW w:w="1383" w:type="pct"/>
            <w:noWrap w:val="0"/>
            <w:vAlign w:val="center"/>
          </w:tcPr>
          <w:p w14:paraId="0A344461">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班长</w:t>
            </w:r>
          </w:p>
        </w:tc>
        <w:tc>
          <w:tcPr>
            <w:tcW w:w="839" w:type="pct"/>
            <w:noWrap w:val="0"/>
            <w:vAlign w:val="center"/>
          </w:tcPr>
          <w:p w14:paraId="1938A381">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13964352677</w:t>
            </w:r>
          </w:p>
        </w:tc>
      </w:tr>
      <w:tr w14:paraId="6276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41D14B3E">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6F3EE647">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75A3EB98">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郭文刚</w:t>
            </w:r>
          </w:p>
        </w:tc>
        <w:tc>
          <w:tcPr>
            <w:tcW w:w="1383" w:type="pct"/>
            <w:noWrap w:val="0"/>
            <w:vAlign w:val="center"/>
          </w:tcPr>
          <w:p w14:paraId="5E48AAF5">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班长</w:t>
            </w:r>
          </w:p>
        </w:tc>
        <w:tc>
          <w:tcPr>
            <w:tcW w:w="839" w:type="pct"/>
            <w:noWrap w:val="0"/>
            <w:vAlign w:val="center"/>
          </w:tcPr>
          <w:p w14:paraId="6923E4DD">
            <w:pPr>
              <w:keepNext w:val="0"/>
              <w:keepLines w:val="0"/>
              <w:widowControl/>
              <w:suppressLineNumbers w:val="0"/>
              <w:spacing w:before="0" w:beforeAutospacing="0" w:after="0" w:afterAutospacing="0"/>
              <w:ind w:left="0" w:right="0"/>
              <w:jc w:val="center"/>
              <w:textAlignment w:val="center"/>
              <w:rPr>
                <w:rFonts w:hint="default"/>
                <w:color w:val="auto"/>
              </w:rPr>
            </w:pPr>
            <w:r>
              <w:rPr>
                <w:rFonts w:hint="eastAsia" w:ascii="宋体" w:hAnsi="宋体" w:eastAsia="宋体" w:cs="宋体"/>
                <w:i w:val="0"/>
                <w:iCs w:val="0"/>
                <w:color w:val="000000"/>
                <w:kern w:val="0"/>
                <w:sz w:val="21"/>
                <w:szCs w:val="21"/>
                <w:u w:val="none"/>
                <w:lang w:val="en-US" w:eastAsia="zh-CN" w:bidi="ar"/>
              </w:rPr>
              <w:t>15092323896</w:t>
            </w:r>
          </w:p>
        </w:tc>
      </w:tr>
      <w:tr w14:paraId="1034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5F066EC">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38F4B802">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15A2E30E">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王汉康</w:t>
            </w:r>
          </w:p>
        </w:tc>
        <w:tc>
          <w:tcPr>
            <w:tcW w:w="1383" w:type="pct"/>
            <w:noWrap w:val="0"/>
            <w:vAlign w:val="center"/>
          </w:tcPr>
          <w:p w14:paraId="0C56A587">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班长</w:t>
            </w:r>
          </w:p>
        </w:tc>
        <w:tc>
          <w:tcPr>
            <w:tcW w:w="839" w:type="pct"/>
            <w:noWrap w:val="0"/>
            <w:vAlign w:val="center"/>
          </w:tcPr>
          <w:p w14:paraId="0CBB1138">
            <w:pPr>
              <w:keepNext w:val="0"/>
              <w:keepLines w:val="0"/>
              <w:widowControl/>
              <w:suppressLineNumbers w:val="0"/>
              <w:spacing w:before="0" w:beforeAutospacing="0" w:after="0" w:afterAutospacing="0"/>
              <w:ind w:left="0" w:right="0"/>
              <w:jc w:val="center"/>
              <w:textAlignment w:val="center"/>
              <w:rPr>
                <w:rFonts w:hint="default"/>
                <w:color w:val="auto"/>
              </w:rPr>
            </w:pPr>
            <w:r>
              <w:rPr>
                <w:rFonts w:hint="eastAsia" w:ascii="宋体" w:hAnsi="宋体" w:eastAsia="宋体" w:cs="宋体"/>
                <w:i w:val="0"/>
                <w:iCs w:val="0"/>
                <w:color w:val="000000"/>
                <w:kern w:val="0"/>
                <w:sz w:val="21"/>
                <w:szCs w:val="21"/>
                <w:u w:val="none"/>
                <w:lang w:val="en-US" w:eastAsia="zh-CN" w:bidi="ar"/>
              </w:rPr>
              <w:t>13455351067</w:t>
            </w:r>
          </w:p>
        </w:tc>
      </w:tr>
      <w:tr w14:paraId="5961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FC50860">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5CE512A7">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05D724E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陈</w:t>
            </w:r>
            <w:r>
              <w:rPr>
                <w:rFonts w:hint="eastAsia"/>
                <w:color w:val="auto"/>
                <w:lang w:val="en-US" w:eastAsia="zh-CN"/>
              </w:rPr>
              <w:t xml:space="preserve"> </w:t>
            </w:r>
            <w:r>
              <w:rPr>
                <w:rFonts w:hint="eastAsia"/>
                <w:color w:val="auto"/>
                <w:lang w:eastAsia="zh-CN"/>
              </w:rPr>
              <w:t>军</w:t>
            </w:r>
          </w:p>
        </w:tc>
        <w:tc>
          <w:tcPr>
            <w:tcW w:w="1383" w:type="pct"/>
            <w:noWrap w:val="0"/>
            <w:vAlign w:val="center"/>
          </w:tcPr>
          <w:p w14:paraId="62A5891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班长</w:t>
            </w:r>
          </w:p>
        </w:tc>
        <w:tc>
          <w:tcPr>
            <w:tcW w:w="839" w:type="pct"/>
            <w:noWrap w:val="0"/>
            <w:vAlign w:val="center"/>
          </w:tcPr>
          <w:p w14:paraId="224B20AD">
            <w:pPr>
              <w:keepNext w:val="0"/>
              <w:keepLines w:val="0"/>
              <w:widowControl/>
              <w:suppressLineNumbers w:val="0"/>
              <w:spacing w:before="0" w:beforeAutospacing="0" w:after="0" w:afterAutospacing="0"/>
              <w:ind w:left="0" w:right="0"/>
              <w:jc w:val="center"/>
              <w:textAlignment w:val="center"/>
              <w:rPr>
                <w:rFonts w:hint="default"/>
                <w:color w:val="auto"/>
              </w:rPr>
            </w:pPr>
            <w:r>
              <w:rPr>
                <w:rFonts w:hint="eastAsia" w:ascii="宋体" w:hAnsi="宋体" w:eastAsia="宋体" w:cs="宋体"/>
                <w:i w:val="0"/>
                <w:iCs w:val="0"/>
                <w:color w:val="000000"/>
                <w:kern w:val="0"/>
                <w:sz w:val="21"/>
                <w:szCs w:val="21"/>
                <w:u w:val="none"/>
                <w:lang w:val="en-US" w:eastAsia="zh-CN" w:bidi="ar"/>
              </w:rPr>
              <w:t>15153311402</w:t>
            </w:r>
          </w:p>
        </w:tc>
      </w:tr>
      <w:tr w14:paraId="6E24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0953C15F">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通讯联络组</w:t>
            </w:r>
          </w:p>
        </w:tc>
        <w:tc>
          <w:tcPr>
            <w:tcW w:w="766" w:type="pct"/>
            <w:noWrap w:val="0"/>
            <w:vAlign w:val="center"/>
          </w:tcPr>
          <w:p w14:paraId="50456D7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5182978C">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王鹏超</w:t>
            </w:r>
          </w:p>
        </w:tc>
        <w:tc>
          <w:tcPr>
            <w:tcW w:w="1383" w:type="pct"/>
            <w:noWrap w:val="0"/>
            <w:vAlign w:val="center"/>
          </w:tcPr>
          <w:p w14:paraId="41119E1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安环部</w:t>
            </w:r>
            <w:r>
              <w:rPr>
                <w:rFonts w:hint="eastAsia"/>
                <w:color w:val="auto"/>
                <w:lang w:eastAsia="zh-CN"/>
              </w:rPr>
              <w:t>部长</w:t>
            </w:r>
          </w:p>
        </w:tc>
        <w:tc>
          <w:tcPr>
            <w:tcW w:w="839" w:type="pct"/>
            <w:noWrap w:val="0"/>
            <w:vAlign w:val="center"/>
          </w:tcPr>
          <w:p w14:paraId="0BCBA7A6">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18653326898</w:t>
            </w:r>
          </w:p>
        </w:tc>
      </w:tr>
      <w:tr w14:paraId="0A99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59EEA383">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2DEA4E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24DA95A9">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薛</w:t>
            </w:r>
            <w:r>
              <w:rPr>
                <w:rFonts w:hint="eastAsia"/>
                <w:color w:val="auto"/>
                <w:lang w:val="en-US" w:eastAsia="zh-CN"/>
              </w:rPr>
              <w:t xml:space="preserve"> </w:t>
            </w:r>
            <w:r>
              <w:rPr>
                <w:rFonts w:hint="eastAsia"/>
                <w:color w:val="auto"/>
                <w:lang w:eastAsia="zh-CN"/>
              </w:rPr>
              <w:t>贞</w:t>
            </w:r>
          </w:p>
        </w:tc>
        <w:tc>
          <w:tcPr>
            <w:tcW w:w="1383" w:type="pct"/>
            <w:noWrap w:val="0"/>
            <w:vAlign w:val="center"/>
          </w:tcPr>
          <w:p w14:paraId="75938405">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环保员</w:t>
            </w:r>
          </w:p>
        </w:tc>
        <w:tc>
          <w:tcPr>
            <w:tcW w:w="839" w:type="pct"/>
            <w:noWrap w:val="0"/>
            <w:vAlign w:val="bottom"/>
          </w:tcPr>
          <w:p w14:paraId="293F831B">
            <w:pPr>
              <w:keepNext w:val="0"/>
              <w:keepLines w:val="0"/>
              <w:widowControl/>
              <w:suppressLineNumbers w:val="0"/>
              <w:spacing w:before="0" w:beforeAutospacing="0" w:after="0" w:afterAutospacing="0"/>
              <w:ind w:left="0" w:right="0"/>
              <w:jc w:val="center"/>
              <w:textAlignment w:val="bottom"/>
              <w:rPr>
                <w:rFonts w:hint="default"/>
                <w:color w:val="auto"/>
                <w:lang w:val="en-US"/>
              </w:rPr>
            </w:pPr>
            <w:r>
              <w:rPr>
                <w:rFonts w:hint="eastAsia" w:ascii="宋体" w:hAnsi="宋体" w:eastAsia="宋体" w:cs="宋体"/>
                <w:i w:val="0"/>
                <w:iCs w:val="0"/>
                <w:color w:val="000000"/>
                <w:kern w:val="0"/>
                <w:sz w:val="21"/>
                <w:szCs w:val="21"/>
                <w:u w:val="none"/>
                <w:lang w:val="en-US" w:eastAsia="zh-CN" w:bidi="ar"/>
              </w:rPr>
              <w:t>13287028919</w:t>
            </w:r>
          </w:p>
        </w:tc>
      </w:tr>
      <w:tr w14:paraId="08C0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42E9989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应急保障组</w:t>
            </w:r>
          </w:p>
        </w:tc>
        <w:tc>
          <w:tcPr>
            <w:tcW w:w="766" w:type="pct"/>
            <w:noWrap w:val="0"/>
            <w:vAlign w:val="center"/>
          </w:tcPr>
          <w:p w14:paraId="1B491DAC">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33BC759D">
            <w:pPr>
              <w:pStyle w:val="127"/>
              <w:keepNext w:val="0"/>
              <w:keepLines w:val="0"/>
              <w:widowControl/>
              <w:suppressLineNumbers w:val="0"/>
              <w:spacing w:before="0" w:beforeAutospacing="0" w:after="0" w:afterAutospacing="0"/>
              <w:ind w:left="0" w:right="0" w:firstLine="420" w:firstLineChars="200"/>
              <w:jc w:val="both"/>
              <w:rPr>
                <w:rFonts w:hint="eastAsia" w:eastAsia="宋体"/>
                <w:color w:val="auto"/>
                <w:lang w:eastAsia="zh-CN"/>
              </w:rPr>
            </w:pPr>
            <w:r>
              <w:rPr>
                <w:rFonts w:hint="eastAsia"/>
                <w:color w:val="auto"/>
                <w:lang w:val="en-US" w:eastAsia="zh-CN"/>
              </w:rPr>
              <w:t xml:space="preserve"> </w:t>
            </w:r>
            <w:r>
              <w:rPr>
                <w:rFonts w:hint="eastAsia"/>
                <w:color w:val="auto"/>
                <w:lang w:eastAsia="zh-CN"/>
              </w:rPr>
              <w:t>薛晓霞</w:t>
            </w:r>
          </w:p>
        </w:tc>
        <w:tc>
          <w:tcPr>
            <w:tcW w:w="1383" w:type="pct"/>
            <w:noWrap w:val="0"/>
            <w:vAlign w:val="center"/>
          </w:tcPr>
          <w:p w14:paraId="5CDFDD9B">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销售部部长</w:t>
            </w:r>
          </w:p>
        </w:tc>
        <w:tc>
          <w:tcPr>
            <w:tcW w:w="839" w:type="pct"/>
            <w:noWrap w:val="0"/>
            <w:vAlign w:val="center"/>
          </w:tcPr>
          <w:p w14:paraId="5473A309">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18615123199</w:t>
            </w:r>
          </w:p>
        </w:tc>
      </w:tr>
      <w:tr w14:paraId="69D6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535D8909">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7C726999">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6B8FEC36">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石光爱</w:t>
            </w:r>
          </w:p>
        </w:tc>
        <w:tc>
          <w:tcPr>
            <w:tcW w:w="1383" w:type="pct"/>
            <w:noWrap w:val="0"/>
            <w:vAlign w:val="center"/>
          </w:tcPr>
          <w:p w14:paraId="6C7EB832">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仓库管理员</w:t>
            </w:r>
          </w:p>
        </w:tc>
        <w:tc>
          <w:tcPr>
            <w:tcW w:w="839" w:type="pct"/>
            <w:noWrap w:val="0"/>
            <w:vAlign w:val="bottom"/>
          </w:tcPr>
          <w:p w14:paraId="29924ED3">
            <w:pPr>
              <w:keepNext w:val="0"/>
              <w:keepLines w:val="0"/>
              <w:widowControl/>
              <w:suppressLineNumbers w:val="0"/>
              <w:spacing w:before="0" w:beforeAutospacing="0" w:after="0" w:afterAutospacing="0"/>
              <w:ind w:left="0" w:right="0"/>
              <w:jc w:val="center"/>
              <w:textAlignment w:val="bottom"/>
              <w:rPr>
                <w:rFonts w:hint="default"/>
                <w:color w:val="auto"/>
                <w:lang w:val="en-US"/>
              </w:rPr>
            </w:pPr>
            <w:r>
              <w:rPr>
                <w:rFonts w:hint="eastAsia" w:ascii="宋体" w:hAnsi="宋体" w:eastAsia="宋体" w:cs="宋体"/>
                <w:i w:val="0"/>
                <w:iCs w:val="0"/>
                <w:color w:val="000000"/>
                <w:kern w:val="0"/>
                <w:sz w:val="21"/>
                <w:szCs w:val="21"/>
                <w:u w:val="none"/>
                <w:lang w:val="en-US" w:eastAsia="zh-CN" w:bidi="ar"/>
              </w:rPr>
              <w:t>13475574560</w:t>
            </w:r>
          </w:p>
        </w:tc>
      </w:tr>
      <w:tr w14:paraId="71EA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11788615">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338704A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48D090C9">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赵家利</w:t>
            </w:r>
          </w:p>
        </w:tc>
        <w:tc>
          <w:tcPr>
            <w:tcW w:w="1383" w:type="pct"/>
            <w:noWrap w:val="0"/>
            <w:vAlign w:val="center"/>
          </w:tcPr>
          <w:p w14:paraId="60EC15A8">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rPr>
              <w:t>采购</w:t>
            </w:r>
            <w:r>
              <w:rPr>
                <w:rFonts w:hint="eastAsia"/>
                <w:color w:val="auto"/>
                <w:lang w:eastAsia="zh-CN"/>
              </w:rPr>
              <w:t>员</w:t>
            </w:r>
          </w:p>
        </w:tc>
        <w:tc>
          <w:tcPr>
            <w:tcW w:w="839" w:type="pct"/>
            <w:noWrap w:val="0"/>
            <w:vAlign w:val="bottom"/>
          </w:tcPr>
          <w:p w14:paraId="6DB6E82D">
            <w:pPr>
              <w:keepNext w:val="0"/>
              <w:keepLines w:val="0"/>
              <w:widowControl/>
              <w:suppressLineNumbers w:val="0"/>
              <w:spacing w:before="0" w:beforeAutospacing="0" w:after="0" w:afterAutospacing="0"/>
              <w:ind w:left="0" w:right="0"/>
              <w:jc w:val="center"/>
              <w:textAlignment w:val="bottom"/>
              <w:rPr>
                <w:rFonts w:hint="default"/>
                <w:color w:val="auto"/>
              </w:rPr>
            </w:pPr>
            <w:r>
              <w:rPr>
                <w:rFonts w:hint="eastAsia" w:ascii="宋体" w:hAnsi="宋体" w:eastAsia="宋体" w:cs="宋体"/>
                <w:i w:val="0"/>
                <w:iCs w:val="0"/>
                <w:color w:val="000000"/>
                <w:kern w:val="0"/>
                <w:sz w:val="21"/>
                <w:szCs w:val="21"/>
                <w:u w:val="none"/>
                <w:lang w:val="en-US" w:eastAsia="zh-CN" w:bidi="ar"/>
              </w:rPr>
              <w:t>13853333505</w:t>
            </w:r>
          </w:p>
        </w:tc>
      </w:tr>
      <w:tr w14:paraId="3B47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restart"/>
            <w:noWrap w:val="0"/>
            <w:vAlign w:val="center"/>
          </w:tcPr>
          <w:p w14:paraId="00AE18B0">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医疗救护组</w:t>
            </w:r>
          </w:p>
        </w:tc>
        <w:tc>
          <w:tcPr>
            <w:tcW w:w="766" w:type="pct"/>
            <w:noWrap w:val="0"/>
            <w:vAlign w:val="center"/>
          </w:tcPr>
          <w:p w14:paraId="74549D2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2203E873">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刘华</w:t>
            </w:r>
          </w:p>
        </w:tc>
        <w:tc>
          <w:tcPr>
            <w:tcW w:w="1383" w:type="pct"/>
            <w:noWrap w:val="0"/>
            <w:vAlign w:val="center"/>
          </w:tcPr>
          <w:p w14:paraId="622281AA">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财务部部长</w:t>
            </w:r>
          </w:p>
        </w:tc>
        <w:tc>
          <w:tcPr>
            <w:tcW w:w="839" w:type="pct"/>
            <w:noWrap w:val="0"/>
            <w:vAlign w:val="bottom"/>
          </w:tcPr>
          <w:p w14:paraId="15AC12A2">
            <w:pPr>
              <w:keepNext w:val="0"/>
              <w:keepLines w:val="0"/>
              <w:widowControl/>
              <w:suppressLineNumbers w:val="0"/>
              <w:spacing w:before="0" w:beforeAutospacing="0" w:after="0" w:afterAutospacing="0"/>
              <w:ind w:left="0" w:right="0"/>
              <w:jc w:val="center"/>
              <w:textAlignment w:val="bottom"/>
              <w:rPr>
                <w:rFonts w:hint="default"/>
                <w:color w:val="auto"/>
              </w:rPr>
            </w:pPr>
            <w:r>
              <w:rPr>
                <w:rFonts w:hint="eastAsia" w:ascii="宋体" w:hAnsi="宋体" w:eastAsia="宋体" w:cs="宋体"/>
                <w:i w:val="0"/>
                <w:iCs w:val="0"/>
                <w:color w:val="000000"/>
                <w:kern w:val="0"/>
                <w:sz w:val="21"/>
                <w:szCs w:val="21"/>
                <w:u w:val="none"/>
                <w:lang w:val="en-US" w:eastAsia="zh-CN" w:bidi="ar"/>
              </w:rPr>
              <w:t>18615123108</w:t>
            </w:r>
          </w:p>
        </w:tc>
      </w:tr>
      <w:tr w14:paraId="5C65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409C1EA0">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85C4AC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592C03BA">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王伟伟</w:t>
            </w:r>
          </w:p>
        </w:tc>
        <w:tc>
          <w:tcPr>
            <w:tcW w:w="1383" w:type="pct"/>
            <w:noWrap w:val="0"/>
            <w:vAlign w:val="center"/>
          </w:tcPr>
          <w:p w14:paraId="44E8586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文员</w:t>
            </w:r>
          </w:p>
        </w:tc>
        <w:tc>
          <w:tcPr>
            <w:tcW w:w="839" w:type="pct"/>
            <w:noWrap w:val="0"/>
            <w:vAlign w:val="bottom"/>
          </w:tcPr>
          <w:p w14:paraId="54CA93A0">
            <w:pPr>
              <w:keepNext w:val="0"/>
              <w:keepLines w:val="0"/>
              <w:widowControl/>
              <w:suppressLineNumbers w:val="0"/>
              <w:spacing w:before="0" w:beforeAutospacing="0" w:after="0" w:afterAutospacing="0"/>
              <w:ind w:left="0" w:right="0"/>
              <w:jc w:val="center"/>
              <w:textAlignment w:val="bottom"/>
              <w:rPr>
                <w:rFonts w:hint="default"/>
                <w:color w:val="auto"/>
              </w:rPr>
            </w:pPr>
            <w:r>
              <w:rPr>
                <w:rFonts w:hint="eastAsia" w:ascii="宋体" w:hAnsi="宋体" w:eastAsia="宋体" w:cs="宋体"/>
                <w:i w:val="0"/>
                <w:iCs w:val="0"/>
                <w:color w:val="000000"/>
                <w:kern w:val="0"/>
                <w:sz w:val="21"/>
                <w:szCs w:val="21"/>
                <w:u w:val="none"/>
                <w:lang w:val="en-US" w:eastAsia="zh-CN" w:bidi="ar"/>
              </w:rPr>
              <w:t>15206681758</w:t>
            </w:r>
          </w:p>
        </w:tc>
      </w:tr>
      <w:tr w14:paraId="4CF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283FA1B5">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4EE110F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2E7ED483">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王佳宁</w:t>
            </w:r>
          </w:p>
        </w:tc>
        <w:tc>
          <w:tcPr>
            <w:tcW w:w="1383" w:type="pct"/>
            <w:noWrap w:val="0"/>
            <w:vAlign w:val="center"/>
          </w:tcPr>
          <w:p w14:paraId="56352E4F">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文员</w:t>
            </w:r>
          </w:p>
        </w:tc>
        <w:tc>
          <w:tcPr>
            <w:tcW w:w="839" w:type="pct"/>
            <w:noWrap w:val="0"/>
            <w:vAlign w:val="center"/>
          </w:tcPr>
          <w:p w14:paraId="591EC810">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13616446200</w:t>
            </w:r>
          </w:p>
        </w:tc>
      </w:tr>
      <w:tr w14:paraId="6341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restart"/>
            <w:noWrap w:val="0"/>
            <w:vAlign w:val="center"/>
          </w:tcPr>
          <w:p w14:paraId="6EE69150">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警戒保卫组</w:t>
            </w:r>
          </w:p>
        </w:tc>
        <w:tc>
          <w:tcPr>
            <w:tcW w:w="766" w:type="pct"/>
            <w:noWrap w:val="0"/>
            <w:vAlign w:val="center"/>
          </w:tcPr>
          <w:p w14:paraId="5328B3D8">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7E2C4E6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李</w:t>
            </w:r>
            <w:r>
              <w:rPr>
                <w:rFonts w:hint="eastAsia"/>
                <w:color w:val="auto"/>
                <w:lang w:val="en-US" w:eastAsia="zh-CN"/>
              </w:rPr>
              <w:t xml:space="preserve"> </w:t>
            </w:r>
            <w:r>
              <w:rPr>
                <w:rFonts w:hint="eastAsia"/>
                <w:color w:val="auto"/>
                <w:lang w:eastAsia="zh-CN"/>
              </w:rPr>
              <w:t>超</w:t>
            </w:r>
          </w:p>
        </w:tc>
        <w:tc>
          <w:tcPr>
            <w:tcW w:w="1383" w:type="pct"/>
            <w:noWrap w:val="0"/>
            <w:vAlign w:val="center"/>
          </w:tcPr>
          <w:p w14:paraId="46F5721F">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rPr>
              <w:t>保安</w:t>
            </w:r>
            <w:r>
              <w:rPr>
                <w:rFonts w:hint="eastAsia"/>
                <w:color w:val="auto"/>
                <w:lang w:eastAsia="zh-CN"/>
              </w:rPr>
              <w:t>班长</w:t>
            </w:r>
          </w:p>
        </w:tc>
        <w:tc>
          <w:tcPr>
            <w:tcW w:w="839" w:type="pct"/>
            <w:noWrap w:val="0"/>
            <w:vAlign w:val="bottom"/>
          </w:tcPr>
          <w:p w14:paraId="1BA9773E">
            <w:pPr>
              <w:keepNext w:val="0"/>
              <w:keepLines w:val="0"/>
              <w:widowControl/>
              <w:suppressLineNumbers w:val="0"/>
              <w:spacing w:before="0" w:beforeAutospacing="0" w:after="0" w:afterAutospacing="0"/>
              <w:ind w:left="0" w:right="0"/>
              <w:jc w:val="center"/>
              <w:textAlignment w:val="bottom"/>
              <w:rPr>
                <w:rFonts w:hint="default"/>
                <w:color w:val="auto"/>
                <w:lang w:val="en-US"/>
              </w:rPr>
            </w:pPr>
            <w:r>
              <w:rPr>
                <w:rFonts w:hint="eastAsia" w:ascii="宋体" w:hAnsi="宋体" w:eastAsia="宋体" w:cs="宋体"/>
                <w:i w:val="0"/>
                <w:iCs w:val="0"/>
                <w:color w:val="000000"/>
                <w:kern w:val="0"/>
                <w:sz w:val="21"/>
                <w:szCs w:val="21"/>
                <w:u w:val="none"/>
                <w:lang w:val="en-US" w:eastAsia="zh-CN" w:bidi="ar"/>
              </w:rPr>
              <w:t>13964397861</w:t>
            </w:r>
          </w:p>
        </w:tc>
      </w:tr>
      <w:tr w14:paraId="0A5A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continue"/>
            <w:noWrap w:val="0"/>
            <w:vAlign w:val="center"/>
          </w:tcPr>
          <w:p w14:paraId="1AE0A827">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21D42F3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37F5E38B">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刘衍磊</w:t>
            </w:r>
          </w:p>
        </w:tc>
        <w:tc>
          <w:tcPr>
            <w:tcW w:w="1383" w:type="pct"/>
            <w:noWrap w:val="0"/>
            <w:vAlign w:val="center"/>
          </w:tcPr>
          <w:p w14:paraId="78FD4DE7">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保安队员</w:t>
            </w:r>
          </w:p>
        </w:tc>
        <w:tc>
          <w:tcPr>
            <w:tcW w:w="839" w:type="pct"/>
            <w:noWrap w:val="0"/>
            <w:vAlign w:val="center"/>
          </w:tcPr>
          <w:p w14:paraId="5BB85C22">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15153389416</w:t>
            </w:r>
          </w:p>
        </w:tc>
      </w:tr>
      <w:tr w14:paraId="3954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continue"/>
            <w:noWrap w:val="0"/>
            <w:vAlign w:val="center"/>
          </w:tcPr>
          <w:p w14:paraId="61A1784A">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4287C45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60CF4614">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薛明远</w:t>
            </w:r>
          </w:p>
        </w:tc>
        <w:tc>
          <w:tcPr>
            <w:tcW w:w="1383" w:type="pct"/>
            <w:noWrap w:val="0"/>
            <w:vAlign w:val="center"/>
          </w:tcPr>
          <w:p w14:paraId="446D985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保安队员</w:t>
            </w:r>
          </w:p>
        </w:tc>
        <w:tc>
          <w:tcPr>
            <w:tcW w:w="839" w:type="pct"/>
            <w:noWrap w:val="0"/>
            <w:vAlign w:val="center"/>
          </w:tcPr>
          <w:p w14:paraId="38394983">
            <w:pPr>
              <w:pStyle w:val="127"/>
              <w:keepNext w:val="0"/>
              <w:keepLines w:val="0"/>
              <w:widowControl/>
              <w:suppressLineNumbers w:val="0"/>
              <w:spacing w:before="0" w:beforeAutospacing="0" w:after="0" w:afterAutospacing="0"/>
              <w:ind w:left="0" w:right="0"/>
              <w:jc w:val="center"/>
              <w:rPr>
                <w:rFonts w:hint="default"/>
                <w:color w:val="auto"/>
                <w:lang w:val="en-US"/>
              </w:rPr>
            </w:pPr>
            <w:r>
              <w:rPr>
                <w:rFonts w:hint="eastAsia" w:ascii="宋体" w:hAnsi="宋体" w:eastAsia="宋体" w:cs="宋体"/>
                <w:color w:val="auto"/>
                <w:sz w:val="21"/>
                <w:szCs w:val="21"/>
                <w:lang w:val="en-US" w:eastAsia="zh-CN"/>
              </w:rPr>
              <w:t>13012715075</w:t>
            </w:r>
          </w:p>
        </w:tc>
      </w:tr>
      <w:tr w14:paraId="3D92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restart"/>
            <w:noWrap w:val="0"/>
            <w:vAlign w:val="center"/>
          </w:tcPr>
          <w:p w14:paraId="48E249D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环境应急监测组</w:t>
            </w:r>
          </w:p>
        </w:tc>
        <w:tc>
          <w:tcPr>
            <w:tcW w:w="766" w:type="pct"/>
            <w:noWrap w:val="0"/>
            <w:vAlign w:val="center"/>
          </w:tcPr>
          <w:p w14:paraId="469A1EF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73B1C1C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曹元学</w:t>
            </w:r>
          </w:p>
        </w:tc>
        <w:tc>
          <w:tcPr>
            <w:tcW w:w="1383" w:type="pct"/>
            <w:noWrap w:val="0"/>
            <w:vAlign w:val="center"/>
          </w:tcPr>
          <w:p w14:paraId="536652B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安全</w:t>
            </w:r>
            <w:r>
              <w:rPr>
                <w:rFonts w:hint="eastAsia"/>
                <w:color w:val="auto"/>
              </w:rPr>
              <w:t>专工</w:t>
            </w:r>
          </w:p>
        </w:tc>
        <w:tc>
          <w:tcPr>
            <w:tcW w:w="839" w:type="pct"/>
            <w:noWrap w:val="0"/>
            <w:vAlign w:val="center"/>
          </w:tcPr>
          <w:p w14:paraId="73A59176">
            <w:pPr>
              <w:pStyle w:val="127"/>
              <w:keepNext w:val="0"/>
              <w:keepLines w:val="0"/>
              <w:widowControl/>
              <w:suppressLineNumbers w:val="0"/>
              <w:spacing w:before="0" w:beforeAutospacing="0" w:after="0" w:afterAutospacing="0"/>
              <w:ind w:left="0" w:right="0"/>
              <w:jc w:val="center"/>
              <w:rPr>
                <w:rFonts w:hint="default"/>
                <w:color w:val="auto"/>
              </w:rPr>
            </w:pPr>
            <w:r>
              <w:rPr>
                <w:rFonts w:hint="eastAsia" w:ascii="宋体" w:hAnsi="宋体" w:eastAsia="宋体" w:cs="宋体"/>
                <w:color w:val="auto"/>
                <w:sz w:val="21"/>
                <w:szCs w:val="21"/>
                <w:lang w:val="en-US" w:eastAsia="zh-CN"/>
              </w:rPr>
              <w:t>13515332288</w:t>
            </w:r>
          </w:p>
        </w:tc>
      </w:tr>
      <w:tr w14:paraId="6CF3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09BF341E">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40BF8C79">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3883021F">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孙永利</w:t>
            </w:r>
          </w:p>
        </w:tc>
        <w:tc>
          <w:tcPr>
            <w:tcW w:w="1383" w:type="pct"/>
            <w:noWrap w:val="0"/>
            <w:vAlign w:val="center"/>
          </w:tcPr>
          <w:p w14:paraId="07D3E794">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车间主任</w:t>
            </w:r>
          </w:p>
        </w:tc>
        <w:tc>
          <w:tcPr>
            <w:tcW w:w="839" w:type="pct"/>
            <w:noWrap w:val="0"/>
            <w:vAlign w:val="center"/>
          </w:tcPr>
          <w:p w14:paraId="1EA773B9">
            <w:pPr>
              <w:keepNext w:val="0"/>
              <w:keepLines w:val="0"/>
              <w:widowControl/>
              <w:suppressLineNumbers w:val="0"/>
              <w:spacing w:before="0" w:beforeAutospacing="0" w:after="0" w:afterAutospacing="0"/>
              <w:ind w:left="0" w:right="0"/>
              <w:jc w:val="center"/>
              <w:textAlignment w:val="center"/>
              <w:rPr>
                <w:rFonts w:hint="default"/>
                <w:color w:val="auto"/>
                <w:lang w:val="en-US"/>
              </w:rPr>
            </w:pPr>
            <w:r>
              <w:rPr>
                <w:rFonts w:hint="eastAsia" w:ascii="宋体" w:hAnsi="宋体" w:eastAsia="宋体" w:cs="宋体"/>
                <w:i w:val="0"/>
                <w:iCs w:val="0"/>
                <w:color w:val="000000"/>
                <w:kern w:val="0"/>
                <w:sz w:val="21"/>
                <w:szCs w:val="21"/>
                <w:u w:val="none"/>
                <w:lang w:val="en-US" w:eastAsia="zh-CN" w:bidi="ar"/>
              </w:rPr>
              <w:t>13646434301</w:t>
            </w:r>
          </w:p>
        </w:tc>
      </w:tr>
      <w:tr w14:paraId="4A39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2D5F9A50">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3EC043B">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593FBE7C">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闫广伟</w:t>
            </w:r>
          </w:p>
        </w:tc>
        <w:tc>
          <w:tcPr>
            <w:tcW w:w="1383" w:type="pct"/>
            <w:noWrap w:val="0"/>
            <w:vAlign w:val="center"/>
          </w:tcPr>
          <w:p w14:paraId="4739D425">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班长</w:t>
            </w:r>
          </w:p>
        </w:tc>
        <w:tc>
          <w:tcPr>
            <w:tcW w:w="839" w:type="pct"/>
            <w:noWrap w:val="0"/>
            <w:vAlign w:val="bottom"/>
          </w:tcPr>
          <w:p w14:paraId="447D4323">
            <w:pPr>
              <w:keepNext w:val="0"/>
              <w:keepLines w:val="0"/>
              <w:widowControl/>
              <w:suppressLineNumbers w:val="0"/>
              <w:spacing w:before="0" w:beforeAutospacing="0" w:after="0" w:afterAutospacing="0"/>
              <w:ind w:left="0" w:right="0"/>
              <w:jc w:val="center"/>
              <w:textAlignment w:val="bottom"/>
              <w:rPr>
                <w:rFonts w:hint="default"/>
                <w:color w:val="auto"/>
              </w:rPr>
            </w:pPr>
            <w:r>
              <w:rPr>
                <w:rFonts w:hint="eastAsia" w:ascii="宋体" w:hAnsi="宋体" w:eastAsia="宋体" w:cs="宋体"/>
                <w:i w:val="0"/>
                <w:iCs w:val="0"/>
                <w:color w:val="000000"/>
                <w:kern w:val="0"/>
                <w:sz w:val="21"/>
                <w:szCs w:val="21"/>
                <w:u w:val="none"/>
                <w:lang w:val="en-US" w:eastAsia="zh-CN" w:bidi="ar"/>
              </w:rPr>
              <w:t>15169329557</w:t>
            </w:r>
          </w:p>
        </w:tc>
      </w:tr>
      <w:tr w14:paraId="33FF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restart"/>
            <w:noWrap w:val="0"/>
            <w:vAlign w:val="center"/>
          </w:tcPr>
          <w:p w14:paraId="269F513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应急专家组</w:t>
            </w:r>
          </w:p>
        </w:tc>
        <w:tc>
          <w:tcPr>
            <w:tcW w:w="766" w:type="pct"/>
            <w:noWrap w:val="0"/>
            <w:vAlign w:val="center"/>
          </w:tcPr>
          <w:p w14:paraId="6D1C28B9">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7F36B075">
            <w:pPr>
              <w:pStyle w:val="127"/>
              <w:keepNext w:val="0"/>
              <w:keepLines w:val="0"/>
              <w:widowControl/>
              <w:suppressLineNumbers w:val="0"/>
              <w:spacing w:before="0" w:beforeAutospacing="0" w:after="0" w:afterAutospacing="0"/>
              <w:ind w:left="0" w:right="0" w:firstLine="630" w:firstLineChars="300"/>
              <w:jc w:val="both"/>
              <w:rPr>
                <w:rFonts w:hint="eastAsia" w:eastAsia="宋体"/>
                <w:color w:val="auto"/>
                <w:lang w:eastAsia="zh-CN"/>
              </w:rPr>
            </w:pPr>
            <w:r>
              <w:rPr>
                <w:rFonts w:hint="eastAsia"/>
                <w:color w:val="auto"/>
                <w:lang w:eastAsia="zh-CN"/>
              </w:rPr>
              <w:t>杜</w:t>
            </w:r>
            <w:r>
              <w:rPr>
                <w:rFonts w:hint="eastAsia"/>
                <w:color w:val="auto"/>
                <w:lang w:val="en-US" w:eastAsia="zh-CN"/>
              </w:rPr>
              <w:t xml:space="preserve"> </w:t>
            </w:r>
            <w:r>
              <w:rPr>
                <w:rFonts w:hint="eastAsia"/>
                <w:color w:val="auto"/>
                <w:lang w:eastAsia="zh-CN"/>
              </w:rPr>
              <w:t>星</w:t>
            </w:r>
          </w:p>
        </w:tc>
        <w:tc>
          <w:tcPr>
            <w:tcW w:w="1383" w:type="pct"/>
            <w:noWrap w:val="0"/>
            <w:vAlign w:val="center"/>
          </w:tcPr>
          <w:p w14:paraId="4A84A004">
            <w:pPr>
              <w:pStyle w:val="127"/>
              <w:keepNext w:val="0"/>
              <w:keepLines w:val="0"/>
              <w:widowControl/>
              <w:suppressLineNumbers w:val="0"/>
              <w:spacing w:before="0" w:beforeAutospacing="0" w:after="0" w:afterAutospacing="0"/>
              <w:ind w:left="0" w:right="0"/>
              <w:rPr>
                <w:rFonts w:hint="default" w:eastAsia="宋体"/>
                <w:color w:val="auto"/>
                <w:lang w:val="en-US" w:eastAsia="zh-CN"/>
              </w:rPr>
            </w:pPr>
            <w:r>
              <w:rPr>
                <w:rFonts w:hint="eastAsia"/>
                <w:color w:val="auto"/>
                <w:lang w:eastAsia="zh-CN"/>
              </w:rPr>
              <w:t>安环部副部长</w:t>
            </w:r>
          </w:p>
        </w:tc>
        <w:tc>
          <w:tcPr>
            <w:tcW w:w="839" w:type="pct"/>
            <w:noWrap w:val="0"/>
            <w:vAlign w:val="center"/>
          </w:tcPr>
          <w:p w14:paraId="3A6EE9A9">
            <w:pPr>
              <w:pStyle w:val="127"/>
              <w:keepNext w:val="0"/>
              <w:keepLines w:val="0"/>
              <w:widowControl/>
              <w:suppressLineNumbers w:val="0"/>
              <w:spacing w:before="0" w:beforeAutospacing="0" w:after="0" w:afterAutospacing="0"/>
              <w:ind w:left="0" w:right="0"/>
              <w:jc w:val="center"/>
              <w:rPr>
                <w:rFonts w:hint="default"/>
                <w:color w:val="auto"/>
                <w:lang w:val="en-US"/>
              </w:rPr>
            </w:pPr>
            <w:r>
              <w:rPr>
                <w:rFonts w:hint="eastAsia" w:ascii="宋体" w:hAnsi="宋体" w:cs="宋体"/>
                <w:color w:val="auto"/>
                <w:sz w:val="21"/>
                <w:szCs w:val="21"/>
                <w:lang w:val="en-US" w:eastAsia="zh-CN"/>
              </w:rPr>
              <w:t>15864494906</w:t>
            </w:r>
          </w:p>
        </w:tc>
      </w:tr>
      <w:tr w14:paraId="5188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38B9795B">
            <w:pPr>
              <w:pStyle w:val="127"/>
              <w:keepNext w:val="0"/>
              <w:keepLines w:val="0"/>
              <w:widowControl/>
              <w:suppressLineNumbers w:val="0"/>
              <w:spacing w:before="0" w:beforeAutospacing="0" w:after="0" w:afterAutospacing="0"/>
              <w:ind w:left="0" w:right="0"/>
              <w:rPr>
                <w:rFonts w:hint="default"/>
                <w:color w:val="auto"/>
              </w:rPr>
            </w:pPr>
          </w:p>
        </w:tc>
        <w:tc>
          <w:tcPr>
            <w:tcW w:w="1800" w:type="pct"/>
            <w:gridSpan w:val="2"/>
            <w:noWrap w:val="0"/>
            <w:vAlign w:val="center"/>
          </w:tcPr>
          <w:p w14:paraId="028D3B6B">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24小时应急电话</w:t>
            </w:r>
          </w:p>
        </w:tc>
        <w:tc>
          <w:tcPr>
            <w:tcW w:w="2222" w:type="pct"/>
            <w:gridSpan w:val="2"/>
            <w:noWrap w:val="0"/>
            <w:vAlign w:val="center"/>
          </w:tcPr>
          <w:p w14:paraId="39643A9F">
            <w:pPr>
              <w:pStyle w:val="127"/>
              <w:keepNext w:val="0"/>
              <w:keepLines w:val="0"/>
              <w:widowControl/>
              <w:suppressLineNumbers w:val="0"/>
              <w:spacing w:before="0" w:beforeAutospacing="0" w:after="0" w:afterAutospacing="0"/>
              <w:ind w:left="0" w:right="0"/>
              <w:rPr>
                <w:rFonts w:hint="default" w:eastAsia="宋体"/>
                <w:color w:val="auto"/>
                <w:lang w:val="en-US" w:eastAsia="zh-CN"/>
              </w:rPr>
            </w:pPr>
            <w:r>
              <w:rPr>
                <w:rFonts w:hint="eastAsia"/>
                <w:color w:val="auto"/>
              </w:rPr>
              <w:t>0533</w:t>
            </w:r>
            <w:r>
              <w:rPr>
                <w:rFonts w:hint="default"/>
                <w:color w:val="auto"/>
              </w:rPr>
              <w:t>-</w:t>
            </w:r>
            <w:r>
              <w:rPr>
                <w:rFonts w:hint="eastAsia"/>
                <w:color w:val="auto"/>
                <w:lang w:val="en-US" w:eastAsia="zh-CN"/>
              </w:rPr>
              <w:t>7199909</w:t>
            </w:r>
          </w:p>
        </w:tc>
      </w:tr>
    </w:tbl>
    <w:p w14:paraId="41C93659">
      <w:pPr>
        <w:pStyle w:val="8"/>
        <w:spacing w:before="240"/>
      </w:pPr>
      <w:r>
        <w:rPr>
          <w:rFonts w:hint="eastAsia"/>
          <w:lang w:val="en-US" w:eastAsia="zh-CN"/>
        </w:rPr>
        <w:t>3.7.3</w:t>
      </w:r>
      <w:r>
        <w:t>外部救援机构</w:t>
      </w:r>
    </w:p>
    <w:p w14:paraId="5466EB30">
      <w:pPr>
        <w:pStyle w:val="124"/>
        <w:spacing w:after="120"/>
        <w:rPr>
          <w:lang w:eastAsia="zh-CN"/>
        </w:rPr>
      </w:pPr>
      <w:r>
        <w:rPr>
          <w:lang w:eastAsia="zh-CN"/>
        </w:rPr>
        <w:t>外部救援机构均为政府职能部门或服务型机构，一旦发生突发环境事件，通过信息传递需要实施外部救援时，相关部门本着“以人为本、快速响应”的原则，有责任和义务对本公司进行应急救援。</w:t>
      </w:r>
    </w:p>
    <w:p w14:paraId="3D80706B">
      <w:pPr>
        <w:bidi w:val="0"/>
        <w:ind w:firstLine="2520" w:firstLineChars="1200"/>
        <w:rPr>
          <w:lang w:eastAsia="zh-CN"/>
        </w:rPr>
      </w:pPr>
      <w:r>
        <w:rPr>
          <w:lang w:eastAsia="zh-CN"/>
        </w:rPr>
        <w:t>表</w:t>
      </w:r>
      <w:r>
        <w:rPr>
          <w:lang w:eastAsia="zh-CN"/>
        </w:rPr>
        <w:fldChar w:fldCharType="begin"/>
      </w:r>
      <w:r>
        <w:rPr>
          <w:lang w:eastAsia="zh-CN"/>
        </w:rPr>
        <w:instrText xml:space="preserve"> STYLEREF 2 \s </w:instrText>
      </w:r>
      <w:r>
        <w:rPr>
          <w:lang w:eastAsia="zh-CN"/>
        </w:rPr>
        <w:fldChar w:fldCharType="separate"/>
      </w:r>
      <w:r>
        <w:rPr>
          <w:lang w:eastAsia="zh-CN"/>
        </w:rPr>
        <w:t>3.7</w:t>
      </w:r>
      <w:r>
        <w:rPr>
          <w:lang w:eastAsia="zh-CN"/>
        </w:rPr>
        <w:fldChar w:fldCharType="end"/>
      </w:r>
      <w:r>
        <w:rPr>
          <w:lang w:eastAsia="zh-CN"/>
        </w:rPr>
        <w:noBreakHyphen/>
      </w:r>
      <w:r>
        <w:rPr>
          <w:rFonts w:hint="eastAsia"/>
          <w:lang w:val="en-US" w:eastAsia="zh-CN"/>
        </w:rPr>
        <w:t>1</w:t>
      </w:r>
      <w:r>
        <w:rPr>
          <w:lang w:eastAsia="zh-CN"/>
        </w:rPr>
        <w:t xml:space="preserve"> </w:t>
      </w:r>
      <w:bookmarkStart w:id="56" w:name="_Hlk73264474"/>
      <w:r>
        <w:rPr>
          <w:lang w:eastAsia="zh-CN"/>
        </w:rPr>
        <w:t>外部救援机构联络方式一览表</w:t>
      </w:r>
      <w:bookmarkEnd w:id="56"/>
    </w:p>
    <w:p w14:paraId="51E096F3">
      <w:pPr>
        <w:bidi w:val="0"/>
        <w:rPr>
          <w:lang w:eastAsia="zh-CN"/>
        </w:rPr>
      </w:pPr>
    </w:p>
    <w:tbl>
      <w:tblPr>
        <w:tblStyle w:val="3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2228"/>
        <w:gridCol w:w="2835"/>
        <w:gridCol w:w="1723"/>
      </w:tblGrid>
      <w:tr w14:paraId="245C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2842" w:type="dxa"/>
            <w:noWrap w:val="0"/>
            <w:vAlign w:val="center"/>
          </w:tcPr>
          <w:p w14:paraId="44C51C0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单位名称</w:t>
            </w:r>
          </w:p>
        </w:tc>
        <w:tc>
          <w:tcPr>
            <w:tcW w:w="2228" w:type="dxa"/>
            <w:noWrap w:val="0"/>
            <w:vAlign w:val="center"/>
          </w:tcPr>
          <w:p w14:paraId="7685F80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联系电话</w:t>
            </w:r>
          </w:p>
        </w:tc>
        <w:tc>
          <w:tcPr>
            <w:tcW w:w="2835" w:type="dxa"/>
            <w:noWrap w:val="0"/>
            <w:vAlign w:val="center"/>
          </w:tcPr>
          <w:p w14:paraId="2642458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单位名称</w:t>
            </w:r>
          </w:p>
        </w:tc>
        <w:tc>
          <w:tcPr>
            <w:tcW w:w="1723" w:type="dxa"/>
            <w:noWrap w:val="0"/>
            <w:vAlign w:val="center"/>
          </w:tcPr>
          <w:p w14:paraId="577EA12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联系电话</w:t>
            </w:r>
          </w:p>
        </w:tc>
      </w:tr>
      <w:tr w14:paraId="7F32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842" w:type="dxa"/>
            <w:noWrap w:val="0"/>
            <w:vAlign w:val="center"/>
          </w:tcPr>
          <w:p w14:paraId="2DDE3F7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淄博市应急管理局</w:t>
            </w:r>
          </w:p>
        </w:tc>
        <w:tc>
          <w:tcPr>
            <w:tcW w:w="2228" w:type="dxa"/>
            <w:noWrap w:val="0"/>
            <w:vAlign w:val="center"/>
          </w:tcPr>
          <w:p w14:paraId="6DF0C03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default" w:ascii="Times New Roman" w:hAnsi="Times New Roman" w:cs="Times New Roman"/>
                <w:kern w:val="2"/>
                <w:sz w:val="21"/>
                <w:szCs w:val="21"/>
              </w:rPr>
              <w:t>2301930</w:t>
            </w:r>
          </w:p>
        </w:tc>
        <w:tc>
          <w:tcPr>
            <w:tcW w:w="2835" w:type="dxa"/>
            <w:noWrap w:val="0"/>
            <w:vAlign w:val="center"/>
          </w:tcPr>
          <w:p w14:paraId="14F923F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淄博市生态环境局</w:t>
            </w:r>
          </w:p>
        </w:tc>
        <w:tc>
          <w:tcPr>
            <w:tcW w:w="1723" w:type="dxa"/>
            <w:noWrap w:val="0"/>
            <w:vAlign w:val="center"/>
          </w:tcPr>
          <w:p w14:paraId="607FDDC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rPr>
              <w:t>3</w:t>
            </w:r>
            <w:r>
              <w:rPr>
                <w:rFonts w:hint="default" w:ascii="Times New Roman" w:hAnsi="Times New Roman" w:cs="Times New Roman"/>
                <w:kern w:val="2"/>
                <w:sz w:val="21"/>
                <w:szCs w:val="21"/>
              </w:rPr>
              <w:t>183020</w:t>
            </w:r>
          </w:p>
        </w:tc>
      </w:tr>
      <w:tr w14:paraId="5465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842" w:type="dxa"/>
            <w:noWrap w:val="0"/>
            <w:vAlign w:val="center"/>
          </w:tcPr>
          <w:p w14:paraId="4E704C5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淄博市生态环境局临淄分局</w:t>
            </w:r>
          </w:p>
        </w:tc>
        <w:tc>
          <w:tcPr>
            <w:tcW w:w="2228" w:type="dxa"/>
            <w:noWrap w:val="0"/>
            <w:vAlign w:val="center"/>
          </w:tcPr>
          <w:p w14:paraId="437480B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rPr>
              <w:t>718</w:t>
            </w:r>
            <w:r>
              <w:rPr>
                <w:rFonts w:hint="default" w:ascii="Times New Roman" w:hAnsi="Times New Roman" w:cs="Times New Roman"/>
                <w:kern w:val="2"/>
                <w:sz w:val="21"/>
                <w:szCs w:val="21"/>
              </w:rPr>
              <w:t>4544</w:t>
            </w:r>
          </w:p>
        </w:tc>
        <w:tc>
          <w:tcPr>
            <w:tcW w:w="2835" w:type="dxa"/>
            <w:noWrap w:val="0"/>
            <w:vAlign w:val="center"/>
          </w:tcPr>
          <w:p w14:paraId="13D98BA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鲁中应急救援中心</w:t>
            </w:r>
          </w:p>
        </w:tc>
        <w:tc>
          <w:tcPr>
            <w:tcW w:w="1723" w:type="dxa"/>
            <w:noWrap w:val="0"/>
            <w:vAlign w:val="center"/>
          </w:tcPr>
          <w:p w14:paraId="4F3B1F4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default" w:ascii="Times New Roman" w:hAnsi="Times New Roman" w:cs="Times New Roman"/>
                <w:kern w:val="2"/>
                <w:sz w:val="21"/>
                <w:szCs w:val="21"/>
              </w:rPr>
              <w:t>7585119</w:t>
            </w:r>
          </w:p>
        </w:tc>
      </w:tr>
      <w:tr w14:paraId="6E06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67920E7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国家应急咨询电话</w:t>
            </w:r>
          </w:p>
        </w:tc>
        <w:tc>
          <w:tcPr>
            <w:tcW w:w="2228" w:type="dxa"/>
            <w:noWrap w:val="0"/>
            <w:vAlign w:val="center"/>
          </w:tcPr>
          <w:p w14:paraId="5C63BE9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0532-83889090</w:t>
            </w:r>
          </w:p>
        </w:tc>
        <w:tc>
          <w:tcPr>
            <w:tcW w:w="2835" w:type="dxa"/>
            <w:noWrap w:val="0"/>
            <w:vAlign w:val="center"/>
          </w:tcPr>
          <w:p w14:paraId="4802D0F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临淄区应急管理局</w:t>
            </w:r>
          </w:p>
        </w:tc>
        <w:tc>
          <w:tcPr>
            <w:tcW w:w="1723" w:type="dxa"/>
            <w:noWrap w:val="0"/>
            <w:vAlign w:val="center"/>
          </w:tcPr>
          <w:p w14:paraId="0D42148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lang w:val="en-US" w:eastAsia="zh-CN" w:bidi="ar-SA"/>
              </w:rPr>
              <w:t>7163086</w:t>
            </w:r>
          </w:p>
        </w:tc>
      </w:tr>
      <w:tr w14:paraId="040C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2033818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临淄区政府值班电话</w:t>
            </w:r>
          </w:p>
        </w:tc>
        <w:tc>
          <w:tcPr>
            <w:tcW w:w="2228" w:type="dxa"/>
            <w:noWrap w:val="0"/>
            <w:vAlign w:val="center"/>
          </w:tcPr>
          <w:p w14:paraId="25AEAFA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7220372</w:t>
            </w:r>
          </w:p>
        </w:tc>
        <w:tc>
          <w:tcPr>
            <w:tcW w:w="2835" w:type="dxa"/>
            <w:noWrap w:val="0"/>
            <w:vAlign w:val="center"/>
          </w:tcPr>
          <w:p w14:paraId="430084E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rPr>
              <w:t>区水资源办公室</w:t>
            </w:r>
          </w:p>
        </w:tc>
        <w:tc>
          <w:tcPr>
            <w:tcW w:w="1723" w:type="dxa"/>
            <w:noWrap w:val="0"/>
            <w:vAlign w:val="center"/>
          </w:tcPr>
          <w:p w14:paraId="30CEFD4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w:t>
            </w:r>
            <w:r>
              <w:rPr>
                <w:rFonts w:hint="default" w:ascii="Times New Roman" w:hAnsi="Times New Roman" w:cs="Times New Roman"/>
                <w:color w:val="000000"/>
                <w:kern w:val="2"/>
                <w:sz w:val="21"/>
                <w:szCs w:val="21"/>
              </w:rPr>
              <w:t>7310569</w:t>
            </w:r>
          </w:p>
        </w:tc>
      </w:tr>
      <w:tr w14:paraId="7C57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3CBCC459">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color w:val="000000"/>
                <w:kern w:val="2"/>
                <w:sz w:val="21"/>
                <w:szCs w:val="21"/>
                <w:lang w:eastAsia="zh-CN"/>
              </w:rPr>
              <w:t>辛店街道安环办</w:t>
            </w:r>
          </w:p>
        </w:tc>
        <w:tc>
          <w:tcPr>
            <w:tcW w:w="2228" w:type="dxa"/>
            <w:noWrap w:val="0"/>
            <w:vAlign w:val="center"/>
          </w:tcPr>
          <w:p w14:paraId="316C9B5C">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color w:val="000000"/>
                <w:kern w:val="2"/>
                <w:sz w:val="21"/>
                <w:szCs w:val="21"/>
              </w:rPr>
              <w:t>0533-</w:t>
            </w:r>
            <w:r>
              <w:rPr>
                <w:rFonts w:hint="eastAsia" w:ascii="Times New Roman" w:hAnsi="Times New Roman" w:cs="Times New Roman"/>
                <w:color w:val="000000"/>
                <w:kern w:val="2"/>
                <w:sz w:val="21"/>
                <w:szCs w:val="21"/>
                <w:lang w:val="en-US" w:eastAsia="zh-CN"/>
              </w:rPr>
              <w:t>7190880</w:t>
            </w:r>
          </w:p>
        </w:tc>
        <w:tc>
          <w:tcPr>
            <w:tcW w:w="2835" w:type="dxa"/>
            <w:noWrap w:val="0"/>
            <w:vAlign w:val="center"/>
          </w:tcPr>
          <w:p w14:paraId="43C9C97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color w:val="000000"/>
                <w:kern w:val="2"/>
                <w:sz w:val="21"/>
                <w:szCs w:val="21"/>
              </w:rPr>
              <w:t>齐鲁消防大队</w:t>
            </w:r>
          </w:p>
        </w:tc>
        <w:tc>
          <w:tcPr>
            <w:tcW w:w="1723" w:type="dxa"/>
            <w:noWrap w:val="0"/>
            <w:vAlign w:val="center"/>
          </w:tcPr>
          <w:p w14:paraId="0B842DF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kern w:val="2"/>
                <w:sz w:val="21"/>
                <w:szCs w:val="21"/>
                <w:lang w:val="en-US" w:eastAsia="zh-CN"/>
              </w:rPr>
              <w:t>0533-</w:t>
            </w:r>
            <w:r>
              <w:rPr>
                <w:rFonts w:hint="default" w:ascii="Times New Roman" w:hAnsi="Times New Roman" w:cs="Times New Roman"/>
                <w:color w:val="000000"/>
                <w:kern w:val="2"/>
                <w:sz w:val="21"/>
                <w:szCs w:val="21"/>
              </w:rPr>
              <w:t>7582129</w:t>
            </w:r>
          </w:p>
        </w:tc>
      </w:tr>
      <w:tr w14:paraId="2FD7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7077AF9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临淄区消防大队</w:t>
            </w:r>
          </w:p>
        </w:tc>
        <w:tc>
          <w:tcPr>
            <w:tcW w:w="2228" w:type="dxa"/>
            <w:noWrap w:val="0"/>
            <w:vAlign w:val="center"/>
          </w:tcPr>
          <w:p w14:paraId="2B4AFD46">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0533-7180119/119</w:t>
            </w:r>
          </w:p>
        </w:tc>
        <w:tc>
          <w:tcPr>
            <w:tcW w:w="2835" w:type="dxa"/>
            <w:noWrap w:val="0"/>
            <w:vAlign w:val="center"/>
          </w:tcPr>
          <w:p w14:paraId="321CD66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color w:val="000000"/>
                <w:kern w:val="2"/>
                <w:sz w:val="21"/>
                <w:szCs w:val="21"/>
              </w:rPr>
              <w:t>临淄区人民医院</w:t>
            </w:r>
          </w:p>
        </w:tc>
        <w:tc>
          <w:tcPr>
            <w:tcW w:w="1723" w:type="dxa"/>
            <w:noWrap w:val="0"/>
            <w:vAlign w:val="center"/>
          </w:tcPr>
          <w:p w14:paraId="37FAE35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color w:val="000000"/>
                <w:kern w:val="2"/>
                <w:sz w:val="21"/>
                <w:szCs w:val="21"/>
              </w:rPr>
              <w:t>0533-7180120</w:t>
            </w:r>
          </w:p>
        </w:tc>
      </w:tr>
      <w:tr w14:paraId="1B2A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1B212214">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kern w:val="2"/>
                <w:sz w:val="21"/>
                <w:szCs w:val="21"/>
                <w:lang w:eastAsia="zh-CN"/>
              </w:rPr>
              <w:t>淄博元齐生物科技有限公司</w:t>
            </w:r>
          </w:p>
        </w:tc>
        <w:tc>
          <w:tcPr>
            <w:tcW w:w="2228" w:type="dxa"/>
            <w:noWrap w:val="0"/>
            <w:vAlign w:val="center"/>
          </w:tcPr>
          <w:p w14:paraId="47E8906C">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0533-7199909</w:t>
            </w:r>
          </w:p>
        </w:tc>
        <w:tc>
          <w:tcPr>
            <w:tcW w:w="2835" w:type="dxa"/>
            <w:noWrap w:val="0"/>
            <w:vAlign w:val="center"/>
          </w:tcPr>
          <w:p w14:paraId="2CAD7F0B">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rPr>
              <w:t>山东</w:t>
            </w:r>
            <w:r>
              <w:rPr>
                <w:rFonts w:hint="eastAsia" w:ascii="Times New Roman" w:hAnsi="Times New Roman" w:cs="Times New Roman"/>
                <w:color w:val="000000"/>
                <w:kern w:val="2"/>
                <w:sz w:val="21"/>
                <w:szCs w:val="21"/>
                <w:lang w:eastAsia="zh-CN"/>
              </w:rPr>
              <w:t>春城</w:t>
            </w:r>
            <w:r>
              <w:rPr>
                <w:rFonts w:hint="eastAsia" w:ascii="Times New Roman" w:hAnsi="Times New Roman" w:cs="Times New Roman"/>
                <w:color w:val="000000"/>
                <w:kern w:val="2"/>
                <w:sz w:val="21"/>
                <w:szCs w:val="21"/>
              </w:rPr>
              <w:t>检测有限公司</w:t>
            </w:r>
          </w:p>
        </w:tc>
        <w:tc>
          <w:tcPr>
            <w:tcW w:w="1723" w:type="dxa"/>
            <w:noWrap w:val="0"/>
            <w:vAlign w:val="center"/>
          </w:tcPr>
          <w:p w14:paraId="7B7D3EB9">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color w:val="000000"/>
                <w:kern w:val="2"/>
                <w:sz w:val="21"/>
                <w:szCs w:val="21"/>
                <w:lang w:val="en-US" w:eastAsia="zh-CN"/>
              </w:rPr>
              <w:t>17560323988</w:t>
            </w:r>
          </w:p>
        </w:tc>
      </w:tr>
      <w:tr w14:paraId="5610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6F96F6FE">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eastAsia="zh-CN"/>
              </w:rPr>
              <w:t>山东九盛检测科技有限公司</w:t>
            </w:r>
          </w:p>
        </w:tc>
        <w:tc>
          <w:tcPr>
            <w:tcW w:w="2228" w:type="dxa"/>
            <w:noWrap w:val="0"/>
            <w:vAlign w:val="center"/>
          </w:tcPr>
          <w:p w14:paraId="6B523E9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13969359122</w:t>
            </w:r>
          </w:p>
        </w:tc>
        <w:tc>
          <w:tcPr>
            <w:tcW w:w="2835" w:type="dxa"/>
            <w:noWrap w:val="0"/>
            <w:vAlign w:val="center"/>
          </w:tcPr>
          <w:p w14:paraId="71451FCD">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eastAsia="zh-CN"/>
              </w:rPr>
              <w:t>山东隆信药业有限公司</w:t>
            </w:r>
          </w:p>
        </w:tc>
        <w:tc>
          <w:tcPr>
            <w:tcW w:w="1723" w:type="dxa"/>
            <w:noWrap w:val="0"/>
            <w:vAlign w:val="center"/>
          </w:tcPr>
          <w:p w14:paraId="1F86AC84">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kern w:val="2"/>
                <w:sz w:val="21"/>
                <w:szCs w:val="21"/>
                <w:lang w:val="en-US" w:eastAsia="zh-CN"/>
              </w:rPr>
              <w:t>0533-7199909</w:t>
            </w:r>
          </w:p>
        </w:tc>
      </w:tr>
      <w:tr w14:paraId="6E0F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56480A1D">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eastAsia="zh-CN"/>
              </w:rPr>
            </w:pPr>
            <w:r>
              <w:rPr>
                <w:rFonts w:hint="eastAsia" w:ascii="Times New Roman" w:hAnsi="Times New Roman" w:cs="Times New Roman"/>
                <w:kern w:val="2"/>
                <w:sz w:val="21"/>
                <w:szCs w:val="21"/>
                <w:lang w:eastAsia="zh-CN"/>
              </w:rPr>
              <w:t>东夏村</w:t>
            </w:r>
          </w:p>
        </w:tc>
        <w:tc>
          <w:tcPr>
            <w:tcW w:w="2228" w:type="dxa"/>
            <w:noWrap w:val="0"/>
            <w:vAlign w:val="center"/>
          </w:tcPr>
          <w:p w14:paraId="53B39CA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0533-7480226</w:t>
            </w:r>
          </w:p>
        </w:tc>
        <w:tc>
          <w:tcPr>
            <w:tcW w:w="2835" w:type="dxa"/>
            <w:noWrap w:val="0"/>
            <w:vAlign w:val="center"/>
          </w:tcPr>
          <w:p w14:paraId="499B5492">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eastAsia="zh-CN"/>
              </w:rPr>
              <w:t>金岭三村</w:t>
            </w:r>
          </w:p>
        </w:tc>
        <w:tc>
          <w:tcPr>
            <w:tcW w:w="1723" w:type="dxa"/>
            <w:noWrap w:val="0"/>
            <w:vAlign w:val="center"/>
          </w:tcPr>
          <w:p w14:paraId="1F81652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0533-7480378</w:t>
            </w:r>
          </w:p>
        </w:tc>
      </w:tr>
      <w:tr w14:paraId="080F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086CD13A">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eastAsia="zh-CN"/>
              </w:rPr>
            </w:pPr>
            <w:r>
              <w:rPr>
                <w:rFonts w:hint="eastAsia" w:ascii="Times New Roman" w:hAnsi="Times New Roman" w:cs="Times New Roman"/>
                <w:kern w:val="2"/>
                <w:sz w:val="21"/>
                <w:szCs w:val="21"/>
                <w:lang w:eastAsia="zh-CN"/>
              </w:rPr>
              <w:t>西夏村</w:t>
            </w:r>
          </w:p>
        </w:tc>
        <w:tc>
          <w:tcPr>
            <w:tcW w:w="2228" w:type="dxa"/>
            <w:noWrap w:val="0"/>
            <w:vAlign w:val="center"/>
          </w:tcPr>
          <w:p w14:paraId="294C753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0533-7480755</w:t>
            </w:r>
          </w:p>
        </w:tc>
        <w:tc>
          <w:tcPr>
            <w:tcW w:w="2835" w:type="dxa"/>
            <w:noWrap w:val="0"/>
            <w:vAlign w:val="center"/>
          </w:tcPr>
          <w:p w14:paraId="21B772E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color w:val="000000"/>
                <w:kern w:val="2"/>
                <w:sz w:val="21"/>
                <w:szCs w:val="21"/>
                <w:lang w:val="en-US" w:eastAsia="zh-CN" w:bidi="ar-SA"/>
              </w:rPr>
            </w:pPr>
            <w:r>
              <w:rPr>
                <w:rFonts w:hint="eastAsia" w:cs="Times New Roman"/>
                <w:color w:val="000000"/>
                <w:kern w:val="2"/>
                <w:sz w:val="21"/>
                <w:szCs w:val="21"/>
                <w:lang w:val="en-US" w:eastAsia="zh-CN" w:bidi="ar-SA"/>
              </w:rPr>
              <w:t>齐鲁化工园区</w:t>
            </w:r>
          </w:p>
        </w:tc>
        <w:tc>
          <w:tcPr>
            <w:tcW w:w="1723" w:type="dxa"/>
            <w:noWrap w:val="0"/>
            <w:vAlign w:val="center"/>
          </w:tcPr>
          <w:p w14:paraId="4E72E9E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0533-7210501</w:t>
            </w:r>
          </w:p>
        </w:tc>
      </w:tr>
    </w:tbl>
    <w:p w14:paraId="79F4716D">
      <w:pPr>
        <w:bidi w:val="0"/>
        <w:jc w:val="left"/>
        <w:rPr>
          <w:lang w:eastAsia="zh-CN"/>
        </w:rPr>
      </w:pPr>
    </w:p>
    <w:p w14:paraId="33AFEF0E">
      <w:pPr>
        <w:pStyle w:val="6"/>
        <w:pageBreakBefore w:val="0"/>
        <w:kinsoku/>
        <w:wordWrap/>
        <w:overflowPunct/>
        <w:topLinePunct w:val="0"/>
        <w:autoSpaceDE/>
        <w:autoSpaceDN/>
        <w:bidi w:val="0"/>
        <w:spacing w:beforeLines="0" w:afterLines="0"/>
        <w:textAlignment w:val="auto"/>
        <w:rPr>
          <w:rFonts w:ascii="Times New Roman" w:hAnsi="Times New Roman" w:cs="Times New Roman"/>
        </w:rPr>
      </w:pPr>
      <w:bookmarkStart w:id="57" w:name="_Toc73285821"/>
      <w:bookmarkStart w:id="58" w:name="_Toc127256779"/>
      <w:bookmarkStart w:id="59" w:name="_Toc11851"/>
      <w:r>
        <w:rPr>
          <w:rFonts w:hint="eastAsia" w:ascii="Times New Roman" w:hAnsi="Times New Roman" w:cs="Times New Roman"/>
          <w:lang w:val="en-US" w:eastAsia="zh-CN"/>
        </w:rPr>
        <w:t>4</w:t>
      </w:r>
      <w:r>
        <w:rPr>
          <w:rFonts w:ascii="Times New Roman" w:hAnsi="Times New Roman" w:cs="Times New Roman"/>
        </w:rPr>
        <w:t>突发环境事件及后果分析</w:t>
      </w:r>
      <w:bookmarkEnd w:id="57"/>
      <w:bookmarkEnd w:id="58"/>
      <w:bookmarkEnd w:id="59"/>
    </w:p>
    <w:p w14:paraId="7360E5A3">
      <w:pPr>
        <w:pStyle w:val="7"/>
        <w:pageBreakBefore w:val="0"/>
        <w:kinsoku/>
        <w:wordWrap/>
        <w:overflowPunct/>
        <w:topLinePunct w:val="0"/>
        <w:autoSpaceDE/>
        <w:autoSpaceDN/>
        <w:bidi w:val="0"/>
        <w:spacing w:before="0" w:after="0"/>
        <w:textAlignment w:val="auto"/>
        <w:rPr>
          <w:rFonts w:cs="Times New Roman"/>
        </w:rPr>
      </w:pPr>
      <w:bookmarkStart w:id="60" w:name="_Toc73285822"/>
      <w:bookmarkStart w:id="61" w:name="_Toc127256780"/>
      <w:bookmarkStart w:id="62" w:name="_Toc14549"/>
      <w:r>
        <w:rPr>
          <w:rFonts w:hint="eastAsia" w:cs="Times New Roman"/>
          <w:lang w:val="en-US" w:eastAsia="zh-CN"/>
        </w:rPr>
        <w:t>4.1</w:t>
      </w:r>
      <w:r>
        <w:rPr>
          <w:rFonts w:cs="Times New Roman"/>
        </w:rPr>
        <w:t>突发环境事件情景分析</w:t>
      </w:r>
      <w:bookmarkEnd w:id="60"/>
      <w:bookmarkEnd w:id="61"/>
      <w:bookmarkEnd w:id="62"/>
    </w:p>
    <w:p w14:paraId="552E9950">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4.1.1</w:t>
      </w:r>
      <w:r>
        <w:rPr>
          <w:sz w:val="24"/>
          <w:szCs w:val="24"/>
        </w:rPr>
        <w:t>国内外同类企业突发环境事件案例</w:t>
      </w:r>
    </w:p>
    <w:p w14:paraId="1D6AE4C3">
      <w:pPr>
        <w:pStyle w:val="9"/>
        <w:pageBreakBefore w:val="0"/>
        <w:numPr>
          <w:ilvl w:val="3"/>
          <w:numId w:val="0"/>
        </w:numPr>
        <w:kinsoku/>
        <w:wordWrap/>
        <w:overflowPunct/>
        <w:topLinePunct w:val="0"/>
        <w:autoSpaceDE/>
        <w:autoSpaceDN/>
        <w:bidi w:val="0"/>
        <w:ind w:leftChars="0"/>
        <w:textAlignment w:val="auto"/>
        <w:rPr>
          <w:rFonts w:hint="eastAsia" w:ascii="宋体" w:hAnsi="宋体" w:eastAsia="宋体" w:cs="宋体"/>
          <w:sz w:val="24"/>
          <w:szCs w:val="24"/>
        </w:rPr>
      </w:pPr>
      <w:bookmarkStart w:id="63" w:name="_Toc432846612"/>
      <w:bookmarkStart w:id="64" w:name="_Toc432846617"/>
      <w:r>
        <w:rPr>
          <w:rFonts w:hint="eastAsia" w:ascii="宋体" w:hAnsi="宋体" w:eastAsia="宋体" w:cs="宋体"/>
          <w:sz w:val="24"/>
          <w:szCs w:val="24"/>
          <w:lang w:val="en-US" w:eastAsia="zh-CN"/>
        </w:rPr>
        <w:t>4.1.1.1宁夏</w:t>
      </w:r>
      <w:r>
        <w:rPr>
          <w:rFonts w:hint="eastAsia" w:ascii="宋体" w:hAnsi="宋体" w:eastAsia="宋体" w:cs="宋体"/>
          <w:sz w:val="24"/>
          <w:szCs w:val="24"/>
        </w:rPr>
        <w:t>某生物化工有限公司事件分析及预防</w:t>
      </w:r>
    </w:p>
    <w:p w14:paraId="7340DCE9">
      <w:pPr>
        <w:pStyle w:val="124"/>
        <w:pageBreakBefore w:val="0"/>
        <w:numPr>
          <w:ilvl w:val="0"/>
          <w:numId w:val="6"/>
        </w:numPr>
        <w:kinsoku/>
        <w:wordWrap/>
        <w:overflowPunct/>
        <w:topLinePunct w:val="0"/>
        <w:autoSpaceDE/>
        <w:autoSpaceDN/>
        <w:bidi w:val="0"/>
        <w:textAlignment w:val="auto"/>
        <w:rPr>
          <w:rFonts w:hint="eastAsia"/>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事件经过</w:t>
      </w:r>
    </w:p>
    <w:p w14:paraId="104E50DE">
      <w:pPr>
        <w:pStyle w:val="124"/>
        <w:pageBreakBefore w:val="0"/>
        <w:numPr>
          <w:ilvl w:val="0"/>
          <w:numId w:val="0"/>
        </w:numPr>
        <w:kinsoku/>
        <w:wordWrap/>
        <w:overflowPunct/>
        <w:topLinePunct w:val="0"/>
        <w:autoSpaceDE/>
        <w:autoSpaceDN/>
        <w:bidi w:val="0"/>
        <w:ind w:firstLine="480" w:firstLineChars="200"/>
        <w:textAlignment w:val="auto"/>
        <w:rPr>
          <w:rFonts w:hint="default"/>
          <w:b/>
          <w:bCs/>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eastAsia="zh-CN"/>
          <w14:textFill>
            <w14:solidFill>
              <w14:schemeClr w14:val="tx1"/>
            </w14:solidFill>
          </w14:textFill>
        </w:rPr>
        <w:t>2014年4月16日该公司在进行6000吨/年3,3'-二氯联苯胶盐酸盐项目试生产期间发生反应釜爆炸事故，造成</w:t>
      </w:r>
      <w:r>
        <w:rPr>
          <w:rFonts w:hint="eastAsia"/>
          <w:b w:val="0"/>
          <w:bCs w:val="0"/>
          <w:color w:val="000000" w:themeColor="text1"/>
          <w:sz w:val="24"/>
          <w:szCs w:val="24"/>
          <w:lang w:val="en-US" w:eastAsia="zh-CN"/>
          <w14:textFill>
            <w14:solidFill>
              <w14:schemeClr w14:val="tx1"/>
            </w14:solidFill>
          </w14:textFill>
        </w:rPr>
        <w:t>2人死亡、3人重伤。</w:t>
      </w:r>
    </w:p>
    <w:p w14:paraId="30D19DA4">
      <w:pPr>
        <w:pStyle w:val="124"/>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2.事件的原因分析</w:t>
      </w:r>
    </w:p>
    <w:p w14:paraId="2743FADF">
      <w:pPr>
        <w:spacing w:line="360" w:lineRule="auto"/>
        <w:ind w:firstLine="480" w:firstLineChars="200"/>
        <w:rPr>
          <w:rFonts w:hint="eastAsia" w:hAnsi="Courier New" w:eastAsia="宋体"/>
          <w:bCs/>
          <w:sz w:val="24"/>
          <w:szCs w:val="24"/>
          <w:lang w:eastAsia="zh-CN"/>
        </w:rPr>
      </w:pPr>
      <w:r>
        <w:rPr>
          <w:rFonts w:hint="eastAsia" w:hAnsi="Courier New"/>
          <w:bCs/>
          <w:sz w:val="24"/>
          <w:szCs w:val="24"/>
          <w:lang w:eastAsia="zh-CN"/>
        </w:rPr>
        <w:t>（</w:t>
      </w:r>
      <w:r>
        <w:rPr>
          <w:rFonts w:hAnsi="Courier New"/>
          <w:bCs/>
          <w:sz w:val="24"/>
          <w:szCs w:val="24"/>
        </w:rPr>
        <w:t>1</w:t>
      </w:r>
      <w:r>
        <w:rPr>
          <w:rFonts w:hint="eastAsia" w:hAnsi="Courier New"/>
          <w:bCs/>
          <w:sz w:val="24"/>
          <w:szCs w:val="24"/>
          <w:lang w:eastAsia="zh-CN"/>
        </w:rPr>
        <w:t>）</w:t>
      </w:r>
      <w:r>
        <w:rPr>
          <w:rFonts w:hAnsi="Courier New"/>
          <w:bCs/>
          <w:sz w:val="24"/>
          <w:szCs w:val="24"/>
        </w:rPr>
        <w:t>直接原因</w:t>
      </w:r>
      <w:r>
        <w:rPr>
          <w:rFonts w:hint="eastAsia" w:hAnsi="Courier New"/>
          <w:bCs/>
          <w:sz w:val="24"/>
          <w:szCs w:val="24"/>
          <w:lang w:eastAsia="zh-CN"/>
        </w:rPr>
        <w:t>：设备腐蚀泄漏；反应釜超高温可燃蒸汽积聚遇静电致燃爆。</w:t>
      </w:r>
    </w:p>
    <w:p w14:paraId="61B92D7B">
      <w:pPr>
        <w:spacing w:line="360" w:lineRule="auto"/>
        <w:ind w:firstLine="480" w:firstLineChars="200"/>
        <w:rPr>
          <w:rFonts w:hAnsi="Courier New"/>
          <w:bCs/>
          <w:sz w:val="24"/>
          <w:szCs w:val="24"/>
        </w:rPr>
      </w:pPr>
      <w:r>
        <w:rPr>
          <w:rFonts w:hint="eastAsia" w:hAnsi="Courier New"/>
          <w:bCs/>
          <w:sz w:val="24"/>
          <w:szCs w:val="24"/>
          <w:lang w:eastAsia="zh-CN"/>
        </w:rPr>
        <w:t>（</w:t>
      </w:r>
      <w:r>
        <w:rPr>
          <w:rFonts w:hAnsi="Courier New"/>
          <w:bCs/>
          <w:sz w:val="24"/>
          <w:szCs w:val="24"/>
        </w:rPr>
        <w:t>2</w:t>
      </w:r>
      <w:r>
        <w:rPr>
          <w:rFonts w:hint="eastAsia" w:hAnsi="Courier New"/>
          <w:bCs/>
          <w:sz w:val="24"/>
          <w:szCs w:val="24"/>
          <w:lang w:eastAsia="zh-CN"/>
        </w:rPr>
        <w:t>）</w:t>
      </w:r>
      <w:r>
        <w:rPr>
          <w:rFonts w:hAnsi="Courier New"/>
          <w:bCs/>
          <w:sz w:val="24"/>
          <w:szCs w:val="24"/>
        </w:rPr>
        <w:t>间接原因</w:t>
      </w:r>
      <w:r>
        <w:rPr>
          <w:rFonts w:hint="eastAsia" w:hAnsi="Courier New"/>
          <w:bCs/>
          <w:sz w:val="24"/>
          <w:szCs w:val="24"/>
          <w:lang w:eastAsia="zh-CN"/>
        </w:rPr>
        <w:t>：未执行防爆措施，缺乏密闭操作与通风；员工未按操作规程操作致使物料分解；</w:t>
      </w:r>
      <w:r>
        <w:rPr>
          <w:rFonts w:hint="eastAsia" w:hAnsi="Courier New"/>
          <w:bCs/>
          <w:sz w:val="24"/>
          <w:szCs w:val="24"/>
        </w:rPr>
        <w:t>现场安全监护员未尽到现场安全监护的责任。</w:t>
      </w:r>
    </w:p>
    <w:p w14:paraId="22409055">
      <w:pPr>
        <w:pStyle w:val="124"/>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3.事件的预防措施</w:t>
      </w:r>
    </w:p>
    <w:p w14:paraId="156EA2A1">
      <w:pPr>
        <w:spacing w:line="360" w:lineRule="auto"/>
        <w:ind w:firstLine="480" w:firstLineChars="200"/>
        <w:rPr>
          <w:rFonts w:hint="eastAsia" w:ascii="Times New Roman" w:hAnsi="Times New Roman" w:eastAsia="宋体"/>
          <w:bCs/>
          <w:sz w:val="24"/>
          <w:szCs w:val="24"/>
          <w:lang w:eastAsia="zh-CN"/>
        </w:rPr>
      </w:pPr>
      <w:r>
        <w:rPr>
          <w:rFonts w:hint="eastAsia" w:ascii="Times New Roman" w:hAnsi="Times New Roman"/>
          <w:bCs/>
          <w:sz w:val="24"/>
          <w:szCs w:val="24"/>
        </w:rPr>
        <w:t>（</w:t>
      </w:r>
      <w:r>
        <w:rPr>
          <w:rFonts w:ascii="Times New Roman" w:hAnsi="Times New Roman"/>
          <w:bCs/>
          <w:sz w:val="24"/>
          <w:szCs w:val="24"/>
        </w:rPr>
        <w:t>1）</w:t>
      </w:r>
      <w:r>
        <w:rPr>
          <w:rFonts w:hint="eastAsia" w:ascii="Times New Roman" w:hAnsi="Times New Roman"/>
          <w:bCs/>
          <w:sz w:val="24"/>
          <w:szCs w:val="24"/>
        </w:rPr>
        <w:t>严格执行</w:t>
      </w:r>
      <w:r>
        <w:rPr>
          <w:rFonts w:ascii="Times New Roman" w:hAnsi="Times New Roman"/>
          <w:bCs/>
          <w:sz w:val="24"/>
          <w:szCs w:val="24"/>
        </w:rPr>
        <w:t>安全生产管理制度</w:t>
      </w:r>
      <w:r>
        <w:rPr>
          <w:rFonts w:hint="eastAsia"/>
          <w:bCs/>
          <w:sz w:val="24"/>
          <w:szCs w:val="24"/>
          <w:lang w:eastAsia="zh-CN"/>
        </w:rPr>
        <w:t>；</w:t>
      </w:r>
    </w:p>
    <w:p w14:paraId="11B64BC2">
      <w:pPr>
        <w:spacing w:line="360" w:lineRule="auto"/>
        <w:ind w:firstLine="480" w:firstLineChars="200"/>
        <w:rPr>
          <w:rFonts w:ascii="Times New Roman" w:hAnsi="Times New Roman"/>
          <w:bCs/>
          <w:sz w:val="24"/>
          <w:szCs w:val="24"/>
        </w:rPr>
      </w:pPr>
      <w:r>
        <w:rPr>
          <w:rFonts w:hint="eastAsia" w:ascii="Times New Roman" w:hAnsi="Times New Roman"/>
          <w:bCs/>
          <w:sz w:val="24"/>
          <w:szCs w:val="24"/>
        </w:rPr>
        <w:t>（</w:t>
      </w:r>
      <w:r>
        <w:rPr>
          <w:rFonts w:ascii="Times New Roman" w:hAnsi="Times New Roman"/>
          <w:bCs/>
          <w:sz w:val="24"/>
          <w:szCs w:val="24"/>
        </w:rPr>
        <w:t>2）</w:t>
      </w:r>
      <w:r>
        <w:rPr>
          <w:rFonts w:hint="eastAsia" w:ascii="Times New Roman" w:hAnsi="Times New Roman"/>
          <w:bCs/>
          <w:sz w:val="24"/>
          <w:szCs w:val="24"/>
        </w:rPr>
        <w:t>重视安全生产管理中暴露出的问题，及时整改</w:t>
      </w:r>
      <w:r>
        <w:rPr>
          <w:rFonts w:ascii="Times New Roman" w:hAnsi="Times New Roman"/>
          <w:bCs/>
          <w:sz w:val="24"/>
          <w:szCs w:val="24"/>
        </w:rPr>
        <w:t>。</w:t>
      </w:r>
    </w:p>
    <w:p w14:paraId="7D5DEAFA">
      <w:pPr>
        <w:spacing w:line="360" w:lineRule="auto"/>
        <w:ind w:firstLine="480" w:firstLineChars="200"/>
        <w:rPr>
          <w:rFonts w:hint="eastAsia" w:ascii="Times New Roman" w:hAnsi="Times New Roman"/>
          <w:bCs/>
          <w:sz w:val="24"/>
          <w:szCs w:val="24"/>
        </w:rPr>
      </w:pPr>
      <w:r>
        <w:rPr>
          <w:rFonts w:hint="eastAsia" w:ascii="Times New Roman" w:hAnsi="Times New Roman"/>
          <w:bCs/>
          <w:sz w:val="24"/>
          <w:szCs w:val="24"/>
        </w:rPr>
        <w:t>（</w:t>
      </w:r>
      <w:r>
        <w:rPr>
          <w:rFonts w:ascii="Times New Roman" w:hAnsi="Times New Roman"/>
          <w:bCs/>
          <w:sz w:val="24"/>
          <w:szCs w:val="24"/>
        </w:rPr>
        <w:t>3）</w:t>
      </w:r>
      <w:r>
        <w:rPr>
          <w:rFonts w:hint="eastAsia" w:ascii="Times New Roman" w:hAnsi="Times New Roman"/>
          <w:bCs/>
          <w:sz w:val="24"/>
          <w:szCs w:val="24"/>
        </w:rPr>
        <w:t>认真组织开展危险化学品事故经验教训的宣传和交流活动，进一步提高。</w:t>
      </w:r>
    </w:p>
    <w:p w14:paraId="582BF9E5">
      <w:pPr>
        <w:spacing w:line="360" w:lineRule="auto"/>
        <w:rPr>
          <w:b/>
          <w:bCs w:val="0"/>
          <w:color w:val="000000" w:themeColor="text1"/>
          <w:sz w:val="24"/>
          <w:szCs w:val="24"/>
          <w14:textFill>
            <w14:solidFill>
              <w14:schemeClr w14:val="tx1"/>
            </w14:solidFill>
          </w14:textFill>
        </w:rPr>
      </w:pPr>
      <w:r>
        <w:rPr>
          <w:rFonts w:hint="eastAsia" w:ascii="Times New Roman" w:hAnsi="Times New Roman"/>
          <w:b/>
          <w:bCs w:val="0"/>
          <w:sz w:val="24"/>
          <w:szCs w:val="24"/>
          <w:lang w:val="en-US" w:eastAsia="zh-CN"/>
        </w:rPr>
        <w:t>4.1.1.2</w:t>
      </w:r>
      <w:r>
        <w:rPr>
          <w:rFonts w:hint="eastAsia"/>
          <w:b/>
          <w:bCs w:val="0"/>
          <w:sz w:val="24"/>
          <w:szCs w:val="24"/>
        </w:rPr>
        <w:t>昌乐县星宝印刷厂盐酸泄漏</w:t>
      </w:r>
      <w:r>
        <w:rPr>
          <w:rFonts w:hint="eastAsia"/>
          <w:b/>
          <w:bCs w:val="0"/>
          <w:color w:val="000000" w:themeColor="text1"/>
          <w:sz w:val="24"/>
          <w:szCs w:val="24"/>
          <w14:textFill>
            <w14:solidFill>
              <w14:schemeClr w14:val="tx1"/>
            </w14:solidFill>
          </w14:textFill>
        </w:rPr>
        <w:t>事故事件分析及预防</w:t>
      </w:r>
    </w:p>
    <w:p w14:paraId="43B7BEC3">
      <w:pPr>
        <w:pStyle w:val="124"/>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1.事件经过及污染</w:t>
      </w:r>
    </w:p>
    <w:p w14:paraId="225730F6">
      <w:pPr>
        <w:pStyle w:val="124"/>
        <w:rPr>
          <w:lang w:eastAsia="zh-CN"/>
        </w:rPr>
      </w:pPr>
      <w:r>
        <w:rPr>
          <w:lang w:eastAsia="zh-CN"/>
        </w:rPr>
        <w:t>2009年7月31日凌晨2时10分，昌乐县开发区309国道槐树路往北一家名为</w:t>
      </w:r>
      <w:r>
        <w:rPr>
          <w:rFonts w:hint="eastAsia"/>
          <w:lang w:eastAsia="zh-CN"/>
        </w:rPr>
        <w:t>“</w:t>
      </w:r>
      <w:r>
        <w:rPr>
          <w:lang w:eastAsia="zh-CN"/>
        </w:rPr>
        <w:t>星宝印刷厂</w:t>
      </w:r>
      <w:r>
        <w:rPr>
          <w:rFonts w:hint="eastAsia"/>
          <w:lang w:eastAsia="zh-CN"/>
        </w:rPr>
        <w:t>”</w:t>
      </w:r>
      <w:r>
        <w:rPr>
          <w:lang w:eastAsia="zh-CN"/>
        </w:rPr>
        <w:t>的印刷加工企业，因盐酸储存池法兰连接处密封圈破裂，导致10余吨的盐酸泄漏，在当地公安、消防、安监、环保等部门的积极努力下，事故得到及时处置，幸无人员伤亡。当天凌晨2点左右，这家印刷厂的一处盐酸储罐的法兰盘连接处的密封垫发生破裂，造成10余吨的盐酸泄漏。由于是深夜凌晨，场内没有安排夜间值班人员，当发现泄露的时候，已经是泄露的严重阶段，人员根本无法靠近，场内人员随即拨打</w:t>
      </w:r>
      <w:r>
        <w:rPr>
          <w:rFonts w:hint="eastAsia"/>
          <w:lang w:val="en-US" w:eastAsia="zh-CN"/>
        </w:rPr>
        <w:t>119</w:t>
      </w:r>
      <w:r>
        <w:rPr>
          <w:lang w:eastAsia="zh-CN"/>
        </w:rPr>
        <w:t>电话</w:t>
      </w:r>
      <w:r>
        <w:rPr>
          <w:rFonts w:hint="eastAsia"/>
          <w:lang w:eastAsia="zh-CN"/>
        </w:rPr>
        <w:t>，并向环保和应急部门报告。</w:t>
      </w:r>
    </w:p>
    <w:p w14:paraId="6EB1C858">
      <w:pPr>
        <w:pStyle w:val="124"/>
        <w:rPr>
          <w:lang w:eastAsia="zh-CN"/>
        </w:rPr>
      </w:pPr>
      <w:r>
        <w:rPr>
          <w:rFonts w:hint="eastAsia"/>
          <w:lang w:eastAsia="zh-CN"/>
        </w:rPr>
        <w:t>事故发生后，弥漫的盐酸气体很快向周围扩散。因为事故发生在凌晨，大气气压较低，盐酸气体很快影响到周围约</w:t>
      </w:r>
      <w:r>
        <w:rPr>
          <w:lang w:eastAsia="zh-CN"/>
        </w:rPr>
        <w:t>1平方公里内的居民，</w:t>
      </w:r>
      <w:r>
        <w:rPr>
          <w:rFonts w:hint="eastAsia"/>
          <w:lang w:eastAsia="zh-CN"/>
        </w:rPr>
        <w:t>疏散改区域人员至上风向，切断现场电源，等待救援。</w:t>
      </w:r>
    </w:p>
    <w:p w14:paraId="363F1BF0">
      <w:pPr>
        <w:pStyle w:val="124"/>
        <w:rPr>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2.事件的原因分析</w:t>
      </w:r>
    </w:p>
    <w:p w14:paraId="79B9A0F5">
      <w:pPr>
        <w:pStyle w:val="124"/>
        <w:rPr>
          <w:lang w:eastAsia="zh-CN"/>
        </w:rPr>
      </w:pPr>
      <w:r>
        <w:rPr>
          <w:rFonts w:hint="eastAsia"/>
          <w:lang w:eastAsia="zh-CN"/>
        </w:rPr>
        <w:t>场内没有安排夜间值班人员，生产安全监管不到位。</w:t>
      </w:r>
    </w:p>
    <w:p w14:paraId="7AC5EF40">
      <w:pPr>
        <w:pStyle w:val="124"/>
        <w:rPr>
          <w:b/>
          <w:bCs/>
          <w:lang w:eastAsia="zh-CN"/>
        </w:rPr>
      </w:pPr>
      <w:r>
        <w:rPr>
          <w:rFonts w:hint="eastAsia"/>
          <w:b/>
          <w:bCs/>
          <w:lang w:eastAsia="zh-CN"/>
        </w:rPr>
        <w:t>3.事件的预防措施</w:t>
      </w:r>
    </w:p>
    <w:p w14:paraId="0F5B5431">
      <w:pPr>
        <w:spacing w:line="360" w:lineRule="auto"/>
        <w:ind w:firstLine="480" w:firstLineChars="200"/>
        <w:rPr>
          <w:rFonts w:hint="eastAsia" w:ascii="Times New Roman" w:hAnsi="Times New Roman" w:eastAsia="宋体"/>
          <w:bCs/>
          <w:sz w:val="24"/>
          <w:szCs w:val="24"/>
          <w:lang w:eastAsia="zh-CN"/>
        </w:rPr>
      </w:pPr>
      <w:r>
        <w:rPr>
          <w:rFonts w:hint="eastAsia" w:ascii="Times New Roman" w:hAnsi="Times New Roman"/>
          <w:bCs/>
          <w:sz w:val="24"/>
          <w:szCs w:val="24"/>
        </w:rPr>
        <w:t>（</w:t>
      </w:r>
      <w:r>
        <w:rPr>
          <w:rFonts w:ascii="Times New Roman" w:hAnsi="Times New Roman"/>
          <w:bCs/>
          <w:sz w:val="24"/>
          <w:szCs w:val="24"/>
        </w:rPr>
        <w:t>1）</w:t>
      </w:r>
      <w:r>
        <w:rPr>
          <w:rFonts w:hint="eastAsia" w:ascii="Times New Roman" w:hAnsi="Times New Roman"/>
          <w:bCs/>
          <w:sz w:val="24"/>
          <w:szCs w:val="24"/>
        </w:rPr>
        <w:t>严格执行</w:t>
      </w:r>
      <w:r>
        <w:rPr>
          <w:rFonts w:ascii="Times New Roman" w:hAnsi="Times New Roman"/>
          <w:bCs/>
          <w:sz w:val="24"/>
          <w:szCs w:val="24"/>
        </w:rPr>
        <w:t>安全生产管理制度</w:t>
      </w:r>
      <w:r>
        <w:rPr>
          <w:rFonts w:hint="eastAsia"/>
          <w:bCs/>
          <w:sz w:val="24"/>
          <w:szCs w:val="24"/>
          <w:lang w:eastAsia="zh-CN"/>
        </w:rPr>
        <w:t>；</w:t>
      </w:r>
    </w:p>
    <w:p w14:paraId="1CF9F85E">
      <w:pPr>
        <w:spacing w:line="360" w:lineRule="auto"/>
        <w:ind w:firstLine="480" w:firstLineChars="200"/>
        <w:rPr>
          <w:rFonts w:ascii="Times New Roman" w:hAnsi="Times New Roman"/>
          <w:bCs/>
          <w:sz w:val="24"/>
          <w:szCs w:val="24"/>
        </w:rPr>
      </w:pPr>
      <w:r>
        <w:rPr>
          <w:rFonts w:hint="eastAsia" w:ascii="Times New Roman" w:hAnsi="Times New Roman"/>
          <w:bCs/>
          <w:sz w:val="24"/>
          <w:szCs w:val="24"/>
        </w:rPr>
        <w:t>（</w:t>
      </w:r>
      <w:r>
        <w:rPr>
          <w:rFonts w:ascii="Times New Roman" w:hAnsi="Times New Roman"/>
          <w:bCs/>
          <w:sz w:val="24"/>
          <w:szCs w:val="24"/>
        </w:rPr>
        <w:t>2）</w:t>
      </w:r>
      <w:r>
        <w:rPr>
          <w:rFonts w:hint="eastAsia" w:ascii="Times New Roman" w:hAnsi="Times New Roman"/>
          <w:bCs/>
          <w:sz w:val="24"/>
          <w:szCs w:val="24"/>
        </w:rPr>
        <w:t>重视安全生产管理中暴露出的问题，及时整改</w:t>
      </w:r>
      <w:r>
        <w:rPr>
          <w:rFonts w:ascii="Times New Roman" w:hAnsi="Times New Roman"/>
          <w:bCs/>
          <w:sz w:val="24"/>
          <w:szCs w:val="24"/>
        </w:rPr>
        <w:t>。</w:t>
      </w:r>
    </w:p>
    <w:bookmarkEnd w:id="63"/>
    <w:p w14:paraId="121CEAEB">
      <w:pPr>
        <w:spacing w:line="360" w:lineRule="auto"/>
        <w:rPr>
          <w:rFonts w:hint="eastAsia" w:ascii="Times New Roman" w:hAnsi="Times New Roman" w:eastAsia="宋体" w:cs="Times New Roman"/>
          <w:b/>
          <w:bCs w:val="0"/>
          <w:sz w:val="24"/>
          <w:szCs w:val="24"/>
          <w:lang w:val="en-US" w:eastAsia="zh-CN"/>
        </w:rPr>
      </w:pPr>
      <w:r>
        <w:rPr>
          <w:rFonts w:hint="eastAsia" w:ascii="Times New Roman" w:hAnsi="Times New Roman" w:eastAsia="宋体" w:cs="Times New Roman"/>
          <w:b/>
          <w:bCs w:val="0"/>
          <w:sz w:val="24"/>
          <w:szCs w:val="24"/>
          <w:lang w:val="en-US" w:eastAsia="zh-CN"/>
        </w:rPr>
        <w:t>4.1.1.3黑龙江安达市某化工有限公司甲苯爆炸</w:t>
      </w:r>
      <w:r>
        <w:rPr>
          <w:rFonts w:hint="eastAsia"/>
          <w:b/>
          <w:bCs w:val="0"/>
          <w:color w:val="000000" w:themeColor="text1"/>
          <w:sz w:val="24"/>
          <w:szCs w:val="24"/>
          <w14:textFill>
            <w14:solidFill>
              <w14:schemeClr w14:val="tx1"/>
            </w14:solidFill>
          </w14:textFill>
        </w:rPr>
        <w:t>事故事件分析及预防</w:t>
      </w:r>
    </w:p>
    <w:p w14:paraId="15B6F5AF">
      <w:pPr>
        <w:pStyle w:val="124"/>
        <w:numPr>
          <w:ilvl w:val="0"/>
          <w:numId w:val="7"/>
        </w:numPr>
        <w:rPr>
          <w:rFonts w:hint="eastAsia"/>
          <w:b/>
          <w:bCs/>
          <w:lang w:eastAsia="zh-CN"/>
        </w:rPr>
      </w:pPr>
      <w:r>
        <w:rPr>
          <w:rFonts w:hint="eastAsia"/>
          <w:b/>
          <w:bCs/>
          <w:lang w:eastAsia="zh-CN"/>
        </w:rPr>
        <w:t>事件经过及污染</w:t>
      </w:r>
    </w:p>
    <w:p w14:paraId="0417B9C2">
      <w:pPr>
        <w:pStyle w:val="124"/>
        <w:numPr>
          <w:ilvl w:val="0"/>
          <w:numId w:val="0"/>
        </w:numPr>
        <w:ind w:firstLine="480" w:firstLineChars="200"/>
        <w:rPr>
          <w:rFonts w:hint="default"/>
          <w:b w:val="0"/>
          <w:bCs w:val="0"/>
          <w:lang w:val="en-US" w:eastAsia="zh-CN"/>
        </w:rPr>
      </w:pPr>
      <w:r>
        <w:rPr>
          <w:rFonts w:hint="eastAsia"/>
          <w:b w:val="0"/>
          <w:bCs w:val="0"/>
          <w:lang w:val="en-US" w:eastAsia="zh-CN"/>
        </w:rPr>
        <w:t>2020年12月19日黑龙江安达市万宝山园区格雷车间乳化反应釜在试生产期间发生爆炸，造成3人死亡、4人受伤，该工序主要原料为甲苯、金属钠。</w:t>
      </w:r>
    </w:p>
    <w:p w14:paraId="500D43F2">
      <w:pPr>
        <w:pStyle w:val="124"/>
        <w:numPr>
          <w:ilvl w:val="0"/>
          <w:numId w:val="7"/>
        </w:numPr>
        <w:ind w:left="0" w:leftChars="0" w:firstLine="482" w:firstLineChars="0"/>
        <w:rPr>
          <w:rFonts w:hint="eastAsia"/>
          <w:b/>
          <w:bCs/>
          <w:lang w:eastAsia="zh-CN"/>
        </w:rPr>
      </w:pPr>
      <w:r>
        <w:rPr>
          <w:rFonts w:hint="eastAsia"/>
          <w:b/>
          <w:bCs/>
          <w:lang w:eastAsia="zh-CN"/>
        </w:rPr>
        <w:t>事件的原因分析</w:t>
      </w:r>
    </w:p>
    <w:p w14:paraId="73CDAA98">
      <w:pPr>
        <w:pStyle w:val="124"/>
        <w:numPr>
          <w:ilvl w:val="0"/>
          <w:numId w:val="0"/>
        </w:numPr>
        <w:ind w:firstLine="480" w:firstLineChars="200"/>
        <w:rPr>
          <w:rFonts w:hint="eastAsia"/>
          <w:b w:val="0"/>
          <w:bCs w:val="0"/>
          <w:lang w:eastAsia="zh-CN"/>
        </w:rPr>
      </w:pPr>
      <w:r>
        <w:rPr>
          <w:rFonts w:hint="eastAsia"/>
          <w:b w:val="0"/>
          <w:bCs w:val="0"/>
          <w:lang w:eastAsia="zh-CN"/>
        </w:rPr>
        <w:t>（</w:t>
      </w:r>
      <w:r>
        <w:rPr>
          <w:rFonts w:hint="eastAsia"/>
          <w:b w:val="0"/>
          <w:bCs w:val="0"/>
          <w:lang w:val="en-US" w:eastAsia="zh-CN"/>
        </w:rPr>
        <w:t>1）</w:t>
      </w:r>
      <w:r>
        <w:rPr>
          <w:rFonts w:hint="eastAsia"/>
          <w:b w:val="0"/>
          <w:bCs w:val="0"/>
          <w:lang w:eastAsia="zh-CN"/>
        </w:rPr>
        <w:t>直接原因：现场操作人员违反操作规程，导致空气进入乳化釜，甲苯蒸汽与金属钠混合后，遇空气发生反应并引起爆炸。</w:t>
      </w:r>
    </w:p>
    <w:p w14:paraId="7EE3FD98">
      <w:pPr>
        <w:pStyle w:val="124"/>
        <w:numPr>
          <w:ilvl w:val="0"/>
          <w:numId w:val="0"/>
        </w:numPr>
        <w:ind w:left="482" w:leftChars="0"/>
        <w:rPr>
          <w:rFonts w:hint="default"/>
          <w:b w:val="0"/>
          <w:bCs w:val="0"/>
          <w:lang w:val="en-US" w:eastAsia="zh-CN"/>
        </w:rPr>
      </w:pPr>
      <w:r>
        <w:rPr>
          <w:rFonts w:hint="eastAsia"/>
          <w:b w:val="0"/>
          <w:bCs w:val="0"/>
          <w:lang w:eastAsia="zh-CN"/>
        </w:rPr>
        <w:t>（</w:t>
      </w:r>
      <w:r>
        <w:rPr>
          <w:rFonts w:hint="eastAsia"/>
          <w:b w:val="0"/>
          <w:bCs w:val="0"/>
          <w:lang w:val="en-US" w:eastAsia="zh-CN"/>
        </w:rPr>
        <w:t>2）间接原因：试生产阶段安全管理不到位，对高危工艺的风险辨识不足。</w:t>
      </w:r>
    </w:p>
    <w:p w14:paraId="1ECEA565">
      <w:pPr>
        <w:pStyle w:val="124"/>
        <w:rPr>
          <w:rFonts w:hint="eastAsia"/>
          <w:b/>
          <w:bCs/>
          <w:lang w:eastAsia="zh-CN"/>
        </w:rPr>
      </w:pPr>
      <w:r>
        <w:rPr>
          <w:rFonts w:hint="eastAsia"/>
          <w:b/>
          <w:bCs/>
          <w:lang w:eastAsia="zh-CN"/>
        </w:rPr>
        <w:t>3.事件的预防措施</w:t>
      </w:r>
    </w:p>
    <w:p w14:paraId="52211C64">
      <w:pPr>
        <w:pStyle w:val="124"/>
        <w:rPr>
          <w:rFonts w:hint="eastAsia"/>
          <w:b/>
          <w:bCs/>
          <w:lang w:eastAsia="zh-CN"/>
        </w:rPr>
      </w:pPr>
      <w:r>
        <w:rPr>
          <w:rFonts w:hint="eastAsia"/>
          <w:b w:val="0"/>
          <w:bCs w:val="0"/>
          <w:lang w:eastAsia="zh-CN"/>
        </w:rPr>
        <w:t>严格规范工艺流程、操作规程；加强试生产期间的安全评估，实施严格的作业许可制度；强化员工操作技能，杜绝违章作业和智慧。</w:t>
      </w:r>
    </w:p>
    <w:p w14:paraId="42AFB1C4">
      <w:pPr>
        <w:spacing w:line="360" w:lineRule="auto"/>
        <w:rPr>
          <w:rFonts w:hint="eastAsia" w:ascii="宋体" w:hAnsi="宋体" w:eastAsia="宋体" w:cs="宋体"/>
          <w:sz w:val="24"/>
          <w:szCs w:val="24"/>
        </w:rPr>
      </w:pPr>
      <w:bookmarkStart w:id="65" w:name="_Toc432846613"/>
      <w:r>
        <w:rPr>
          <w:rFonts w:hint="eastAsia" w:ascii="宋体" w:hAnsi="宋体" w:eastAsia="宋体" w:cs="宋体"/>
          <w:b/>
          <w:bCs/>
          <w:sz w:val="24"/>
          <w:szCs w:val="24"/>
          <w:lang w:val="en-US" w:eastAsia="zh-CN"/>
        </w:rPr>
        <w:t>4.1.1.</w:t>
      </w:r>
      <w:bookmarkEnd w:id="65"/>
      <w:r>
        <w:rPr>
          <w:rFonts w:hint="eastAsia" w:ascii="宋体" w:hAnsi="宋体" w:eastAsia="宋体" w:cs="宋体"/>
          <w:b/>
          <w:bCs/>
          <w:sz w:val="24"/>
          <w:szCs w:val="24"/>
          <w:lang w:val="en-US" w:eastAsia="zh-CN"/>
        </w:rPr>
        <w:t>4</w:t>
      </w:r>
      <w:r>
        <w:rPr>
          <w:rFonts w:hint="eastAsia" w:ascii="宋体" w:hAnsi="宋体" w:cs="宋体"/>
          <w:b/>
          <w:bCs/>
          <w:sz w:val="24"/>
          <w:szCs w:val="24"/>
          <w:lang w:val="en-US" w:eastAsia="zh-CN"/>
        </w:rPr>
        <w:t>宁夏某化工有限公司硝基苯类物质泄漏</w:t>
      </w:r>
      <w:r>
        <w:rPr>
          <w:rFonts w:hint="eastAsia" w:ascii="Times New Roman" w:hAnsi="Times New Roman" w:eastAsia="宋体" w:cs="Times New Roman"/>
          <w:b/>
          <w:bCs w:val="0"/>
          <w:sz w:val="24"/>
          <w:szCs w:val="24"/>
          <w:lang w:val="en-US" w:eastAsia="zh-CN"/>
        </w:rPr>
        <w:t>爆炸</w:t>
      </w:r>
      <w:r>
        <w:rPr>
          <w:rFonts w:hint="eastAsia"/>
          <w:b/>
          <w:bCs w:val="0"/>
          <w:color w:val="000000" w:themeColor="text1"/>
          <w:sz w:val="24"/>
          <w:szCs w:val="24"/>
          <w14:textFill>
            <w14:solidFill>
              <w14:schemeClr w14:val="tx1"/>
            </w14:solidFill>
          </w14:textFill>
        </w:rPr>
        <w:t>事故事件分析及预防</w:t>
      </w:r>
    </w:p>
    <w:p w14:paraId="7D333868">
      <w:pPr>
        <w:pStyle w:val="124"/>
        <w:rPr>
          <w:b/>
          <w:bCs/>
          <w:lang w:eastAsia="zh-CN"/>
        </w:rPr>
      </w:pPr>
      <w:r>
        <w:rPr>
          <w:rFonts w:hint="eastAsia"/>
          <w:b/>
          <w:bCs/>
          <w:lang w:eastAsia="zh-CN"/>
        </w:rPr>
        <w:t>1.事件经过及污染</w:t>
      </w:r>
    </w:p>
    <w:p w14:paraId="384C334C">
      <w:pPr>
        <w:pStyle w:val="124"/>
        <w:rPr>
          <w:lang w:eastAsia="zh-CN"/>
        </w:rPr>
      </w:pPr>
      <w:r>
        <w:rPr>
          <w:rFonts w:hint="eastAsia"/>
          <w:lang w:val="en-US" w:eastAsia="zh-CN"/>
        </w:rPr>
        <w:t>2021年8月7日宁夏华御有限公司在生产过程中，由于设备密封失效，导致硝基苯类物质（包括邻氯硝基苯等类似物）的蒸汽泄漏，泄漏的蒸汽在局部空间积聚，达到爆炸极限后高温表面引发重大爆炸</w:t>
      </w:r>
      <w:r>
        <w:rPr>
          <w:rFonts w:hint="eastAsia"/>
          <w:lang w:eastAsia="zh-CN"/>
        </w:rPr>
        <w:t>。</w:t>
      </w:r>
    </w:p>
    <w:p w14:paraId="77ECA807">
      <w:pPr>
        <w:pStyle w:val="124"/>
        <w:numPr>
          <w:ilvl w:val="0"/>
          <w:numId w:val="0"/>
        </w:numPr>
        <w:ind w:left="482" w:leftChars="0"/>
        <w:rPr>
          <w:rFonts w:hint="eastAsia"/>
          <w:b/>
          <w:bCs/>
          <w:lang w:eastAsia="zh-CN"/>
        </w:rPr>
      </w:pPr>
      <w:r>
        <w:rPr>
          <w:rFonts w:hint="eastAsia"/>
          <w:b/>
          <w:bCs/>
          <w:lang w:val="en-US" w:eastAsia="zh-CN"/>
        </w:rPr>
        <w:t>2.</w:t>
      </w:r>
      <w:r>
        <w:rPr>
          <w:rFonts w:hint="eastAsia"/>
          <w:b/>
          <w:bCs/>
          <w:lang w:eastAsia="zh-CN"/>
        </w:rPr>
        <w:t>事故的原因分析</w:t>
      </w:r>
    </w:p>
    <w:p w14:paraId="33E5FB95">
      <w:pPr>
        <w:pStyle w:val="124"/>
        <w:numPr>
          <w:ilvl w:val="0"/>
          <w:numId w:val="0"/>
        </w:numPr>
        <w:ind w:firstLine="480" w:firstLineChars="200"/>
        <w:rPr>
          <w:rFonts w:hint="eastAsia"/>
          <w:b w:val="0"/>
          <w:bCs w:val="0"/>
          <w:lang w:eastAsia="zh-CN"/>
        </w:rPr>
      </w:pPr>
      <w:r>
        <w:rPr>
          <w:rFonts w:hint="eastAsia"/>
          <w:b w:val="0"/>
          <w:bCs w:val="0"/>
          <w:lang w:eastAsia="zh-CN"/>
        </w:rPr>
        <w:t>（</w:t>
      </w:r>
      <w:r>
        <w:rPr>
          <w:rFonts w:hint="eastAsia"/>
          <w:b w:val="0"/>
          <w:bCs w:val="0"/>
          <w:lang w:val="en-US" w:eastAsia="zh-CN"/>
        </w:rPr>
        <w:t>1）</w:t>
      </w:r>
      <w:r>
        <w:rPr>
          <w:rFonts w:hint="eastAsia"/>
          <w:b w:val="0"/>
          <w:bCs w:val="0"/>
          <w:lang w:eastAsia="zh-CN"/>
        </w:rPr>
        <w:t>直接原因：泵、阀门连接处出现泄漏；通风不良导致可燃蒸汽积聚。</w:t>
      </w:r>
    </w:p>
    <w:p w14:paraId="6CE0CC14">
      <w:pPr>
        <w:pStyle w:val="124"/>
        <w:numPr>
          <w:ilvl w:val="0"/>
          <w:numId w:val="0"/>
        </w:numPr>
        <w:ind w:left="482" w:leftChars="0"/>
        <w:rPr>
          <w:rFonts w:hint="default"/>
          <w:b w:val="0"/>
          <w:bCs w:val="0"/>
          <w:lang w:val="en-US" w:eastAsia="zh-CN"/>
        </w:rPr>
      </w:pPr>
      <w:r>
        <w:rPr>
          <w:rFonts w:hint="eastAsia"/>
          <w:b w:val="0"/>
          <w:bCs w:val="0"/>
          <w:lang w:eastAsia="zh-CN"/>
        </w:rPr>
        <w:t>（</w:t>
      </w:r>
      <w:r>
        <w:rPr>
          <w:rFonts w:hint="eastAsia"/>
          <w:b w:val="0"/>
          <w:bCs w:val="0"/>
          <w:lang w:val="en-US" w:eastAsia="zh-CN"/>
        </w:rPr>
        <w:t>2）间接原因：安全管理不到位，员工的安全培训流于形式；现场作业缺少监护，违章作业未及时制止。</w:t>
      </w:r>
    </w:p>
    <w:p w14:paraId="1EA64969">
      <w:pPr>
        <w:pStyle w:val="124"/>
        <w:rPr>
          <w:rFonts w:hint="eastAsia"/>
          <w:b/>
          <w:bCs/>
          <w:lang w:eastAsia="zh-CN"/>
        </w:rPr>
      </w:pPr>
      <w:r>
        <w:rPr>
          <w:rFonts w:hint="eastAsia"/>
          <w:b/>
          <w:bCs/>
          <w:lang w:eastAsia="zh-CN"/>
        </w:rPr>
        <w:t>3.事件的预防措施</w:t>
      </w:r>
    </w:p>
    <w:p w14:paraId="43BBE878">
      <w:pPr>
        <w:numPr>
          <w:ilvl w:val="3"/>
          <w:numId w:val="0"/>
        </w:numPr>
        <w:ind w:leftChars="0" w:firstLine="480" w:firstLineChars="200"/>
        <w:outlineLvl w:val="9"/>
        <w:rPr>
          <w:rFonts w:hint="eastAsia" w:ascii="Times New Roman" w:hAnsi="Times New Roman" w:eastAsia="宋体" w:cs="Times New Roman"/>
          <w:b w:val="0"/>
          <w:bCs w:val="0"/>
          <w:sz w:val="24"/>
          <w:szCs w:val="24"/>
          <w:lang w:val="en-US" w:eastAsia="zh-CN" w:bidi="ar-SA"/>
        </w:rPr>
      </w:pPr>
      <w:bookmarkStart w:id="66" w:name="_Toc432846614"/>
      <w:r>
        <w:rPr>
          <w:rFonts w:hint="eastAsia" w:ascii="Times New Roman" w:hAnsi="Times New Roman" w:eastAsia="宋体" w:cs="Times New Roman"/>
          <w:b w:val="0"/>
          <w:bCs w:val="0"/>
          <w:sz w:val="24"/>
          <w:szCs w:val="24"/>
          <w:lang w:val="en-US" w:eastAsia="zh-CN" w:bidi="ar-SA"/>
        </w:rPr>
        <w:t>加强动静密封点管理，定期检测；安装可燃气体和有毒气体报警仪，并确保联动通风系统正常。</w:t>
      </w:r>
    </w:p>
    <w:p w14:paraId="52254A71">
      <w:pPr>
        <w:spacing w:line="360" w:lineRule="auto"/>
        <w:rPr>
          <w:rFonts w:hint="eastAsia" w:ascii="宋体" w:hAnsi="宋体" w:eastAsia="宋体" w:cs="宋体"/>
          <w:sz w:val="24"/>
          <w:szCs w:val="24"/>
        </w:rPr>
      </w:pPr>
      <w:r>
        <w:rPr>
          <w:rFonts w:hint="eastAsia" w:ascii="宋体" w:hAnsi="宋体" w:eastAsia="宋体" w:cs="宋体"/>
          <w:b/>
          <w:bCs/>
          <w:sz w:val="24"/>
          <w:szCs w:val="24"/>
          <w:lang w:val="en-US" w:eastAsia="zh-CN"/>
        </w:rPr>
        <w:t>4.1.1.5</w:t>
      </w:r>
      <w:r>
        <w:rPr>
          <w:rFonts w:hint="eastAsia" w:ascii="宋体" w:hAnsi="宋体" w:eastAsia="宋体" w:cs="宋体"/>
          <w:b/>
          <w:bCs/>
          <w:sz w:val="24"/>
          <w:szCs w:val="24"/>
          <w:lang w:eastAsia="zh-CN"/>
        </w:rPr>
        <w:t>浙江某化工</w:t>
      </w:r>
      <w:r>
        <w:rPr>
          <w:rFonts w:hint="eastAsia" w:ascii="宋体" w:hAnsi="宋体" w:cs="宋体"/>
          <w:b/>
          <w:bCs/>
          <w:sz w:val="24"/>
          <w:szCs w:val="24"/>
          <w:lang w:eastAsia="zh-CN"/>
        </w:rPr>
        <w:t>公司</w:t>
      </w:r>
      <w:r>
        <w:rPr>
          <w:rFonts w:hint="eastAsia" w:ascii="宋体" w:hAnsi="宋体" w:eastAsia="宋体" w:cs="宋体"/>
          <w:b/>
          <w:bCs/>
          <w:sz w:val="24"/>
          <w:szCs w:val="24"/>
          <w:lang w:eastAsia="zh-CN"/>
        </w:rPr>
        <w:t>蒸馏爆燃事故</w:t>
      </w:r>
      <w:bookmarkEnd w:id="66"/>
      <w:r>
        <w:rPr>
          <w:rFonts w:hint="eastAsia"/>
          <w:b/>
          <w:bCs w:val="0"/>
          <w:color w:val="000000" w:themeColor="text1"/>
          <w:sz w:val="24"/>
          <w:szCs w:val="24"/>
          <w14:textFill>
            <w14:solidFill>
              <w14:schemeClr w14:val="tx1"/>
            </w14:solidFill>
          </w14:textFill>
        </w:rPr>
        <w:t>事件分析及预防</w:t>
      </w:r>
    </w:p>
    <w:p w14:paraId="177F26B8">
      <w:pPr>
        <w:pStyle w:val="124"/>
        <w:rPr>
          <w:b/>
          <w:bCs/>
          <w:lang w:eastAsia="zh-CN"/>
        </w:rPr>
      </w:pPr>
      <w:r>
        <w:rPr>
          <w:rFonts w:hint="eastAsia"/>
          <w:b/>
          <w:bCs/>
          <w:lang w:eastAsia="zh-CN"/>
        </w:rPr>
        <w:t>1.事件经过及污染</w:t>
      </w:r>
    </w:p>
    <w:p w14:paraId="3F68BE4C">
      <w:pPr>
        <w:pStyle w:val="124"/>
        <w:rPr>
          <w:rFonts w:hint="eastAsia"/>
          <w:lang w:val="en-US" w:eastAsia="zh-CN"/>
        </w:rPr>
      </w:pPr>
      <w:r>
        <w:rPr>
          <w:rFonts w:hint="eastAsia"/>
          <w:lang w:val="en-US" w:eastAsia="zh-CN"/>
        </w:rPr>
        <w:t>2023年5月30日浙江</w:t>
      </w:r>
      <w:r>
        <w:rPr>
          <w:rFonts w:hint="eastAsia" w:ascii="宋体" w:hAnsi="宋体" w:eastAsia="宋体" w:cs="宋体"/>
          <w:b w:val="0"/>
          <w:bCs w:val="0"/>
          <w:sz w:val="24"/>
          <w:szCs w:val="24"/>
          <w:lang w:eastAsia="zh-CN"/>
        </w:rPr>
        <w:t>某</w:t>
      </w:r>
      <w:r>
        <w:rPr>
          <w:rFonts w:hint="eastAsia" w:ascii="Times New Roman" w:hAnsi="Times New Roman" w:eastAsia="宋体" w:cs="Times New Roman"/>
          <w:lang w:val="en-US" w:eastAsia="zh-CN"/>
        </w:rPr>
        <w:t>化工公司蒸馏废渣时，现场操作人员误关阀门，导致温度持续上升，釜内物料过度蒸馏导致爆炸。</w:t>
      </w:r>
    </w:p>
    <w:p w14:paraId="5E28FB95">
      <w:pPr>
        <w:pStyle w:val="124"/>
        <w:rPr>
          <w:b/>
          <w:bCs/>
          <w:lang w:eastAsia="zh-CN"/>
        </w:rPr>
      </w:pPr>
      <w:r>
        <w:rPr>
          <w:rFonts w:hint="eastAsia"/>
          <w:b/>
          <w:bCs/>
          <w:lang w:eastAsia="zh-CN"/>
        </w:rPr>
        <w:t>2.事故的原因分析</w:t>
      </w:r>
    </w:p>
    <w:p w14:paraId="0886E677">
      <w:pPr>
        <w:pStyle w:val="124"/>
        <w:numPr>
          <w:ilvl w:val="0"/>
          <w:numId w:val="0"/>
        </w:numPr>
        <w:ind w:firstLine="480" w:firstLineChars="200"/>
        <w:rPr>
          <w:rFonts w:hint="eastAsia"/>
          <w:b w:val="0"/>
          <w:bCs w:val="0"/>
          <w:lang w:eastAsia="zh-CN"/>
        </w:rPr>
      </w:pPr>
      <w:r>
        <w:rPr>
          <w:rFonts w:hint="eastAsia"/>
          <w:b w:val="0"/>
          <w:bCs w:val="0"/>
          <w:lang w:eastAsia="zh-CN"/>
        </w:rPr>
        <w:t>（</w:t>
      </w:r>
      <w:r>
        <w:rPr>
          <w:rFonts w:hint="eastAsia"/>
          <w:b w:val="0"/>
          <w:bCs w:val="0"/>
          <w:lang w:val="en-US" w:eastAsia="zh-CN"/>
        </w:rPr>
        <w:t>1）</w:t>
      </w:r>
      <w:r>
        <w:rPr>
          <w:rFonts w:hint="eastAsia"/>
          <w:b w:val="0"/>
          <w:bCs w:val="0"/>
          <w:lang w:eastAsia="zh-CN"/>
        </w:rPr>
        <w:t>直接原因：操作人员未按操作规程操作；蒸馏工序自动化水平不高；未开展物料稳定分析。</w:t>
      </w:r>
    </w:p>
    <w:p w14:paraId="6D447B84">
      <w:pPr>
        <w:pStyle w:val="124"/>
        <w:numPr>
          <w:ilvl w:val="0"/>
          <w:numId w:val="0"/>
        </w:numPr>
        <w:ind w:left="482" w:leftChars="0"/>
        <w:rPr>
          <w:lang w:eastAsia="zh-CN"/>
        </w:rPr>
      </w:pPr>
      <w:r>
        <w:rPr>
          <w:rFonts w:hint="eastAsia"/>
          <w:b w:val="0"/>
          <w:bCs w:val="0"/>
          <w:lang w:eastAsia="zh-CN"/>
        </w:rPr>
        <w:t>（</w:t>
      </w:r>
      <w:r>
        <w:rPr>
          <w:rFonts w:hint="eastAsia"/>
          <w:b w:val="0"/>
          <w:bCs w:val="0"/>
          <w:lang w:val="en-US" w:eastAsia="zh-CN"/>
        </w:rPr>
        <w:t>2）间接原因：安全管理不到位，员工的安全培训流于形式。</w:t>
      </w:r>
    </w:p>
    <w:p w14:paraId="59211A44">
      <w:pPr>
        <w:pStyle w:val="124"/>
        <w:rPr>
          <w:rFonts w:hint="eastAsia"/>
          <w:b/>
          <w:bCs/>
          <w:lang w:eastAsia="zh-CN"/>
        </w:rPr>
      </w:pPr>
      <w:r>
        <w:rPr>
          <w:rFonts w:hint="eastAsia"/>
          <w:b/>
          <w:bCs/>
          <w:lang w:eastAsia="zh-CN"/>
        </w:rPr>
        <w:t>3.事件的预防措施</w:t>
      </w:r>
    </w:p>
    <w:p w14:paraId="4A054A84">
      <w:pPr>
        <w:pStyle w:val="124"/>
        <w:rPr>
          <w:rFonts w:hint="eastAsia"/>
          <w:b/>
          <w:bCs/>
          <w:lang w:eastAsia="zh-CN"/>
        </w:rPr>
      </w:pPr>
      <w:r>
        <w:rPr>
          <w:rFonts w:hint="eastAsia"/>
          <w:b w:val="0"/>
          <w:bCs w:val="0"/>
          <w:lang w:eastAsia="zh-CN"/>
        </w:rPr>
        <w:t>严格执行降温、置换程序；定期清理釜内残夜，防治高沸点杂质积聚形成爆炸混合物；安装</w:t>
      </w:r>
      <w:r>
        <w:rPr>
          <w:rFonts w:hint="eastAsia" w:ascii="Times New Roman" w:hAnsi="Times New Roman" w:eastAsia="宋体" w:cs="Times New Roman"/>
          <w:b w:val="0"/>
          <w:bCs w:val="0"/>
          <w:sz w:val="24"/>
          <w:szCs w:val="24"/>
          <w:lang w:val="en-US" w:eastAsia="zh-CN" w:bidi="ar-SA"/>
        </w:rPr>
        <w:t>可燃气体和有毒气体报警仪；做好危险废物贮存和处置。</w:t>
      </w:r>
    </w:p>
    <w:p w14:paraId="5FBFCC72">
      <w:pPr>
        <w:pStyle w:val="8"/>
        <w:rPr>
          <w:sz w:val="24"/>
          <w:szCs w:val="24"/>
        </w:rPr>
      </w:pPr>
      <w:r>
        <w:rPr>
          <w:rFonts w:hint="eastAsia"/>
          <w:sz w:val="24"/>
          <w:szCs w:val="24"/>
          <w:lang w:val="en-US" w:eastAsia="zh-CN"/>
        </w:rPr>
        <w:t>4.1.2</w:t>
      </w:r>
      <w:r>
        <w:rPr>
          <w:sz w:val="24"/>
          <w:szCs w:val="24"/>
        </w:rPr>
        <w:t>本企业可能发生的突发环境事件情景分析</w:t>
      </w:r>
      <w:bookmarkEnd w:id="64"/>
    </w:p>
    <w:p w14:paraId="1EE5BBE9">
      <w:pPr>
        <w:pStyle w:val="131"/>
        <w:ind w:firstLine="480"/>
        <w:rPr>
          <w:rFonts w:ascii="Times New Roman" w:hAnsi="Times New Roman"/>
          <w:szCs w:val="24"/>
          <w:lang w:eastAsia="zh-CN"/>
        </w:rPr>
      </w:pPr>
      <w:r>
        <w:rPr>
          <w:rFonts w:ascii="Times New Roman" w:hAnsi="Times New Roman"/>
          <w:szCs w:val="24"/>
          <w:lang w:eastAsia="zh-CN"/>
        </w:rPr>
        <w:t>本企业可能发生的突发环境事件的最坏情景列</w:t>
      </w:r>
      <w:r>
        <w:rPr>
          <w:rFonts w:ascii="Times New Roman" w:hAnsi="Times New Roman"/>
          <w:szCs w:val="24"/>
          <w:lang w:eastAsia="zh-CN"/>
        </w:rPr>
        <w:fldChar w:fldCharType="begin"/>
      </w:r>
      <w:r>
        <w:rPr>
          <w:rFonts w:ascii="Times New Roman" w:hAnsi="Times New Roman"/>
          <w:szCs w:val="24"/>
          <w:lang w:eastAsia="zh-CN"/>
        </w:rPr>
        <w:instrText xml:space="preserve"> REF _Ref95229949 \h  \* MERGEFORMAT </w:instrText>
      </w:r>
      <w:r>
        <w:rPr>
          <w:rFonts w:ascii="Times New Roman" w:hAnsi="Times New Roman"/>
          <w:szCs w:val="24"/>
          <w:lang w:eastAsia="zh-CN"/>
        </w:rPr>
        <w:fldChar w:fldCharType="separate"/>
      </w:r>
      <w:r>
        <w:rPr>
          <w:lang w:eastAsia="zh-CN"/>
        </w:rPr>
        <w:t>表4.1</w:t>
      </w:r>
      <w:r>
        <w:rPr>
          <w:lang w:eastAsia="zh-CN"/>
        </w:rPr>
        <w:noBreakHyphen/>
      </w:r>
      <w:r>
        <w:rPr>
          <w:lang w:eastAsia="zh-CN"/>
        </w:rPr>
        <w:t>1</w:t>
      </w:r>
      <w:r>
        <w:rPr>
          <w:rFonts w:ascii="Times New Roman" w:hAnsi="Times New Roman"/>
          <w:szCs w:val="24"/>
          <w:lang w:eastAsia="zh-CN"/>
        </w:rPr>
        <w:fldChar w:fldCharType="end"/>
      </w:r>
      <w:r>
        <w:rPr>
          <w:rFonts w:ascii="Times New Roman" w:hAnsi="Times New Roman"/>
          <w:szCs w:val="24"/>
          <w:lang w:eastAsia="zh-CN"/>
        </w:rPr>
        <w:t>。</w:t>
      </w:r>
    </w:p>
    <w:p w14:paraId="0F27D1E7">
      <w:pPr>
        <w:pStyle w:val="131"/>
        <w:ind w:firstLine="480"/>
        <w:rPr>
          <w:rFonts w:ascii="Times New Roman" w:hAnsi="Times New Roman"/>
          <w:szCs w:val="24"/>
          <w:lang w:eastAsia="zh-CN"/>
        </w:rPr>
      </w:pPr>
    </w:p>
    <w:tbl>
      <w:tblPr>
        <w:tblStyle w:val="34"/>
        <w:tblpPr w:leftFromText="180" w:rightFromText="180" w:vertAnchor="text" w:horzAnchor="margin" w:tblpY="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980"/>
        <w:gridCol w:w="7112"/>
      </w:tblGrid>
      <w:tr w14:paraId="0E51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 w:type="pct"/>
            <w:vAlign w:val="center"/>
          </w:tcPr>
          <w:p w14:paraId="657ECF0D">
            <w:pPr>
              <w:pStyle w:val="127"/>
              <w:keepNext w:val="0"/>
              <w:keepLines w:val="0"/>
              <w:widowControl/>
              <w:suppressLineNumbers w:val="0"/>
              <w:spacing w:before="0" w:beforeAutospacing="0" w:after="0" w:afterAutospacing="0"/>
              <w:ind w:left="0" w:right="0"/>
              <w:rPr>
                <w:rFonts w:hint="default"/>
                <w:color w:val="auto"/>
              </w:rPr>
            </w:pPr>
            <w:bookmarkStart w:id="67" w:name="_Hlk101686947"/>
            <w:r>
              <w:rPr>
                <w:rFonts w:hint="eastAsia"/>
                <w:color w:val="auto"/>
              </w:rPr>
              <w:t>序号</w:t>
            </w:r>
          </w:p>
        </w:tc>
        <w:tc>
          <w:tcPr>
            <w:tcW w:w="1028" w:type="pct"/>
            <w:vAlign w:val="center"/>
          </w:tcPr>
          <w:p w14:paraId="7B8077E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突发环境事件类型</w:t>
            </w:r>
          </w:p>
        </w:tc>
        <w:tc>
          <w:tcPr>
            <w:tcW w:w="3692" w:type="pct"/>
            <w:vAlign w:val="center"/>
          </w:tcPr>
          <w:p w14:paraId="2FFFE79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事件引发或次生突发环境事件引发的最坏情景</w:t>
            </w:r>
          </w:p>
        </w:tc>
      </w:tr>
      <w:tr w14:paraId="65EE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278" w:type="pct"/>
            <w:vAlign w:val="center"/>
          </w:tcPr>
          <w:p w14:paraId="5FBE1DB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w:t>
            </w:r>
          </w:p>
        </w:tc>
        <w:tc>
          <w:tcPr>
            <w:tcW w:w="1028" w:type="pct"/>
            <w:vAlign w:val="center"/>
          </w:tcPr>
          <w:p w14:paraId="597310CF">
            <w:pPr>
              <w:pStyle w:val="127"/>
              <w:keepNext w:val="0"/>
              <w:keepLines w:val="0"/>
              <w:widowControl/>
              <w:suppressLineNumbers w:val="0"/>
              <w:spacing w:before="0" w:beforeAutospacing="0" w:after="0" w:afterAutospacing="0"/>
              <w:ind w:left="0" w:right="0"/>
              <w:rPr>
                <w:rFonts w:hint="default" w:cs="仿宋_GB2312"/>
                <w:color w:val="auto"/>
              </w:rPr>
            </w:pPr>
            <w:r>
              <w:rPr>
                <w:rFonts w:hint="eastAsia"/>
                <w:color w:val="auto"/>
              </w:rPr>
              <w:t>火灾、爆炸事故引发厂外环境污染</w:t>
            </w:r>
          </w:p>
        </w:tc>
        <w:tc>
          <w:tcPr>
            <w:tcW w:w="3692" w:type="pct"/>
            <w:vAlign w:val="center"/>
          </w:tcPr>
          <w:p w14:paraId="0468A662">
            <w:pPr>
              <w:pStyle w:val="127"/>
              <w:keepNext w:val="0"/>
              <w:keepLines w:val="0"/>
              <w:widowControl/>
              <w:suppressLineNumbers w:val="0"/>
              <w:spacing w:before="0" w:beforeAutospacing="0" w:after="0" w:afterAutospacing="0"/>
              <w:ind w:left="0" w:right="0"/>
              <w:jc w:val="left"/>
              <w:rPr>
                <w:rFonts w:hint="default" w:cs="GB Pinyinok-A"/>
                <w:color w:val="auto"/>
              </w:rPr>
            </w:pPr>
            <w:r>
              <w:rPr>
                <w:rFonts w:hint="eastAsia"/>
                <w:color w:val="auto"/>
              </w:rPr>
              <w:t>本企业生产装置区、罐区存储或使用可燃物料</w:t>
            </w:r>
            <w:r>
              <w:rPr>
                <w:rFonts w:hint="eastAsia"/>
                <w:color w:val="auto"/>
                <w:lang w:eastAsia="zh-CN"/>
              </w:rPr>
              <w:t>氢气、邻氯硝基苯、</w:t>
            </w:r>
            <w:r>
              <w:rPr>
                <w:rFonts w:hint="eastAsia"/>
                <w:color w:val="auto"/>
                <w:lang w:val="en-US" w:eastAsia="zh-CN"/>
              </w:rPr>
              <w:t>3.3二氯联苯胺</w:t>
            </w:r>
            <w:r>
              <w:rPr>
                <w:rFonts w:hint="eastAsia" w:cs="GB Pinyinok-A"/>
                <w:color w:val="auto"/>
              </w:rPr>
              <w:t>，</w:t>
            </w:r>
            <w:r>
              <w:rPr>
                <w:rFonts w:hint="eastAsia"/>
                <w:color w:val="auto"/>
              </w:rPr>
              <w:t>因而有可能发生火灾爆炸事故</w:t>
            </w:r>
            <w:r>
              <w:rPr>
                <w:rFonts w:hint="eastAsia" w:cs="GB Pinyinok-A"/>
                <w:color w:val="auto"/>
              </w:rPr>
              <w:t>，</w:t>
            </w:r>
            <w:r>
              <w:rPr>
                <w:rFonts w:hint="eastAsia"/>
                <w:color w:val="auto"/>
              </w:rPr>
              <w:t>此类事故不仅会产生有毒气体排放</w:t>
            </w:r>
            <w:r>
              <w:rPr>
                <w:rFonts w:hint="eastAsia" w:cs="GB Pinyinok-A"/>
                <w:color w:val="auto"/>
              </w:rPr>
              <w:t>，</w:t>
            </w:r>
            <w:r>
              <w:rPr>
                <w:rFonts w:hint="eastAsia"/>
                <w:color w:val="auto"/>
              </w:rPr>
              <w:t>还会伴生危险化学品泄漏及次生大量的消防尾水</w:t>
            </w:r>
            <w:r>
              <w:rPr>
                <w:rFonts w:hint="eastAsia" w:cs="GB Pinyinok-A"/>
                <w:color w:val="auto"/>
              </w:rPr>
              <w:t>。</w:t>
            </w:r>
          </w:p>
        </w:tc>
      </w:tr>
      <w:tr w14:paraId="2590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78" w:type="pct"/>
            <w:vMerge w:val="restart"/>
            <w:vAlign w:val="center"/>
          </w:tcPr>
          <w:p w14:paraId="2E8603D0">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2</w:t>
            </w:r>
          </w:p>
        </w:tc>
        <w:tc>
          <w:tcPr>
            <w:tcW w:w="1028" w:type="pct"/>
            <w:vMerge w:val="restart"/>
            <w:vAlign w:val="center"/>
          </w:tcPr>
          <w:p w14:paraId="597E9C7D">
            <w:pPr>
              <w:pStyle w:val="127"/>
              <w:keepNext w:val="0"/>
              <w:keepLines w:val="0"/>
              <w:widowControl/>
              <w:suppressLineNumbers w:val="0"/>
              <w:spacing w:before="0" w:beforeAutospacing="0" w:after="0" w:afterAutospacing="0"/>
              <w:ind w:left="0" w:right="0"/>
              <w:rPr>
                <w:rFonts w:hint="default" w:cs="仿宋_GB2312"/>
                <w:color w:val="auto"/>
              </w:rPr>
            </w:pPr>
            <w:r>
              <w:rPr>
                <w:rFonts w:hint="eastAsia"/>
                <w:color w:val="auto"/>
              </w:rPr>
              <w:t>危险化学品泄漏</w:t>
            </w:r>
          </w:p>
        </w:tc>
        <w:tc>
          <w:tcPr>
            <w:tcW w:w="3692" w:type="pct"/>
            <w:vAlign w:val="center"/>
          </w:tcPr>
          <w:p w14:paraId="229A4C7E">
            <w:pPr>
              <w:pStyle w:val="127"/>
              <w:keepNext w:val="0"/>
              <w:keepLines w:val="0"/>
              <w:widowControl/>
              <w:suppressLineNumbers w:val="0"/>
              <w:spacing w:before="0" w:beforeAutospacing="0" w:after="0" w:afterAutospacing="0"/>
              <w:ind w:left="0" w:right="0"/>
              <w:jc w:val="left"/>
              <w:rPr>
                <w:rFonts w:hint="default" w:cs="GB Pinyinok-A"/>
                <w:color w:val="auto"/>
              </w:rPr>
            </w:pPr>
            <w:r>
              <w:rPr>
                <w:rFonts w:hint="eastAsia"/>
                <w:color w:val="auto"/>
              </w:rPr>
              <w:t>本企业罐区、仓库存放使用的液体原料发生泄漏后会可能会流入雨水管网</w:t>
            </w:r>
            <w:r>
              <w:rPr>
                <w:rFonts w:hint="eastAsia" w:cs="GB Pinyinok-A"/>
                <w:color w:val="auto"/>
              </w:rPr>
              <w:t>中，</w:t>
            </w:r>
            <w:r>
              <w:rPr>
                <w:rFonts w:hint="eastAsia"/>
                <w:color w:val="auto"/>
              </w:rPr>
              <w:t>而后通过雨水管网流入地表水体</w:t>
            </w:r>
            <w:r>
              <w:rPr>
                <w:rFonts w:hint="eastAsia" w:cs="GB Pinyinok-A"/>
                <w:color w:val="auto"/>
              </w:rPr>
              <w:t>，</w:t>
            </w:r>
            <w:r>
              <w:rPr>
                <w:rFonts w:hint="eastAsia"/>
                <w:color w:val="auto"/>
              </w:rPr>
              <w:t>进而造成水体污染</w:t>
            </w:r>
            <w:r>
              <w:rPr>
                <w:rFonts w:hint="eastAsia" w:cs="GB Pinyinok-A"/>
                <w:color w:val="auto"/>
              </w:rPr>
              <w:t>。</w:t>
            </w:r>
          </w:p>
        </w:tc>
      </w:tr>
      <w:tr w14:paraId="3AB5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78" w:type="pct"/>
            <w:vMerge w:val="continue"/>
            <w:vAlign w:val="center"/>
          </w:tcPr>
          <w:p w14:paraId="59470E99">
            <w:pPr>
              <w:pStyle w:val="127"/>
              <w:keepNext w:val="0"/>
              <w:keepLines w:val="0"/>
              <w:widowControl/>
              <w:suppressLineNumbers w:val="0"/>
              <w:spacing w:before="0" w:beforeAutospacing="0" w:after="0" w:afterAutospacing="0"/>
              <w:ind w:left="0" w:right="0"/>
              <w:rPr>
                <w:rFonts w:hint="default"/>
                <w:color w:val="auto"/>
              </w:rPr>
            </w:pPr>
          </w:p>
        </w:tc>
        <w:tc>
          <w:tcPr>
            <w:tcW w:w="1028" w:type="pct"/>
            <w:vMerge w:val="continue"/>
            <w:vAlign w:val="center"/>
          </w:tcPr>
          <w:p w14:paraId="30E5C819">
            <w:pPr>
              <w:pStyle w:val="127"/>
              <w:keepNext w:val="0"/>
              <w:keepLines w:val="0"/>
              <w:widowControl/>
              <w:suppressLineNumbers w:val="0"/>
              <w:spacing w:before="0" w:beforeAutospacing="0" w:after="0" w:afterAutospacing="0"/>
              <w:ind w:left="0" w:right="0"/>
              <w:rPr>
                <w:rFonts w:hint="default"/>
                <w:color w:val="auto"/>
              </w:rPr>
            </w:pPr>
          </w:p>
        </w:tc>
        <w:tc>
          <w:tcPr>
            <w:tcW w:w="3692" w:type="pct"/>
            <w:vAlign w:val="center"/>
          </w:tcPr>
          <w:p w14:paraId="325FFC8F">
            <w:pPr>
              <w:pStyle w:val="127"/>
              <w:keepNext w:val="0"/>
              <w:keepLines w:val="0"/>
              <w:widowControl/>
              <w:suppressLineNumbers w:val="0"/>
              <w:spacing w:before="0" w:beforeAutospacing="0" w:after="0" w:afterAutospacing="0"/>
              <w:ind w:left="0" w:right="0"/>
              <w:jc w:val="left"/>
              <w:rPr>
                <w:rFonts w:hint="default"/>
                <w:b/>
                <w:bCs/>
                <w:color w:val="auto"/>
              </w:rPr>
            </w:pPr>
            <w:r>
              <w:rPr>
                <w:rFonts w:hint="eastAsia" w:cs="GB Pinyinok-A"/>
                <w:color w:val="auto"/>
              </w:rPr>
              <w:t>生产过程中产生的气态危险物质扩散，吸附、消除不及时造成大气环境污染事件。</w:t>
            </w:r>
          </w:p>
        </w:tc>
      </w:tr>
      <w:tr w14:paraId="37AB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278" w:type="pct"/>
            <w:vAlign w:val="center"/>
          </w:tcPr>
          <w:p w14:paraId="1271CF2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3</w:t>
            </w:r>
          </w:p>
        </w:tc>
        <w:tc>
          <w:tcPr>
            <w:tcW w:w="1028" w:type="pct"/>
            <w:vAlign w:val="center"/>
          </w:tcPr>
          <w:p w14:paraId="0FFD0114">
            <w:pPr>
              <w:pStyle w:val="127"/>
              <w:keepNext w:val="0"/>
              <w:keepLines w:val="0"/>
              <w:widowControl/>
              <w:suppressLineNumbers w:val="0"/>
              <w:spacing w:before="0" w:beforeAutospacing="0" w:after="0" w:afterAutospacing="0"/>
              <w:ind w:left="0" w:right="0"/>
              <w:rPr>
                <w:rFonts w:hint="default" w:cs="仿宋_GB2312"/>
                <w:color w:val="auto"/>
              </w:rPr>
            </w:pPr>
            <w:r>
              <w:rPr>
                <w:rFonts w:hint="eastAsia"/>
                <w:color w:val="auto"/>
              </w:rPr>
              <w:t>风险防控设施失灵</w:t>
            </w:r>
          </w:p>
        </w:tc>
        <w:tc>
          <w:tcPr>
            <w:tcW w:w="3692" w:type="pct"/>
            <w:vAlign w:val="center"/>
          </w:tcPr>
          <w:p w14:paraId="72292CC1">
            <w:pPr>
              <w:pStyle w:val="127"/>
              <w:keepNext w:val="0"/>
              <w:keepLines w:val="0"/>
              <w:widowControl/>
              <w:suppressLineNumbers w:val="0"/>
              <w:spacing w:before="0" w:beforeAutospacing="0" w:after="0" w:afterAutospacing="0"/>
              <w:ind w:left="0" w:right="0"/>
              <w:jc w:val="left"/>
              <w:rPr>
                <w:rFonts w:hint="default" w:cs="仿宋_GB2312"/>
                <w:color w:val="auto"/>
              </w:rPr>
            </w:pPr>
            <w:r>
              <w:rPr>
                <w:rFonts w:hint="eastAsia"/>
                <w:color w:val="auto"/>
              </w:rPr>
              <w:t>本企业装置区、储罐泄漏引发的火灾必将同时产生大量的消防尾水并挟带危险化学品</w:t>
            </w:r>
            <w:r>
              <w:rPr>
                <w:rFonts w:hint="eastAsia" w:cs="GB Pinyinok-A"/>
                <w:color w:val="auto"/>
              </w:rPr>
              <w:t>，</w:t>
            </w:r>
            <w:r>
              <w:rPr>
                <w:rFonts w:hint="eastAsia"/>
                <w:color w:val="auto"/>
              </w:rPr>
              <w:t>此时如果通向厂区外的雨水管线无人关闭</w:t>
            </w:r>
            <w:r>
              <w:rPr>
                <w:rFonts w:hint="eastAsia" w:cs="GB Pinyinok-A"/>
                <w:color w:val="auto"/>
              </w:rPr>
              <w:t>，</w:t>
            </w:r>
            <w:r>
              <w:rPr>
                <w:rFonts w:hint="eastAsia"/>
                <w:color w:val="auto"/>
              </w:rPr>
              <w:t>污染的消防尾水通过市政雨水管网进入地表水体，必将造成严重污染</w:t>
            </w:r>
            <w:r>
              <w:rPr>
                <w:rFonts w:hint="eastAsia" w:cs="GB Pinyinok-A"/>
                <w:color w:val="auto"/>
              </w:rPr>
              <w:t>。</w:t>
            </w:r>
          </w:p>
        </w:tc>
      </w:tr>
      <w:tr w14:paraId="2359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78" w:type="pct"/>
            <w:vAlign w:val="center"/>
          </w:tcPr>
          <w:p w14:paraId="748F4FCB">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4</w:t>
            </w:r>
          </w:p>
        </w:tc>
        <w:tc>
          <w:tcPr>
            <w:tcW w:w="1028" w:type="pct"/>
            <w:vAlign w:val="center"/>
          </w:tcPr>
          <w:p w14:paraId="7E4652DF">
            <w:pPr>
              <w:pStyle w:val="127"/>
              <w:keepNext w:val="0"/>
              <w:keepLines w:val="0"/>
              <w:widowControl/>
              <w:suppressLineNumbers w:val="0"/>
              <w:spacing w:before="0" w:beforeAutospacing="0" w:after="0" w:afterAutospacing="0"/>
              <w:ind w:left="0" w:right="0"/>
              <w:rPr>
                <w:rFonts w:hint="default" w:cs="仿宋_GB2312"/>
                <w:color w:val="auto"/>
              </w:rPr>
            </w:pPr>
            <w:r>
              <w:rPr>
                <w:rFonts w:hint="eastAsia"/>
                <w:color w:val="auto"/>
              </w:rPr>
              <w:t>污染治理设施异常</w:t>
            </w:r>
          </w:p>
        </w:tc>
        <w:tc>
          <w:tcPr>
            <w:tcW w:w="3692" w:type="pct"/>
            <w:vAlign w:val="center"/>
          </w:tcPr>
          <w:p w14:paraId="7D64F317">
            <w:pPr>
              <w:pStyle w:val="127"/>
              <w:keepNext w:val="0"/>
              <w:keepLines w:val="0"/>
              <w:widowControl/>
              <w:suppressLineNumbers w:val="0"/>
              <w:spacing w:before="0" w:beforeAutospacing="0" w:after="0" w:afterAutospacing="0"/>
              <w:ind w:left="0" w:right="0"/>
              <w:jc w:val="left"/>
              <w:rPr>
                <w:rFonts w:hint="default" w:cs="仿宋_GB2312"/>
                <w:color w:val="auto"/>
              </w:rPr>
            </w:pPr>
            <w:r>
              <w:rPr>
                <w:rFonts w:hint="eastAsia"/>
                <w:color w:val="auto"/>
              </w:rPr>
              <w:t>本企业产生的废水严重超标情况下排入污水处理厂</w:t>
            </w:r>
            <w:r>
              <w:rPr>
                <w:rFonts w:hint="eastAsia" w:cs="GB Pinyinok-A"/>
                <w:color w:val="auto"/>
              </w:rPr>
              <w:t>，对污水处理厂造成冲击。</w:t>
            </w:r>
          </w:p>
          <w:p w14:paraId="38229CF4">
            <w:pPr>
              <w:pStyle w:val="127"/>
              <w:keepNext w:val="0"/>
              <w:keepLines w:val="0"/>
              <w:widowControl/>
              <w:suppressLineNumbers w:val="0"/>
              <w:spacing w:before="0" w:beforeAutospacing="0" w:after="0" w:afterAutospacing="0"/>
              <w:ind w:left="0" w:right="0"/>
              <w:jc w:val="left"/>
              <w:rPr>
                <w:rFonts w:hint="default"/>
                <w:color w:val="auto"/>
              </w:rPr>
            </w:pPr>
            <w:r>
              <w:rPr>
                <w:rFonts w:hint="eastAsia"/>
                <w:color w:val="auto"/>
                <w:lang w:eastAsia="zh-CN"/>
              </w:rPr>
              <w:t>环保设施</w:t>
            </w:r>
            <w:r>
              <w:rPr>
                <w:rFonts w:hint="eastAsia"/>
                <w:color w:val="auto"/>
              </w:rPr>
              <w:t>处置设施异常，导致</w:t>
            </w:r>
            <w:r>
              <w:rPr>
                <w:rFonts w:hint="eastAsia"/>
                <w:color w:val="auto"/>
                <w:lang w:eastAsia="zh-CN"/>
              </w:rPr>
              <w:t>非甲烷总烃</w:t>
            </w:r>
            <w:r>
              <w:rPr>
                <w:rFonts w:hint="eastAsia"/>
                <w:color w:val="auto"/>
              </w:rPr>
              <w:t>等严重超标，并随风扩散至周围大气环境。</w:t>
            </w:r>
          </w:p>
        </w:tc>
      </w:tr>
      <w:tr w14:paraId="74F5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278" w:type="pct"/>
            <w:vAlign w:val="center"/>
          </w:tcPr>
          <w:p w14:paraId="5D471046">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val="en-US" w:eastAsia="zh-CN"/>
              </w:rPr>
              <w:t>5</w:t>
            </w:r>
          </w:p>
        </w:tc>
        <w:tc>
          <w:tcPr>
            <w:tcW w:w="1028" w:type="pct"/>
            <w:vAlign w:val="center"/>
          </w:tcPr>
          <w:p w14:paraId="749F059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通讯或运输系统故障事故</w:t>
            </w:r>
          </w:p>
        </w:tc>
        <w:tc>
          <w:tcPr>
            <w:tcW w:w="3692" w:type="pct"/>
            <w:vAlign w:val="center"/>
          </w:tcPr>
          <w:p w14:paraId="20DB2BF5">
            <w:pPr>
              <w:pStyle w:val="127"/>
              <w:keepNext w:val="0"/>
              <w:keepLines w:val="0"/>
              <w:widowControl/>
              <w:suppressLineNumbers w:val="0"/>
              <w:spacing w:before="0" w:beforeAutospacing="0" w:after="0" w:afterAutospacing="0"/>
              <w:ind w:left="0" w:right="0"/>
              <w:jc w:val="left"/>
              <w:rPr>
                <w:rFonts w:hint="default" w:cs="仿宋_GB2312"/>
                <w:color w:val="auto"/>
              </w:rPr>
            </w:pPr>
            <w:r>
              <w:rPr>
                <w:rFonts w:hint="eastAsia"/>
                <w:color w:val="auto"/>
              </w:rPr>
              <w:t>因通迅不畅的风险致使最佳事故救援时间延误</w:t>
            </w:r>
            <w:r>
              <w:rPr>
                <w:rFonts w:hint="eastAsia" w:cs="GB Pinyinok-A"/>
                <w:color w:val="auto"/>
              </w:rPr>
              <w:t>。</w:t>
            </w:r>
          </w:p>
          <w:p w14:paraId="2E20AFB4">
            <w:pPr>
              <w:pStyle w:val="127"/>
              <w:keepNext w:val="0"/>
              <w:keepLines w:val="0"/>
              <w:widowControl/>
              <w:suppressLineNumbers w:val="0"/>
              <w:spacing w:before="0" w:beforeAutospacing="0" w:after="0" w:afterAutospacing="0"/>
              <w:ind w:left="0" w:right="0"/>
              <w:jc w:val="left"/>
              <w:rPr>
                <w:rFonts w:hint="default" w:cs="仿宋_GB2312"/>
                <w:color w:val="auto"/>
              </w:rPr>
            </w:pPr>
            <w:r>
              <w:rPr>
                <w:rFonts w:hint="eastAsia"/>
                <w:color w:val="auto"/>
              </w:rPr>
              <w:t>本公司可能发生的运输故障是厂内有毒有害液体或气体的输送过程出现泄漏事故</w:t>
            </w:r>
            <w:r>
              <w:rPr>
                <w:rFonts w:hint="eastAsia" w:cs="GB Pinyinok-A"/>
                <w:color w:val="auto"/>
              </w:rPr>
              <w:t>。</w:t>
            </w:r>
          </w:p>
          <w:p w14:paraId="28E6F345">
            <w:pPr>
              <w:pStyle w:val="127"/>
              <w:keepNext w:val="0"/>
              <w:keepLines w:val="0"/>
              <w:widowControl/>
              <w:suppressLineNumbers w:val="0"/>
              <w:spacing w:before="0" w:beforeAutospacing="0" w:after="0" w:afterAutospacing="0"/>
              <w:ind w:left="0" w:right="0"/>
              <w:jc w:val="left"/>
              <w:rPr>
                <w:rFonts w:hint="default" w:cs="仿宋_GB2312"/>
                <w:color w:val="auto"/>
              </w:rPr>
            </w:pPr>
            <w:r>
              <w:rPr>
                <w:rFonts w:hint="eastAsia"/>
                <w:color w:val="auto"/>
              </w:rPr>
              <w:t>本企业可能出现的突发环境事件同风险防控措施失灵。</w:t>
            </w:r>
          </w:p>
        </w:tc>
      </w:tr>
      <w:tr w14:paraId="5F64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78" w:type="pct"/>
            <w:vAlign w:val="center"/>
          </w:tcPr>
          <w:p w14:paraId="2BD57E9F">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val="en-US" w:eastAsia="zh-CN"/>
              </w:rPr>
              <w:t>6</w:t>
            </w:r>
          </w:p>
        </w:tc>
        <w:tc>
          <w:tcPr>
            <w:tcW w:w="1028" w:type="pct"/>
            <w:vAlign w:val="center"/>
          </w:tcPr>
          <w:p w14:paraId="370F5504">
            <w:pPr>
              <w:pStyle w:val="127"/>
              <w:keepNext w:val="0"/>
              <w:keepLines w:val="0"/>
              <w:widowControl/>
              <w:suppressLineNumbers w:val="0"/>
              <w:spacing w:before="0" w:beforeAutospacing="0" w:after="0" w:afterAutospacing="0"/>
              <w:ind w:left="0" w:right="0"/>
              <w:rPr>
                <w:rFonts w:hint="default" w:cs="仿宋_GB2312"/>
                <w:color w:val="auto"/>
              </w:rPr>
            </w:pPr>
            <w:r>
              <w:rPr>
                <w:rFonts w:hint="eastAsia"/>
                <w:color w:val="auto"/>
              </w:rPr>
              <w:t>各种自然灾害、极端天气或不利的气象条件</w:t>
            </w:r>
          </w:p>
        </w:tc>
        <w:tc>
          <w:tcPr>
            <w:tcW w:w="3692" w:type="pct"/>
            <w:vAlign w:val="center"/>
          </w:tcPr>
          <w:p w14:paraId="48CB21F9">
            <w:pPr>
              <w:pStyle w:val="127"/>
              <w:keepNext w:val="0"/>
              <w:keepLines w:val="0"/>
              <w:widowControl/>
              <w:suppressLineNumbers w:val="0"/>
              <w:spacing w:before="0" w:beforeAutospacing="0" w:after="0" w:afterAutospacing="0"/>
              <w:ind w:left="0" w:right="0"/>
              <w:jc w:val="left"/>
              <w:rPr>
                <w:rFonts w:hint="default"/>
                <w:color w:val="auto"/>
              </w:rPr>
            </w:pPr>
            <w:r>
              <w:rPr>
                <w:rFonts w:hint="eastAsia"/>
                <w:color w:val="auto"/>
              </w:rPr>
              <w:t>根据淄博市多年气象资料分析结果，本地区最有可能出现自然灾害为暴雨，发生上述情景可致室外设备、构筑物内的化学品或废水等泄漏或溢出。</w:t>
            </w:r>
          </w:p>
        </w:tc>
      </w:tr>
      <w:tr w14:paraId="6436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278" w:type="pct"/>
            <w:vAlign w:val="center"/>
          </w:tcPr>
          <w:p w14:paraId="1B33B34D">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val="en-US" w:eastAsia="zh-CN"/>
              </w:rPr>
              <w:t>7</w:t>
            </w:r>
          </w:p>
        </w:tc>
        <w:tc>
          <w:tcPr>
            <w:tcW w:w="1028" w:type="pct"/>
            <w:vAlign w:val="center"/>
          </w:tcPr>
          <w:p w14:paraId="117AC0BB">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非正常工况</w:t>
            </w:r>
          </w:p>
        </w:tc>
        <w:tc>
          <w:tcPr>
            <w:tcW w:w="3692" w:type="pct"/>
            <w:vAlign w:val="center"/>
          </w:tcPr>
          <w:p w14:paraId="655C4E3D">
            <w:pPr>
              <w:pStyle w:val="127"/>
              <w:keepNext w:val="0"/>
              <w:keepLines w:val="0"/>
              <w:widowControl/>
              <w:suppressLineNumbers w:val="0"/>
              <w:spacing w:before="0" w:beforeAutospacing="0" w:after="0" w:afterAutospacing="0"/>
              <w:ind w:left="0" w:right="0"/>
              <w:jc w:val="left"/>
              <w:rPr>
                <w:rFonts w:hint="default"/>
                <w:color w:val="auto"/>
              </w:rPr>
            </w:pPr>
            <w:r>
              <w:rPr>
                <w:rFonts w:hint="default"/>
                <w:color w:val="auto"/>
              </w:rPr>
              <w:t>装置因故障导致废气含量指标偏高排放。</w:t>
            </w:r>
          </w:p>
          <w:p w14:paraId="476B926A">
            <w:pPr>
              <w:pStyle w:val="127"/>
              <w:keepNext w:val="0"/>
              <w:keepLines w:val="0"/>
              <w:widowControl/>
              <w:suppressLineNumbers w:val="0"/>
              <w:spacing w:before="0" w:beforeAutospacing="0" w:after="0" w:afterAutospacing="0"/>
              <w:ind w:left="0" w:right="0"/>
              <w:jc w:val="left"/>
              <w:rPr>
                <w:rFonts w:hint="default"/>
                <w:color w:val="auto"/>
              </w:rPr>
            </w:pPr>
            <w:r>
              <w:rPr>
                <w:rFonts w:hint="default"/>
                <w:color w:val="auto"/>
              </w:rPr>
              <w:t>污水处理站因故障导致废水超标排放</w:t>
            </w:r>
            <w:r>
              <w:rPr>
                <w:rFonts w:hint="eastAsia"/>
                <w:color w:val="auto"/>
              </w:rPr>
              <w:t>。</w:t>
            </w:r>
          </w:p>
        </w:tc>
      </w:tr>
      <w:bookmarkEnd w:id="67"/>
    </w:tbl>
    <w:p w14:paraId="7F5748DA">
      <w:pPr>
        <w:pStyle w:val="131"/>
        <w:ind w:firstLine="480"/>
        <w:rPr>
          <w:rFonts w:ascii="Times New Roman" w:hAnsi="Times New Roman"/>
          <w:szCs w:val="24"/>
          <w:lang w:eastAsia="zh-CN"/>
        </w:rPr>
      </w:pPr>
    </w:p>
    <w:p w14:paraId="1C148586">
      <w:pPr>
        <w:pStyle w:val="7"/>
        <w:spacing w:before="0" w:after="0"/>
        <w:rPr>
          <w:rFonts w:hint="default" w:ascii="Times New Roman" w:hAnsi="Times New Roman" w:cs="Times New Roman"/>
          <w:color w:val="auto"/>
          <w:highlight w:val="none"/>
        </w:rPr>
      </w:pPr>
      <w:bookmarkStart w:id="68" w:name="_Toc28343"/>
      <w:r>
        <w:rPr>
          <w:rFonts w:hint="default" w:ascii="Times New Roman" w:hAnsi="Times New Roman" w:cs="Times New Roman"/>
          <w:color w:val="auto"/>
          <w:highlight w:val="none"/>
        </w:rPr>
        <w:t>4.2 突发环境事件情景源强分析</w:t>
      </w:r>
      <w:bookmarkEnd w:id="68"/>
    </w:p>
    <w:p w14:paraId="34F58F69">
      <w:pPr>
        <w:spacing w:line="360" w:lineRule="auto"/>
        <w:ind w:firstLine="480" w:firstLineChars="200"/>
        <w:rPr>
          <w:rFonts w:hint="default" w:ascii="Times New Roman" w:hAnsi="Times New Roman" w:cs="Times New Roman"/>
          <w:color w:val="auto"/>
          <w:sz w:val="24"/>
        </w:rPr>
      </w:pPr>
      <w:r>
        <w:rPr>
          <w:rFonts w:hint="eastAsia" w:cs="Times New Roman"/>
          <w:color w:val="auto"/>
          <w:sz w:val="24"/>
          <w:lang w:eastAsia="zh-CN"/>
        </w:rPr>
        <w:t>公司</w:t>
      </w:r>
      <w:r>
        <w:rPr>
          <w:rFonts w:hint="default" w:ascii="Times New Roman" w:hAnsi="Times New Roman" w:cs="Times New Roman"/>
          <w:color w:val="auto"/>
          <w:sz w:val="24"/>
        </w:rPr>
        <w:t>虽具有多个事故风险源，但环境风险将来自主要危险源的事故性泄漏，尤其是重大危险源。项目最大可信事故的确定是依据事故源大小和物质特性对环境的影响程度确定。根据事故源识别和事故因素分析表明，生产物料泄漏为重大环境污染事故隐患，事故原因主要是生产装置和储罐壳件出口部位断裂、阀门破损等。</w:t>
      </w:r>
    </w:p>
    <w:p w14:paraId="06247B0D">
      <w:pPr>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rPr>
        <w:t>考虑到原料、产品等物料在理化性质、储存量及毒性、危险性的差异，评价确定本项目最大可信事故及类型为：生产装置或储罐发生泄漏</w:t>
      </w:r>
      <w:r>
        <w:rPr>
          <w:rFonts w:hint="default" w:ascii="Times New Roman" w:hAnsi="Times New Roman" w:cs="Times New Roman"/>
          <w:color w:val="auto"/>
          <w:sz w:val="24"/>
          <w:szCs w:val="24"/>
        </w:rPr>
        <w:t>火灾爆炸事故</w:t>
      </w:r>
      <w:r>
        <w:rPr>
          <w:rFonts w:hint="default" w:ascii="Times New Roman" w:hAnsi="Times New Roman" w:cs="Times New Roman"/>
          <w:color w:val="auto"/>
          <w:sz w:val="24"/>
        </w:rPr>
        <w:t>（污染物为</w:t>
      </w:r>
      <w:r>
        <w:rPr>
          <w:rFonts w:hint="default" w:ascii="Times New Roman" w:hAnsi="Times New Roman" w:eastAsia="宋体" w:cs="Times New Roman"/>
          <w:bCs w:val="0"/>
          <w:snapToGrid/>
          <w:color w:val="auto"/>
          <w:kern w:val="2"/>
          <w:sz w:val="24"/>
          <w:szCs w:val="24"/>
          <w:lang w:eastAsia="zh-CN"/>
        </w:rPr>
        <w:t>甲苯、</w:t>
      </w:r>
      <w:r>
        <w:rPr>
          <w:rFonts w:hint="eastAsia" w:cs="Times New Roman"/>
          <w:bCs w:val="0"/>
          <w:snapToGrid/>
          <w:color w:val="auto"/>
          <w:kern w:val="2"/>
          <w:sz w:val="24"/>
          <w:szCs w:val="24"/>
          <w:lang w:eastAsia="zh-CN"/>
        </w:rPr>
        <w:t>邻氯硝基苯、盐酸</w:t>
      </w:r>
      <w:r>
        <w:rPr>
          <w:rFonts w:hint="default" w:ascii="Times New Roman" w:hAnsi="Times New Roman" w:cs="Times New Roman"/>
          <w:color w:val="auto"/>
          <w:sz w:val="24"/>
          <w:szCs w:val="24"/>
        </w:rPr>
        <w:t>泄漏后引发的</w:t>
      </w:r>
      <w:r>
        <w:rPr>
          <w:rFonts w:hint="eastAsia" w:cs="Times New Roman"/>
          <w:color w:val="auto"/>
          <w:sz w:val="24"/>
          <w:szCs w:val="24"/>
          <w:lang w:eastAsia="zh-CN"/>
        </w:rPr>
        <w:t>）</w:t>
      </w:r>
      <w:r>
        <w:rPr>
          <w:rFonts w:hint="default" w:ascii="Times New Roman" w:hAnsi="Times New Roman" w:cs="Times New Roman"/>
          <w:color w:val="auto"/>
          <w:sz w:val="24"/>
          <w:szCs w:val="24"/>
        </w:rPr>
        <w:t>。</w:t>
      </w:r>
    </w:p>
    <w:p w14:paraId="6F769406">
      <w:pPr>
        <w:pStyle w:val="8"/>
        <w:pageBreakBefore w:val="0"/>
        <w:kinsoku/>
        <w:wordWrap/>
        <w:overflowPunct/>
        <w:topLinePunct w:val="0"/>
        <w:autoSpaceDE/>
        <w:autoSpaceDN/>
        <w:bidi w:val="0"/>
        <w:spacing w:before="0" w:after="0"/>
        <w:textAlignment w:val="auto"/>
        <w:rPr>
          <w:sz w:val="24"/>
          <w:szCs w:val="24"/>
        </w:rPr>
      </w:pPr>
      <w:bookmarkStart w:id="69" w:name="_Hlk95300551"/>
      <w:r>
        <w:rPr>
          <w:rFonts w:hint="eastAsia"/>
          <w:sz w:val="24"/>
          <w:szCs w:val="24"/>
          <w:lang w:val="en-US" w:eastAsia="zh-CN"/>
        </w:rPr>
        <w:t>4.2.1</w:t>
      </w:r>
      <w:r>
        <w:rPr>
          <w:rFonts w:hint="eastAsia"/>
          <w:sz w:val="24"/>
          <w:szCs w:val="24"/>
          <w:lang w:eastAsia="zh-CN"/>
        </w:rPr>
        <w:t>甲苯</w:t>
      </w:r>
      <w:r>
        <w:rPr>
          <w:sz w:val="24"/>
          <w:szCs w:val="24"/>
        </w:rPr>
        <w:t>泄漏</w:t>
      </w:r>
      <w:r>
        <w:rPr>
          <w:rFonts w:hint="eastAsia"/>
          <w:sz w:val="24"/>
          <w:szCs w:val="24"/>
        </w:rPr>
        <w:t>事故源强分析</w:t>
      </w:r>
    </w:p>
    <w:bookmarkEnd w:id="69"/>
    <w:p w14:paraId="2051E8D0">
      <w:pPr>
        <w:pStyle w:val="124"/>
        <w:pageBreakBefore w:val="0"/>
        <w:kinsoku/>
        <w:wordWrap/>
        <w:overflowPunct/>
        <w:topLinePunct w:val="0"/>
        <w:autoSpaceDE/>
        <w:autoSpaceDN/>
        <w:bidi w:val="0"/>
        <w:textAlignment w:val="auto"/>
        <w:rPr>
          <w:rFonts w:ascii="宋体" w:hAnsi="宋体"/>
          <w:sz w:val="24"/>
          <w:szCs w:val="24"/>
          <w:lang w:eastAsia="zh-CN"/>
        </w:rPr>
      </w:pPr>
      <w:bookmarkStart w:id="70" w:name="_Hlk95300610"/>
      <w:r>
        <w:rPr>
          <w:rFonts w:hint="eastAsia" w:ascii="宋体" w:hAnsi="宋体"/>
          <w:sz w:val="24"/>
          <w:szCs w:val="24"/>
          <w:lang w:eastAsia="zh-CN"/>
        </w:rPr>
        <w:t>1、源强计算情景设定</w:t>
      </w:r>
    </w:p>
    <w:bookmarkEnd w:id="70"/>
    <w:p w14:paraId="48CDC4A1">
      <w:pPr>
        <w:spacing w:line="360" w:lineRule="auto"/>
        <w:ind w:firstLine="480" w:firstLineChars="200"/>
        <w:rPr>
          <w:sz w:val="24"/>
          <w:szCs w:val="24"/>
        </w:rPr>
      </w:pPr>
      <w:r>
        <w:rPr>
          <w:rFonts w:hint="eastAsia"/>
          <w:sz w:val="24"/>
          <w:szCs w:val="24"/>
        </w:rPr>
        <w:t>（1</w:t>
      </w:r>
      <w:r>
        <w:rPr>
          <w:sz w:val="24"/>
          <w:szCs w:val="24"/>
        </w:rPr>
        <w:t>）</w:t>
      </w:r>
      <w:r>
        <w:rPr>
          <w:rFonts w:hint="eastAsia"/>
          <w:sz w:val="24"/>
          <w:szCs w:val="24"/>
        </w:rPr>
        <w:t>泄漏量确定</w:t>
      </w:r>
    </w:p>
    <w:p w14:paraId="497999F8">
      <w:pPr>
        <w:spacing w:line="360" w:lineRule="auto"/>
        <w:ind w:firstLine="480" w:firstLineChars="200"/>
        <w:rPr>
          <w:sz w:val="24"/>
          <w:szCs w:val="24"/>
        </w:rPr>
      </w:pPr>
      <w:r>
        <w:rPr>
          <w:rFonts w:hint="eastAsia"/>
          <w:sz w:val="24"/>
          <w:szCs w:val="24"/>
        </w:rPr>
        <w:t>厂区内</w:t>
      </w:r>
      <w:r>
        <w:rPr>
          <w:rFonts w:hint="eastAsia"/>
          <w:sz w:val="24"/>
          <w:szCs w:val="24"/>
          <w:lang w:eastAsia="zh-CN"/>
        </w:rPr>
        <w:t>甲苯</w:t>
      </w:r>
      <w:r>
        <w:rPr>
          <w:rFonts w:hint="eastAsia"/>
          <w:sz w:val="24"/>
          <w:szCs w:val="24"/>
        </w:rPr>
        <w:t>存储在罐区中，本次评价</w:t>
      </w:r>
      <w:r>
        <w:rPr>
          <w:rFonts w:hint="eastAsia"/>
          <w:sz w:val="24"/>
          <w:szCs w:val="24"/>
          <w:lang w:eastAsia="zh-CN"/>
        </w:rPr>
        <w:t>甲苯</w:t>
      </w:r>
      <w:r>
        <w:rPr>
          <w:rFonts w:hint="eastAsia"/>
          <w:sz w:val="24"/>
          <w:szCs w:val="24"/>
        </w:rPr>
        <w:t>储罐发生泄漏作为该厂区的风险事故源强。本次分析将</w:t>
      </w:r>
      <w:r>
        <w:rPr>
          <w:rFonts w:hint="eastAsia"/>
          <w:sz w:val="24"/>
          <w:szCs w:val="24"/>
          <w:lang w:eastAsia="zh-CN"/>
        </w:rPr>
        <w:t>甲苯</w:t>
      </w:r>
      <w:r>
        <w:rPr>
          <w:rFonts w:hint="eastAsia"/>
          <w:sz w:val="24"/>
          <w:szCs w:val="24"/>
        </w:rPr>
        <w:t>输送管线接头破裂和阀门螺丝松动造成</w:t>
      </w:r>
      <w:r>
        <w:rPr>
          <w:rFonts w:hint="eastAsia"/>
          <w:sz w:val="24"/>
          <w:szCs w:val="24"/>
          <w:lang w:eastAsia="zh-CN"/>
        </w:rPr>
        <w:t>滴</w:t>
      </w:r>
      <w:r>
        <w:rPr>
          <w:rFonts w:hint="eastAsia"/>
          <w:sz w:val="24"/>
          <w:szCs w:val="24"/>
        </w:rPr>
        <w:t>漏归为一种情况，设定与</w:t>
      </w:r>
      <w:r>
        <w:rPr>
          <w:rFonts w:hint="eastAsia"/>
          <w:sz w:val="24"/>
          <w:szCs w:val="24"/>
          <w:lang w:eastAsia="zh-CN"/>
        </w:rPr>
        <w:t>甲苯</w:t>
      </w:r>
      <w:r>
        <w:rPr>
          <w:rFonts w:hint="eastAsia"/>
          <w:sz w:val="24"/>
          <w:szCs w:val="24"/>
        </w:rPr>
        <w:t>储罐相连接的管道</w:t>
      </w:r>
      <w:r>
        <w:rPr>
          <w:rFonts w:hint="eastAsia"/>
          <w:sz w:val="24"/>
          <w:szCs w:val="24"/>
          <w:lang w:eastAsia="zh-CN"/>
        </w:rPr>
        <w:t>（φ</w:t>
      </w:r>
      <w:r>
        <w:rPr>
          <w:rFonts w:hint="eastAsia"/>
          <w:sz w:val="24"/>
          <w:szCs w:val="24"/>
          <w:lang w:val="en-US" w:eastAsia="zh-CN"/>
        </w:rPr>
        <w:t>100mm)</w:t>
      </w:r>
      <w:r>
        <w:rPr>
          <w:rFonts w:hint="eastAsia"/>
          <w:sz w:val="24"/>
          <w:szCs w:val="24"/>
        </w:rPr>
        <w:t>发生泄漏，根据《建设项目环境风险评价技术导则》（</w:t>
      </w:r>
      <w:r>
        <w:rPr>
          <w:sz w:val="24"/>
          <w:szCs w:val="24"/>
        </w:rPr>
        <w:t>(HJ/T169-2018)</w:t>
      </w:r>
      <w:r>
        <w:rPr>
          <w:rFonts w:hint="eastAsia"/>
          <w:sz w:val="24"/>
          <w:szCs w:val="24"/>
        </w:rPr>
        <w:t>附录</w:t>
      </w:r>
      <w:r>
        <w:rPr>
          <w:rFonts w:hint="eastAsia"/>
          <w:sz w:val="24"/>
          <w:szCs w:val="24"/>
          <w:lang w:val="en-US" w:eastAsia="zh-CN"/>
        </w:rPr>
        <w:t>F</w:t>
      </w:r>
      <w:r>
        <w:rPr>
          <w:sz w:val="24"/>
          <w:szCs w:val="24"/>
        </w:rPr>
        <w:t xml:space="preserve"> 中管道泄露的尺寸按照管径的100%计算。</w:t>
      </w:r>
      <w:r>
        <w:rPr>
          <w:rFonts w:hint="eastAsia"/>
          <w:sz w:val="24"/>
          <w:szCs w:val="24"/>
        </w:rPr>
        <w:t>假定储罐泄漏后，操作人员在</w:t>
      </w:r>
      <w:r>
        <w:rPr>
          <w:sz w:val="24"/>
          <w:szCs w:val="24"/>
        </w:rPr>
        <w:t>10min内使储罐泄漏得到控制，并采取有效的收集措施</w:t>
      </w:r>
      <w:r>
        <w:rPr>
          <w:rFonts w:hint="eastAsia"/>
          <w:sz w:val="24"/>
          <w:szCs w:val="24"/>
        </w:rPr>
        <w:t>。</w:t>
      </w:r>
    </w:p>
    <w:p w14:paraId="68C01975">
      <w:pPr>
        <w:spacing w:line="360" w:lineRule="auto"/>
        <w:ind w:firstLine="480" w:firstLineChars="200"/>
        <w:rPr>
          <w:sz w:val="24"/>
          <w:szCs w:val="24"/>
        </w:rPr>
      </w:pPr>
      <w:r>
        <w:rPr>
          <w:rFonts w:hint="eastAsia"/>
          <w:sz w:val="24"/>
          <w:szCs w:val="24"/>
          <w:lang w:eastAsia="zh-CN"/>
        </w:rPr>
        <w:t>甲苯</w:t>
      </w:r>
      <w:r>
        <w:rPr>
          <w:rFonts w:hint="eastAsia"/>
          <w:sz w:val="24"/>
          <w:szCs w:val="24"/>
        </w:rPr>
        <w:t>储存状态为液态，其泄漏速率采用《建设项目环境风险评价导则》</w:t>
      </w:r>
      <w:r>
        <w:rPr>
          <w:sz w:val="24"/>
          <w:szCs w:val="24"/>
        </w:rPr>
        <w:t>(HJ/T169-2018)</w:t>
      </w:r>
      <w:r>
        <w:rPr>
          <w:rFonts w:hint="eastAsia"/>
          <w:sz w:val="24"/>
          <w:szCs w:val="24"/>
        </w:rPr>
        <w:t>附录</w:t>
      </w:r>
      <w:r>
        <w:rPr>
          <w:sz w:val="24"/>
          <w:szCs w:val="24"/>
        </w:rPr>
        <w:t>A 中推荐的液体泄漏速率公式进行估算，泄漏量按下面公式计算</w:t>
      </w:r>
      <w:r>
        <w:rPr>
          <w:rFonts w:hint="eastAsia"/>
          <w:sz w:val="24"/>
          <w:szCs w:val="24"/>
        </w:rPr>
        <w:t>：</w:t>
      </w:r>
    </w:p>
    <w:p w14:paraId="199C1E8A">
      <w:pPr>
        <w:ind w:firstLine="482"/>
        <w:jc w:val="center"/>
        <w:rPr>
          <w:color w:val="FF0000"/>
          <w:sz w:val="24"/>
          <w:szCs w:val="24"/>
        </w:rPr>
      </w:pPr>
      <w:r>
        <w:rPr>
          <w:color w:val="FF0000"/>
          <w:sz w:val="24"/>
          <w:szCs w:val="24"/>
        </w:rPr>
        <w:drawing>
          <wp:inline distT="0" distB="0" distL="0" distR="0">
            <wp:extent cx="2171700" cy="438150"/>
            <wp:effectExtent l="0" t="0" r="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21"/>
                    <a:stretch>
                      <a:fillRect/>
                    </a:stretch>
                  </pic:blipFill>
                  <pic:spPr>
                    <a:xfrm>
                      <a:off x="0" y="0"/>
                      <a:ext cx="2171700" cy="438150"/>
                    </a:xfrm>
                    <a:prstGeom prst="rect">
                      <a:avLst/>
                    </a:prstGeom>
                  </pic:spPr>
                </pic:pic>
              </a:graphicData>
            </a:graphic>
          </wp:inline>
        </w:drawing>
      </w:r>
    </w:p>
    <w:p w14:paraId="640399D3">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式中：</w:t>
      </w:r>
      <w:r>
        <w:rPr>
          <w:i/>
          <w:iCs/>
          <w:color w:val="000000" w:themeColor="text1"/>
          <w:sz w:val="24"/>
          <w:szCs w:val="24"/>
          <w14:textFill>
            <w14:solidFill>
              <w14:schemeClr w14:val="tx1"/>
            </w14:solidFill>
          </w14:textFill>
        </w:rPr>
        <w:t xml:space="preserve">L Q </w:t>
      </w:r>
      <w:r>
        <w:rPr>
          <w:color w:val="000000" w:themeColor="text1"/>
          <w:sz w:val="24"/>
          <w:szCs w:val="24"/>
          <w14:textFill>
            <w14:solidFill>
              <w14:schemeClr w14:val="tx1"/>
            </w14:solidFill>
          </w14:textFill>
        </w:rPr>
        <w:t>——液体泄漏速度，kg/s；</w:t>
      </w:r>
    </w:p>
    <w:p w14:paraId="607FD7D6">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Cd </w:t>
      </w:r>
      <w:r>
        <w:rPr>
          <w:color w:val="000000" w:themeColor="text1"/>
          <w:sz w:val="24"/>
          <w:szCs w:val="24"/>
          <w14:textFill>
            <w14:solidFill>
              <w14:schemeClr w14:val="tx1"/>
            </w14:solidFill>
          </w14:textFill>
        </w:rPr>
        <w:t>——液体泄漏系数；</w:t>
      </w:r>
      <w:r>
        <w:rPr>
          <w:rFonts w:hint="eastAsia"/>
          <w:color w:val="000000" w:themeColor="text1"/>
          <w:sz w:val="24"/>
          <w:szCs w:val="24"/>
          <w14:textFill>
            <w14:solidFill>
              <w14:schemeClr w14:val="tx1"/>
            </w14:solidFill>
          </w14:textFill>
        </w:rPr>
        <w:t>取0</w:t>
      </w:r>
      <w:r>
        <w:rPr>
          <w:color w:val="000000" w:themeColor="text1"/>
          <w:sz w:val="24"/>
          <w:szCs w:val="24"/>
          <w14:textFill>
            <w14:solidFill>
              <w14:schemeClr w14:val="tx1"/>
            </w14:solidFill>
          </w14:textFill>
        </w:rPr>
        <w:t>.62</w:t>
      </w:r>
      <w:r>
        <w:rPr>
          <w:rFonts w:hint="eastAsia"/>
          <w:color w:val="000000" w:themeColor="text1"/>
          <w:sz w:val="24"/>
          <w:szCs w:val="24"/>
          <w14:textFill>
            <w14:solidFill>
              <w14:schemeClr w14:val="tx1"/>
            </w14:solidFill>
          </w14:textFill>
        </w:rPr>
        <w:t>；</w:t>
      </w:r>
    </w:p>
    <w:p w14:paraId="020361F1">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A </w:t>
      </w:r>
      <w:r>
        <w:rPr>
          <w:color w:val="000000" w:themeColor="text1"/>
          <w:sz w:val="24"/>
          <w:szCs w:val="24"/>
          <w14:textFill>
            <w14:solidFill>
              <w14:schemeClr w14:val="tx1"/>
            </w14:solidFill>
          </w14:textFill>
        </w:rPr>
        <w:t>——裂口面积，m</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w:t>
      </w:r>
    </w:p>
    <w:p w14:paraId="2D6F478B">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P </w:t>
      </w:r>
      <w:r>
        <w:rPr>
          <w:color w:val="000000" w:themeColor="text1"/>
          <w:sz w:val="24"/>
          <w:szCs w:val="24"/>
          <w14:textFill>
            <w14:solidFill>
              <w14:schemeClr w14:val="tx1"/>
            </w14:solidFill>
          </w14:textFill>
        </w:rPr>
        <w:t>——容器内介质压力</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P</w:t>
      </w:r>
      <w:r>
        <w:rPr>
          <w:rFonts w:hint="eastAsia"/>
          <w:color w:val="000000" w:themeColor="text1"/>
          <w:sz w:val="24"/>
          <w:szCs w:val="24"/>
          <w14:textFill>
            <w14:solidFill>
              <w14:schemeClr w14:val="tx1"/>
            </w14:solidFill>
          </w14:textFill>
        </w:rPr>
        <w:t>a；</w:t>
      </w:r>
    </w:p>
    <w:p w14:paraId="4EA3C5CA">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P</w:t>
      </w:r>
      <w:r>
        <w:rPr>
          <w:i/>
          <w:iCs/>
          <w:color w:val="000000" w:themeColor="text1"/>
          <w:sz w:val="24"/>
          <w:szCs w:val="24"/>
          <w:vertAlign w:val="subscript"/>
          <w14:textFill>
            <w14:solidFill>
              <w14:schemeClr w14:val="tx1"/>
            </w14:solidFill>
          </w14:textFill>
        </w:rPr>
        <w:t>0</w:t>
      </w:r>
      <w:r>
        <w:rPr>
          <w:color w:val="000000" w:themeColor="text1"/>
          <w:sz w:val="24"/>
          <w:szCs w:val="24"/>
          <w14:textFill>
            <w14:solidFill>
              <w14:schemeClr w14:val="tx1"/>
            </w14:solidFill>
          </w14:textFill>
        </w:rPr>
        <w:t>——环境压力，Pa；</w:t>
      </w:r>
    </w:p>
    <w:p w14:paraId="7FB9BA90">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g </w:t>
      </w:r>
      <w:r>
        <w:rPr>
          <w:color w:val="000000" w:themeColor="text1"/>
          <w:sz w:val="24"/>
          <w:szCs w:val="24"/>
          <w14:textFill>
            <w14:solidFill>
              <w14:schemeClr w14:val="tx1"/>
            </w14:solidFill>
          </w14:textFill>
        </w:rPr>
        <w:t>——重力加速度，9.8m/s</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w:t>
      </w:r>
    </w:p>
    <w:p w14:paraId="1A68D7FC">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h——裂口之上液位高度，m</w:t>
      </w:r>
      <w:r>
        <w:rPr>
          <w:rFonts w:hint="eastAsia"/>
          <w:color w:val="000000" w:themeColor="text1"/>
          <w:sz w:val="24"/>
          <w:szCs w:val="24"/>
          <w14:textFill>
            <w14:solidFill>
              <w14:schemeClr w14:val="tx1"/>
            </w14:solidFill>
          </w14:textFill>
        </w:rPr>
        <w:t>；取2m</w:t>
      </w:r>
      <w:r>
        <w:rPr>
          <w:color w:val="000000" w:themeColor="text1"/>
          <w:sz w:val="24"/>
          <w:szCs w:val="24"/>
          <w14:textFill>
            <w14:solidFill>
              <w14:schemeClr w14:val="tx1"/>
            </w14:solidFill>
          </w14:textFill>
        </w:rPr>
        <w:t>。</w:t>
      </w:r>
    </w:p>
    <w:p w14:paraId="51D71A48">
      <w:pPr>
        <w:pStyle w:val="128"/>
        <w:spacing w:before="72" w:after="48"/>
        <w:jc w:val="both"/>
        <w:rPr>
          <w:color w:val="000000" w:themeColor="text1"/>
          <w:sz w:val="24"/>
          <w:szCs w:val="24"/>
          <w14:textFill>
            <w14:solidFill>
              <w14:schemeClr w14:val="tx1"/>
            </w14:solidFill>
          </w14:textFill>
        </w:rPr>
      </w:pPr>
    </w:p>
    <w:p w14:paraId="3C206034">
      <w:pPr>
        <w:pStyle w:val="128"/>
        <w:spacing w:before="72" w:after="48"/>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STYLEREF 2 \s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4.2</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noBreakHyphen/>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SEQ 表格 \* ARABIC \s 2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设定事故条件下的泄漏速率</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7"/>
        <w:gridCol w:w="661"/>
        <w:gridCol w:w="1133"/>
        <w:gridCol w:w="891"/>
        <w:gridCol w:w="1166"/>
        <w:gridCol w:w="1148"/>
        <w:gridCol w:w="684"/>
        <w:gridCol w:w="754"/>
        <w:gridCol w:w="871"/>
        <w:gridCol w:w="829"/>
        <w:gridCol w:w="658"/>
      </w:tblGrid>
      <w:tr w14:paraId="6A5A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433CD903">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w:t>
            </w:r>
          </w:p>
          <w:p w14:paraId="7AC821D4">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源</w:t>
            </w:r>
          </w:p>
        </w:tc>
        <w:tc>
          <w:tcPr>
            <w:tcW w:w="351" w:type="pct"/>
            <w:vAlign w:val="center"/>
          </w:tcPr>
          <w:p w14:paraId="4EB72576">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温度(K)</w:t>
            </w:r>
          </w:p>
        </w:tc>
        <w:tc>
          <w:tcPr>
            <w:tcW w:w="601" w:type="pct"/>
            <w:vAlign w:val="center"/>
          </w:tcPr>
          <w:p w14:paraId="4D9B096C">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容器内压力(pa)</w:t>
            </w:r>
          </w:p>
        </w:tc>
        <w:tc>
          <w:tcPr>
            <w:tcW w:w="473" w:type="pct"/>
            <w:vAlign w:val="center"/>
          </w:tcPr>
          <w:p w14:paraId="522FF80E">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环境压力(pa)</w:t>
            </w:r>
          </w:p>
        </w:tc>
        <w:tc>
          <w:tcPr>
            <w:tcW w:w="619" w:type="pct"/>
            <w:vAlign w:val="center"/>
          </w:tcPr>
          <w:p w14:paraId="125DB08D">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裂口面积</w:t>
            </w:r>
          </w:p>
          <w:p w14:paraId="713699D9">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(m</w:t>
            </w:r>
            <w:r>
              <w:rPr>
                <w:rFonts w:hint="default"/>
                <w:sz w:val="24"/>
                <w:szCs w:val="24"/>
                <w:vertAlign w:val="superscript"/>
              </w:rPr>
              <w:t>2</w:t>
            </w:r>
            <w:r>
              <w:rPr>
                <w:rFonts w:hint="eastAsia"/>
                <w:sz w:val="24"/>
                <w:szCs w:val="24"/>
              </w:rPr>
              <w:t>)</w:t>
            </w:r>
          </w:p>
        </w:tc>
        <w:tc>
          <w:tcPr>
            <w:tcW w:w="609" w:type="pct"/>
            <w:vAlign w:val="center"/>
          </w:tcPr>
          <w:p w14:paraId="7F388BEC">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液体密度(kg/ m</w:t>
            </w:r>
            <w:r>
              <w:rPr>
                <w:rFonts w:hint="default"/>
                <w:sz w:val="24"/>
                <w:szCs w:val="24"/>
                <w:vertAlign w:val="superscript"/>
              </w:rPr>
              <w:t>3</w:t>
            </w:r>
            <w:r>
              <w:rPr>
                <w:rFonts w:hint="eastAsia"/>
                <w:sz w:val="24"/>
                <w:szCs w:val="24"/>
              </w:rPr>
              <w:t>)</w:t>
            </w:r>
          </w:p>
        </w:tc>
        <w:tc>
          <w:tcPr>
            <w:tcW w:w="363" w:type="pct"/>
            <w:vAlign w:val="center"/>
          </w:tcPr>
          <w:p w14:paraId="171645C0">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裂口形状</w:t>
            </w:r>
          </w:p>
        </w:tc>
        <w:tc>
          <w:tcPr>
            <w:tcW w:w="400" w:type="pct"/>
            <w:vAlign w:val="center"/>
          </w:tcPr>
          <w:p w14:paraId="5E877924">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液体泄漏系数</w:t>
            </w:r>
          </w:p>
        </w:tc>
        <w:tc>
          <w:tcPr>
            <w:tcW w:w="462" w:type="pct"/>
            <w:vAlign w:val="center"/>
          </w:tcPr>
          <w:p w14:paraId="4A1D377E">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泄漏速率(kg/s)</w:t>
            </w:r>
          </w:p>
        </w:tc>
        <w:tc>
          <w:tcPr>
            <w:tcW w:w="440" w:type="pct"/>
            <w:vAlign w:val="center"/>
          </w:tcPr>
          <w:p w14:paraId="755876B6">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泄漏持续时间</w:t>
            </w:r>
          </w:p>
          <w:p w14:paraId="5EB1BA19">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(min)</w:t>
            </w:r>
          </w:p>
        </w:tc>
        <w:tc>
          <w:tcPr>
            <w:tcW w:w="349" w:type="pct"/>
            <w:vAlign w:val="center"/>
          </w:tcPr>
          <w:p w14:paraId="7927D0EC">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泄漏量(t)</w:t>
            </w:r>
          </w:p>
        </w:tc>
      </w:tr>
      <w:tr w14:paraId="7B91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4FA077F3">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储罐</w:t>
            </w:r>
          </w:p>
        </w:tc>
        <w:tc>
          <w:tcPr>
            <w:tcW w:w="351" w:type="pct"/>
            <w:vAlign w:val="center"/>
          </w:tcPr>
          <w:p w14:paraId="2D654D12">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25</w:t>
            </w:r>
          </w:p>
        </w:tc>
        <w:tc>
          <w:tcPr>
            <w:tcW w:w="601" w:type="pct"/>
            <w:vAlign w:val="center"/>
          </w:tcPr>
          <w:p w14:paraId="5472B12A">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18000</w:t>
            </w:r>
          </w:p>
        </w:tc>
        <w:tc>
          <w:tcPr>
            <w:tcW w:w="473" w:type="pct"/>
            <w:vAlign w:val="center"/>
          </w:tcPr>
          <w:p w14:paraId="1446CB76">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18000</w:t>
            </w:r>
          </w:p>
        </w:tc>
        <w:tc>
          <w:tcPr>
            <w:tcW w:w="619" w:type="pct"/>
            <w:vAlign w:val="center"/>
          </w:tcPr>
          <w:p w14:paraId="57F66BBF">
            <w:pPr>
              <w:pStyle w:val="127"/>
              <w:keepNext w:val="0"/>
              <w:keepLines w:val="0"/>
              <w:widowControl/>
              <w:suppressLineNumbers w:val="0"/>
              <w:spacing w:before="0" w:beforeAutospacing="0" w:after="0" w:afterAutospacing="0"/>
              <w:ind w:left="0" w:right="0"/>
              <w:rPr>
                <w:rFonts w:hint="eastAsia"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14:textFill>
                  <w14:solidFill>
                    <w14:schemeClr w14:val="tx1"/>
                  </w14:solidFill>
                </w14:textFill>
              </w:rPr>
              <w:t>000</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14:textFill>
                  <w14:solidFill>
                    <w14:schemeClr w14:val="tx1"/>
                  </w14:solidFill>
                </w14:textFill>
              </w:rPr>
              <w:t>200</w:t>
            </w:r>
            <w:r>
              <w:rPr>
                <w:rFonts w:hint="eastAsia"/>
                <w:color w:val="000000" w:themeColor="text1"/>
                <w:sz w:val="24"/>
                <w:szCs w:val="24"/>
                <w:lang w:val="en-US" w:eastAsia="zh-CN"/>
                <w14:textFill>
                  <w14:solidFill>
                    <w14:schemeClr w14:val="tx1"/>
                  </w14:solidFill>
                </w14:textFill>
              </w:rPr>
              <w:t>3</w:t>
            </w:r>
          </w:p>
        </w:tc>
        <w:tc>
          <w:tcPr>
            <w:tcW w:w="609" w:type="pct"/>
            <w:vAlign w:val="center"/>
          </w:tcPr>
          <w:p w14:paraId="098356DE">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873.4</w:t>
            </w:r>
          </w:p>
        </w:tc>
        <w:tc>
          <w:tcPr>
            <w:tcW w:w="363" w:type="pct"/>
            <w:vAlign w:val="center"/>
          </w:tcPr>
          <w:p w14:paraId="3AD233D8">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圆形</w:t>
            </w:r>
          </w:p>
        </w:tc>
        <w:tc>
          <w:tcPr>
            <w:tcW w:w="400" w:type="pct"/>
            <w:vAlign w:val="center"/>
          </w:tcPr>
          <w:p w14:paraId="56E09C43">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0.62</w:t>
            </w:r>
          </w:p>
        </w:tc>
        <w:tc>
          <w:tcPr>
            <w:tcW w:w="462" w:type="pct"/>
            <w:vAlign w:val="center"/>
          </w:tcPr>
          <w:p w14:paraId="5A7CB8A5">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0</w:t>
            </w:r>
            <w:r>
              <w:rPr>
                <w:rFonts w:hint="default"/>
                <w:color w:val="000000" w:themeColor="text1"/>
                <w:sz w:val="24"/>
                <w:szCs w:val="24"/>
                <w14:textFill>
                  <w14:solidFill>
                    <w14:schemeClr w14:val="tx1"/>
                  </w14:solidFill>
                </w14:textFill>
              </w:rPr>
              <w:t>.718</w:t>
            </w:r>
          </w:p>
        </w:tc>
        <w:tc>
          <w:tcPr>
            <w:tcW w:w="440" w:type="pct"/>
            <w:vAlign w:val="center"/>
          </w:tcPr>
          <w:p w14:paraId="6FE7F391">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10</w:t>
            </w:r>
          </w:p>
        </w:tc>
        <w:tc>
          <w:tcPr>
            <w:tcW w:w="349" w:type="pct"/>
            <w:vAlign w:val="center"/>
          </w:tcPr>
          <w:p w14:paraId="0764B9B4">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14</w:t>
            </w:r>
            <w:r>
              <w:rPr>
                <w:rFonts w:hint="default"/>
                <w:color w:val="000000" w:themeColor="text1"/>
                <w:sz w:val="24"/>
                <w:szCs w:val="24"/>
                <w14:textFill>
                  <w14:solidFill>
                    <w14:schemeClr w14:val="tx1"/>
                  </w14:solidFill>
                </w14:textFill>
              </w:rPr>
              <w:t>1</w:t>
            </w:r>
          </w:p>
        </w:tc>
      </w:tr>
    </w:tbl>
    <w:p w14:paraId="4AAE3010">
      <w:pPr>
        <w:spacing w:before="240"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设定泄漏时间为 </w:t>
      </w:r>
      <w:r>
        <w:rPr>
          <w:color w:val="000000" w:themeColor="text1"/>
          <w:sz w:val="24"/>
          <w:szCs w:val="24"/>
          <w14:textFill>
            <w14:solidFill>
              <w14:schemeClr w14:val="tx1"/>
            </w14:solidFill>
          </w14:textFill>
        </w:rPr>
        <w:t>10</w:t>
      </w:r>
      <w:r>
        <w:rPr>
          <w:rFonts w:hint="eastAsia"/>
          <w:color w:val="000000" w:themeColor="text1"/>
          <w:sz w:val="24"/>
          <w:szCs w:val="24"/>
          <w14:textFill>
            <w14:solidFill>
              <w14:schemeClr w14:val="tx1"/>
            </w14:solidFill>
          </w14:textFill>
        </w:rPr>
        <w:t>min，经计算，泄漏速率为</w:t>
      </w:r>
      <w:r>
        <w:rPr>
          <w:color w:val="000000" w:themeColor="text1"/>
          <w:sz w:val="24"/>
          <w:szCs w:val="24"/>
          <w14:textFill>
            <w14:solidFill>
              <w14:schemeClr w14:val="tx1"/>
            </w14:solidFill>
          </w14:textFill>
        </w:rPr>
        <w:t>0.718</w:t>
      </w:r>
      <w:r>
        <w:rPr>
          <w:rFonts w:hint="eastAsia"/>
          <w:color w:val="000000" w:themeColor="text1"/>
          <w:sz w:val="24"/>
          <w:szCs w:val="24"/>
          <w14:textFill>
            <w14:solidFill>
              <w14:schemeClr w14:val="tx1"/>
            </w14:solidFill>
          </w14:textFill>
        </w:rPr>
        <w:t>kg/s，泄漏量为0</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141</w:t>
      </w:r>
      <w:r>
        <w:rPr>
          <w:rFonts w:hint="eastAsia"/>
          <w:color w:val="000000" w:themeColor="text1"/>
          <w:sz w:val="24"/>
          <w:szCs w:val="24"/>
          <w14:textFill>
            <w14:solidFill>
              <w14:schemeClr w14:val="tx1"/>
            </w14:solidFill>
          </w14:textFill>
        </w:rPr>
        <w:t xml:space="preserve">t；假设泄漏事故发生后，液态物料部分蒸发进入大气，其余仍以液态形式存在，待收容处理。 </w:t>
      </w:r>
    </w:p>
    <w:p w14:paraId="3C762B18">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（2）漏后蒸发量计算</w:t>
      </w:r>
    </w:p>
    <w:p w14:paraId="094B58B5">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anchor distT="0" distB="0" distL="114300" distR="114300" simplePos="0" relativeHeight="251670528" behindDoc="0" locked="0" layoutInCell="1" allowOverlap="1">
            <wp:simplePos x="0" y="0"/>
            <wp:positionH relativeFrom="column">
              <wp:posOffset>1208405</wp:posOffset>
            </wp:positionH>
            <wp:positionV relativeFrom="paragraph">
              <wp:posOffset>927735</wp:posOffset>
            </wp:positionV>
            <wp:extent cx="3552825" cy="333375"/>
            <wp:effectExtent l="0" t="0" r="9525" b="9525"/>
            <wp:wrapTopAndBottom/>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552825" cy="333375"/>
                    </a:xfrm>
                    <a:prstGeom prst="rect">
                      <a:avLst/>
                    </a:prstGeom>
                  </pic:spPr>
                </pic:pic>
              </a:graphicData>
            </a:graphic>
          </wp:anchor>
        </w:drawing>
      </w:r>
      <w:r>
        <w:rPr>
          <w:rFonts w:hint="eastAsia"/>
          <w:color w:val="000000" w:themeColor="text1"/>
          <w:sz w:val="24"/>
          <w:szCs w:val="24"/>
          <w14:textFill>
            <w14:solidFill>
              <w14:schemeClr w14:val="tx1"/>
            </w14:solidFill>
          </w14:textFill>
        </w:rPr>
        <w:t>当</w:t>
      </w:r>
      <w:r>
        <w:rPr>
          <w:rFonts w:hint="eastAsia"/>
          <w:color w:val="000000" w:themeColor="text1"/>
          <w:sz w:val="24"/>
          <w:szCs w:val="24"/>
          <w:lang w:eastAsia="zh-CN"/>
          <w14:textFill>
            <w14:solidFill>
              <w14:schemeClr w14:val="tx1"/>
            </w14:solidFill>
          </w14:textFill>
        </w:rPr>
        <w:t>甲苯</w:t>
      </w:r>
      <w:r>
        <w:rPr>
          <w:rFonts w:hint="eastAsia"/>
          <w:color w:val="000000" w:themeColor="text1"/>
          <w:sz w:val="24"/>
          <w:szCs w:val="24"/>
          <w14:textFill>
            <w14:solidFill>
              <w14:schemeClr w14:val="tx1"/>
            </w14:solidFill>
          </w14:textFill>
        </w:rPr>
        <w:t>储罐发生泄漏时，泄漏的物质在储罐围堰地面形成液池。其蒸发量按照《建设项目环境风险评价导则》（</w:t>
      </w:r>
      <w:r>
        <w:rPr>
          <w:color w:val="000000" w:themeColor="text1"/>
          <w:sz w:val="24"/>
          <w:szCs w:val="24"/>
          <w14:textFill>
            <w14:solidFill>
              <w14:schemeClr w14:val="tx1"/>
            </w14:solidFill>
          </w14:textFill>
        </w:rPr>
        <w:t>HJ/T169-2018）附录A 中推荐的泄漏液体蒸发量计算公式</w:t>
      </w:r>
      <w:r>
        <w:rPr>
          <w:rFonts w:hint="eastAsia"/>
          <w:color w:val="000000" w:themeColor="text1"/>
          <w:sz w:val="24"/>
          <w:szCs w:val="24"/>
          <w14:textFill>
            <w14:solidFill>
              <w14:schemeClr w14:val="tx1"/>
            </w14:solidFill>
          </w14:textFill>
        </w:rPr>
        <w:t>计算。计算公式如下：</w:t>
      </w:r>
    </w:p>
    <w:p w14:paraId="723E2523">
      <w:pPr>
        <w:pStyle w:val="132"/>
        <w:snapToGrid w:val="0"/>
        <w:spacing w:line="336" w:lineRule="auto"/>
        <w:ind w:firstLine="198" w:firstLineChars="80"/>
        <w:rPr>
          <w:color w:val="000000" w:themeColor="text1"/>
          <w:spacing w:val="4"/>
          <w:sz w:val="24"/>
          <w:szCs w:val="24"/>
          <w14:textFill>
            <w14:solidFill>
              <w14:schemeClr w14:val="tx1"/>
            </w14:solidFill>
          </w14:textFill>
        </w:rPr>
      </w:pPr>
      <w:r>
        <w:rPr>
          <w:rFonts w:hint="eastAsia"/>
          <w:color w:val="000000" w:themeColor="text1"/>
          <w:spacing w:val="4"/>
          <w:sz w:val="24"/>
          <w:szCs w:val="24"/>
          <w14:textFill>
            <w14:solidFill>
              <w14:schemeClr w14:val="tx1"/>
            </w14:solidFill>
          </w14:textFill>
        </w:rPr>
        <w:t>式中：</w:t>
      </w:r>
      <w:r>
        <w:rPr>
          <w:color w:val="000000" w:themeColor="text1"/>
          <w:spacing w:val="4"/>
          <w:sz w:val="24"/>
          <w:szCs w:val="24"/>
          <w14:textFill>
            <w14:solidFill>
              <w14:schemeClr w14:val="tx1"/>
            </w14:solidFill>
          </w14:textFill>
        </w:rPr>
        <w:t>Q</w:t>
      </w:r>
      <w:r>
        <w:rPr>
          <w:color w:val="000000" w:themeColor="text1"/>
          <w:spacing w:val="4"/>
          <w:sz w:val="24"/>
          <w:szCs w:val="24"/>
          <w:vertAlign w:val="subscript"/>
          <w14:textFill>
            <w14:solidFill>
              <w14:schemeClr w14:val="tx1"/>
            </w14:solidFill>
          </w14:textFill>
        </w:rPr>
        <w:t>3</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质量蒸发速度，</w:t>
      </w:r>
      <w:r>
        <w:rPr>
          <w:color w:val="000000" w:themeColor="text1"/>
          <w:spacing w:val="4"/>
          <w:sz w:val="24"/>
          <w:szCs w:val="24"/>
          <w14:textFill>
            <w14:solidFill>
              <w14:schemeClr w14:val="tx1"/>
            </w14:solidFill>
          </w14:textFill>
        </w:rPr>
        <w:t>kg/s</w:t>
      </w:r>
      <w:r>
        <w:rPr>
          <w:rFonts w:hint="eastAsia"/>
          <w:color w:val="000000" w:themeColor="text1"/>
          <w:spacing w:val="4"/>
          <w:sz w:val="24"/>
          <w:szCs w:val="24"/>
          <w14:textFill>
            <w14:solidFill>
              <w14:schemeClr w14:val="tx1"/>
            </w14:solidFill>
          </w14:textFill>
        </w:rPr>
        <w:t>；</w:t>
      </w:r>
    </w:p>
    <w:p w14:paraId="19C50923">
      <w:pPr>
        <w:pStyle w:val="132"/>
        <w:ind w:firstLine="992" w:firstLineChars="400"/>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a,n——</w:t>
      </w:r>
      <w:r>
        <w:rPr>
          <w:rFonts w:hint="eastAsia"/>
          <w:color w:val="000000" w:themeColor="text1"/>
          <w:spacing w:val="4"/>
          <w:sz w:val="24"/>
          <w:szCs w:val="24"/>
          <w14:textFill>
            <w14:solidFill>
              <w14:schemeClr w14:val="tx1"/>
            </w14:solidFill>
          </w14:textFill>
        </w:rPr>
        <w:t>大气稳定度系数；</w:t>
      </w:r>
    </w:p>
    <w:p w14:paraId="2723EC33">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p——</w:t>
      </w:r>
      <w:r>
        <w:rPr>
          <w:rFonts w:hint="eastAsia"/>
          <w:color w:val="000000" w:themeColor="text1"/>
          <w:spacing w:val="4"/>
          <w:sz w:val="24"/>
          <w:szCs w:val="24"/>
          <w14:textFill>
            <w14:solidFill>
              <w14:schemeClr w14:val="tx1"/>
            </w14:solidFill>
          </w14:textFill>
        </w:rPr>
        <w:t>液体表面蒸气压，</w:t>
      </w:r>
      <w:r>
        <w:rPr>
          <w:color w:val="000000" w:themeColor="text1"/>
          <w:spacing w:val="4"/>
          <w:sz w:val="24"/>
          <w:szCs w:val="24"/>
          <w14:textFill>
            <w14:solidFill>
              <w14:schemeClr w14:val="tx1"/>
            </w14:solidFill>
          </w14:textFill>
        </w:rPr>
        <w:t>10742Pa</w:t>
      </w:r>
      <w:r>
        <w:rPr>
          <w:rFonts w:hint="eastAsia"/>
          <w:color w:val="000000" w:themeColor="text1"/>
          <w:spacing w:val="4"/>
          <w:sz w:val="24"/>
          <w:szCs w:val="24"/>
          <w14:textFill>
            <w14:solidFill>
              <w14:schemeClr w14:val="tx1"/>
            </w14:solidFill>
          </w14:textFill>
        </w:rPr>
        <w:t>；</w:t>
      </w:r>
    </w:p>
    <w:p w14:paraId="7E7386E4">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R——</w:t>
      </w:r>
      <w:r>
        <w:rPr>
          <w:rFonts w:hint="eastAsia"/>
          <w:color w:val="000000" w:themeColor="text1"/>
          <w:spacing w:val="4"/>
          <w:sz w:val="24"/>
          <w:szCs w:val="24"/>
          <w14:textFill>
            <w14:solidFill>
              <w14:schemeClr w14:val="tx1"/>
            </w14:solidFill>
          </w14:textFill>
        </w:rPr>
        <w:t>气体常数；</w:t>
      </w:r>
      <w:r>
        <w:rPr>
          <w:color w:val="000000" w:themeColor="text1"/>
          <w:spacing w:val="4"/>
          <w:sz w:val="24"/>
          <w:szCs w:val="24"/>
          <w14:textFill>
            <w14:solidFill>
              <w14:schemeClr w14:val="tx1"/>
            </w14:solidFill>
          </w14:textFill>
        </w:rPr>
        <w:t>8.31</w:t>
      </w:r>
      <w:r>
        <w:rPr>
          <w:rFonts w:hint="eastAsia"/>
          <w:color w:val="000000" w:themeColor="text1"/>
          <w:spacing w:val="4"/>
          <w:sz w:val="24"/>
          <w:szCs w:val="24"/>
          <w14:textFill>
            <w14:solidFill>
              <w14:schemeClr w14:val="tx1"/>
            </w14:solidFill>
          </w14:textFill>
        </w:rPr>
        <w:t>（</w:t>
      </w:r>
      <w:r>
        <w:rPr>
          <w:color w:val="000000" w:themeColor="text1"/>
          <w:spacing w:val="4"/>
          <w:sz w:val="24"/>
          <w:szCs w:val="24"/>
          <w14:textFill>
            <w14:solidFill>
              <w14:schemeClr w14:val="tx1"/>
            </w14:solidFill>
          </w14:textFill>
        </w:rPr>
        <w:t>J/mol•k</w:t>
      </w:r>
      <w:r>
        <w:rPr>
          <w:rFonts w:hint="eastAsia"/>
          <w:color w:val="000000" w:themeColor="text1"/>
          <w:spacing w:val="4"/>
          <w:sz w:val="24"/>
          <w:szCs w:val="24"/>
          <w14:textFill>
            <w14:solidFill>
              <w14:schemeClr w14:val="tx1"/>
            </w14:solidFill>
          </w14:textFill>
        </w:rPr>
        <w:t>）；</w:t>
      </w:r>
    </w:p>
    <w:p w14:paraId="1A3EA26F">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T</w:t>
      </w:r>
      <w:r>
        <w:rPr>
          <w:color w:val="000000" w:themeColor="text1"/>
          <w:spacing w:val="4"/>
          <w:sz w:val="24"/>
          <w:szCs w:val="24"/>
          <w:vertAlign w:val="subscript"/>
          <w14:textFill>
            <w14:solidFill>
              <w14:schemeClr w14:val="tx1"/>
            </w14:solidFill>
          </w14:textFill>
        </w:rPr>
        <w:t>0</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环境温度，</w:t>
      </w:r>
      <w:r>
        <w:rPr>
          <w:color w:val="000000" w:themeColor="text1"/>
          <w:spacing w:val="4"/>
          <w:sz w:val="24"/>
          <w:szCs w:val="24"/>
          <w14:textFill>
            <w14:solidFill>
              <w14:schemeClr w14:val="tx1"/>
            </w14:solidFill>
          </w14:textFill>
        </w:rPr>
        <w:t>K</w:t>
      </w:r>
      <w:r>
        <w:rPr>
          <w:rFonts w:hint="eastAsia"/>
          <w:color w:val="000000" w:themeColor="text1"/>
          <w:spacing w:val="4"/>
          <w:sz w:val="24"/>
          <w:szCs w:val="24"/>
          <w14:textFill>
            <w14:solidFill>
              <w14:schemeClr w14:val="tx1"/>
            </w14:solidFill>
          </w14:textFill>
        </w:rPr>
        <w:t>；</w:t>
      </w:r>
      <w:r>
        <w:rPr>
          <w:color w:val="000000" w:themeColor="text1"/>
          <w:spacing w:val="4"/>
          <w:sz w:val="24"/>
          <w:szCs w:val="24"/>
          <w14:textFill>
            <w14:solidFill>
              <w14:schemeClr w14:val="tx1"/>
            </w14:solidFill>
          </w14:textFill>
        </w:rPr>
        <w:t>(按303k计算)</w:t>
      </w:r>
    </w:p>
    <w:p w14:paraId="27D61469">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u——</w:t>
      </w:r>
      <w:r>
        <w:rPr>
          <w:rFonts w:hint="eastAsia"/>
          <w:color w:val="000000" w:themeColor="text1"/>
          <w:spacing w:val="4"/>
          <w:sz w:val="24"/>
          <w:szCs w:val="24"/>
          <w14:textFill>
            <w14:solidFill>
              <w14:schemeClr w14:val="tx1"/>
            </w14:solidFill>
          </w14:textFill>
        </w:rPr>
        <w:t>平均风速，</w:t>
      </w:r>
      <w:r>
        <w:rPr>
          <w:color w:val="000000" w:themeColor="text1"/>
          <w:spacing w:val="4"/>
          <w:sz w:val="24"/>
          <w:szCs w:val="24"/>
          <w14:textFill>
            <w14:solidFill>
              <w14:schemeClr w14:val="tx1"/>
            </w14:solidFill>
          </w14:textFill>
        </w:rPr>
        <w:t>m/s</w:t>
      </w:r>
      <w:r>
        <w:rPr>
          <w:rFonts w:hint="eastAsia"/>
          <w:color w:val="000000" w:themeColor="text1"/>
          <w:spacing w:val="4"/>
          <w:sz w:val="24"/>
          <w:szCs w:val="24"/>
          <w14:textFill>
            <w14:solidFill>
              <w14:schemeClr w14:val="tx1"/>
            </w14:solidFill>
          </w14:textFill>
        </w:rPr>
        <w:t>；</w:t>
      </w:r>
    </w:p>
    <w:p w14:paraId="621ED0BD">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r——</w:t>
      </w:r>
      <w:r>
        <w:rPr>
          <w:rFonts w:hint="eastAsia"/>
          <w:color w:val="000000" w:themeColor="text1"/>
          <w:spacing w:val="4"/>
          <w:sz w:val="24"/>
          <w:szCs w:val="24"/>
          <w14:textFill>
            <w14:solidFill>
              <w14:schemeClr w14:val="tx1"/>
            </w14:solidFill>
          </w14:textFill>
        </w:rPr>
        <w:t>液池半径，</w:t>
      </w:r>
      <w:r>
        <w:rPr>
          <w:color w:val="000000" w:themeColor="text1"/>
          <w:spacing w:val="4"/>
          <w:sz w:val="24"/>
          <w:szCs w:val="24"/>
          <w14:textFill>
            <w14:solidFill>
              <w14:schemeClr w14:val="tx1"/>
            </w14:solidFill>
          </w14:textFill>
        </w:rPr>
        <w:t>m</w:t>
      </w:r>
      <w:r>
        <w:rPr>
          <w:rFonts w:hint="eastAsia"/>
          <w:color w:val="000000" w:themeColor="text1"/>
          <w:spacing w:val="4"/>
          <w:sz w:val="24"/>
          <w:szCs w:val="24"/>
          <w14:textFill>
            <w14:solidFill>
              <w14:schemeClr w14:val="tx1"/>
            </w14:solidFill>
          </w14:textFill>
        </w:rPr>
        <w:t>，取6m。</w:t>
      </w:r>
    </w:p>
    <w:p w14:paraId="62518400">
      <w:pPr>
        <w:pStyle w:val="128"/>
        <w:spacing w:before="72" w:after="48"/>
        <w:rPr>
          <w:sz w:val="24"/>
          <w:szCs w:val="24"/>
        </w:rPr>
      </w:pPr>
      <w:r>
        <w:rPr>
          <w:sz w:val="24"/>
          <w:szCs w:val="24"/>
        </w:rPr>
        <w:t>表</w:t>
      </w:r>
      <w:r>
        <w:rPr>
          <w:sz w:val="24"/>
          <w:szCs w:val="24"/>
        </w:rPr>
        <w:fldChar w:fldCharType="begin"/>
      </w:r>
      <w:r>
        <w:rPr>
          <w:sz w:val="24"/>
          <w:szCs w:val="24"/>
        </w:rPr>
        <w:instrText xml:space="preserve"> STYLEREF 2 \s </w:instrText>
      </w:r>
      <w:r>
        <w:rPr>
          <w:sz w:val="24"/>
          <w:szCs w:val="24"/>
        </w:rPr>
        <w:fldChar w:fldCharType="separate"/>
      </w:r>
      <w:r>
        <w:rPr>
          <w:sz w:val="24"/>
          <w:szCs w:val="24"/>
        </w:rPr>
        <w:t>4.2</w:t>
      </w:r>
      <w:r>
        <w:rPr>
          <w:sz w:val="24"/>
          <w:szCs w:val="24"/>
        </w:rPr>
        <w:fldChar w:fldCharType="end"/>
      </w:r>
      <w:r>
        <w:rPr>
          <w:sz w:val="24"/>
          <w:szCs w:val="24"/>
        </w:rPr>
        <w:noBreakHyphen/>
      </w:r>
      <w:r>
        <w:rPr>
          <w:sz w:val="24"/>
          <w:szCs w:val="24"/>
        </w:rPr>
        <w:fldChar w:fldCharType="begin"/>
      </w:r>
      <w:r>
        <w:rPr>
          <w:sz w:val="24"/>
          <w:szCs w:val="24"/>
        </w:rPr>
        <w:instrText xml:space="preserve"> SEQ 表格 \* ARABIC \s 2 </w:instrText>
      </w:r>
      <w:r>
        <w:rPr>
          <w:sz w:val="24"/>
          <w:szCs w:val="24"/>
        </w:rPr>
        <w:fldChar w:fldCharType="separate"/>
      </w:r>
      <w:r>
        <w:rPr>
          <w:sz w:val="24"/>
          <w:szCs w:val="24"/>
        </w:rPr>
        <w:t>2</w:t>
      </w:r>
      <w:r>
        <w:rPr>
          <w:sz w:val="24"/>
          <w:szCs w:val="24"/>
        </w:rPr>
        <w:fldChar w:fldCharType="end"/>
      </w:r>
      <w:r>
        <w:rPr>
          <w:rFonts w:hint="eastAsia"/>
          <w:sz w:val="24"/>
          <w:szCs w:val="24"/>
        </w:rPr>
        <w:t>液池蒸发模式参数</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10"/>
        <w:gridCol w:w="4408"/>
        <w:gridCol w:w="3210"/>
      </w:tblGrid>
      <w:tr w14:paraId="50EBC5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4ABD95CD">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稳定度</w:t>
            </w:r>
          </w:p>
        </w:tc>
        <w:tc>
          <w:tcPr>
            <w:tcW w:w="2289" w:type="pct"/>
            <w:vAlign w:val="center"/>
          </w:tcPr>
          <w:p w14:paraId="2B2AB7CA">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a</w:t>
            </w:r>
          </w:p>
        </w:tc>
        <w:tc>
          <w:tcPr>
            <w:tcW w:w="1667" w:type="pct"/>
            <w:vAlign w:val="center"/>
          </w:tcPr>
          <w:p w14:paraId="24BD5028">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n</w:t>
            </w:r>
          </w:p>
        </w:tc>
      </w:tr>
      <w:tr w14:paraId="025617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8" w:hRule="atLeast"/>
          <w:jc w:val="center"/>
        </w:trPr>
        <w:tc>
          <w:tcPr>
            <w:tcW w:w="1044" w:type="pct"/>
            <w:vAlign w:val="center"/>
          </w:tcPr>
          <w:p w14:paraId="0F5129E2">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不稳定（A,B）</w:t>
            </w:r>
          </w:p>
        </w:tc>
        <w:tc>
          <w:tcPr>
            <w:tcW w:w="2289" w:type="pct"/>
            <w:vAlign w:val="center"/>
          </w:tcPr>
          <w:p w14:paraId="56CA1CB2">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default"/>
                <w:color w:val="000000" w:themeColor="text1"/>
                <w:sz w:val="24"/>
                <w:szCs w:val="24"/>
                <w14:textFill>
                  <w14:solidFill>
                    <w14:schemeClr w14:val="tx1"/>
                  </w14:solidFill>
                </w14:textFill>
              </w:rPr>
              <w:t>.846×10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5941E9E3">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12</w:t>
            </w:r>
          </w:p>
        </w:tc>
      </w:tr>
      <w:tr w14:paraId="62F8DF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26F4CA37">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中性（D）</w:t>
            </w:r>
          </w:p>
        </w:tc>
        <w:tc>
          <w:tcPr>
            <w:tcW w:w="2289" w:type="pct"/>
            <w:vAlign w:val="center"/>
          </w:tcPr>
          <w:p w14:paraId="37CEE06C">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default"/>
                <w:color w:val="000000" w:themeColor="text1"/>
                <w:sz w:val="24"/>
                <w:szCs w:val="24"/>
                <w14:textFill>
                  <w14:solidFill>
                    <w14:schemeClr w14:val="tx1"/>
                  </w14:solidFill>
                </w14:textFill>
              </w:rPr>
              <w:t>.685×10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4C4817DC">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131</w:t>
            </w:r>
          </w:p>
        </w:tc>
      </w:tr>
      <w:tr w14:paraId="26909A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20BA9A4A">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稳定（E,F）</w:t>
            </w:r>
          </w:p>
        </w:tc>
        <w:tc>
          <w:tcPr>
            <w:tcW w:w="2289" w:type="pct"/>
            <w:vAlign w:val="center"/>
          </w:tcPr>
          <w:p w14:paraId="46E676E7">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default"/>
                <w:color w:val="000000" w:themeColor="text1"/>
                <w:sz w:val="24"/>
                <w:szCs w:val="24"/>
                <w14:textFill>
                  <w14:solidFill>
                    <w14:schemeClr w14:val="tx1"/>
                  </w14:solidFill>
                </w14:textFill>
              </w:rPr>
              <w:t>.285×10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7D46A180">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15</w:t>
            </w:r>
          </w:p>
        </w:tc>
      </w:tr>
    </w:tbl>
    <w:p w14:paraId="79186A84">
      <w:pPr>
        <w:pStyle w:val="132"/>
        <w:pageBreakBefore w:val="0"/>
        <w:kinsoku/>
        <w:wordWrap/>
        <w:overflowPunct/>
        <w:topLinePunct w:val="0"/>
        <w:bidi w:val="0"/>
        <w:spacing w:line="360" w:lineRule="auto"/>
        <w:ind w:firstLine="496"/>
        <w:textAlignment w:val="auto"/>
        <w:rPr>
          <w:rFonts w:hint="eastAsia"/>
          <w:color w:val="000000" w:themeColor="text1"/>
          <w:spacing w:val="4"/>
          <w:sz w:val="24"/>
          <w:szCs w:val="24"/>
          <w14:textFill>
            <w14:solidFill>
              <w14:schemeClr w14:val="tx1"/>
            </w14:solidFill>
          </w14:textFill>
        </w:rPr>
      </w:pPr>
      <w:r>
        <w:rPr>
          <w:rFonts w:hint="eastAsia"/>
          <w:color w:val="000000" w:themeColor="text1"/>
          <w:spacing w:val="4"/>
          <w:sz w:val="24"/>
          <w:szCs w:val="24"/>
          <w14:textFill>
            <w14:solidFill>
              <w14:schemeClr w14:val="tx1"/>
            </w14:solidFill>
          </w14:textFill>
        </w:rPr>
        <w:t>按最不利气象条件（F稳定度，1</w:t>
      </w:r>
      <w:r>
        <w:rPr>
          <w:color w:val="000000" w:themeColor="text1"/>
          <w:spacing w:val="4"/>
          <w:sz w:val="24"/>
          <w:szCs w:val="24"/>
          <w14:textFill>
            <w14:solidFill>
              <w14:schemeClr w14:val="tx1"/>
            </w14:solidFill>
          </w14:textFill>
        </w:rPr>
        <w:t>.5</w:t>
      </w:r>
      <w:r>
        <w:rPr>
          <w:rFonts w:hint="eastAsia"/>
          <w:color w:val="000000" w:themeColor="text1"/>
          <w:spacing w:val="4"/>
          <w:sz w:val="24"/>
          <w:szCs w:val="24"/>
          <w14:textFill>
            <w14:solidFill>
              <w14:schemeClr w14:val="tx1"/>
            </w14:solidFill>
          </w14:textFill>
        </w:rPr>
        <w:t>m风速）计算得</w:t>
      </w:r>
      <w:r>
        <w:rPr>
          <w:color w:val="000000" w:themeColor="text1"/>
          <w:spacing w:val="4"/>
          <w:sz w:val="24"/>
          <w:szCs w:val="24"/>
          <w14:textFill>
            <w14:solidFill>
              <w14:schemeClr w14:val="tx1"/>
            </w14:solidFill>
          </w14:textFill>
        </w:rPr>
        <w:t>Q</w:t>
      </w:r>
      <w:r>
        <w:rPr>
          <w:color w:val="000000" w:themeColor="text1"/>
          <w:spacing w:val="4"/>
          <w:sz w:val="24"/>
          <w:szCs w:val="24"/>
          <w:vertAlign w:val="subscript"/>
          <w14:textFill>
            <w14:solidFill>
              <w14:schemeClr w14:val="tx1"/>
            </w14:solidFill>
          </w14:textFill>
        </w:rPr>
        <w:t>3</w:t>
      </w:r>
      <w:r>
        <w:rPr>
          <w:rFonts w:hint="eastAsia"/>
          <w:color w:val="000000" w:themeColor="text1"/>
          <w:spacing w:val="4"/>
          <w:sz w:val="24"/>
          <w:szCs w:val="24"/>
          <w14:textFill>
            <w14:solidFill>
              <w14:schemeClr w14:val="tx1"/>
            </w14:solidFill>
          </w14:textFill>
        </w:rPr>
        <w:t>为0</w:t>
      </w:r>
      <w:r>
        <w:rPr>
          <w:color w:val="000000" w:themeColor="text1"/>
          <w:spacing w:val="4"/>
          <w:sz w:val="24"/>
          <w:szCs w:val="24"/>
          <w14:textFill>
            <w14:solidFill>
              <w14:schemeClr w14:val="tx1"/>
            </w14:solidFill>
          </w14:textFill>
        </w:rPr>
        <w:t>.0</w:t>
      </w:r>
      <w:r>
        <w:rPr>
          <w:rFonts w:hint="eastAsia"/>
          <w:color w:val="000000" w:themeColor="text1"/>
          <w:spacing w:val="4"/>
          <w:sz w:val="24"/>
          <w:szCs w:val="24"/>
          <w:lang w:val="en-US" w:eastAsia="zh-CN"/>
          <w14:textFill>
            <w14:solidFill>
              <w14:schemeClr w14:val="tx1"/>
            </w14:solidFill>
          </w14:textFill>
        </w:rPr>
        <w:t>142</w:t>
      </w:r>
      <w:r>
        <w:rPr>
          <w:rFonts w:hint="eastAsia"/>
          <w:color w:val="000000" w:themeColor="text1"/>
          <w:spacing w:val="4"/>
          <w:sz w:val="24"/>
          <w:szCs w:val="24"/>
          <w14:textFill>
            <w14:solidFill>
              <w14:schemeClr w14:val="tx1"/>
            </w14:solidFill>
          </w14:textFill>
        </w:rPr>
        <w:t xml:space="preserve"> kg</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s。</w:t>
      </w:r>
    </w:p>
    <w:p w14:paraId="19D4859B">
      <w:pPr>
        <w:pStyle w:val="8"/>
        <w:pageBreakBefore w:val="0"/>
        <w:kinsoku/>
        <w:wordWrap/>
        <w:overflowPunct/>
        <w:topLinePunct w:val="0"/>
        <w:bidi w:val="0"/>
        <w:spacing w:before="0" w:after="0" w:line="360" w:lineRule="auto"/>
        <w:textAlignment w:val="auto"/>
        <w:rPr>
          <w:sz w:val="24"/>
          <w:szCs w:val="24"/>
        </w:rPr>
      </w:pPr>
      <w:r>
        <w:rPr>
          <w:rFonts w:hint="eastAsia"/>
          <w:sz w:val="24"/>
          <w:szCs w:val="24"/>
          <w:lang w:val="en-US" w:eastAsia="zh-CN"/>
        </w:rPr>
        <w:t>4.2.2</w:t>
      </w:r>
      <w:r>
        <w:rPr>
          <w:rFonts w:hint="eastAsia"/>
          <w:sz w:val="24"/>
          <w:szCs w:val="24"/>
        </w:rPr>
        <w:t>火灾爆炸次生大气污染源强分析</w:t>
      </w:r>
    </w:p>
    <w:p w14:paraId="35000628">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根据HJ169-2018，采用火灾伴生/次生一氧化碳计算公式，公式如下：</w:t>
      </w:r>
    </w:p>
    <w:p w14:paraId="2387D3E0">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lang w:eastAsia="en-US"/>
          <w14:textFill>
            <w14:solidFill>
              <w14:schemeClr w14:val="tx1"/>
            </w14:solidFill>
          </w14:textFill>
        </w:rPr>
      </w:pPr>
      <m:oMathPara>
        <m:oMath>
          <m:sSub>
            <m:sSubPr>
              <m:ctrlPr>
                <w:rPr>
                  <w:rFonts w:ascii="Cambria Math" w:hAnsi="Cambria Math" w:cs="Times New Roman"/>
                  <w:bCs/>
                  <w:i/>
                  <w:color w:val="000000" w:themeColor="text1"/>
                  <w:sz w:val="24"/>
                  <w:szCs w:val="24"/>
                  <w:lang w:eastAsia="en-US"/>
                  <w14:textFill>
                    <w14:solidFill>
                      <w14:schemeClr w14:val="tx1"/>
                    </w14:solidFill>
                  </w14:textFill>
                </w:rPr>
              </m:ctrlPr>
            </m:sSubPr>
            <m:e>
              <m:r>
                <m:rPr/>
                <w:rPr>
                  <w:rFonts w:ascii="Cambria Math" w:hAnsi="Cambria Math" w:cs="Times New Roman"/>
                  <w:color w:val="000000" w:themeColor="text1"/>
                  <w:sz w:val="24"/>
                  <w:szCs w:val="24"/>
                  <w:lang w:eastAsia="en-US"/>
                  <w14:textFill>
                    <w14:solidFill>
                      <w14:schemeClr w14:val="tx1"/>
                    </w14:solidFill>
                  </w14:textFill>
                </w:rPr>
                <m:t>G</m:t>
              </m:r>
              <m:ctrlPr>
                <w:rPr>
                  <w:rFonts w:ascii="Cambria Math" w:hAnsi="Cambria Math" w:cs="Times New Roman"/>
                  <w:bCs/>
                  <w:i/>
                  <w:color w:val="000000" w:themeColor="text1"/>
                  <w:sz w:val="24"/>
                  <w:szCs w:val="24"/>
                  <w:lang w:eastAsia="en-US"/>
                  <w14:textFill>
                    <w14:solidFill>
                      <w14:schemeClr w14:val="tx1"/>
                    </w14:solidFill>
                  </w14:textFill>
                </w:rPr>
              </m:ctrlPr>
            </m:e>
            <m:sub>
              <m:r>
                <m:rPr/>
                <w:rPr>
                  <w:rFonts w:ascii="Cambria Math" w:hAnsi="Cambria Math" w:cs="Times New Roman"/>
                  <w:color w:val="000000" w:themeColor="text1"/>
                  <w:sz w:val="24"/>
                  <w:szCs w:val="24"/>
                  <w:lang w:eastAsia="en-US"/>
                  <w14:textFill>
                    <w14:solidFill>
                      <w14:schemeClr w14:val="tx1"/>
                    </w14:solidFill>
                  </w14:textFill>
                </w:rPr>
                <m:t>一氧化碳</m:t>
              </m:r>
              <m:ctrlPr>
                <w:rPr>
                  <w:rFonts w:ascii="Cambria Math" w:hAnsi="Cambria Math" w:cs="Times New Roman"/>
                  <w:bCs/>
                  <w:i/>
                  <w:color w:val="000000" w:themeColor="text1"/>
                  <w:sz w:val="24"/>
                  <w:szCs w:val="24"/>
                  <w:lang w:eastAsia="en-US"/>
                  <w14:textFill>
                    <w14:solidFill>
                      <w14:schemeClr w14:val="tx1"/>
                    </w14:solidFill>
                  </w14:textFill>
                </w:rPr>
              </m:ctrlPr>
            </m:sub>
          </m:sSub>
          <m:r>
            <m:rPr/>
            <w:rPr>
              <w:rFonts w:ascii="Cambria Math" w:hAnsi="Cambria Math" w:cs="Times New Roman"/>
              <w:color w:val="000000" w:themeColor="text1"/>
              <w:sz w:val="24"/>
              <w:szCs w:val="24"/>
              <w:lang w:eastAsia="en-US"/>
              <w14:textFill>
                <w14:solidFill>
                  <w14:schemeClr w14:val="tx1"/>
                </w14:solidFill>
              </w14:textFill>
            </w:rPr>
            <m:t>=2330qCQ</m:t>
          </m:r>
        </m:oMath>
      </m:oMathPara>
    </w:p>
    <w:p w14:paraId="4AF6EB7F">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式中：G—一氧化碳的产生量，kg/s；</w:t>
      </w:r>
    </w:p>
    <w:p w14:paraId="35BC6E9E">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C—物质中碳的含量，</w:t>
      </w:r>
    </w:p>
    <w:p w14:paraId="6D9AF5FE">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q—化学不完全燃烧值，取值1.5~6.0%；</w:t>
      </w:r>
    </w:p>
    <w:p w14:paraId="69567F34">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Q—参与燃烧的物质量，t/s。</w:t>
      </w:r>
    </w:p>
    <w:p w14:paraId="3B02D2F2">
      <w:pPr>
        <w:pageBreakBefore w:val="0"/>
        <w:kinsoku/>
        <w:wordWrap/>
        <w:overflowPunct/>
        <w:topLinePunct w:val="0"/>
        <w:bidi w:val="0"/>
        <w:spacing w:line="360" w:lineRule="auto"/>
        <w:ind w:firstLine="482"/>
        <w:textAlignment w:val="auto"/>
        <w:rPr>
          <w:rFonts w:hint="eastAsia"/>
          <w:color w:val="000000" w:themeColor="text1"/>
          <w:spacing w:val="4"/>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依据上述公式，C取值90%，q取值</w:t>
      </w:r>
      <w:r>
        <w:rPr>
          <w:rFonts w:hint="eastAsia" w:ascii="Times New Roman" w:hAnsi="Times New Roman" w:cs="Times New Roman"/>
          <w:bCs/>
          <w:color w:val="000000" w:themeColor="text1"/>
          <w:sz w:val="24"/>
          <w:szCs w:val="24"/>
          <w14:textFill>
            <w14:solidFill>
              <w14:schemeClr w14:val="tx1"/>
            </w14:solidFill>
          </w14:textFill>
        </w:rPr>
        <w:t>6%</w:t>
      </w:r>
      <w:r>
        <w:rPr>
          <w:rFonts w:ascii="Times New Roman" w:hAnsi="Times New Roman" w:cs="Times New Roman"/>
          <w:bCs/>
          <w:color w:val="000000" w:themeColor="text1"/>
          <w:sz w:val="24"/>
          <w:szCs w:val="24"/>
          <w14:textFill>
            <w14:solidFill>
              <w14:schemeClr w14:val="tx1"/>
            </w14:solidFill>
          </w14:textFill>
        </w:rPr>
        <w:t>，Q取值</w:t>
      </w:r>
      <w:r>
        <w:rPr>
          <w:rFonts w:hint="eastAsia"/>
          <w:color w:val="000000" w:themeColor="text1"/>
          <w:spacing w:val="4"/>
          <w:sz w:val="24"/>
          <w:szCs w:val="24"/>
          <w14:textFill>
            <w14:solidFill>
              <w14:schemeClr w14:val="tx1"/>
            </w14:solidFill>
          </w14:textFill>
        </w:rPr>
        <w:t>0</w:t>
      </w:r>
      <w:r>
        <w:rPr>
          <w:color w:val="000000" w:themeColor="text1"/>
          <w:spacing w:val="4"/>
          <w:sz w:val="24"/>
          <w:szCs w:val="24"/>
          <w14:textFill>
            <w14:solidFill>
              <w14:schemeClr w14:val="tx1"/>
            </w14:solidFill>
          </w14:textFill>
        </w:rPr>
        <w:t>.0</w:t>
      </w:r>
      <w:r>
        <w:rPr>
          <w:rFonts w:hint="eastAsia"/>
          <w:color w:val="000000" w:themeColor="text1"/>
          <w:spacing w:val="4"/>
          <w:sz w:val="24"/>
          <w:szCs w:val="24"/>
          <w:lang w:val="en-US" w:eastAsia="zh-CN"/>
          <w14:textFill>
            <w14:solidFill>
              <w14:schemeClr w14:val="tx1"/>
            </w14:solidFill>
          </w14:textFill>
        </w:rPr>
        <w:t>142</w:t>
      </w:r>
      <w:r>
        <w:rPr>
          <w:rFonts w:hint="eastAsia"/>
          <w:color w:val="000000" w:themeColor="text1"/>
          <w:spacing w:val="4"/>
          <w:sz w:val="24"/>
          <w:szCs w:val="24"/>
          <w14:textFill>
            <w14:solidFill>
              <w14:schemeClr w14:val="tx1"/>
            </w14:solidFill>
          </w14:textFill>
        </w:rPr>
        <w:t xml:space="preserve"> kg</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s</w:t>
      </w:r>
      <w:r>
        <w:rPr>
          <w:rFonts w:ascii="Times New Roman" w:hAnsi="Times New Roman" w:cs="Times New Roman"/>
          <w:bCs/>
          <w:color w:val="000000" w:themeColor="text1"/>
          <w:sz w:val="24"/>
          <w:szCs w:val="24"/>
          <w14:textFill>
            <w14:solidFill>
              <w14:schemeClr w14:val="tx1"/>
            </w14:solidFill>
          </w14:textFill>
        </w:rPr>
        <w:t>，由此计算出CO的产生量为1.786kg/s。</w:t>
      </w:r>
    </w:p>
    <w:p w14:paraId="3119F2E7">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4.2.3</w:t>
      </w:r>
      <w:r>
        <w:rPr>
          <w:rFonts w:hint="eastAsia"/>
          <w:sz w:val="24"/>
          <w:szCs w:val="24"/>
          <w:lang w:eastAsia="zh-CN"/>
        </w:rPr>
        <w:t>邻氯硝基苯</w:t>
      </w:r>
      <w:r>
        <w:rPr>
          <w:sz w:val="24"/>
          <w:szCs w:val="24"/>
        </w:rPr>
        <w:t>泄漏</w:t>
      </w:r>
      <w:r>
        <w:rPr>
          <w:rFonts w:hint="eastAsia"/>
          <w:sz w:val="24"/>
          <w:szCs w:val="24"/>
        </w:rPr>
        <w:t>事故源强分析</w:t>
      </w:r>
    </w:p>
    <w:p w14:paraId="6B20E95A">
      <w:pPr>
        <w:pStyle w:val="124"/>
        <w:pageBreakBefore w:val="0"/>
        <w:kinsoku/>
        <w:wordWrap/>
        <w:overflowPunct/>
        <w:topLinePunct w:val="0"/>
        <w:autoSpaceDE/>
        <w:autoSpaceDN/>
        <w:bidi w:val="0"/>
        <w:textAlignment w:val="auto"/>
        <w:rPr>
          <w:rFonts w:ascii="宋体" w:hAnsi="宋体"/>
          <w:sz w:val="24"/>
          <w:szCs w:val="24"/>
          <w:lang w:eastAsia="zh-CN"/>
        </w:rPr>
      </w:pPr>
      <w:r>
        <w:rPr>
          <w:rFonts w:hint="eastAsia" w:ascii="宋体" w:hAnsi="宋体"/>
          <w:sz w:val="24"/>
          <w:szCs w:val="24"/>
          <w:lang w:eastAsia="zh-CN"/>
        </w:rPr>
        <w:t>1、源强计算情景设定</w:t>
      </w:r>
    </w:p>
    <w:p w14:paraId="71925C8E">
      <w:pPr>
        <w:spacing w:line="360" w:lineRule="auto"/>
        <w:ind w:firstLine="480" w:firstLineChars="200"/>
        <w:rPr>
          <w:sz w:val="24"/>
          <w:szCs w:val="24"/>
        </w:rPr>
      </w:pPr>
      <w:r>
        <w:rPr>
          <w:rFonts w:hint="eastAsia"/>
          <w:sz w:val="24"/>
          <w:szCs w:val="24"/>
        </w:rPr>
        <w:t>（1</w:t>
      </w:r>
      <w:r>
        <w:rPr>
          <w:sz w:val="24"/>
          <w:szCs w:val="24"/>
        </w:rPr>
        <w:t>）</w:t>
      </w:r>
      <w:r>
        <w:rPr>
          <w:rFonts w:hint="eastAsia"/>
          <w:sz w:val="24"/>
          <w:szCs w:val="24"/>
        </w:rPr>
        <w:t>泄漏量确定</w:t>
      </w:r>
    </w:p>
    <w:p w14:paraId="2D8E6DEF">
      <w:pPr>
        <w:spacing w:line="360" w:lineRule="auto"/>
        <w:ind w:firstLine="480" w:firstLineChars="200"/>
        <w:rPr>
          <w:sz w:val="24"/>
          <w:szCs w:val="24"/>
        </w:rPr>
      </w:pPr>
      <w:r>
        <w:rPr>
          <w:rFonts w:hint="eastAsia"/>
          <w:sz w:val="24"/>
          <w:szCs w:val="24"/>
        </w:rPr>
        <w:t>厂区内</w:t>
      </w:r>
      <w:r>
        <w:rPr>
          <w:rFonts w:hint="eastAsia"/>
          <w:sz w:val="24"/>
          <w:szCs w:val="24"/>
          <w:lang w:eastAsia="zh-CN"/>
        </w:rPr>
        <w:t>邻氯硝基苯储罐</w:t>
      </w:r>
      <w:r>
        <w:rPr>
          <w:rFonts w:hint="eastAsia"/>
          <w:sz w:val="24"/>
          <w:szCs w:val="24"/>
          <w:lang w:val="en-US" w:eastAsia="zh-CN"/>
        </w:rPr>
        <w:t>960m³、300m³</w:t>
      </w:r>
      <w:r>
        <w:rPr>
          <w:rFonts w:hint="eastAsia"/>
          <w:sz w:val="24"/>
          <w:szCs w:val="24"/>
        </w:rPr>
        <w:t>，本次评价</w:t>
      </w:r>
      <w:r>
        <w:rPr>
          <w:rFonts w:hint="eastAsia"/>
          <w:sz w:val="24"/>
          <w:szCs w:val="24"/>
          <w:lang w:eastAsia="zh-CN"/>
        </w:rPr>
        <w:t>邻氯硝基苯</w:t>
      </w:r>
      <w:r>
        <w:rPr>
          <w:rFonts w:hint="eastAsia"/>
          <w:sz w:val="24"/>
          <w:szCs w:val="24"/>
          <w:lang w:val="en-US" w:eastAsia="zh-CN"/>
        </w:rPr>
        <w:t>300m³</w:t>
      </w:r>
      <w:r>
        <w:rPr>
          <w:rFonts w:hint="eastAsia"/>
          <w:sz w:val="24"/>
          <w:szCs w:val="24"/>
        </w:rPr>
        <w:t>储罐发生泄漏作为该厂区的风险事故源强。本次分析将</w:t>
      </w:r>
      <w:r>
        <w:rPr>
          <w:rFonts w:hint="eastAsia"/>
          <w:sz w:val="24"/>
          <w:szCs w:val="24"/>
          <w:lang w:eastAsia="zh-CN"/>
        </w:rPr>
        <w:t>邻氯硝基苯</w:t>
      </w:r>
      <w:r>
        <w:rPr>
          <w:rFonts w:hint="eastAsia"/>
          <w:sz w:val="24"/>
          <w:szCs w:val="24"/>
        </w:rPr>
        <w:t>输送管线</w:t>
      </w:r>
      <w:r>
        <w:rPr>
          <w:rFonts w:hint="eastAsia"/>
          <w:sz w:val="24"/>
          <w:szCs w:val="24"/>
          <w:lang w:eastAsia="zh-CN"/>
        </w:rPr>
        <w:t>法兰垫片损坏</w:t>
      </w:r>
      <w:r>
        <w:rPr>
          <w:rFonts w:hint="eastAsia"/>
          <w:sz w:val="24"/>
          <w:szCs w:val="24"/>
        </w:rPr>
        <w:t>和阀门螺丝松动造成泄漏归为一种情况，设定与</w:t>
      </w:r>
      <w:r>
        <w:rPr>
          <w:rFonts w:hint="eastAsia"/>
          <w:sz w:val="24"/>
          <w:szCs w:val="24"/>
          <w:lang w:eastAsia="zh-CN"/>
        </w:rPr>
        <w:t>邻氯硝基苯</w:t>
      </w:r>
      <w:r>
        <w:rPr>
          <w:rFonts w:hint="eastAsia"/>
          <w:sz w:val="24"/>
          <w:szCs w:val="24"/>
        </w:rPr>
        <w:t>储罐相连接的管道发生泄漏，根据《建设项目环境风险评价技术导则》（</w:t>
      </w:r>
      <w:r>
        <w:rPr>
          <w:sz w:val="24"/>
          <w:szCs w:val="24"/>
        </w:rPr>
        <w:t>(HJ/T169-2018)</w:t>
      </w:r>
      <w:r>
        <w:rPr>
          <w:rFonts w:hint="eastAsia"/>
          <w:sz w:val="24"/>
          <w:szCs w:val="24"/>
        </w:rPr>
        <w:t>附录</w:t>
      </w:r>
      <w:r>
        <w:rPr>
          <w:rFonts w:hint="eastAsia"/>
          <w:sz w:val="24"/>
          <w:szCs w:val="24"/>
          <w:lang w:val="en-US" w:eastAsia="zh-CN"/>
        </w:rPr>
        <w:t>F</w:t>
      </w:r>
      <w:r>
        <w:rPr>
          <w:sz w:val="24"/>
          <w:szCs w:val="24"/>
        </w:rPr>
        <w:t xml:space="preserve"> 中管道泄露的尺寸按照管径的100%计算。</w:t>
      </w:r>
      <w:r>
        <w:rPr>
          <w:rFonts w:hint="eastAsia"/>
          <w:sz w:val="24"/>
          <w:szCs w:val="24"/>
        </w:rPr>
        <w:t>假定储罐泄漏后，操作人员在</w:t>
      </w:r>
      <w:r>
        <w:rPr>
          <w:sz w:val="24"/>
          <w:szCs w:val="24"/>
        </w:rPr>
        <w:t>10min内使储罐泄漏得到控制，并采取有效的收集措施</w:t>
      </w:r>
      <w:r>
        <w:rPr>
          <w:rFonts w:hint="eastAsia"/>
          <w:sz w:val="24"/>
          <w:szCs w:val="24"/>
        </w:rPr>
        <w:t>。</w:t>
      </w:r>
    </w:p>
    <w:p w14:paraId="23D2A739">
      <w:pPr>
        <w:spacing w:line="360" w:lineRule="auto"/>
        <w:ind w:firstLine="480" w:firstLineChars="200"/>
        <w:rPr>
          <w:sz w:val="24"/>
          <w:szCs w:val="24"/>
        </w:rPr>
      </w:pPr>
      <w:r>
        <w:rPr>
          <w:rFonts w:hint="eastAsia"/>
          <w:sz w:val="24"/>
          <w:szCs w:val="24"/>
          <w:lang w:eastAsia="zh-CN"/>
        </w:rPr>
        <w:t>邻氯硝基苯</w:t>
      </w:r>
      <w:r>
        <w:rPr>
          <w:rFonts w:hint="eastAsia"/>
          <w:sz w:val="24"/>
          <w:szCs w:val="24"/>
        </w:rPr>
        <w:t>储存状态为液态，其泄漏速率采用《建设项目环境风险评价导则》</w:t>
      </w:r>
      <w:r>
        <w:rPr>
          <w:sz w:val="24"/>
          <w:szCs w:val="24"/>
        </w:rPr>
        <w:t>(HJ/T169-2018)</w:t>
      </w:r>
      <w:r>
        <w:rPr>
          <w:rFonts w:hint="eastAsia"/>
          <w:sz w:val="24"/>
          <w:szCs w:val="24"/>
        </w:rPr>
        <w:t>附录</w:t>
      </w:r>
      <w:r>
        <w:rPr>
          <w:sz w:val="24"/>
          <w:szCs w:val="24"/>
        </w:rPr>
        <w:t>A 中推荐的液体泄漏速率公式进行估算，泄漏量按下面公式计算</w:t>
      </w:r>
      <w:r>
        <w:rPr>
          <w:rFonts w:hint="eastAsia"/>
          <w:sz w:val="24"/>
          <w:szCs w:val="24"/>
        </w:rPr>
        <w:t>：</w:t>
      </w:r>
    </w:p>
    <w:p w14:paraId="1BB506BF">
      <w:pPr>
        <w:ind w:firstLine="482"/>
        <w:jc w:val="center"/>
        <w:rPr>
          <w:color w:val="FF0000"/>
          <w:sz w:val="24"/>
          <w:szCs w:val="24"/>
        </w:rPr>
      </w:pPr>
      <w:r>
        <w:rPr>
          <w:color w:val="FF0000"/>
          <w:sz w:val="24"/>
          <w:szCs w:val="24"/>
        </w:rPr>
        <w:drawing>
          <wp:inline distT="0" distB="0" distL="0" distR="0">
            <wp:extent cx="2171700" cy="4381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a:stretch>
                      <a:fillRect/>
                    </a:stretch>
                  </pic:blipFill>
                  <pic:spPr>
                    <a:xfrm>
                      <a:off x="0" y="0"/>
                      <a:ext cx="2171700" cy="438150"/>
                    </a:xfrm>
                    <a:prstGeom prst="rect">
                      <a:avLst/>
                    </a:prstGeom>
                  </pic:spPr>
                </pic:pic>
              </a:graphicData>
            </a:graphic>
          </wp:inline>
        </w:drawing>
      </w:r>
    </w:p>
    <w:p w14:paraId="07D552AE">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式中：</w:t>
      </w:r>
      <w:r>
        <w:rPr>
          <w:i/>
          <w:iCs/>
          <w:color w:val="000000" w:themeColor="text1"/>
          <w:sz w:val="24"/>
          <w:szCs w:val="24"/>
          <w14:textFill>
            <w14:solidFill>
              <w14:schemeClr w14:val="tx1"/>
            </w14:solidFill>
          </w14:textFill>
        </w:rPr>
        <w:t xml:space="preserve">L Q </w:t>
      </w:r>
      <w:r>
        <w:rPr>
          <w:color w:val="000000" w:themeColor="text1"/>
          <w:sz w:val="24"/>
          <w:szCs w:val="24"/>
          <w14:textFill>
            <w14:solidFill>
              <w14:schemeClr w14:val="tx1"/>
            </w14:solidFill>
          </w14:textFill>
        </w:rPr>
        <w:t>——液体泄漏速度，kg/s；</w:t>
      </w:r>
    </w:p>
    <w:p w14:paraId="63407D32">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Cd </w:t>
      </w:r>
      <w:r>
        <w:rPr>
          <w:color w:val="000000" w:themeColor="text1"/>
          <w:sz w:val="24"/>
          <w:szCs w:val="24"/>
          <w14:textFill>
            <w14:solidFill>
              <w14:schemeClr w14:val="tx1"/>
            </w14:solidFill>
          </w14:textFill>
        </w:rPr>
        <w:t>——液体泄漏系数；</w:t>
      </w:r>
      <w:r>
        <w:rPr>
          <w:rFonts w:hint="eastAsia"/>
          <w:color w:val="000000" w:themeColor="text1"/>
          <w:sz w:val="24"/>
          <w:szCs w:val="24"/>
          <w14:textFill>
            <w14:solidFill>
              <w14:schemeClr w14:val="tx1"/>
            </w14:solidFill>
          </w14:textFill>
        </w:rPr>
        <w:t>取0</w:t>
      </w:r>
      <w:r>
        <w:rPr>
          <w:color w:val="000000" w:themeColor="text1"/>
          <w:sz w:val="24"/>
          <w:szCs w:val="24"/>
          <w14:textFill>
            <w14:solidFill>
              <w14:schemeClr w14:val="tx1"/>
            </w14:solidFill>
          </w14:textFill>
        </w:rPr>
        <w:t>.62</w:t>
      </w:r>
      <w:r>
        <w:rPr>
          <w:rFonts w:hint="eastAsia"/>
          <w:color w:val="000000" w:themeColor="text1"/>
          <w:sz w:val="24"/>
          <w:szCs w:val="24"/>
          <w14:textFill>
            <w14:solidFill>
              <w14:schemeClr w14:val="tx1"/>
            </w14:solidFill>
          </w14:textFill>
        </w:rPr>
        <w:t>；</w:t>
      </w:r>
    </w:p>
    <w:p w14:paraId="01453738">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A </w:t>
      </w:r>
      <w:r>
        <w:rPr>
          <w:color w:val="000000" w:themeColor="text1"/>
          <w:sz w:val="24"/>
          <w:szCs w:val="24"/>
          <w14:textFill>
            <w14:solidFill>
              <w14:schemeClr w14:val="tx1"/>
            </w14:solidFill>
          </w14:textFill>
        </w:rPr>
        <w:t>——裂口面积，m</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w:t>
      </w:r>
    </w:p>
    <w:p w14:paraId="4DFA0715">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P </w:t>
      </w:r>
      <w:r>
        <w:rPr>
          <w:color w:val="000000" w:themeColor="text1"/>
          <w:sz w:val="24"/>
          <w:szCs w:val="24"/>
          <w14:textFill>
            <w14:solidFill>
              <w14:schemeClr w14:val="tx1"/>
            </w14:solidFill>
          </w14:textFill>
        </w:rPr>
        <w:t>——容器内介质压力</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P</w:t>
      </w:r>
      <w:r>
        <w:rPr>
          <w:rFonts w:hint="eastAsia"/>
          <w:color w:val="000000" w:themeColor="text1"/>
          <w:sz w:val="24"/>
          <w:szCs w:val="24"/>
          <w14:textFill>
            <w14:solidFill>
              <w14:schemeClr w14:val="tx1"/>
            </w14:solidFill>
          </w14:textFill>
        </w:rPr>
        <w:t>a；</w:t>
      </w:r>
    </w:p>
    <w:p w14:paraId="68AE76EB">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P</w:t>
      </w:r>
      <w:r>
        <w:rPr>
          <w:i/>
          <w:iCs/>
          <w:color w:val="000000" w:themeColor="text1"/>
          <w:sz w:val="24"/>
          <w:szCs w:val="24"/>
          <w:vertAlign w:val="subscript"/>
          <w14:textFill>
            <w14:solidFill>
              <w14:schemeClr w14:val="tx1"/>
            </w14:solidFill>
          </w14:textFill>
        </w:rPr>
        <w:t>0</w:t>
      </w:r>
      <w:r>
        <w:rPr>
          <w:color w:val="000000" w:themeColor="text1"/>
          <w:sz w:val="24"/>
          <w:szCs w:val="24"/>
          <w14:textFill>
            <w14:solidFill>
              <w14:schemeClr w14:val="tx1"/>
            </w14:solidFill>
          </w14:textFill>
        </w:rPr>
        <w:t>——环境压力，Pa；</w:t>
      </w:r>
    </w:p>
    <w:p w14:paraId="1D8FB307">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g </w:t>
      </w:r>
      <w:r>
        <w:rPr>
          <w:color w:val="000000" w:themeColor="text1"/>
          <w:sz w:val="24"/>
          <w:szCs w:val="24"/>
          <w14:textFill>
            <w14:solidFill>
              <w14:schemeClr w14:val="tx1"/>
            </w14:solidFill>
          </w14:textFill>
        </w:rPr>
        <w:t>——重力加速度，9.8m/s</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w:t>
      </w:r>
    </w:p>
    <w:p w14:paraId="0C66F9B8">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h——</w:t>
      </w:r>
      <w:r>
        <w:rPr>
          <w:rFonts w:hint="eastAsia"/>
          <w:color w:val="000000" w:themeColor="text1"/>
          <w:sz w:val="24"/>
          <w:szCs w:val="24"/>
          <w:lang w:eastAsia="zh-CN"/>
          <w14:textFill>
            <w14:solidFill>
              <w14:schemeClr w14:val="tx1"/>
            </w14:solidFill>
          </w14:textFill>
        </w:rPr>
        <w:t>泄漏</w:t>
      </w:r>
      <w:r>
        <w:rPr>
          <w:color w:val="000000" w:themeColor="text1"/>
          <w:sz w:val="24"/>
          <w:szCs w:val="24"/>
          <w14:textFill>
            <w14:solidFill>
              <w14:schemeClr w14:val="tx1"/>
            </w14:solidFill>
          </w14:textFill>
        </w:rPr>
        <w:t>之上液位高度，m</w:t>
      </w:r>
      <w:r>
        <w:rPr>
          <w:rFonts w:hint="eastAsia"/>
          <w:color w:val="000000" w:themeColor="text1"/>
          <w:sz w:val="24"/>
          <w:szCs w:val="24"/>
          <w14:textFill>
            <w14:solidFill>
              <w14:schemeClr w14:val="tx1"/>
            </w14:solidFill>
          </w14:textFill>
        </w:rPr>
        <w:t>；取</w:t>
      </w:r>
      <w:r>
        <w:rPr>
          <w:rFonts w:hint="eastAsia"/>
          <w:color w:val="000000" w:themeColor="text1"/>
          <w:sz w:val="24"/>
          <w:szCs w:val="24"/>
          <w:lang w:val="en-US" w:eastAsia="zh-CN"/>
          <w14:textFill>
            <w14:solidFill>
              <w14:schemeClr w14:val="tx1"/>
            </w14:solidFill>
          </w14:textFill>
        </w:rPr>
        <w:t>0.3</w:t>
      </w:r>
      <w:r>
        <w:rPr>
          <w:rFonts w:hint="eastAsia"/>
          <w:color w:val="000000" w:themeColor="text1"/>
          <w:sz w:val="24"/>
          <w:szCs w:val="24"/>
          <w14:textFill>
            <w14:solidFill>
              <w14:schemeClr w14:val="tx1"/>
            </w14:solidFill>
          </w14:textFill>
        </w:rPr>
        <w:t>m</w:t>
      </w:r>
      <w:r>
        <w:rPr>
          <w:color w:val="000000" w:themeColor="text1"/>
          <w:sz w:val="24"/>
          <w:szCs w:val="24"/>
          <w14:textFill>
            <w14:solidFill>
              <w14:schemeClr w14:val="tx1"/>
            </w14:solidFill>
          </w14:textFill>
        </w:rPr>
        <w:t>。</w:t>
      </w:r>
    </w:p>
    <w:p w14:paraId="721F0B57">
      <w:pPr>
        <w:pStyle w:val="128"/>
        <w:spacing w:before="72" w:after="48"/>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STYLEREF 2 \s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4.2</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noBreakHyphen/>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SEQ 表格 \* ARABIC \s 2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w: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设定事故条件下的泄漏速率</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7"/>
        <w:gridCol w:w="650"/>
        <w:gridCol w:w="1122"/>
        <w:gridCol w:w="880"/>
        <w:gridCol w:w="1270"/>
        <w:gridCol w:w="1137"/>
        <w:gridCol w:w="674"/>
        <w:gridCol w:w="744"/>
        <w:gridCol w:w="861"/>
        <w:gridCol w:w="819"/>
        <w:gridCol w:w="648"/>
      </w:tblGrid>
      <w:tr w14:paraId="2276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40264DBB">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w:t>
            </w:r>
          </w:p>
          <w:p w14:paraId="20C8688E">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源</w:t>
            </w:r>
          </w:p>
        </w:tc>
        <w:tc>
          <w:tcPr>
            <w:tcW w:w="351" w:type="pct"/>
            <w:vAlign w:val="center"/>
          </w:tcPr>
          <w:p w14:paraId="18F086A6">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温度(K)</w:t>
            </w:r>
          </w:p>
        </w:tc>
        <w:tc>
          <w:tcPr>
            <w:tcW w:w="601" w:type="pct"/>
            <w:vAlign w:val="center"/>
          </w:tcPr>
          <w:p w14:paraId="52E2E1DA">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容器内压力(pa)</w:t>
            </w:r>
          </w:p>
        </w:tc>
        <w:tc>
          <w:tcPr>
            <w:tcW w:w="473" w:type="pct"/>
            <w:vAlign w:val="center"/>
          </w:tcPr>
          <w:p w14:paraId="78555B7F">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环境压力(pa)</w:t>
            </w:r>
          </w:p>
        </w:tc>
        <w:tc>
          <w:tcPr>
            <w:tcW w:w="619" w:type="pct"/>
            <w:vAlign w:val="center"/>
          </w:tcPr>
          <w:p w14:paraId="626EB163">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裂口面积</w:t>
            </w:r>
          </w:p>
          <w:p w14:paraId="11933104">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(m</w:t>
            </w:r>
            <w:r>
              <w:rPr>
                <w:rFonts w:hint="default"/>
                <w:sz w:val="24"/>
                <w:szCs w:val="24"/>
                <w:vertAlign w:val="superscript"/>
              </w:rPr>
              <w:t>2</w:t>
            </w:r>
            <w:r>
              <w:rPr>
                <w:rFonts w:hint="eastAsia"/>
                <w:sz w:val="24"/>
                <w:szCs w:val="24"/>
              </w:rPr>
              <w:t>)</w:t>
            </w:r>
          </w:p>
        </w:tc>
        <w:tc>
          <w:tcPr>
            <w:tcW w:w="609" w:type="pct"/>
            <w:vAlign w:val="center"/>
          </w:tcPr>
          <w:p w14:paraId="0FE2C2EF">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液体密度(kg/ m</w:t>
            </w:r>
            <w:r>
              <w:rPr>
                <w:rFonts w:hint="default"/>
                <w:sz w:val="24"/>
                <w:szCs w:val="24"/>
                <w:vertAlign w:val="superscript"/>
              </w:rPr>
              <w:t>3</w:t>
            </w:r>
            <w:r>
              <w:rPr>
                <w:rFonts w:hint="eastAsia"/>
                <w:sz w:val="24"/>
                <w:szCs w:val="24"/>
              </w:rPr>
              <w:t>)</w:t>
            </w:r>
          </w:p>
        </w:tc>
        <w:tc>
          <w:tcPr>
            <w:tcW w:w="363" w:type="pct"/>
            <w:vAlign w:val="center"/>
          </w:tcPr>
          <w:p w14:paraId="4138B50D">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裂口形状</w:t>
            </w:r>
          </w:p>
        </w:tc>
        <w:tc>
          <w:tcPr>
            <w:tcW w:w="400" w:type="pct"/>
            <w:vAlign w:val="center"/>
          </w:tcPr>
          <w:p w14:paraId="70D95D36">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液体泄漏系数</w:t>
            </w:r>
          </w:p>
        </w:tc>
        <w:tc>
          <w:tcPr>
            <w:tcW w:w="462" w:type="pct"/>
            <w:vAlign w:val="center"/>
          </w:tcPr>
          <w:p w14:paraId="65E6ACE3">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泄漏速率(kg/s)</w:t>
            </w:r>
          </w:p>
        </w:tc>
        <w:tc>
          <w:tcPr>
            <w:tcW w:w="440" w:type="pct"/>
            <w:vAlign w:val="center"/>
          </w:tcPr>
          <w:p w14:paraId="7454D1F5">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泄漏持续时间</w:t>
            </w:r>
          </w:p>
          <w:p w14:paraId="675CC00F">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(min)</w:t>
            </w:r>
          </w:p>
        </w:tc>
        <w:tc>
          <w:tcPr>
            <w:tcW w:w="349" w:type="pct"/>
            <w:vAlign w:val="center"/>
          </w:tcPr>
          <w:p w14:paraId="06F438D0">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泄漏量(t)</w:t>
            </w:r>
          </w:p>
        </w:tc>
      </w:tr>
      <w:tr w14:paraId="439B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0CE5D3A8">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储罐</w:t>
            </w:r>
          </w:p>
        </w:tc>
        <w:tc>
          <w:tcPr>
            <w:tcW w:w="351" w:type="pct"/>
            <w:vAlign w:val="center"/>
          </w:tcPr>
          <w:p w14:paraId="50507CBC">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35</w:t>
            </w:r>
          </w:p>
        </w:tc>
        <w:tc>
          <w:tcPr>
            <w:tcW w:w="601" w:type="pct"/>
            <w:vAlign w:val="center"/>
          </w:tcPr>
          <w:p w14:paraId="408B6969">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常压</w:t>
            </w:r>
          </w:p>
        </w:tc>
        <w:tc>
          <w:tcPr>
            <w:tcW w:w="473" w:type="pct"/>
            <w:vAlign w:val="center"/>
          </w:tcPr>
          <w:p w14:paraId="215A9230">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18000</w:t>
            </w:r>
          </w:p>
        </w:tc>
        <w:tc>
          <w:tcPr>
            <w:tcW w:w="619" w:type="pct"/>
            <w:vAlign w:val="center"/>
          </w:tcPr>
          <w:p w14:paraId="3537A784">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14:textFill>
                  <w14:solidFill>
                    <w14:schemeClr w14:val="tx1"/>
                  </w14:solidFill>
                </w14:textFill>
              </w:rPr>
              <w:t>000</w:t>
            </w:r>
            <w:r>
              <w:rPr>
                <w:rFonts w:hint="eastAsia"/>
                <w:color w:val="000000" w:themeColor="text1"/>
                <w:sz w:val="24"/>
                <w:szCs w:val="24"/>
                <w:lang w:val="en-US" w:eastAsia="zh-CN"/>
                <w14:textFill>
                  <w14:solidFill>
                    <w14:schemeClr w14:val="tx1"/>
                  </w14:solidFill>
                </w14:textFill>
              </w:rPr>
              <w:t>001</w:t>
            </w:r>
            <w:r>
              <w:rPr>
                <w:rFonts w:hint="eastAsia"/>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21</w:t>
            </w:r>
          </w:p>
        </w:tc>
        <w:tc>
          <w:tcPr>
            <w:tcW w:w="609" w:type="pct"/>
            <w:vAlign w:val="center"/>
          </w:tcPr>
          <w:p w14:paraId="005DB25E">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1343</w:t>
            </w:r>
          </w:p>
        </w:tc>
        <w:tc>
          <w:tcPr>
            <w:tcW w:w="363" w:type="pct"/>
            <w:vAlign w:val="center"/>
          </w:tcPr>
          <w:p w14:paraId="4B7C7D1C">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圆形</w:t>
            </w:r>
          </w:p>
        </w:tc>
        <w:tc>
          <w:tcPr>
            <w:tcW w:w="400" w:type="pct"/>
            <w:vAlign w:val="center"/>
          </w:tcPr>
          <w:p w14:paraId="3B871B3C">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31</w:t>
            </w:r>
          </w:p>
        </w:tc>
        <w:tc>
          <w:tcPr>
            <w:tcW w:w="462" w:type="pct"/>
            <w:vAlign w:val="center"/>
          </w:tcPr>
          <w:p w14:paraId="5B7FAA6D">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0</w:t>
            </w:r>
            <w:r>
              <w:rPr>
                <w:rFonts w:hint="default"/>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342</w:t>
            </w:r>
          </w:p>
        </w:tc>
        <w:tc>
          <w:tcPr>
            <w:tcW w:w="440" w:type="pct"/>
            <w:vAlign w:val="center"/>
          </w:tcPr>
          <w:p w14:paraId="44B74879">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10</w:t>
            </w:r>
          </w:p>
        </w:tc>
        <w:tc>
          <w:tcPr>
            <w:tcW w:w="349" w:type="pct"/>
            <w:vAlign w:val="center"/>
          </w:tcPr>
          <w:p w14:paraId="50067C16">
            <w:pPr>
              <w:pStyle w:val="127"/>
              <w:keepNext w:val="0"/>
              <w:keepLines w:val="0"/>
              <w:widowControl/>
              <w:suppressLineNumbers w:val="0"/>
              <w:spacing w:before="0" w:beforeAutospacing="0" w:after="0" w:afterAutospacing="0"/>
              <w:ind w:left="0" w:right="0"/>
              <w:rPr>
                <w:rFonts w:hint="default"/>
                <w:color w:val="000000" w:themeColor="text1"/>
                <w:sz w:val="24"/>
                <w:szCs w:val="24"/>
                <w:lang w:val="en-US"/>
                <w14:textFill>
                  <w14:solidFill>
                    <w14:schemeClr w14:val="tx1"/>
                  </w14:solidFill>
                </w14:textFill>
              </w:rPr>
            </w:pPr>
            <w:r>
              <w:rPr>
                <w:rFonts w:hint="eastAsia"/>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057</w:t>
            </w:r>
          </w:p>
        </w:tc>
      </w:tr>
    </w:tbl>
    <w:p w14:paraId="0232C1D5">
      <w:pPr>
        <w:spacing w:before="240"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设定泄漏时间为 </w:t>
      </w:r>
      <w:r>
        <w:rPr>
          <w:color w:val="000000" w:themeColor="text1"/>
          <w:sz w:val="24"/>
          <w:szCs w:val="24"/>
          <w14:textFill>
            <w14:solidFill>
              <w14:schemeClr w14:val="tx1"/>
            </w14:solidFill>
          </w14:textFill>
        </w:rPr>
        <w:t>10</w:t>
      </w:r>
      <w:r>
        <w:rPr>
          <w:rFonts w:hint="eastAsia"/>
          <w:color w:val="000000" w:themeColor="text1"/>
          <w:sz w:val="24"/>
          <w:szCs w:val="24"/>
          <w14:textFill>
            <w14:solidFill>
              <w14:schemeClr w14:val="tx1"/>
            </w14:solidFill>
          </w14:textFill>
        </w:rPr>
        <w:t>min，经计算，泄漏速率为0</w:t>
      </w:r>
      <w:r>
        <w:rPr>
          <w:rFonts w:hint="default"/>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342</w:t>
      </w:r>
      <w:r>
        <w:rPr>
          <w:rFonts w:hint="eastAsia"/>
          <w:color w:val="000000" w:themeColor="text1"/>
          <w:sz w:val="24"/>
          <w:szCs w:val="24"/>
          <w14:textFill>
            <w14:solidFill>
              <w14:schemeClr w14:val="tx1"/>
            </w14:solidFill>
          </w14:textFill>
        </w:rPr>
        <w:t>kg/s，泄漏量为0</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057t</w:t>
      </w:r>
      <w:r>
        <w:rPr>
          <w:rFonts w:hint="eastAsia"/>
          <w:color w:val="000000" w:themeColor="text1"/>
          <w:sz w:val="24"/>
          <w:szCs w:val="24"/>
          <w14:textFill>
            <w14:solidFill>
              <w14:schemeClr w14:val="tx1"/>
            </w14:solidFill>
          </w14:textFill>
        </w:rPr>
        <w:t xml:space="preserve">；假设泄漏事故发生后，液态物料部分蒸发进入大气，其余仍以液态形式存在，待收容处理。 </w:t>
      </w:r>
    </w:p>
    <w:p w14:paraId="734813CD">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（2）漏后蒸发量计算</w:t>
      </w:r>
    </w:p>
    <w:p w14:paraId="0527A8C3">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anchor distT="0" distB="0" distL="114300" distR="114300" simplePos="0" relativeHeight="251671552" behindDoc="0" locked="0" layoutInCell="1" allowOverlap="1">
            <wp:simplePos x="0" y="0"/>
            <wp:positionH relativeFrom="column">
              <wp:posOffset>1208405</wp:posOffset>
            </wp:positionH>
            <wp:positionV relativeFrom="paragraph">
              <wp:posOffset>927735</wp:posOffset>
            </wp:positionV>
            <wp:extent cx="3552825" cy="333375"/>
            <wp:effectExtent l="0" t="0" r="9525" b="952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552825" cy="333375"/>
                    </a:xfrm>
                    <a:prstGeom prst="rect">
                      <a:avLst/>
                    </a:prstGeom>
                  </pic:spPr>
                </pic:pic>
              </a:graphicData>
            </a:graphic>
          </wp:anchor>
        </w:drawing>
      </w:r>
      <w:r>
        <w:rPr>
          <w:rFonts w:hint="eastAsia"/>
          <w:color w:val="000000" w:themeColor="text1"/>
          <w:sz w:val="24"/>
          <w:szCs w:val="24"/>
          <w14:textFill>
            <w14:solidFill>
              <w14:schemeClr w14:val="tx1"/>
            </w14:solidFill>
          </w14:textFill>
        </w:rPr>
        <w:t>当</w:t>
      </w:r>
      <w:r>
        <w:rPr>
          <w:rFonts w:hint="eastAsia"/>
          <w:sz w:val="24"/>
          <w:szCs w:val="24"/>
          <w:lang w:eastAsia="zh-CN"/>
        </w:rPr>
        <w:t>邻氯硝基苯</w:t>
      </w:r>
      <w:r>
        <w:rPr>
          <w:rFonts w:hint="eastAsia"/>
          <w:color w:val="000000" w:themeColor="text1"/>
          <w:sz w:val="24"/>
          <w:szCs w:val="24"/>
          <w14:textFill>
            <w14:solidFill>
              <w14:schemeClr w14:val="tx1"/>
            </w14:solidFill>
          </w14:textFill>
        </w:rPr>
        <w:t>储罐发生泄漏时，泄漏的物质在储罐围堰地面形成液池。其蒸发量按照《建设项目环境风险评价导则》（</w:t>
      </w:r>
      <w:r>
        <w:rPr>
          <w:color w:val="000000" w:themeColor="text1"/>
          <w:sz w:val="24"/>
          <w:szCs w:val="24"/>
          <w14:textFill>
            <w14:solidFill>
              <w14:schemeClr w14:val="tx1"/>
            </w14:solidFill>
          </w14:textFill>
        </w:rPr>
        <w:t>HJ/T169-2018）附录A 中推荐的泄漏液体蒸发量计算公式</w:t>
      </w:r>
      <w:r>
        <w:rPr>
          <w:rFonts w:hint="eastAsia"/>
          <w:color w:val="000000" w:themeColor="text1"/>
          <w:sz w:val="24"/>
          <w:szCs w:val="24"/>
          <w14:textFill>
            <w14:solidFill>
              <w14:schemeClr w14:val="tx1"/>
            </w14:solidFill>
          </w14:textFill>
        </w:rPr>
        <w:t>计算。计算公式如下：</w:t>
      </w:r>
    </w:p>
    <w:p w14:paraId="196EA7F1">
      <w:pPr>
        <w:pStyle w:val="132"/>
        <w:snapToGrid w:val="0"/>
        <w:spacing w:line="336" w:lineRule="auto"/>
        <w:ind w:firstLine="198" w:firstLineChars="80"/>
        <w:rPr>
          <w:color w:val="000000" w:themeColor="text1"/>
          <w:spacing w:val="4"/>
          <w:sz w:val="24"/>
          <w:szCs w:val="24"/>
          <w14:textFill>
            <w14:solidFill>
              <w14:schemeClr w14:val="tx1"/>
            </w14:solidFill>
          </w14:textFill>
        </w:rPr>
      </w:pPr>
      <w:r>
        <w:rPr>
          <w:rFonts w:hint="eastAsia"/>
          <w:color w:val="000000" w:themeColor="text1"/>
          <w:spacing w:val="4"/>
          <w:sz w:val="24"/>
          <w:szCs w:val="24"/>
          <w14:textFill>
            <w14:solidFill>
              <w14:schemeClr w14:val="tx1"/>
            </w14:solidFill>
          </w14:textFill>
        </w:rPr>
        <w:t>式中：</w:t>
      </w:r>
      <w:r>
        <w:rPr>
          <w:color w:val="000000" w:themeColor="text1"/>
          <w:spacing w:val="4"/>
          <w:sz w:val="24"/>
          <w:szCs w:val="24"/>
          <w14:textFill>
            <w14:solidFill>
              <w14:schemeClr w14:val="tx1"/>
            </w14:solidFill>
          </w14:textFill>
        </w:rPr>
        <w:t>Q</w:t>
      </w:r>
      <w:r>
        <w:rPr>
          <w:color w:val="000000" w:themeColor="text1"/>
          <w:spacing w:val="4"/>
          <w:sz w:val="24"/>
          <w:szCs w:val="24"/>
          <w:vertAlign w:val="subscript"/>
          <w14:textFill>
            <w14:solidFill>
              <w14:schemeClr w14:val="tx1"/>
            </w14:solidFill>
          </w14:textFill>
        </w:rPr>
        <w:t>3</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质量蒸发速度，</w:t>
      </w:r>
      <w:r>
        <w:rPr>
          <w:color w:val="000000" w:themeColor="text1"/>
          <w:spacing w:val="4"/>
          <w:sz w:val="24"/>
          <w:szCs w:val="24"/>
          <w14:textFill>
            <w14:solidFill>
              <w14:schemeClr w14:val="tx1"/>
            </w14:solidFill>
          </w14:textFill>
        </w:rPr>
        <w:t>kg/s</w:t>
      </w:r>
      <w:r>
        <w:rPr>
          <w:rFonts w:hint="eastAsia"/>
          <w:color w:val="000000" w:themeColor="text1"/>
          <w:spacing w:val="4"/>
          <w:sz w:val="24"/>
          <w:szCs w:val="24"/>
          <w14:textFill>
            <w14:solidFill>
              <w14:schemeClr w14:val="tx1"/>
            </w14:solidFill>
          </w14:textFill>
        </w:rPr>
        <w:t>；</w:t>
      </w:r>
    </w:p>
    <w:p w14:paraId="257205A0">
      <w:pPr>
        <w:pStyle w:val="132"/>
        <w:ind w:firstLine="992" w:firstLineChars="400"/>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a,n——</w:t>
      </w:r>
      <w:r>
        <w:rPr>
          <w:rFonts w:hint="eastAsia"/>
          <w:color w:val="000000" w:themeColor="text1"/>
          <w:spacing w:val="4"/>
          <w:sz w:val="24"/>
          <w:szCs w:val="24"/>
          <w14:textFill>
            <w14:solidFill>
              <w14:schemeClr w14:val="tx1"/>
            </w14:solidFill>
          </w14:textFill>
        </w:rPr>
        <w:t>大气稳定度系数；</w:t>
      </w:r>
    </w:p>
    <w:p w14:paraId="6B4EC3AE">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p——</w:t>
      </w:r>
      <w:r>
        <w:rPr>
          <w:rFonts w:hint="eastAsia"/>
          <w:color w:val="000000" w:themeColor="text1"/>
          <w:spacing w:val="4"/>
          <w:sz w:val="24"/>
          <w:szCs w:val="24"/>
          <w14:textFill>
            <w14:solidFill>
              <w14:schemeClr w14:val="tx1"/>
            </w14:solidFill>
          </w14:textFill>
        </w:rPr>
        <w:t>液体表面蒸气压，</w:t>
      </w:r>
      <w:r>
        <w:rPr>
          <w:color w:val="000000" w:themeColor="text1"/>
          <w:spacing w:val="4"/>
          <w:sz w:val="24"/>
          <w:szCs w:val="24"/>
          <w14:textFill>
            <w14:solidFill>
              <w14:schemeClr w14:val="tx1"/>
            </w14:solidFill>
          </w14:textFill>
        </w:rPr>
        <w:t>10742Pa</w:t>
      </w:r>
      <w:r>
        <w:rPr>
          <w:rFonts w:hint="eastAsia"/>
          <w:color w:val="000000" w:themeColor="text1"/>
          <w:spacing w:val="4"/>
          <w:sz w:val="24"/>
          <w:szCs w:val="24"/>
          <w14:textFill>
            <w14:solidFill>
              <w14:schemeClr w14:val="tx1"/>
            </w14:solidFill>
          </w14:textFill>
        </w:rPr>
        <w:t>；</w:t>
      </w:r>
    </w:p>
    <w:p w14:paraId="779C5E02">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R——</w:t>
      </w:r>
      <w:r>
        <w:rPr>
          <w:rFonts w:hint="eastAsia"/>
          <w:color w:val="000000" w:themeColor="text1"/>
          <w:spacing w:val="4"/>
          <w:sz w:val="24"/>
          <w:szCs w:val="24"/>
          <w14:textFill>
            <w14:solidFill>
              <w14:schemeClr w14:val="tx1"/>
            </w14:solidFill>
          </w14:textFill>
        </w:rPr>
        <w:t>气体常数；</w:t>
      </w:r>
      <w:r>
        <w:rPr>
          <w:color w:val="000000" w:themeColor="text1"/>
          <w:spacing w:val="4"/>
          <w:sz w:val="24"/>
          <w:szCs w:val="24"/>
          <w14:textFill>
            <w14:solidFill>
              <w14:schemeClr w14:val="tx1"/>
            </w14:solidFill>
          </w14:textFill>
        </w:rPr>
        <w:t>8.31</w:t>
      </w:r>
      <w:r>
        <w:rPr>
          <w:rFonts w:hint="eastAsia"/>
          <w:color w:val="000000" w:themeColor="text1"/>
          <w:spacing w:val="4"/>
          <w:sz w:val="24"/>
          <w:szCs w:val="24"/>
          <w14:textFill>
            <w14:solidFill>
              <w14:schemeClr w14:val="tx1"/>
            </w14:solidFill>
          </w14:textFill>
        </w:rPr>
        <w:t>（</w:t>
      </w:r>
      <w:r>
        <w:rPr>
          <w:color w:val="000000" w:themeColor="text1"/>
          <w:spacing w:val="4"/>
          <w:sz w:val="24"/>
          <w:szCs w:val="24"/>
          <w14:textFill>
            <w14:solidFill>
              <w14:schemeClr w14:val="tx1"/>
            </w14:solidFill>
          </w14:textFill>
        </w:rPr>
        <w:t>J/mol•k</w:t>
      </w:r>
      <w:r>
        <w:rPr>
          <w:rFonts w:hint="eastAsia"/>
          <w:color w:val="000000" w:themeColor="text1"/>
          <w:spacing w:val="4"/>
          <w:sz w:val="24"/>
          <w:szCs w:val="24"/>
          <w14:textFill>
            <w14:solidFill>
              <w14:schemeClr w14:val="tx1"/>
            </w14:solidFill>
          </w14:textFill>
        </w:rPr>
        <w:t>）；</w:t>
      </w:r>
    </w:p>
    <w:p w14:paraId="7DE0A149">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T</w:t>
      </w:r>
      <w:r>
        <w:rPr>
          <w:color w:val="000000" w:themeColor="text1"/>
          <w:spacing w:val="4"/>
          <w:sz w:val="24"/>
          <w:szCs w:val="24"/>
          <w:vertAlign w:val="subscript"/>
          <w14:textFill>
            <w14:solidFill>
              <w14:schemeClr w14:val="tx1"/>
            </w14:solidFill>
          </w14:textFill>
        </w:rPr>
        <w:t>0</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环境温度，</w:t>
      </w:r>
      <w:r>
        <w:rPr>
          <w:color w:val="000000" w:themeColor="text1"/>
          <w:spacing w:val="4"/>
          <w:sz w:val="24"/>
          <w:szCs w:val="24"/>
          <w14:textFill>
            <w14:solidFill>
              <w14:schemeClr w14:val="tx1"/>
            </w14:solidFill>
          </w14:textFill>
        </w:rPr>
        <w:t>K</w:t>
      </w:r>
      <w:r>
        <w:rPr>
          <w:rFonts w:hint="eastAsia"/>
          <w:color w:val="000000" w:themeColor="text1"/>
          <w:spacing w:val="4"/>
          <w:sz w:val="24"/>
          <w:szCs w:val="24"/>
          <w14:textFill>
            <w14:solidFill>
              <w14:schemeClr w14:val="tx1"/>
            </w14:solidFill>
          </w14:textFill>
        </w:rPr>
        <w:t>；</w:t>
      </w:r>
      <w:r>
        <w:rPr>
          <w:color w:val="000000" w:themeColor="text1"/>
          <w:spacing w:val="4"/>
          <w:sz w:val="24"/>
          <w:szCs w:val="24"/>
          <w14:textFill>
            <w14:solidFill>
              <w14:schemeClr w14:val="tx1"/>
            </w14:solidFill>
          </w14:textFill>
        </w:rPr>
        <w:t>(按303k计算)</w:t>
      </w:r>
    </w:p>
    <w:p w14:paraId="39E2375A">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u——</w:t>
      </w:r>
      <w:r>
        <w:rPr>
          <w:rFonts w:hint="eastAsia"/>
          <w:color w:val="000000" w:themeColor="text1"/>
          <w:spacing w:val="4"/>
          <w:sz w:val="24"/>
          <w:szCs w:val="24"/>
          <w14:textFill>
            <w14:solidFill>
              <w14:schemeClr w14:val="tx1"/>
            </w14:solidFill>
          </w14:textFill>
        </w:rPr>
        <w:t>平均风速，</w:t>
      </w:r>
      <w:r>
        <w:rPr>
          <w:color w:val="000000" w:themeColor="text1"/>
          <w:spacing w:val="4"/>
          <w:sz w:val="24"/>
          <w:szCs w:val="24"/>
          <w14:textFill>
            <w14:solidFill>
              <w14:schemeClr w14:val="tx1"/>
            </w14:solidFill>
          </w14:textFill>
        </w:rPr>
        <w:t>m/s</w:t>
      </w:r>
      <w:r>
        <w:rPr>
          <w:rFonts w:hint="eastAsia"/>
          <w:color w:val="000000" w:themeColor="text1"/>
          <w:spacing w:val="4"/>
          <w:sz w:val="24"/>
          <w:szCs w:val="24"/>
          <w14:textFill>
            <w14:solidFill>
              <w14:schemeClr w14:val="tx1"/>
            </w14:solidFill>
          </w14:textFill>
        </w:rPr>
        <w:t>；</w:t>
      </w:r>
    </w:p>
    <w:p w14:paraId="3251875E">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r——</w:t>
      </w:r>
      <w:r>
        <w:rPr>
          <w:rFonts w:hint="eastAsia"/>
          <w:color w:val="000000" w:themeColor="text1"/>
          <w:spacing w:val="4"/>
          <w:sz w:val="24"/>
          <w:szCs w:val="24"/>
          <w14:textFill>
            <w14:solidFill>
              <w14:schemeClr w14:val="tx1"/>
            </w14:solidFill>
          </w14:textFill>
        </w:rPr>
        <w:t>液池半径，</w:t>
      </w:r>
      <w:r>
        <w:rPr>
          <w:color w:val="000000" w:themeColor="text1"/>
          <w:spacing w:val="4"/>
          <w:sz w:val="24"/>
          <w:szCs w:val="24"/>
          <w14:textFill>
            <w14:solidFill>
              <w14:schemeClr w14:val="tx1"/>
            </w14:solidFill>
          </w14:textFill>
        </w:rPr>
        <w:t>m</w:t>
      </w:r>
      <w:r>
        <w:rPr>
          <w:rFonts w:hint="eastAsia"/>
          <w:color w:val="000000" w:themeColor="text1"/>
          <w:spacing w:val="4"/>
          <w:sz w:val="24"/>
          <w:szCs w:val="24"/>
          <w14:textFill>
            <w14:solidFill>
              <w14:schemeClr w14:val="tx1"/>
            </w14:solidFill>
          </w14:textFill>
        </w:rPr>
        <w:t>，取6m。</w:t>
      </w:r>
    </w:p>
    <w:p w14:paraId="59D33433">
      <w:pPr>
        <w:pStyle w:val="128"/>
        <w:spacing w:before="72" w:after="48"/>
        <w:rPr>
          <w:sz w:val="24"/>
          <w:szCs w:val="24"/>
        </w:rPr>
      </w:pPr>
      <w:r>
        <w:rPr>
          <w:sz w:val="24"/>
          <w:szCs w:val="24"/>
        </w:rPr>
        <w:t>表</w:t>
      </w:r>
      <w:r>
        <w:rPr>
          <w:sz w:val="24"/>
          <w:szCs w:val="24"/>
        </w:rPr>
        <w:fldChar w:fldCharType="begin"/>
      </w:r>
      <w:r>
        <w:rPr>
          <w:sz w:val="24"/>
          <w:szCs w:val="24"/>
        </w:rPr>
        <w:instrText xml:space="preserve"> STYLEREF 2 \s </w:instrText>
      </w:r>
      <w:r>
        <w:rPr>
          <w:sz w:val="24"/>
          <w:szCs w:val="24"/>
        </w:rPr>
        <w:fldChar w:fldCharType="separate"/>
      </w:r>
      <w:r>
        <w:rPr>
          <w:sz w:val="24"/>
          <w:szCs w:val="24"/>
        </w:rPr>
        <w:t>4.2</w:t>
      </w:r>
      <w:r>
        <w:rPr>
          <w:sz w:val="24"/>
          <w:szCs w:val="24"/>
        </w:rPr>
        <w:fldChar w:fldCharType="end"/>
      </w:r>
      <w:r>
        <w:rPr>
          <w:sz w:val="24"/>
          <w:szCs w:val="24"/>
        </w:rPr>
        <w:noBreakHyphen/>
      </w:r>
      <w:r>
        <w:rPr>
          <w:sz w:val="24"/>
          <w:szCs w:val="24"/>
        </w:rPr>
        <w:fldChar w:fldCharType="begin"/>
      </w:r>
      <w:r>
        <w:rPr>
          <w:sz w:val="24"/>
          <w:szCs w:val="24"/>
        </w:rPr>
        <w:instrText xml:space="preserve"> SEQ 表格 \* ARABIC \s 2 </w:instrText>
      </w:r>
      <w:r>
        <w:rPr>
          <w:sz w:val="24"/>
          <w:szCs w:val="24"/>
        </w:rPr>
        <w:fldChar w:fldCharType="separate"/>
      </w:r>
      <w:r>
        <w:rPr>
          <w:sz w:val="24"/>
          <w:szCs w:val="24"/>
        </w:rPr>
        <w:t>4</w:t>
      </w:r>
      <w:r>
        <w:rPr>
          <w:sz w:val="24"/>
          <w:szCs w:val="24"/>
        </w:rPr>
        <w:fldChar w:fldCharType="end"/>
      </w:r>
      <w:r>
        <w:rPr>
          <w:rFonts w:hint="eastAsia"/>
          <w:sz w:val="24"/>
          <w:szCs w:val="24"/>
        </w:rPr>
        <w:t>液池蒸发模式参数</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10"/>
        <w:gridCol w:w="4408"/>
        <w:gridCol w:w="3210"/>
      </w:tblGrid>
      <w:tr w14:paraId="1D5F4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14C07407">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稳定度</w:t>
            </w:r>
          </w:p>
        </w:tc>
        <w:tc>
          <w:tcPr>
            <w:tcW w:w="2289" w:type="pct"/>
            <w:vAlign w:val="center"/>
          </w:tcPr>
          <w:p w14:paraId="035CDADB">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a</w:t>
            </w:r>
          </w:p>
        </w:tc>
        <w:tc>
          <w:tcPr>
            <w:tcW w:w="1667" w:type="pct"/>
            <w:vAlign w:val="center"/>
          </w:tcPr>
          <w:p w14:paraId="19C9916B">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n</w:t>
            </w:r>
          </w:p>
        </w:tc>
      </w:tr>
      <w:tr w14:paraId="3BBEC6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8" w:hRule="atLeast"/>
          <w:jc w:val="center"/>
        </w:trPr>
        <w:tc>
          <w:tcPr>
            <w:tcW w:w="1044" w:type="pct"/>
            <w:vAlign w:val="center"/>
          </w:tcPr>
          <w:p w14:paraId="1DDD80A3">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不稳定（A,B）</w:t>
            </w:r>
          </w:p>
        </w:tc>
        <w:tc>
          <w:tcPr>
            <w:tcW w:w="2289" w:type="pct"/>
            <w:vAlign w:val="center"/>
          </w:tcPr>
          <w:p w14:paraId="0E22BF55">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default"/>
                <w:color w:val="000000" w:themeColor="text1"/>
                <w:sz w:val="24"/>
                <w:szCs w:val="24"/>
                <w14:textFill>
                  <w14:solidFill>
                    <w14:schemeClr w14:val="tx1"/>
                  </w14:solidFill>
                </w14:textFill>
              </w:rPr>
              <w:t>.846×10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2C40AE19">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12</w:t>
            </w:r>
          </w:p>
        </w:tc>
      </w:tr>
      <w:tr w14:paraId="3CCF4B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25F52786">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中性（D）</w:t>
            </w:r>
          </w:p>
        </w:tc>
        <w:tc>
          <w:tcPr>
            <w:tcW w:w="2289" w:type="pct"/>
            <w:vAlign w:val="center"/>
          </w:tcPr>
          <w:p w14:paraId="59663C93">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default"/>
                <w:color w:val="000000" w:themeColor="text1"/>
                <w:sz w:val="24"/>
                <w:szCs w:val="24"/>
                <w14:textFill>
                  <w14:solidFill>
                    <w14:schemeClr w14:val="tx1"/>
                  </w14:solidFill>
                </w14:textFill>
              </w:rPr>
              <w:t>.685×10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71642068">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131</w:t>
            </w:r>
          </w:p>
        </w:tc>
      </w:tr>
      <w:tr w14:paraId="625DF7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715D9DBA">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稳定（E,F）</w:t>
            </w:r>
          </w:p>
        </w:tc>
        <w:tc>
          <w:tcPr>
            <w:tcW w:w="2289" w:type="pct"/>
            <w:vAlign w:val="center"/>
          </w:tcPr>
          <w:p w14:paraId="7ED63685">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default"/>
                <w:color w:val="000000" w:themeColor="text1"/>
                <w:sz w:val="24"/>
                <w:szCs w:val="24"/>
                <w14:textFill>
                  <w14:solidFill>
                    <w14:schemeClr w14:val="tx1"/>
                  </w14:solidFill>
                </w14:textFill>
              </w:rPr>
              <w:t>.285×10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79321D0B">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15</w:t>
            </w:r>
          </w:p>
        </w:tc>
      </w:tr>
    </w:tbl>
    <w:p w14:paraId="3ED32793">
      <w:pPr>
        <w:pStyle w:val="132"/>
        <w:pageBreakBefore w:val="0"/>
        <w:kinsoku/>
        <w:wordWrap/>
        <w:overflowPunct/>
        <w:topLinePunct w:val="0"/>
        <w:bidi w:val="0"/>
        <w:spacing w:line="360" w:lineRule="auto"/>
        <w:ind w:firstLine="496"/>
        <w:textAlignment w:val="auto"/>
        <w:rPr>
          <w:rFonts w:hint="eastAsia"/>
          <w:color w:val="000000" w:themeColor="text1"/>
          <w:spacing w:val="4"/>
          <w:sz w:val="24"/>
          <w:szCs w:val="24"/>
          <w14:textFill>
            <w14:solidFill>
              <w14:schemeClr w14:val="tx1"/>
            </w14:solidFill>
          </w14:textFill>
        </w:rPr>
      </w:pPr>
      <w:r>
        <w:rPr>
          <w:rFonts w:hint="eastAsia"/>
          <w:color w:val="000000" w:themeColor="text1"/>
          <w:spacing w:val="4"/>
          <w:sz w:val="24"/>
          <w:szCs w:val="24"/>
          <w14:textFill>
            <w14:solidFill>
              <w14:schemeClr w14:val="tx1"/>
            </w14:solidFill>
          </w14:textFill>
        </w:rPr>
        <w:t>按最不利气象条件（F稳定度，1</w:t>
      </w:r>
      <w:r>
        <w:rPr>
          <w:color w:val="000000" w:themeColor="text1"/>
          <w:spacing w:val="4"/>
          <w:sz w:val="24"/>
          <w:szCs w:val="24"/>
          <w14:textFill>
            <w14:solidFill>
              <w14:schemeClr w14:val="tx1"/>
            </w14:solidFill>
          </w14:textFill>
        </w:rPr>
        <w:t>.5</w:t>
      </w:r>
      <w:r>
        <w:rPr>
          <w:rFonts w:hint="eastAsia"/>
          <w:color w:val="000000" w:themeColor="text1"/>
          <w:spacing w:val="4"/>
          <w:sz w:val="24"/>
          <w:szCs w:val="24"/>
          <w14:textFill>
            <w14:solidFill>
              <w14:schemeClr w14:val="tx1"/>
            </w14:solidFill>
          </w14:textFill>
        </w:rPr>
        <w:t>m风速）计算得</w:t>
      </w:r>
      <w:r>
        <w:rPr>
          <w:color w:val="000000" w:themeColor="text1"/>
          <w:spacing w:val="4"/>
          <w:sz w:val="24"/>
          <w:szCs w:val="24"/>
          <w14:textFill>
            <w14:solidFill>
              <w14:schemeClr w14:val="tx1"/>
            </w14:solidFill>
          </w14:textFill>
        </w:rPr>
        <w:t>Q</w:t>
      </w:r>
      <w:r>
        <w:rPr>
          <w:color w:val="000000" w:themeColor="text1"/>
          <w:spacing w:val="4"/>
          <w:sz w:val="24"/>
          <w:szCs w:val="24"/>
          <w:vertAlign w:val="subscript"/>
          <w14:textFill>
            <w14:solidFill>
              <w14:schemeClr w14:val="tx1"/>
            </w14:solidFill>
          </w14:textFill>
        </w:rPr>
        <w:t>3</w:t>
      </w:r>
      <w:r>
        <w:rPr>
          <w:rFonts w:hint="eastAsia"/>
          <w:color w:val="000000" w:themeColor="text1"/>
          <w:spacing w:val="4"/>
          <w:sz w:val="24"/>
          <w:szCs w:val="24"/>
          <w14:textFill>
            <w14:solidFill>
              <w14:schemeClr w14:val="tx1"/>
            </w14:solidFill>
          </w14:textFill>
        </w:rPr>
        <w:t>为0</w:t>
      </w:r>
      <w:r>
        <w:rPr>
          <w:color w:val="000000" w:themeColor="text1"/>
          <w:spacing w:val="4"/>
          <w:sz w:val="24"/>
          <w:szCs w:val="24"/>
          <w14:textFill>
            <w14:solidFill>
              <w14:schemeClr w14:val="tx1"/>
            </w14:solidFill>
          </w14:textFill>
        </w:rPr>
        <w:t>.0</w:t>
      </w:r>
      <w:r>
        <w:rPr>
          <w:rFonts w:hint="eastAsia"/>
          <w:color w:val="000000" w:themeColor="text1"/>
          <w:spacing w:val="4"/>
          <w:sz w:val="24"/>
          <w:szCs w:val="24"/>
          <w:lang w:val="en-US" w:eastAsia="zh-CN"/>
          <w14:textFill>
            <w14:solidFill>
              <w14:schemeClr w14:val="tx1"/>
            </w14:solidFill>
          </w14:textFill>
        </w:rPr>
        <w:t>075</w:t>
      </w:r>
      <w:r>
        <w:rPr>
          <w:rFonts w:hint="eastAsia"/>
          <w:color w:val="000000" w:themeColor="text1"/>
          <w:spacing w:val="4"/>
          <w:sz w:val="24"/>
          <w:szCs w:val="24"/>
          <w14:textFill>
            <w14:solidFill>
              <w14:schemeClr w14:val="tx1"/>
            </w14:solidFill>
          </w14:textFill>
        </w:rPr>
        <w:t xml:space="preserve"> kg</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s。</w:t>
      </w:r>
    </w:p>
    <w:p w14:paraId="1FD703BA">
      <w:pPr>
        <w:pStyle w:val="8"/>
        <w:pageBreakBefore w:val="0"/>
        <w:kinsoku/>
        <w:wordWrap/>
        <w:overflowPunct/>
        <w:topLinePunct w:val="0"/>
        <w:bidi w:val="0"/>
        <w:spacing w:before="0" w:after="0" w:line="360" w:lineRule="auto"/>
        <w:textAlignment w:val="auto"/>
        <w:rPr>
          <w:sz w:val="24"/>
          <w:szCs w:val="24"/>
        </w:rPr>
      </w:pPr>
      <w:r>
        <w:rPr>
          <w:rFonts w:hint="eastAsia"/>
          <w:sz w:val="24"/>
          <w:szCs w:val="24"/>
          <w:lang w:val="en-US" w:eastAsia="zh-CN"/>
        </w:rPr>
        <w:t>4.2.4</w:t>
      </w:r>
      <w:r>
        <w:rPr>
          <w:rFonts w:hint="eastAsia"/>
          <w:sz w:val="24"/>
          <w:szCs w:val="24"/>
        </w:rPr>
        <w:t>火灾爆炸次生大气污染源强分析</w:t>
      </w:r>
    </w:p>
    <w:p w14:paraId="5B548B57">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根据HJ169-2018，采用火灾伴生/次生一氧化碳计算公式，公式如下：</w:t>
      </w:r>
    </w:p>
    <w:p w14:paraId="588E7125">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lang w:eastAsia="en-US"/>
          <w14:textFill>
            <w14:solidFill>
              <w14:schemeClr w14:val="tx1"/>
            </w14:solidFill>
          </w14:textFill>
        </w:rPr>
      </w:pPr>
      <m:oMathPara>
        <m:oMath>
          <m:sSub>
            <m:sSubPr>
              <m:ctrlPr>
                <w:rPr>
                  <w:rFonts w:ascii="Cambria Math" w:hAnsi="Cambria Math" w:cs="Times New Roman"/>
                  <w:bCs/>
                  <w:i/>
                  <w:color w:val="000000" w:themeColor="text1"/>
                  <w:sz w:val="24"/>
                  <w:szCs w:val="24"/>
                  <w:lang w:eastAsia="en-US"/>
                  <w14:textFill>
                    <w14:solidFill>
                      <w14:schemeClr w14:val="tx1"/>
                    </w14:solidFill>
                  </w14:textFill>
                </w:rPr>
              </m:ctrlPr>
            </m:sSubPr>
            <m:e>
              <m:r>
                <m:rPr/>
                <w:rPr>
                  <w:rFonts w:ascii="Cambria Math" w:hAnsi="Cambria Math" w:cs="Times New Roman"/>
                  <w:color w:val="000000" w:themeColor="text1"/>
                  <w:sz w:val="24"/>
                  <w:szCs w:val="24"/>
                  <w:lang w:eastAsia="en-US"/>
                  <w14:textFill>
                    <w14:solidFill>
                      <w14:schemeClr w14:val="tx1"/>
                    </w14:solidFill>
                  </w14:textFill>
                </w:rPr>
                <m:t>G</m:t>
              </m:r>
              <m:ctrlPr>
                <w:rPr>
                  <w:rFonts w:ascii="Cambria Math" w:hAnsi="Cambria Math" w:cs="Times New Roman"/>
                  <w:bCs/>
                  <w:i/>
                  <w:color w:val="000000" w:themeColor="text1"/>
                  <w:sz w:val="24"/>
                  <w:szCs w:val="24"/>
                  <w:lang w:eastAsia="en-US"/>
                  <w14:textFill>
                    <w14:solidFill>
                      <w14:schemeClr w14:val="tx1"/>
                    </w14:solidFill>
                  </w14:textFill>
                </w:rPr>
              </m:ctrlPr>
            </m:e>
            <m:sub>
              <m:r>
                <m:rPr/>
                <w:rPr>
                  <w:rFonts w:ascii="Cambria Math" w:hAnsi="Cambria Math" w:cs="Times New Roman"/>
                  <w:color w:val="000000" w:themeColor="text1"/>
                  <w:sz w:val="24"/>
                  <w:szCs w:val="24"/>
                  <w:lang w:eastAsia="en-US"/>
                  <w14:textFill>
                    <w14:solidFill>
                      <w14:schemeClr w14:val="tx1"/>
                    </w14:solidFill>
                  </w14:textFill>
                </w:rPr>
                <m:t>一氧化碳</m:t>
              </m:r>
              <m:ctrlPr>
                <w:rPr>
                  <w:rFonts w:ascii="Cambria Math" w:hAnsi="Cambria Math" w:cs="Times New Roman"/>
                  <w:bCs/>
                  <w:i/>
                  <w:color w:val="000000" w:themeColor="text1"/>
                  <w:sz w:val="24"/>
                  <w:szCs w:val="24"/>
                  <w:lang w:eastAsia="en-US"/>
                  <w14:textFill>
                    <w14:solidFill>
                      <w14:schemeClr w14:val="tx1"/>
                    </w14:solidFill>
                  </w14:textFill>
                </w:rPr>
              </m:ctrlPr>
            </m:sub>
          </m:sSub>
          <m:r>
            <m:rPr/>
            <w:rPr>
              <w:rFonts w:ascii="Cambria Math" w:hAnsi="Cambria Math" w:cs="Times New Roman"/>
              <w:color w:val="000000" w:themeColor="text1"/>
              <w:sz w:val="24"/>
              <w:szCs w:val="24"/>
              <w:lang w:eastAsia="en-US"/>
              <w14:textFill>
                <w14:solidFill>
                  <w14:schemeClr w14:val="tx1"/>
                </w14:solidFill>
              </w14:textFill>
            </w:rPr>
            <m:t>=2330qCQ</m:t>
          </m:r>
        </m:oMath>
      </m:oMathPara>
    </w:p>
    <w:p w14:paraId="18D1151E">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式中：G—一氧化碳的产生量，kg/s；</w:t>
      </w:r>
    </w:p>
    <w:p w14:paraId="0FB22AA8">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C—物质中碳的含量，</w:t>
      </w:r>
    </w:p>
    <w:p w14:paraId="7DC4DD6A">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q—化学不完全燃烧值，取值1.5~6.0%；</w:t>
      </w:r>
    </w:p>
    <w:p w14:paraId="0B81947F">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Q—参与燃烧的物质量，t/s。</w:t>
      </w:r>
    </w:p>
    <w:p w14:paraId="40DC50C9">
      <w:pPr>
        <w:pageBreakBefore w:val="0"/>
        <w:kinsoku/>
        <w:wordWrap/>
        <w:overflowPunct/>
        <w:topLinePunct w:val="0"/>
        <w:bidi w:val="0"/>
        <w:spacing w:line="360" w:lineRule="auto"/>
        <w:ind w:firstLine="482"/>
        <w:textAlignment w:val="auto"/>
        <w:rPr>
          <w:rFonts w:hint="eastAsia"/>
          <w:color w:val="000000" w:themeColor="text1"/>
          <w:spacing w:val="4"/>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依据上述公式，C取值90%，q取值</w:t>
      </w:r>
      <w:r>
        <w:rPr>
          <w:rFonts w:hint="eastAsia" w:ascii="Times New Roman" w:hAnsi="Times New Roman" w:cs="Times New Roman"/>
          <w:bCs/>
          <w:color w:val="000000" w:themeColor="text1"/>
          <w:sz w:val="24"/>
          <w:szCs w:val="24"/>
          <w14:textFill>
            <w14:solidFill>
              <w14:schemeClr w14:val="tx1"/>
            </w14:solidFill>
          </w14:textFill>
        </w:rPr>
        <w:t>6%</w:t>
      </w:r>
      <w:r>
        <w:rPr>
          <w:rFonts w:ascii="Times New Roman" w:hAnsi="Times New Roman" w:cs="Times New Roman"/>
          <w:bCs/>
          <w:color w:val="000000" w:themeColor="text1"/>
          <w:sz w:val="24"/>
          <w:szCs w:val="24"/>
          <w14:textFill>
            <w14:solidFill>
              <w14:schemeClr w14:val="tx1"/>
            </w14:solidFill>
          </w14:textFill>
        </w:rPr>
        <w:t>，Q取值</w:t>
      </w:r>
      <w:r>
        <w:rPr>
          <w:rFonts w:hint="eastAsia" w:cs="Times New Roman"/>
          <w:bCs/>
          <w:color w:val="000000" w:themeColor="text1"/>
          <w:sz w:val="24"/>
          <w:szCs w:val="24"/>
          <w:lang w:val="en-US" w:eastAsia="zh-CN"/>
          <w14:textFill>
            <w14:solidFill>
              <w14:schemeClr w14:val="tx1"/>
            </w14:solidFill>
          </w14:textFill>
        </w:rPr>
        <w:t>0.0075</w:t>
      </w:r>
      <w:r>
        <w:rPr>
          <w:rFonts w:ascii="Times New Roman" w:hAnsi="Times New Roman" w:cs="Times New Roman"/>
          <w:bCs/>
          <w:color w:val="000000" w:themeColor="text1"/>
          <w:sz w:val="24"/>
          <w:szCs w:val="24"/>
          <w14:textFill>
            <w14:solidFill>
              <w14:schemeClr w14:val="tx1"/>
            </w14:solidFill>
          </w14:textFill>
        </w:rPr>
        <w:t>kg/s，由此计算出CO的产生量为</w:t>
      </w:r>
      <w:r>
        <w:rPr>
          <w:rFonts w:hint="eastAsia" w:cs="Times New Roman"/>
          <w:bCs/>
          <w:color w:val="000000" w:themeColor="text1"/>
          <w:sz w:val="24"/>
          <w:szCs w:val="24"/>
          <w:lang w:val="en-US" w:eastAsia="zh-CN"/>
          <w14:textFill>
            <w14:solidFill>
              <w14:schemeClr w14:val="tx1"/>
            </w14:solidFill>
          </w14:textFill>
        </w:rPr>
        <w:t>0.0094</w:t>
      </w:r>
      <w:r>
        <w:rPr>
          <w:rFonts w:ascii="Times New Roman" w:hAnsi="Times New Roman" w:cs="Times New Roman"/>
          <w:bCs/>
          <w:color w:val="000000" w:themeColor="text1"/>
          <w:sz w:val="24"/>
          <w:szCs w:val="24"/>
          <w14:textFill>
            <w14:solidFill>
              <w14:schemeClr w14:val="tx1"/>
            </w14:solidFill>
          </w14:textFill>
        </w:rPr>
        <w:t>kg/s。</w:t>
      </w:r>
    </w:p>
    <w:p w14:paraId="4D9023E9">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4.2.5</w:t>
      </w:r>
      <w:r>
        <w:rPr>
          <w:rFonts w:hint="eastAsia"/>
          <w:sz w:val="24"/>
          <w:szCs w:val="24"/>
          <w:lang w:eastAsia="zh-CN"/>
        </w:rPr>
        <w:t>盐酸</w:t>
      </w:r>
      <w:r>
        <w:rPr>
          <w:sz w:val="24"/>
          <w:szCs w:val="24"/>
        </w:rPr>
        <w:t>泄漏</w:t>
      </w:r>
      <w:r>
        <w:rPr>
          <w:rFonts w:hint="eastAsia"/>
          <w:sz w:val="24"/>
          <w:szCs w:val="24"/>
        </w:rPr>
        <w:t>事故源强分析</w:t>
      </w:r>
    </w:p>
    <w:p w14:paraId="2E85DCE3">
      <w:pPr>
        <w:pStyle w:val="124"/>
        <w:pageBreakBefore w:val="0"/>
        <w:kinsoku/>
        <w:wordWrap/>
        <w:overflowPunct/>
        <w:topLinePunct w:val="0"/>
        <w:autoSpaceDE/>
        <w:autoSpaceDN/>
        <w:bidi w:val="0"/>
        <w:textAlignment w:val="auto"/>
        <w:rPr>
          <w:rFonts w:ascii="宋体" w:hAnsi="宋体"/>
          <w:sz w:val="24"/>
          <w:szCs w:val="24"/>
          <w:lang w:eastAsia="zh-CN"/>
        </w:rPr>
      </w:pPr>
      <w:r>
        <w:rPr>
          <w:rFonts w:hint="eastAsia" w:ascii="宋体" w:hAnsi="宋体"/>
          <w:sz w:val="24"/>
          <w:szCs w:val="24"/>
          <w:lang w:eastAsia="zh-CN"/>
        </w:rPr>
        <w:t>1、源强计算情景设定</w:t>
      </w:r>
    </w:p>
    <w:p w14:paraId="3C012239">
      <w:pPr>
        <w:spacing w:line="360" w:lineRule="auto"/>
        <w:ind w:firstLine="480" w:firstLineChars="200"/>
        <w:rPr>
          <w:sz w:val="24"/>
          <w:szCs w:val="24"/>
        </w:rPr>
      </w:pPr>
      <w:r>
        <w:rPr>
          <w:rFonts w:hint="eastAsia"/>
          <w:sz w:val="24"/>
          <w:szCs w:val="24"/>
        </w:rPr>
        <w:t>（1</w:t>
      </w:r>
      <w:r>
        <w:rPr>
          <w:sz w:val="24"/>
          <w:szCs w:val="24"/>
        </w:rPr>
        <w:t>）</w:t>
      </w:r>
      <w:r>
        <w:rPr>
          <w:rFonts w:hint="eastAsia"/>
          <w:sz w:val="24"/>
          <w:szCs w:val="24"/>
        </w:rPr>
        <w:t>泄漏量确定</w:t>
      </w:r>
    </w:p>
    <w:p w14:paraId="24A3B0CA">
      <w:pPr>
        <w:spacing w:line="360" w:lineRule="auto"/>
        <w:ind w:firstLine="480" w:firstLineChars="200"/>
        <w:rPr>
          <w:sz w:val="24"/>
          <w:szCs w:val="24"/>
        </w:rPr>
      </w:pPr>
      <w:r>
        <w:rPr>
          <w:rFonts w:hint="eastAsia"/>
          <w:sz w:val="24"/>
          <w:szCs w:val="24"/>
        </w:rPr>
        <w:t>厂区内</w:t>
      </w:r>
      <w:r>
        <w:rPr>
          <w:rFonts w:hint="eastAsia"/>
          <w:sz w:val="24"/>
          <w:szCs w:val="24"/>
          <w:lang w:eastAsia="zh-CN"/>
        </w:rPr>
        <w:t>盐酸</w:t>
      </w:r>
      <w:r>
        <w:rPr>
          <w:rFonts w:hint="eastAsia"/>
          <w:sz w:val="24"/>
          <w:szCs w:val="24"/>
        </w:rPr>
        <w:t>存储在罐区中，本次评价</w:t>
      </w:r>
      <w:r>
        <w:rPr>
          <w:rFonts w:hint="eastAsia"/>
          <w:sz w:val="24"/>
          <w:szCs w:val="24"/>
          <w:lang w:eastAsia="zh-CN"/>
        </w:rPr>
        <w:t>盐酸</w:t>
      </w:r>
      <w:r>
        <w:rPr>
          <w:rFonts w:hint="eastAsia"/>
          <w:sz w:val="24"/>
          <w:szCs w:val="24"/>
        </w:rPr>
        <w:t>储罐发生泄漏作为该厂区的风险事故源强。本次分析将</w:t>
      </w:r>
      <w:r>
        <w:rPr>
          <w:rFonts w:hint="eastAsia"/>
          <w:sz w:val="24"/>
          <w:szCs w:val="24"/>
          <w:lang w:eastAsia="zh-CN"/>
        </w:rPr>
        <w:t>盐酸</w:t>
      </w:r>
      <w:r>
        <w:rPr>
          <w:rFonts w:hint="eastAsia"/>
          <w:sz w:val="24"/>
          <w:szCs w:val="24"/>
        </w:rPr>
        <w:t>输送管线接头破裂和阀门螺丝松动造成泄漏归为一种情况，设定与</w:t>
      </w:r>
      <w:r>
        <w:rPr>
          <w:rFonts w:hint="eastAsia"/>
          <w:sz w:val="24"/>
          <w:szCs w:val="24"/>
          <w:lang w:eastAsia="zh-CN"/>
        </w:rPr>
        <w:t>盐酸</w:t>
      </w:r>
      <w:r>
        <w:rPr>
          <w:rFonts w:hint="eastAsia"/>
          <w:sz w:val="24"/>
          <w:szCs w:val="24"/>
        </w:rPr>
        <w:t>储罐相连接的管道发生泄漏，根据《建设项目环境风险评价技术导则》（</w:t>
      </w:r>
      <w:r>
        <w:rPr>
          <w:sz w:val="24"/>
          <w:szCs w:val="24"/>
        </w:rPr>
        <w:t>(HJ/T169-2018)</w:t>
      </w:r>
      <w:r>
        <w:rPr>
          <w:rFonts w:hint="eastAsia"/>
          <w:sz w:val="24"/>
          <w:szCs w:val="24"/>
        </w:rPr>
        <w:t>附录</w:t>
      </w:r>
      <w:r>
        <w:rPr>
          <w:rFonts w:hint="eastAsia"/>
          <w:sz w:val="24"/>
          <w:szCs w:val="24"/>
          <w:lang w:val="en-US" w:eastAsia="zh-CN"/>
        </w:rPr>
        <w:t>F</w:t>
      </w:r>
      <w:r>
        <w:rPr>
          <w:sz w:val="24"/>
          <w:szCs w:val="24"/>
        </w:rPr>
        <w:t xml:space="preserve"> 中管道泄露的尺寸按照管径的100%计算。</w:t>
      </w:r>
      <w:r>
        <w:rPr>
          <w:rFonts w:hint="eastAsia"/>
          <w:sz w:val="24"/>
          <w:szCs w:val="24"/>
        </w:rPr>
        <w:t>假定储罐泄漏后，操作人员在</w:t>
      </w:r>
      <w:r>
        <w:rPr>
          <w:sz w:val="24"/>
          <w:szCs w:val="24"/>
        </w:rPr>
        <w:t>10min内使储罐泄漏得到控制，并采取有效的收集措施</w:t>
      </w:r>
      <w:r>
        <w:rPr>
          <w:rFonts w:hint="eastAsia"/>
          <w:sz w:val="24"/>
          <w:szCs w:val="24"/>
        </w:rPr>
        <w:t>。</w:t>
      </w:r>
    </w:p>
    <w:p w14:paraId="14BD32D8">
      <w:pPr>
        <w:spacing w:line="360" w:lineRule="auto"/>
        <w:ind w:firstLine="480" w:firstLineChars="200"/>
        <w:rPr>
          <w:sz w:val="24"/>
          <w:szCs w:val="24"/>
        </w:rPr>
      </w:pPr>
      <w:r>
        <w:rPr>
          <w:rFonts w:hint="eastAsia"/>
          <w:sz w:val="24"/>
          <w:szCs w:val="24"/>
          <w:lang w:eastAsia="zh-CN"/>
        </w:rPr>
        <w:t>盐酸</w:t>
      </w:r>
      <w:r>
        <w:rPr>
          <w:rFonts w:hint="eastAsia"/>
          <w:sz w:val="24"/>
          <w:szCs w:val="24"/>
        </w:rPr>
        <w:t>储存状态为液态，其泄漏速率采用《建设项目环境风险评价导则》</w:t>
      </w:r>
      <w:r>
        <w:rPr>
          <w:sz w:val="24"/>
          <w:szCs w:val="24"/>
        </w:rPr>
        <w:t>(HJ/T169-2018)</w:t>
      </w:r>
      <w:r>
        <w:rPr>
          <w:rFonts w:hint="eastAsia"/>
          <w:sz w:val="24"/>
          <w:szCs w:val="24"/>
        </w:rPr>
        <w:t>附录</w:t>
      </w:r>
      <w:r>
        <w:rPr>
          <w:sz w:val="24"/>
          <w:szCs w:val="24"/>
        </w:rPr>
        <w:t>A 中推荐的液体泄漏速率公式进行估算，泄漏量按下面公式计算</w:t>
      </w:r>
      <w:r>
        <w:rPr>
          <w:rFonts w:hint="eastAsia"/>
          <w:sz w:val="24"/>
          <w:szCs w:val="24"/>
        </w:rPr>
        <w:t>：</w:t>
      </w:r>
    </w:p>
    <w:p w14:paraId="26A92F06">
      <w:pPr>
        <w:ind w:firstLine="482"/>
        <w:jc w:val="center"/>
        <w:rPr>
          <w:color w:val="FF0000"/>
          <w:sz w:val="24"/>
          <w:szCs w:val="24"/>
        </w:rPr>
      </w:pPr>
      <w:r>
        <w:rPr>
          <w:color w:val="FF0000"/>
          <w:sz w:val="24"/>
          <w:szCs w:val="24"/>
        </w:rPr>
        <w:drawing>
          <wp:inline distT="0" distB="0" distL="0" distR="0">
            <wp:extent cx="2171700" cy="4381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1"/>
                    <a:stretch>
                      <a:fillRect/>
                    </a:stretch>
                  </pic:blipFill>
                  <pic:spPr>
                    <a:xfrm>
                      <a:off x="0" y="0"/>
                      <a:ext cx="2171700" cy="438150"/>
                    </a:xfrm>
                    <a:prstGeom prst="rect">
                      <a:avLst/>
                    </a:prstGeom>
                  </pic:spPr>
                </pic:pic>
              </a:graphicData>
            </a:graphic>
          </wp:inline>
        </w:drawing>
      </w:r>
    </w:p>
    <w:p w14:paraId="0CF02298">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式中：</w:t>
      </w:r>
      <w:r>
        <w:rPr>
          <w:i/>
          <w:iCs/>
          <w:color w:val="000000" w:themeColor="text1"/>
          <w:sz w:val="24"/>
          <w:szCs w:val="24"/>
          <w14:textFill>
            <w14:solidFill>
              <w14:schemeClr w14:val="tx1"/>
            </w14:solidFill>
          </w14:textFill>
        </w:rPr>
        <w:t xml:space="preserve">L Q </w:t>
      </w:r>
      <w:r>
        <w:rPr>
          <w:color w:val="000000" w:themeColor="text1"/>
          <w:sz w:val="24"/>
          <w:szCs w:val="24"/>
          <w14:textFill>
            <w14:solidFill>
              <w14:schemeClr w14:val="tx1"/>
            </w14:solidFill>
          </w14:textFill>
        </w:rPr>
        <w:t>——液体泄漏速度，kg/s；</w:t>
      </w:r>
    </w:p>
    <w:p w14:paraId="4CCC532C">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Cd </w:t>
      </w:r>
      <w:r>
        <w:rPr>
          <w:color w:val="000000" w:themeColor="text1"/>
          <w:sz w:val="24"/>
          <w:szCs w:val="24"/>
          <w14:textFill>
            <w14:solidFill>
              <w14:schemeClr w14:val="tx1"/>
            </w14:solidFill>
          </w14:textFill>
        </w:rPr>
        <w:t>——液体泄漏系数；</w:t>
      </w:r>
      <w:r>
        <w:rPr>
          <w:rFonts w:hint="eastAsia"/>
          <w:color w:val="000000" w:themeColor="text1"/>
          <w:sz w:val="24"/>
          <w:szCs w:val="24"/>
          <w14:textFill>
            <w14:solidFill>
              <w14:schemeClr w14:val="tx1"/>
            </w14:solidFill>
          </w14:textFill>
        </w:rPr>
        <w:t>取0</w:t>
      </w:r>
      <w:r>
        <w:rPr>
          <w:color w:val="000000" w:themeColor="text1"/>
          <w:sz w:val="24"/>
          <w:szCs w:val="24"/>
          <w14:textFill>
            <w14:solidFill>
              <w14:schemeClr w14:val="tx1"/>
            </w14:solidFill>
          </w14:textFill>
        </w:rPr>
        <w:t>.62</w:t>
      </w:r>
      <w:r>
        <w:rPr>
          <w:rFonts w:hint="eastAsia"/>
          <w:color w:val="000000" w:themeColor="text1"/>
          <w:sz w:val="24"/>
          <w:szCs w:val="24"/>
          <w14:textFill>
            <w14:solidFill>
              <w14:schemeClr w14:val="tx1"/>
            </w14:solidFill>
          </w14:textFill>
        </w:rPr>
        <w:t>；</w:t>
      </w:r>
    </w:p>
    <w:p w14:paraId="39E38351">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A </w:t>
      </w:r>
      <w:r>
        <w:rPr>
          <w:color w:val="000000" w:themeColor="text1"/>
          <w:sz w:val="24"/>
          <w:szCs w:val="24"/>
          <w14:textFill>
            <w14:solidFill>
              <w14:schemeClr w14:val="tx1"/>
            </w14:solidFill>
          </w14:textFill>
        </w:rPr>
        <w:t>——裂口面积，m</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w:t>
      </w:r>
    </w:p>
    <w:p w14:paraId="3B46EFCE">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P </w:t>
      </w:r>
      <w:r>
        <w:rPr>
          <w:color w:val="000000" w:themeColor="text1"/>
          <w:sz w:val="24"/>
          <w:szCs w:val="24"/>
          <w14:textFill>
            <w14:solidFill>
              <w14:schemeClr w14:val="tx1"/>
            </w14:solidFill>
          </w14:textFill>
        </w:rPr>
        <w:t>——容器内介质压力</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P</w:t>
      </w:r>
      <w:r>
        <w:rPr>
          <w:rFonts w:hint="eastAsia"/>
          <w:color w:val="000000" w:themeColor="text1"/>
          <w:sz w:val="24"/>
          <w:szCs w:val="24"/>
          <w14:textFill>
            <w14:solidFill>
              <w14:schemeClr w14:val="tx1"/>
            </w14:solidFill>
          </w14:textFill>
        </w:rPr>
        <w:t>a；</w:t>
      </w:r>
    </w:p>
    <w:p w14:paraId="71003F29">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P</w:t>
      </w:r>
      <w:r>
        <w:rPr>
          <w:i/>
          <w:iCs/>
          <w:color w:val="000000" w:themeColor="text1"/>
          <w:sz w:val="24"/>
          <w:szCs w:val="24"/>
          <w:vertAlign w:val="subscript"/>
          <w14:textFill>
            <w14:solidFill>
              <w14:schemeClr w14:val="tx1"/>
            </w14:solidFill>
          </w14:textFill>
        </w:rPr>
        <w:t>0</w:t>
      </w:r>
      <w:r>
        <w:rPr>
          <w:color w:val="000000" w:themeColor="text1"/>
          <w:sz w:val="24"/>
          <w:szCs w:val="24"/>
          <w14:textFill>
            <w14:solidFill>
              <w14:schemeClr w14:val="tx1"/>
            </w14:solidFill>
          </w14:textFill>
        </w:rPr>
        <w:t>——环境压力，Pa；</w:t>
      </w:r>
    </w:p>
    <w:p w14:paraId="6AC30781">
      <w:pPr>
        <w:spacing w:line="360" w:lineRule="auto"/>
        <w:ind w:firstLine="480" w:firstLineChars="200"/>
        <w:rPr>
          <w:color w:val="000000" w:themeColor="text1"/>
          <w:sz w:val="24"/>
          <w:szCs w:val="24"/>
          <w14:textFill>
            <w14:solidFill>
              <w14:schemeClr w14:val="tx1"/>
            </w14:solidFill>
          </w14:textFill>
        </w:rPr>
      </w:pPr>
      <w:r>
        <w:rPr>
          <w:i/>
          <w:iCs/>
          <w:color w:val="000000" w:themeColor="text1"/>
          <w:sz w:val="24"/>
          <w:szCs w:val="24"/>
          <w14:textFill>
            <w14:solidFill>
              <w14:schemeClr w14:val="tx1"/>
            </w14:solidFill>
          </w14:textFill>
        </w:rPr>
        <w:t xml:space="preserve">g </w:t>
      </w:r>
      <w:r>
        <w:rPr>
          <w:color w:val="000000" w:themeColor="text1"/>
          <w:sz w:val="24"/>
          <w:szCs w:val="24"/>
          <w14:textFill>
            <w14:solidFill>
              <w14:schemeClr w14:val="tx1"/>
            </w14:solidFill>
          </w14:textFill>
        </w:rPr>
        <w:t>——重力加速度，9.8m/s</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w:t>
      </w:r>
    </w:p>
    <w:p w14:paraId="5EDAF9A7">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h——裂口之上液位高度，m</w:t>
      </w:r>
      <w:r>
        <w:rPr>
          <w:rFonts w:hint="eastAsia"/>
          <w:color w:val="000000" w:themeColor="text1"/>
          <w:sz w:val="24"/>
          <w:szCs w:val="24"/>
          <w14:textFill>
            <w14:solidFill>
              <w14:schemeClr w14:val="tx1"/>
            </w14:solidFill>
          </w14:textFill>
        </w:rPr>
        <w:t>；取</w:t>
      </w:r>
      <w:r>
        <w:rPr>
          <w:rFonts w:hint="eastAsia"/>
          <w:color w:val="000000" w:themeColor="text1"/>
          <w:sz w:val="24"/>
          <w:szCs w:val="24"/>
          <w:lang w:val="en-US" w:eastAsia="zh-CN"/>
          <w14:textFill>
            <w14:solidFill>
              <w14:schemeClr w14:val="tx1"/>
            </w14:solidFill>
          </w14:textFill>
        </w:rPr>
        <w:t>0.5</w:t>
      </w:r>
      <w:r>
        <w:rPr>
          <w:rFonts w:hint="eastAsia"/>
          <w:color w:val="000000" w:themeColor="text1"/>
          <w:sz w:val="24"/>
          <w:szCs w:val="24"/>
          <w14:textFill>
            <w14:solidFill>
              <w14:schemeClr w14:val="tx1"/>
            </w14:solidFill>
          </w14:textFill>
        </w:rPr>
        <w:t>m</w:t>
      </w:r>
      <w:r>
        <w:rPr>
          <w:color w:val="000000" w:themeColor="text1"/>
          <w:sz w:val="24"/>
          <w:szCs w:val="24"/>
          <w14:textFill>
            <w14:solidFill>
              <w14:schemeClr w14:val="tx1"/>
            </w14:solidFill>
          </w14:textFill>
        </w:rPr>
        <w:t>。</w:t>
      </w:r>
    </w:p>
    <w:p w14:paraId="395263AA">
      <w:pPr>
        <w:pStyle w:val="128"/>
        <w:spacing w:before="72" w:after="48"/>
        <w:jc w:val="both"/>
        <w:rPr>
          <w:color w:val="000000" w:themeColor="text1"/>
          <w:sz w:val="24"/>
          <w:szCs w:val="24"/>
          <w14:textFill>
            <w14:solidFill>
              <w14:schemeClr w14:val="tx1"/>
            </w14:solidFill>
          </w14:textFill>
        </w:rPr>
      </w:pPr>
    </w:p>
    <w:p w14:paraId="15FC9D72">
      <w:pPr>
        <w:pStyle w:val="128"/>
        <w:spacing w:before="72" w:after="48"/>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STYLEREF 2 \s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4.2</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noBreakHyphen/>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SEQ 表格 \* ARABIC \s 2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w:t>
      </w:r>
      <w:r>
        <w:rPr>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设定事故条件下的泄漏速率</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7"/>
        <w:gridCol w:w="661"/>
        <w:gridCol w:w="1133"/>
        <w:gridCol w:w="891"/>
        <w:gridCol w:w="1166"/>
        <w:gridCol w:w="1148"/>
        <w:gridCol w:w="684"/>
        <w:gridCol w:w="754"/>
        <w:gridCol w:w="871"/>
        <w:gridCol w:w="829"/>
        <w:gridCol w:w="658"/>
      </w:tblGrid>
      <w:tr w14:paraId="66D5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7ABE6845">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w:t>
            </w:r>
          </w:p>
          <w:p w14:paraId="1A14C0B7">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源</w:t>
            </w:r>
          </w:p>
        </w:tc>
        <w:tc>
          <w:tcPr>
            <w:tcW w:w="351" w:type="pct"/>
            <w:vAlign w:val="center"/>
          </w:tcPr>
          <w:p w14:paraId="3D8C11E2">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温度(K)</w:t>
            </w:r>
          </w:p>
        </w:tc>
        <w:tc>
          <w:tcPr>
            <w:tcW w:w="601" w:type="pct"/>
            <w:vAlign w:val="center"/>
          </w:tcPr>
          <w:p w14:paraId="440D35FE">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容器内压力(pa)</w:t>
            </w:r>
          </w:p>
        </w:tc>
        <w:tc>
          <w:tcPr>
            <w:tcW w:w="473" w:type="pct"/>
            <w:vAlign w:val="center"/>
          </w:tcPr>
          <w:p w14:paraId="09FEC688">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环境压力(pa)</w:t>
            </w:r>
          </w:p>
        </w:tc>
        <w:tc>
          <w:tcPr>
            <w:tcW w:w="619" w:type="pct"/>
            <w:vAlign w:val="center"/>
          </w:tcPr>
          <w:p w14:paraId="09669BD7">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裂口面积</w:t>
            </w:r>
          </w:p>
          <w:p w14:paraId="150EDD6F">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(m</w:t>
            </w:r>
            <w:r>
              <w:rPr>
                <w:rFonts w:hint="default"/>
                <w:sz w:val="24"/>
                <w:szCs w:val="24"/>
                <w:vertAlign w:val="superscript"/>
              </w:rPr>
              <w:t>2</w:t>
            </w:r>
            <w:r>
              <w:rPr>
                <w:rFonts w:hint="eastAsia"/>
                <w:sz w:val="24"/>
                <w:szCs w:val="24"/>
              </w:rPr>
              <w:t>)</w:t>
            </w:r>
          </w:p>
        </w:tc>
        <w:tc>
          <w:tcPr>
            <w:tcW w:w="609" w:type="pct"/>
            <w:vAlign w:val="center"/>
          </w:tcPr>
          <w:p w14:paraId="3B4922E3">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液体密度(kg/ m</w:t>
            </w:r>
            <w:r>
              <w:rPr>
                <w:rFonts w:hint="default"/>
                <w:sz w:val="24"/>
                <w:szCs w:val="24"/>
                <w:vertAlign w:val="superscript"/>
              </w:rPr>
              <w:t>3</w:t>
            </w:r>
            <w:r>
              <w:rPr>
                <w:rFonts w:hint="eastAsia"/>
                <w:sz w:val="24"/>
                <w:szCs w:val="24"/>
              </w:rPr>
              <w:t>)</w:t>
            </w:r>
          </w:p>
        </w:tc>
        <w:tc>
          <w:tcPr>
            <w:tcW w:w="363" w:type="pct"/>
            <w:vAlign w:val="center"/>
          </w:tcPr>
          <w:p w14:paraId="7F7BA138">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裂口形状</w:t>
            </w:r>
          </w:p>
        </w:tc>
        <w:tc>
          <w:tcPr>
            <w:tcW w:w="400" w:type="pct"/>
            <w:vAlign w:val="center"/>
          </w:tcPr>
          <w:p w14:paraId="7AB174C9">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液体泄漏系数</w:t>
            </w:r>
          </w:p>
        </w:tc>
        <w:tc>
          <w:tcPr>
            <w:tcW w:w="462" w:type="pct"/>
            <w:vAlign w:val="center"/>
          </w:tcPr>
          <w:p w14:paraId="162FAD60">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泄漏速率(kg/s)</w:t>
            </w:r>
          </w:p>
        </w:tc>
        <w:tc>
          <w:tcPr>
            <w:tcW w:w="440" w:type="pct"/>
            <w:vAlign w:val="center"/>
          </w:tcPr>
          <w:p w14:paraId="2FE44147">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泄漏持续时间</w:t>
            </w:r>
          </w:p>
          <w:p w14:paraId="78E19D22">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(min)</w:t>
            </w:r>
          </w:p>
        </w:tc>
        <w:tc>
          <w:tcPr>
            <w:tcW w:w="349" w:type="pct"/>
            <w:vAlign w:val="center"/>
          </w:tcPr>
          <w:p w14:paraId="1F41D770">
            <w:pPr>
              <w:pStyle w:val="127"/>
              <w:keepNext w:val="0"/>
              <w:keepLines w:val="0"/>
              <w:widowControl/>
              <w:suppressLineNumbers w:val="0"/>
              <w:spacing w:before="0" w:beforeAutospacing="0" w:after="0" w:afterAutospacing="0"/>
              <w:ind w:left="0" w:right="0"/>
              <w:rPr>
                <w:rFonts w:hint="default"/>
                <w:sz w:val="24"/>
                <w:szCs w:val="24"/>
              </w:rPr>
            </w:pPr>
            <w:r>
              <w:rPr>
                <w:rFonts w:hint="default"/>
                <w:sz w:val="24"/>
                <w:szCs w:val="24"/>
              </w:rPr>
              <w:t>泄漏量(t)</w:t>
            </w:r>
          </w:p>
        </w:tc>
      </w:tr>
      <w:tr w14:paraId="1F95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33" w:type="pct"/>
            <w:vAlign w:val="center"/>
          </w:tcPr>
          <w:p w14:paraId="49BD6054">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储罐</w:t>
            </w:r>
          </w:p>
        </w:tc>
        <w:tc>
          <w:tcPr>
            <w:tcW w:w="351" w:type="pct"/>
            <w:vAlign w:val="center"/>
          </w:tcPr>
          <w:p w14:paraId="75449073">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25</w:t>
            </w:r>
          </w:p>
        </w:tc>
        <w:tc>
          <w:tcPr>
            <w:tcW w:w="601" w:type="pct"/>
            <w:vAlign w:val="center"/>
          </w:tcPr>
          <w:p w14:paraId="600E79DD">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18000</w:t>
            </w:r>
          </w:p>
        </w:tc>
        <w:tc>
          <w:tcPr>
            <w:tcW w:w="473" w:type="pct"/>
            <w:vAlign w:val="center"/>
          </w:tcPr>
          <w:p w14:paraId="7DF23454">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18000</w:t>
            </w:r>
          </w:p>
        </w:tc>
        <w:tc>
          <w:tcPr>
            <w:tcW w:w="619" w:type="pct"/>
            <w:vAlign w:val="center"/>
          </w:tcPr>
          <w:p w14:paraId="06A82F76">
            <w:pPr>
              <w:pStyle w:val="127"/>
              <w:keepNext w:val="0"/>
              <w:keepLines w:val="0"/>
              <w:widowControl/>
              <w:suppressLineNumbers w:val="0"/>
              <w:spacing w:before="0" w:beforeAutospacing="0" w:after="0" w:afterAutospacing="0"/>
              <w:ind w:left="0" w:right="0"/>
              <w:rPr>
                <w:rFonts w:hint="eastAsia"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14:textFill>
                  <w14:solidFill>
                    <w14:schemeClr w14:val="tx1"/>
                  </w14:solidFill>
                </w14:textFill>
              </w:rPr>
              <w:t>000</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14:textFill>
                  <w14:solidFill>
                    <w14:schemeClr w14:val="tx1"/>
                  </w14:solidFill>
                </w14:textFill>
              </w:rPr>
              <w:t>200</w:t>
            </w:r>
            <w:r>
              <w:rPr>
                <w:rFonts w:hint="eastAsia"/>
                <w:color w:val="000000" w:themeColor="text1"/>
                <w:sz w:val="24"/>
                <w:szCs w:val="24"/>
                <w:lang w:val="en-US" w:eastAsia="zh-CN"/>
                <w14:textFill>
                  <w14:solidFill>
                    <w14:schemeClr w14:val="tx1"/>
                  </w14:solidFill>
                </w14:textFill>
              </w:rPr>
              <w:t>3</w:t>
            </w:r>
          </w:p>
        </w:tc>
        <w:tc>
          <w:tcPr>
            <w:tcW w:w="609" w:type="pct"/>
            <w:vAlign w:val="center"/>
          </w:tcPr>
          <w:p w14:paraId="45B2A9AF">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1150</w:t>
            </w:r>
          </w:p>
        </w:tc>
        <w:tc>
          <w:tcPr>
            <w:tcW w:w="363" w:type="pct"/>
            <w:vAlign w:val="center"/>
          </w:tcPr>
          <w:p w14:paraId="352D2782">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圆形</w:t>
            </w:r>
          </w:p>
        </w:tc>
        <w:tc>
          <w:tcPr>
            <w:tcW w:w="400" w:type="pct"/>
            <w:vAlign w:val="center"/>
          </w:tcPr>
          <w:p w14:paraId="0FA10410">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0.6</w:t>
            </w:r>
          </w:p>
        </w:tc>
        <w:tc>
          <w:tcPr>
            <w:tcW w:w="462" w:type="pct"/>
            <w:vAlign w:val="center"/>
          </w:tcPr>
          <w:p w14:paraId="5232D0B6">
            <w:pPr>
              <w:pStyle w:val="127"/>
              <w:keepNext w:val="0"/>
              <w:keepLines w:val="0"/>
              <w:widowControl/>
              <w:suppressLineNumbers w:val="0"/>
              <w:spacing w:before="0" w:beforeAutospacing="0" w:after="0" w:afterAutospacing="0"/>
              <w:ind w:left="0" w:right="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0</w:t>
            </w:r>
            <w:r>
              <w:rPr>
                <w:rFonts w:hint="default"/>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46</w:t>
            </w:r>
          </w:p>
        </w:tc>
        <w:tc>
          <w:tcPr>
            <w:tcW w:w="440" w:type="pct"/>
            <w:vAlign w:val="center"/>
          </w:tcPr>
          <w:p w14:paraId="29F1B886">
            <w:pPr>
              <w:pStyle w:val="127"/>
              <w:keepNext w:val="0"/>
              <w:keepLines w:val="0"/>
              <w:widowControl/>
              <w:suppressLineNumbers w:val="0"/>
              <w:spacing w:before="0" w:beforeAutospacing="0" w:after="0" w:afterAutospacing="0"/>
              <w:ind w:left="0" w:right="0"/>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10</w:t>
            </w:r>
          </w:p>
        </w:tc>
        <w:tc>
          <w:tcPr>
            <w:tcW w:w="349" w:type="pct"/>
            <w:vAlign w:val="center"/>
          </w:tcPr>
          <w:p w14:paraId="24DE7A8A">
            <w:pPr>
              <w:pStyle w:val="127"/>
              <w:keepNext w:val="0"/>
              <w:keepLines w:val="0"/>
              <w:widowControl/>
              <w:suppressLineNumbers w:val="0"/>
              <w:spacing w:before="0" w:beforeAutospacing="0" w:after="0" w:afterAutospacing="0"/>
              <w:ind w:left="0" w:right="0"/>
              <w:rPr>
                <w:rFonts w:hint="default"/>
                <w:color w:val="000000" w:themeColor="text1"/>
                <w:sz w:val="24"/>
                <w:szCs w:val="24"/>
                <w:lang w:val="en-US"/>
                <w14:textFill>
                  <w14:solidFill>
                    <w14:schemeClr w14:val="tx1"/>
                  </w14:solidFill>
                </w14:textFill>
              </w:rPr>
            </w:pPr>
            <w:r>
              <w:rPr>
                <w:rFonts w:hint="eastAsia"/>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096</w:t>
            </w:r>
          </w:p>
        </w:tc>
      </w:tr>
    </w:tbl>
    <w:p w14:paraId="49BF1AD1">
      <w:pPr>
        <w:spacing w:before="240"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设定泄漏时间为 </w:t>
      </w:r>
      <w:r>
        <w:rPr>
          <w:color w:val="000000" w:themeColor="text1"/>
          <w:sz w:val="24"/>
          <w:szCs w:val="24"/>
          <w14:textFill>
            <w14:solidFill>
              <w14:schemeClr w14:val="tx1"/>
            </w14:solidFill>
          </w14:textFill>
        </w:rPr>
        <w:t>10</w:t>
      </w:r>
      <w:r>
        <w:rPr>
          <w:rFonts w:hint="eastAsia"/>
          <w:color w:val="000000" w:themeColor="text1"/>
          <w:sz w:val="24"/>
          <w:szCs w:val="24"/>
          <w14:textFill>
            <w14:solidFill>
              <w14:schemeClr w14:val="tx1"/>
            </w14:solidFill>
          </w14:textFill>
        </w:rPr>
        <w:t>min，经计算，泄漏速率为</w:t>
      </w:r>
      <w:r>
        <w:rPr>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46</w:t>
      </w:r>
      <w:r>
        <w:rPr>
          <w:rFonts w:hint="eastAsia"/>
          <w:color w:val="000000" w:themeColor="text1"/>
          <w:sz w:val="24"/>
          <w:szCs w:val="24"/>
          <w14:textFill>
            <w14:solidFill>
              <w14:schemeClr w14:val="tx1"/>
            </w14:solidFill>
          </w14:textFill>
        </w:rPr>
        <w:t>kg/s，泄漏量为0</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096</w:t>
      </w:r>
      <w:r>
        <w:rPr>
          <w:rFonts w:hint="eastAsia"/>
          <w:color w:val="000000" w:themeColor="text1"/>
          <w:sz w:val="24"/>
          <w:szCs w:val="24"/>
          <w14:textFill>
            <w14:solidFill>
              <w14:schemeClr w14:val="tx1"/>
            </w14:solidFill>
          </w14:textFill>
        </w:rPr>
        <w:t xml:space="preserve">t；假设泄漏事故发生后，液态物料部分蒸发进入大气，其余仍以液态形式存在，待收容处理。 </w:t>
      </w:r>
    </w:p>
    <w:p w14:paraId="1CF0A8CA">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（2）漏后蒸发量计算</w:t>
      </w:r>
    </w:p>
    <w:p w14:paraId="645373B6">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anchor distT="0" distB="0" distL="114300" distR="114300" simplePos="0" relativeHeight="251672576" behindDoc="0" locked="0" layoutInCell="1" allowOverlap="1">
            <wp:simplePos x="0" y="0"/>
            <wp:positionH relativeFrom="column">
              <wp:posOffset>1208405</wp:posOffset>
            </wp:positionH>
            <wp:positionV relativeFrom="paragraph">
              <wp:posOffset>927735</wp:posOffset>
            </wp:positionV>
            <wp:extent cx="3552825" cy="333375"/>
            <wp:effectExtent l="0" t="0" r="9525" b="952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552825" cy="333375"/>
                    </a:xfrm>
                    <a:prstGeom prst="rect">
                      <a:avLst/>
                    </a:prstGeom>
                  </pic:spPr>
                </pic:pic>
              </a:graphicData>
            </a:graphic>
          </wp:anchor>
        </w:drawing>
      </w:r>
      <w:r>
        <w:rPr>
          <w:rFonts w:hint="eastAsia"/>
          <w:color w:val="000000" w:themeColor="text1"/>
          <w:sz w:val="24"/>
          <w:szCs w:val="24"/>
          <w14:textFill>
            <w14:solidFill>
              <w14:schemeClr w14:val="tx1"/>
            </w14:solidFill>
          </w14:textFill>
        </w:rPr>
        <w:t>当</w:t>
      </w:r>
      <w:r>
        <w:rPr>
          <w:rFonts w:hint="eastAsia"/>
          <w:color w:val="000000" w:themeColor="text1"/>
          <w:sz w:val="24"/>
          <w:szCs w:val="24"/>
          <w:lang w:eastAsia="zh-CN"/>
          <w14:textFill>
            <w14:solidFill>
              <w14:schemeClr w14:val="tx1"/>
            </w14:solidFill>
          </w14:textFill>
        </w:rPr>
        <w:t>甲苯</w:t>
      </w:r>
      <w:r>
        <w:rPr>
          <w:rFonts w:hint="eastAsia"/>
          <w:color w:val="000000" w:themeColor="text1"/>
          <w:sz w:val="24"/>
          <w:szCs w:val="24"/>
          <w14:textFill>
            <w14:solidFill>
              <w14:schemeClr w14:val="tx1"/>
            </w14:solidFill>
          </w14:textFill>
        </w:rPr>
        <w:t>储罐发生泄漏时，泄漏的物质在储罐围堰地面形成液池。其蒸发量按照《建设项目环境风险评价导则》（</w:t>
      </w:r>
      <w:r>
        <w:rPr>
          <w:color w:val="000000" w:themeColor="text1"/>
          <w:sz w:val="24"/>
          <w:szCs w:val="24"/>
          <w14:textFill>
            <w14:solidFill>
              <w14:schemeClr w14:val="tx1"/>
            </w14:solidFill>
          </w14:textFill>
        </w:rPr>
        <w:t>HJ/T169-2018）附录A 中推荐的泄漏液体蒸发量计算公式</w:t>
      </w:r>
      <w:r>
        <w:rPr>
          <w:rFonts w:hint="eastAsia"/>
          <w:color w:val="000000" w:themeColor="text1"/>
          <w:sz w:val="24"/>
          <w:szCs w:val="24"/>
          <w14:textFill>
            <w14:solidFill>
              <w14:schemeClr w14:val="tx1"/>
            </w14:solidFill>
          </w14:textFill>
        </w:rPr>
        <w:t>计算。计算公式如下：</w:t>
      </w:r>
    </w:p>
    <w:p w14:paraId="73572C76">
      <w:pPr>
        <w:pStyle w:val="132"/>
        <w:snapToGrid w:val="0"/>
        <w:spacing w:line="336" w:lineRule="auto"/>
        <w:ind w:firstLine="198" w:firstLineChars="80"/>
        <w:rPr>
          <w:color w:val="000000" w:themeColor="text1"/>
          <w:spacing w:val="4"/>
          <w:sz w:val="24"/>
          <w:szCs w:val="24"/>
          <w14:textFill>
            <w14:solidFill>
              <w14:schemeClr w14:val="tx1"/>
            </w14:solidFill>
          </w14:textFill>
        </w:rPr>
      </w:pPr>
      <w:r>
        <w:rPr>
          <w:rFonts w:hint="eastAsia"/>
          <w:color w:val="000000" w:themeColor="text1"/>
          <w:spacing w:val="4"/>
          <w:sz w:val="24"/>
          <w:szCs w:val="24"/>
          <w14:textFill>
            <w14:solidFill>
              <w14:schemeClr w14:val="tx1"/>
            </w14:solidFill>
          </w14:textFill>
        </w:rPr>
        <w:t>式中：</w:t>
      </w:r>
      <w:r>
        <w:rPr>
          <w:color w:val="000000" w:themeColor="text1"/>
          <w:spacing w:val="4"/>
          <w:sz w:val="24"/>
          <w:szCs w:val="24"/>
          <w14:textFill>
            <w14:solidFill>
              <w14:schemeClr w14:val="tx1"/>
            </w14:solidFill>
          </w14:textFill>
        </w:rPr>
        <w:t>Q</w:t>
      </w:r>
      <w:r>
        <w:rPr>
          <w:color w:val="000000" w:themeColor="text1"/>
          <w:spacing w:val="4"/>
          <w:sz w:val="24"/>
          <w:szCs w:val="24"/>
          <w:vertAlign w:val="subscript"/>
          <w14:textFill>
            <w14:solidFill>
              <w14:schemeClr w14:val="tx1"/>
            </w14:solidFill>
          </w14:textFill>
        </w:rPr>
        <w:t>3</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质量蒸发速度，</w:t>
      </w:r>
      <w:r>
        <w:rPr>
          <w:color w:val="000000" w:themeColor="text1"/>
          <w:spacing w:val="4"/>
          <w:sz w:val="24"/>
          <w:szCs w:val="24"/>
          <w14:textFill>
            <w14:solidFill>
              <w14:schemeClr w14:val="tx1"/>
            </w14:solidFill>
          </w14:textFill>
        </w:rPr>
        <w:t>kg/s</w:t>
      </w:r>
      <w:r>
        <w:rPr>
          <w:rFonts w:hint="eastAsia"/>
          <w:color w:val="000000" w:themeColor="text1"/>
          <w:spacing w:val="4"/>
          <w:sz w:val="24"/>
          <w:szCs w:val="24"/>
          <w14:textFill>
            <w14:solidFill>
              <w14:schemeClr w14:val="tx1"/>
            </w14:solidFill>
          </w14:textFill>
        </w:rPr>
        <w:t>；</w:t>
      </w:r>
    </w:p>
    <w:p w14:paraId="07447DB2">
      <w:pPr>
        <w:pStyle w:val="132"/>
        <w:ind w:firstLine="992" w:firstLineChars="400"/>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a,n——</w:t>
      </w:r>
      <w:r>
        <w:rPr>
          <w:rFonts w:hint="eastAsia"/>
          <w:color w:val="000000" w:themeColor="text1"/>
          <w:spacing w:val="4"/>
          <w:sz w:val="24"/>
          <w:szCs w:val="24"/>
          <w14:textFill>
            <w14:solidFill>
              <w14:schemeClr w14:val="tx1"/>
            </w14:solidFill>
          </w14:textFill>
        </w:rPr>
        <w:t>大气稳定度系数；</w:t>
      </w:r>
    </w:p>
    <w:p w14:paraId="56978ABA">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p——</w:t>
      </w:r>
      <w:r>
        <w:rPr>
          <w:rFonts w:hint="eastAsia"/>
          <w:color w:val="000000" w:themeColor="text1"/>
          <w:spacing w:val="4"/>
          <w:sz w:val="24"/>
          <w:szCs w:val="24"/>
          <w14:textFill>
            <w14:solidFill>
              <w14:schemeClr w14:val="tx1"/>
            </w14:solidFill>
          </w14:textFill>
        </w:rPr>
        <w:t>液体表面蒸气压，</w:t>
      </w:r>
      <w:r>
        <w:rPr>
          <w:color w:val="000000" w:themeColor="text1"/>
          <w:spacing w:val="4"/>
          <w:sz w:val="24"/>
          <w:szCs w:val="24"/>
          <w14:textFill>
            <w14:solidFill>
              <w14:schemeClr w14:val="tx1"/>
            </w14:solidFill>
          </w14:textFill>
        </w:rPr>
        <w:t>10742Pa</w:t>
      </w:r>
      <w:r>
        <w:rPr>
          <w:rFonts w:hint="eastAsia"/>
          <w:color w:val="000000" w:themeColor="text1"/>
          <w:spacing w:val="4"/>
          <w:sz w:val="24"/>
          <w:szCs w:val="24"/>
          <w14:textFill>
            <w14:solidFill>
              <w14:schemeClr w14:val="tx1"/>
            </w14:solidFill>
          </w14:textFill>
        </w:rPr>
        <w:t>；</w:t>
      </w:r>
    </w:p>
    <w:p w14:paraId="1279B0E8">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R——</w:t>
      </w:r>
      <w:r>
        <w:rPr>
          <w:rFonts w:hint="eastAsia"/>
          <w:color w:val="000000" w:themeColor="text1"/>
          <w:spacing w:val="4"/>
          <w:sz w:val="24"/>
          <w:szCs w:val="24"/>
          <w14:textFill>
            <w14:solidFill>
              <w14:schemeClr w14:val="tx1"/>
            </w14:solidFill>
          </w14:textFill>
        </w:rPr>
        <w:t>气体常数；</w:t>
      </w:r>
      <w:r>
        <w:rPr>
          <w:color w:val="000000" w:themeColor="text1"/>
          <w:spacing w:val="4"/>
          <w:sz w:val="24"/>
          <w:szCs w:val="24"/>
          <w14:textFill>
            <w14:solidFill>
              <w14:schemeClr w14:val="tx1"/>
            </w14:solidFill>
          </w14:textFill>
        </w:rPr>
        <w:t>8.31</w:t>
      </w:r>
      <w:r>
        <w:rPr>
          <w:rFonts w:hint="eastAsia"/>
          <w:color w:val="000000" w:themeColor="text1"/>
          <w:spacing w:val="4"/>
          <w:sz w:val="24"/>
          <w:szCs w:val="24"/>
          <w14:textFill>
            <w14:solidFill>
              <w14:schemeClr w14:val="tx1"/>
            </w14:solidFill>
          </w14:textFill>
        </w:rPr>
        <w:t>（</w:t>
      </w:r>
      <w:r>
        <w:rPr>
          <w:color w:val="000000" w:themeColor="text1"/>
          <w:spacing w:val="4"/>
          <w:sz w:val="24"/>
          <w:szCs w:val="24"/>
          <w14:textFill>
            <w14:solidFill>
              <w14:schemeClr w14:val="tx1"/>
            </w14:solidFill>
          </w14:textFill>
        </w:rPr>
        <w:t>J/mol•k</w:t>
      </w:r>
      <w:r>
        <w:rPr>
          <w:rFonts w:hint="eastAsia"/>
          <w:color w:val="000000" w:themeColor="text1"/>
          <w:spacing w:val="4"/>
          <w:sz w:val="24"/>
          <w:szCs w:val="24"/>
          <w14:textFill>
            <w14:solidFill>
              <w14:schemeClr w14:val="tx1"/>
            </w14:solidFill>
          </w14:textFill>
        </w:rPr>
        <w:t>）；</w:t>
      </w:r>
    </w:p>
    <w:p w14:paraId="40938321">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T</w:t>
      </w:r>
      <w:r>
        <w:rPr>
          <w:color w:val="000000" w:themeColor="text1"/>
          <w:spacing w:val="4"/>
          <w:sz w:val="24"/>
          <w:szCs w:val="24"/>
          <w:vertAlign w:val="subscript"/>
          <w14:textFill>
            <w14:solidFill>
              <w14:schemeClr w14:val="tx1"/>
            </w14:solidFill>
          </w14:textFill>
        </w:rPr>
        <w:t>0</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环境温度，</w:t>
      </w:r>
      <w:r>
        <w:rPr>
          <w:color w:val="000000" w:themeColor="text1"/>
          <w:spacing w:val="4"/>
          <w:sz w:val="24"/>
          <w:szCs w:val="24"/>
          <w14:textFill>
            <w14:solidFill>
              <w14:schemeClr w14:val="tx1"/>
            </w14:solidFill>
          </w14:textFill>
        </w:rPr>
        <w:t>K</w:t>
      </w:r>
      <w:r>
        <w:rPr>
          <w:rFonts w:hint="eastAsia"/>
          <w:color w:val="000000" w:themeColor="text1"/>
          <w:spacing w:val="4"/>
          <w:sz w:val="24"/>
          <w:szCs w:val="24"/>
          <w14:textFill>
            <w14:solidFill>
              <w14:schemeClr w14:val="tx1"/>
            </w14:solidFill>
          </w14:textFill>
        </w:rPr>
        <w:t>；</w:t>
      </w:r>
      <w:r>
        <w:rPr>
          <w:color w:val="000000" w:themeColor="text1"/>
          <w:spacing w:val="4"/>
          <w:sz w:val="24"/>
          <w:szCs w:val="24"/>
          <w14:textFill>
            <w14:solidFill>
              <w14:schemeClr w14:val="tx1"/>
            </w14:solidFill>
          </w14:textFill>
        </w:rPr>
        <w:t>(按303k计算)</w:t>
      </w:r>
    </w:p>
    <w:p w14:paraId="19FA331A">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u——</w:t>
      </w:r>
      <w:r>
        <w:rPr>
          <w:rFonts w:hint="eastAsia"/>
          <w:color w:val="000000" w:themeColor="text1"/>
          <w:spacing w:val="4"/>
          <w:sz w:val="24"/>
          <w:szCs w:val="24"/>
          <w14:textFill>
            <w14:solidFill>
              <w14:schemeClr w14:val="tx1"/>
            </w14:solidFill>
          </w14:textFill>
        </w:rPr>
        <w:t>平均风速，</w:t>
      </w:r>
      <w:r>
        <w:rPr>
          <w:color w:val="000000" w:themeColor="text1"/>
          <w:spacing w:val="4"/>
          <w:sz w:val="24"/>
          <w:szCs w:val="24"/>
          <w14:textFill>
            <w14:solidFill>
              <w14:schemeClr w14:val="tx1"/>
            </w14:solidFill>
          </w14:textFill>
        </w:rPr>
        <w:t>m/s</w:t>
      </w:r>
      <w:r>
        <w:rPr>
          <w:rFonts w:hint="eastAsia"/>
          <w:color w:val="000000" w:themeColor="text1"/>
          <w:spacing w:val="4"/>
          <w:sz w:val="24"/>
          <w:szCs w:val="24"/>
          <w14:textFill>
            <w14:solidFill>
              <w14:schemeClr w14:val="tx1"/>
            </w14:solidFill>
          </w14:textFill>
        </w:rPr>
        <w:t>；</w:t>
      </w:r>
    </w:p>
    <w:p w14:paraId="72A61AB9">
      <w:pPr>
        <w:pStyle w:val="132"/>
        <w:snapToGrid w:val="0"/>
        <w:spacing w:line="336" w:lineRule="auto"/>
        <w:ind w:firstLine="496"/>
        <w:rPr>
          <w:color w:val="000000" w:themeColor="text1"/>
          <w:spacing w:val="4"/>
          <w:sz w:val="24"/>
          <w:szCs w:val="24"/>
          <w14:textFill>
            <w14:solidFill>
              <w14:schemeClr w14:val="tx1"/>
            </w14:solidFill>
          </w14:textFill>
        </w:rPr>
      </w:pPr>
      <w:r>
        <w:rPr>
          <w:color w:val="000000" w:themeColor="text1"/>
          <w:spacing w:val="4"/>
          <w:sz w:val="24"/>
          <w:szCs w:val="24"/>
          <w14:textFill>
            <w14:solidFill>
              <w14:schemeClr w14:val="tx1"/>
            </w14:solidFill>
          </w14:textFill>
        </w:rPr>
        <w:t xml:space="preserve">    r——</w:t>
      </w:r>
      <w:r>
        <w:rPr>
          <w:rFonts w:hint="eastAsia"/>
          <w:color w:val="000000" w:themeColor="text1"/>
          <w:spacing w:val="4"/>
          <w:sz w:val="24"/>
          <w:szCs w:val="24"/>
          <w14:textFill>
            <w14:solidFill>
              <w14:schemeClr w14:val="tx1"/>
            </w14:solidFill>
          </w14:textFill>
        </w:rPr>
        <w:t>液池半径，</w:t>
      </w:r>
      <w:r>
        <w:rPr>
          <w:color w:val="000000" w:themeColor="text1"/>
          <w:spacing w:val="4"/>
          <w:sz w:val="24"/>
          <w:szCs w:val="24"/>
          <w14:textFill>
            <w14:solidFill>
              <w14:schemeClr w14:val="tx1"/>
            </w14:solidFill>
          </w14:textFill>
        </w:rPr>
        <w:t>m</w:t>
      </w:r>
      <w:r>
        <w:rPr>
          <w:rFonts w:hint="eastAsia"/>
          <w:color w:val="000000" w:themeColor="text1"/>
          <w:spacing w:val="4"/>
          <w:sz w:val="24"/>
          <w:szCs w:val="24"/>
          <w14:textFill>
            <w14:solidFill>
              <w14:schemeClr w14:val="tx1"/>
            </w14:solidFill>
          </w14:textFill>
        </w:rPr>
        <w:t>，取6m。</w:t>
      </w:r>
    </w:p>
    <w:p w14:paraId="331E589A">
      <w:pPr>
        <w:pStyle w:val="128"/>
        <w:spacing w:before="72" w:after="48"/>
        <w:rPr>
          <w:sz w:val="24"/>
          <w:szCs w:val="24"/>
        </w:rPr>
      </w:pPr>
      <w:r>
        <w:rPr>
          <w:sz w:val="24"/>
          <w:szCs w:val="24"/>
        </w:rPr>
        <w:t>表</w:t>
      </w:r>
      <w:r>
        <w:rPr>
          <w:sz w:val="24"/>
          <w:szCs w:val="24"/>
        </w:rPr>
        <w:fldChar w:fldCharType="begin"/>
      </w:r>
      <w:r>
        <w:rPr>
          <w:sz w:val="24"/>
          <w:szCs w:val="24"/>
        </w:rPr>
        <w:instrText xml:space="preserve"> STYLEREF 2 \s </w:instrText>
      </w:r>
      <w:r>
        <w:rPr>
          <w:sz w:val="24"/>
          <w:szCs w:val="24"/>
        </w:rPr>
        <w:fldChar w:fldCharType="separate"/>
      </w:r>
      <w:r>
        <w:rPr>
          <w:sz w:val="24"/>
          <w:szCs w:val="24"/>
        </w:rPr>
        <w:t>4.2</w:t>
      </w:r>
      <w:r>
        <w:rPr>
          <w:sz w:val="24"/>
          <w:szCs w:val="24"/>
        </w:rPr>
        <w:fldChar w:fldCharType="end"/>
      </w:r>
      <w:r>
        <w:rPr>
          <w:sz w:val="24"/>
          <w:szCs w:val="24"/>
        </w:rPr>
        <w:noBreakHyphen/>
      </w:r>
      <w:r>
        <w:rPr>
          <w:sz w:val="24"/>
          <w:szCs w:val="24"/>
        </w:rPr>
        <w:fldChar w:fldCharType="begin"/>
      </w:r>
      <w:r>
        <w:rPr>
          <w:sz w:val="24"/>
          <w:szCs w:val="24"/>
        </w:rPr>
        <w:instrText xml:space="preserve"> SEQ 表格 \* ARABIC \s 2 </w:instrText>
      </w:r>
      <w:r>
        <w:rPr>
          <w:sz w:val="24"/>
          <w:szCs w:val="24"/>
        </w:rPr>
        <w:fldChar w:fldCharType="separate"/>
      </w:r>
      <w:r>
        <w:rPr>
          <w:sz w:val="24"/>
          <w:szCs w:val="24"/>
        </w:rPr>
        <w:t>6</w:t>
      </w:r>
      <w:r>
        <w:rPr>
          <w:sz w:val="24"/>
          <w:szCs w:val="24"/>
        </w:rPr>
        <w:fldChar w:fldCharType="end"/>
      </w:r>
      <w:r>
        <w:rPr>
          <w:rFonts w:hint="eastAsia"/>
          <w:sz w:val="24"/>
          <w:szCs w:val="24"/>
        </w:rPr>
        <w:t>液池蒸发模式参数</w:t>
      </w:r>
    </w:p>
    <w:tbl>
      <w:tblPr>
        <w:tblStyle w:val="34"/>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010"/>
        <w:gridCol w:w="4408"/>
        <w:gridCol w:w="3210"/>
      </w:tblGrid>
      <w:tr w14:paraId="5B249B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575C4973">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稳定度</w:t>
            </w:r>
          </w:p>
        </w:tc>
        <w:tc>
          <w:tcPr>
            <w:tcW w:w="2289" w:type="pct"/>
            <w:vAlign w:val="center"/>
          </w:tcPr>
          <w:p w14:paraId="2E396F07">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a</w:t>
            </w:r>
          </w:p>
        </w:tc>
        <w:tc>
          <w:tcPr>
            <w:tcW w:w="1667" w:type="pct"/>
            <w:vAlign w:val="center"/>
          </w:tcPr>
          <w:p w14:paraId="6D190763">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n</w:t>
            </w:r>
          </w:p>
        </w:tc>
      </w:tr>
      <w:tr w14:paraId="09C400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8" w:hRule="atLeast"/>
          <w:jc w:val="center"/>
        </w:trPr>
        <w:tc>
          <w:tcPr>
            <w:tcW w:w="1044" w:type="pct"/>
            <w:vAlign w:val="center"/>
          </w:tcPr>
          <w:p w14:paraId="797D4AF0">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不稳定（A,B）</w:t>
            </w:r>
          </w:p>
        </w:tc>
        <w:tc>
          <w:tcPr>
            <w:tcW w:w="2289" w:type="pct"/>
            <w:vAlign w:val="center"/>
          </w:tcPr>
          <w:p w14:paraId="4CD025F9">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default"/>
                <w:color w:val="000000" w:themeColor="text1"/>
                <w:sz w:val="24"/>
                <w:szCs w:val="24"/>
                <w14:textFill>
                  <w14:solidFill>
                    <w14:schemeClr w14:val="tx1"/>
                  </w14:solidFill>
                </w14:textFill>
              </w:rPr>
              <w:t>.846×10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794B2964">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12</w:t>
            </w:r>
          </w:p>
        </w:tc>
      </w:tr>
      <w:tr w14:paraId="01DBE9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4D9A4E01">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中性（D）</w:t>
            </w:r>
          </w:p>
        </w:tc>
        <w:tc>
          <w:tcPr>
            <w:tcW w:w="2289" w:type="pct"/>
            <w:vAlign w:val="center"/>
          </w:tcPr>
          <w:p w14:paraId="4A210AE3">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default"/>
                <w:color w:val="000000" w:themeColor="text1"/>
                <w:sz w:val="24"/>
                <w:szCs w:val="24"/>
                <w14:textFill>
                  <w14:solidFill>
                    <w14:schemeClr w14:val="tx1"/>
                  </w14:solidFill>
                </w14:textFill>
              </w:rPr>
              <w:t>.685×10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1954F78A">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131</w:t>
            </w:r>
          </w:p>
        </w:tc>
      </w:tr>
      <w:tr w14:paraId="26E2F8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0" w:hRule="atLeast"/>
          <w:jc w:val="center"/>
        </w:trPr>
        <w:tc>
          <w:tcPr>
            <w:tcW w:w="1044" w:type="pct"/>
            <w:vAlign w:val="center"/>
          </w:tcPr>
          <w:p w14:paraId="1255A39A">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稳定（E,F）</w:t>
            </w:r>
          </w:p>
        </w:tc>
        <w:tc>
          <w:tcPr>
            <w:tcW w:w="2289" w:type="pct"/>
            <w:vAlign w:val="center"/>
          </w:tcPr>
          <w:p w14:paraId="619D7010">
            <w:pPr>
              <w:pStyle w:val="132"/>
              <w:keepNext w:val="0"/>
              <w:keepLines w:val="0"/>
              <w:suppressLineNumbers w:val="0"/>
              <w:spacing w:before="0" w:beforeAutospacing="0" w:after="0" w:afterAutospacing="0" w:line="240" w:lineRule="auto"/>
              <w:ind w:left="0" w:right="0" w:firstLine="0" w:firstLineChars="0"/>
              <w:jc w:val="center"/>
              <w:rPr>
                <w:rFonts w:hint="default"/>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rFonts w:hint="default"/>
                <w:color w:val="000000" w:themeColor="text1"/>
                <w:sz w:val="24"/>
                <w:szCs w:val="24"/>
                <w14:textFill>
                  <w14:solidFill>
                    <w14:schemeClr w14:val="tx1"/>
                  </w14:solidFill>
                </w14:textFill>
              </w:rPr>
              <w:t>.285×10</w:t>
            </w:r>
            <w:r>
              <w:rPr>
                <w:rFonts w:hint="default"/>
                <w:color w:val="000000" w:themeColor="text1"/>
                <w:sz w:val="24"/>
                <w:szCs w:val="24"/>
                <w:vertAlign w:val="superscript"/>
                <w14:textFill>
                  <w14:solidFill>
                    <w14:schemeClr w14:val="tx1"/>
                  </w14:solidFill>
                </w14:textFill>
              </w:rPr>
              <w:t>—3</w:t>
            </w:r>
          </w:p>
        </w:tc>
        <w:tc>
          <w:tcPr>
            <w:tcW w:w="1667" w:type="pct"/>
            <w:vAlign w:val="center"/>
          </w:tcPr>
          <w:p w14:paraId="7D9DB16A">
            <w:pPr>
              <w:pStyle w:val="132"/>
              <w:keepNext w:val="0"/>
              <w:keepLines w:val="0"/>
              <w:suppressLineNumbers w:val="0"/>
              <w:spacing w:before="0" w:beforeAutospacing="0" w:after="0" w:afterAutospacing="0" w:line="240" w:lineRule="auto"/>
              <w:ind w:left="0" w:right="0" w:firstLine="0" w:firstLineChars="0"/>
              <w:jc w:val="center"/>
              <w:rPr>
                <w:rFonts w:hint="default" w:eastAsia="宋体"/>
                <w:color w:val="000000" w:themeColor="text1"/>
                <w:sz w:val="24"/>
                <w:szCs w:val="24"/>
                <w:lang w:val="en-US" w:eastAsia="zh-CN"/>
                <w14:textFill>
                  <w14:solidFill>
                    <w14:schemeClr w14:val="tx1"/>
                  </w14:solidFill>
                </w14:textFill>
              </w:rPr>
            </w:pPr>
            <w:r>
              <w:rPr>
                <w:rFonts w:hint="default"/>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15</w:t>
            </w:r>
          </w:p>
        </w:tc>
      </w:tr>
    </w:tbl>
    <w:p w14:paraId="2DD758FE">
      <w:pPr>
        <w:pStyle w:val="132"/>
        <w:pageBreakBefore w:val="0"/>
        <w:kinsoku/>
        <w:wordWrap/>
        <w:overflowPunct/>
        <w:topLinePunct w:val="0"/>
        <w:bidi w:val="0"/>
        <w:spacing w:line="360" w:lineRule="auto"/>
        <w:ind w:firstLine="496"/>
        <w:textAlignment w:val="auto"/>
        <w:rPr>
          <w:rFonts w:hint="eastAsia"/>
          <w:color w:val="000000" w:themeColor="text1"/>
          <w:spacing w:val="4"/>
          <w:sz w:val="24"/>
          <w:szCs w:val="24"/>
          <w14:textFill>
            <w14:solidFill>
              <w14:schemeClr w14:val="tx1"/>
            </w14:solidFill>
          </w14:textFill>
        </w:rPr>
      </w:pPr>
      <w:r>
        <w:rPr>
          <w:rFonts w:hint="eastAsia"/>
          <w:color w:val="000000" w:themeColor="text1"/>
          <w:spacing w:val="4"/>
          <w:sz w:val="24"/>
          <w:szCs w:val="24"/>
          <w14:textFill>
            <w14:solidFill>
              <w14:schemeClr w14:val="tx1"/>
            </w14:solidFill>
          </w14:textFill>
        </w:rPr>
        <w:t>按最不利气象条件（F稳定度，1</w:t>
      </w:r>
      <w:r>
        <w:rPr>
          <w:color w:val="000000" w:themeColor="text1"/>
          <w:spacing w:val="4"/>
          <w:sz w:val="24"/>
          <w:szCs w:val="24"/>
          <w14:textFill>
            <w14:solidFill>
              <w14:schemeClr w14:val="tx1"/>
            </w14:solidFill>
          </w14:textFill>
        </w:rPr>
        <w:t>.5</w:t>
      </w:r>
      <w:r>
        <w:rPr>
          <w:rFonts w:hint="eastAsia"/>
          <w:color w:val="000000" w:themeColor="text1"/>
          <w:spacing w:val="4"/>
          <w:sz w:val="24"/>
          <w:szCs w:val="24"/>
          <w14:textFill>
            <w14:solidFill>
              <w14:schemeClr w14:val="tx1"/>
            </w14:solidFill>
          </w14:textFill>
        </w:rPr>
        <w:t>m风速）计算得</w:t>
      </w:r>
      <w:r>
        <w:rPr>
          <w:color w:val="000000" w:themeColor="text1"/>
          <w:spacing w:val="4"/>
          <w:sz w:val="24"/>
          <w:szCs w:val="24"/>
          <w14:textFill>
            <w14:solidFill>
              <w14:schemeClr w14:val="tx1"/>
            </w14:solidFill>
          </w14:textFill>
        </w:rPr>
        <w:t>Q</w:t>
      </w:r>
      <w:r>
        <w:rPr>
          <w:color w:val="000000" w:themeColor="text1"/>
          <w:spacing w:val="4"/>
          <w:sz w:val="24"/>
          <w:szCs w:val="24"/>
          <w:vertAlign w:val="subscript"/>
          <w14:textFill>
            <w14:solidFill>
              <w14:schemeClr w14:val="tx1"/>
            </w14:solidFill>
          </w14:textFill>
        </w:rPr>
        <w:t>3</w:t>
      </w:r>
      <w:r>
        <w:rPr>
          <w:rFonts w:hint="eastAsia"/>
          <w:color w:val="000000" w:themeColor="text1"/>
          <w:spacing w:val="4"/>
          <w:sz w:val="24"/>
          <w:szCs w:val="24"/>
          <w14:textFill>
            <w14:solidFill>
              <w14:schemeClr w14:val="tx1"/>
            </w14:solidFill>
          </w14:textFill>
        </w:rPr>
        <w:t>为0</w:t>
      </w:r>
      <w:r>
        <w:rPr>
          <w:color w:val="000000" w:themeColor="text1"/>
          <w:spacing w:val="4"/>
          <w:sz w:val="24"/>
          <w:szCs w:val="24"/>
          <w14:textFill>
            <w14:solidFill>
              <w14:schemeClr w14:val="tx1"/>
            </w14:solidFill>
          </w14:textFill>
        </w:rPr>
        <w:t>.0</w:t>
      </w:r>
      <w:r>
        <w:rPr>
          <w:rFonts w:hint="eastAsia"/>
          <w:color w:val="000000" w:themeColor="text1"/>
          <w:spacing w:val="4"/>
          <w:sz w:val="24"/>
          <w:szCs w:val="24"/>
          <w:lang w:val="en-US" w:eastAsia="zh-CN"/>
          <w14:textFill>
            <w14:solidFill>
              <w14:schemeClr w14:val="tx1"/>
            </w14:solidFill>
          </w14:textFill>
        </w:rPr>
        <w:t>89</w:t>
      </w:r>
      <w:r>
        <w:rPr>
          <w:rFonts w:hint="eastAsia"/>
          <w:color w:val="000000" w:themeColor="text1"/>
          <w:spacing w:val="4"/>
          <w:sz w:val="24"/>
          <w:szCs w:val="24"/>
          <w14:textFill>
            <w14:solidFill>
              <w14:schemeClr w14:val="tx1"/>
            </w14:solidFill>
          </w14:textFill>
        </w:rPr>
        <w:t xml:space="preserve"> kg</w:t>
      </w:r>
      <w:r>
        <w:rPr>
          <w:color w:val="000000" w:themeColor="text1"/>
          <w:spacing w:val="4"/>
          <w:sz w:val="24"/>
          <w:szCs w:val="24"/>
          <w14:textFill>
            <w14:solidFill>
              <w14:schemeClr w14:val="tx1"/>
            </w14:solidFill>
          </w14:textFill>
        </w:rPr>
        <w:t>/</w:t>
      </w:r>
      <w:r>
        <w:rPr>
          <w:rFonts w:hint="eastAsia"/>
          <w:color w:val="000000" w:themeColor="text1"/>
          <w:spacing w:val="4"/>
          <w:sz w:val="24"/>
          <w:szCs w:val="24"/>
          <w14:textFill>
            <w14:solidFill>
              <w14:schemeClr w14:val="tx1"/>
            </w14:solidFill>
          </w14:textFill>
        </w:rPr>
        <w:t>s。</w:t>
      </w:r>
    </w:p>
    <w:p w14:paraId="23A865A6">
      <w:pPr>
        <w:pStyle w:val="8"/>
        <w:pageBreakBefore w:val="0"/>
        <w:kinsoku/>
        <w:wordWrap/>
        <w:overflowPunct/>
        <w:topLinePunct w:val="0"/>
        <w:bidi w:val="0"/>
        <w:spacing w:before="0" w:after="0" w:line="360" w:lineRule="auto"/>
        <w:textAlignment w:val="auto"/>
        <w:rPr>
          <w:sz w:val="24"/>
          <w:szCs w:val="24"/>
        </w:rPr>
      </w:pPr>
      <w:r>
        <w:rPr>
          <w:rFonts w:hint="eastAsia"/>
          <w:sz w:val="24"/>
          <w:szCs w:val="24"/>
          <w:lang w:val="en-US" w:eastAsia="zh-CN"/>
        </w:rPr>
        <w:t>4.2.6</w:t>
      </w:r>
      <w:r>
        <w:rPr>
          <w:rFonts w:hint="eastAsia"/>
          <w:sz w:val="24"/>
          <w:szCs w:val="24"/>
        </w:rPr>
        <w:t>火灾爆炸次生大气污染源强分析</w:t>
      </w:r>
    </w:p>
    <w:p w14:paraId="1E67C6E3">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根据HJ169-2018，采用火灾伴生/次生一氧化碳计算公式，公式如下：</w:t>
      </w:r>
    </w:p>
    <w:p w14:paraId="72C2CB26">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lang w:eastAsia="en-US"/>
          <w14:textFill>
            <w14:solidFill>
              <w14:schemeClr w14:val="tx1"/>
            </w14:solidFill>
          </w14:textFill>
        </w:rPr>
      </w:pPr>
      <m:oMathPara>
        <m:oMath>
          <m:sSub>
            <m:sSubPr>
              <m:ctrlPr>
                <w:rPr>
                  <w:rFonts w:ascii="Cambria Math" w:hAnsi="Cambria Math" w:cs="Times New Roman"/>
                  <w:bCs/>
                  <w:i/>
                  <w:color w:val="000000" w:themeColor="text1"/>
                  <w:sz w:val="24"/>
                  <w:szCs w:val="24"/>
                  <w:lang w:eastAsia="en-US"/>
                  <w14:textFill>
                    <w14:solidFill>
                      <w14:schemeClr w14:val="tx1"/>
                    </w14:solidFill>
                  </w14:textFill>
                </w:rPr>
              </m:ctrlPr>
            </m:sSubPr>
            <m:e>
              <m:r>
                <m:rPr/>
                <w:rPr>
                  <w:rFonts w:ascii="Cambria Math" w:hAnsi="Cambria Math" w:cs="Times New Roman"/>
                  <w:color w:val="000000" w:themeColor="text1"/>
                  <w:sz w:val="24"/>
                  <w:szCs w:val="24"/>
                  <w:lang w:eastAsia="en-US"/>
                  <w14:textFill>
                    <w14:solidFill>
                      <w14:schemeClr w14:val="tx1"/>
                    </w14:solidFill>
                  </w14:textFill>
                </w:rPr>
                <m:t>G</m:t>
              </m:r>
              <m:ctrlPr>
                <w:rPr>
                  <w:rFonts w:ascii="Cambria Math" w:hAnsi="Cambria Math" w:cs="Times New Roman"/>
                  <w:bCs/>
                  <w:i/>
                  <w:color w:val="000000" w:themeColor="text1"/>
                  <w:sz w:val="24"/>
                  <w:szCs w:val="24"/>
                  <w:lang w:eastAsia="en-US"/>
                  <w14:textFill>
                    <w14:solidFill>
                      <w14:schemeClr w14:val="tx1"/>
                    </w14:solidFill>
                  </w14:textFill>
                </w:rPr>
              </m:ctrlPr>
            </m:e>
            <m:sub>
              <m:r>
                <m:rPr/>
                <w:rPr>
                  <w:rFonts w:ascii="Cambria Math" w:hAnsi="Cambria Math" w:cs="Times New Roman"/>
                  <w:color w:val="000000" w:themeColor="text1"/>
                  <w:sz w:val="24"/>
                  <w:szCs w:val="24"/>
                  <w:lang w:eastAsia="en-US"/>
                  <w14:textFill>
                    <w14:solidFill>
                      <w14:schemeClr w14:val="tx1"/>
                    </w14:solidFill>
                  </w14:textFill>
                </w:rPr>
                <m:t>一氧化碳</m:t>
              </m:r>
              <m:ctrlPr>
                <w:rPr>
                  <w:rFonts w:ascii="Cambria Math" w:hAnsi="Cambria Math" w:cs="Times New Roman"/>
                  <w:bCs/>
                  <w:i/>
                  <w:color w:val="000000" w:themeColor="text1"/>
                  <w:sz w:val="24"/>
                  <w:szCs w:val="24"/>
                  <w:lang w:eastAsia="en-US"/>
                  <w14:textFill>
                    <w14:solidFill>
                      <w14:schemeClr w14:val="tx1"/>
                    </w14:solidFill>
                  </w14:textFill>
                </w:rPr>
              </m:ctrlPr>
            </m:sub>
          </m:sSub>
          <m:r>
            <m:rPr/>
            <w:rPr>
              <w:rFonts w:ascii="Cambria Math" w:hAnsi="Cambria Math" w:cs="Times New Roman"/>
              <w:color w:val="000000" w:themeColor="text1"/>
              <w:sz w:val="24"/>
              <w:szCs w:val="24"/>
              <w:lang w:eastAsia="en-US"/>
              <w14:textFill>
                <w14:solidFill>
                  <w14:schemeClr w14:val="tx1"/>
                </w14:solidFill>
              </w14:textFill>
            </w:rPr>
            <m:t>=2330qCQ</m:t>
          </m:r>
        </m:oMath>
      </m:oMathPara>
    </w:p>
    <w:p w14:paraId="7ED0AE7C">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式中：G—一氧化碳的产生量，kg/s；</w:t>
      </w:r>
    </w:p>
    <w:p w14:paraId="0DDD2820">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C—物质中碳的含量，</w:t>
      </w:r>
    </w:p>
    <w:p w14:paraId="4F0B2F7A">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q—化学不完全燃烧值，取值1.5~6.0%；</w:t>
      </w:r>
    </w:p>
    <w:p w14:paraId="5B02FF7C">
      <w:pPr>
        <w:pageBreakBefore w:val="0"/>
        <w:kinsoku/>
        <w:wordWrap/>
        <w:overflowPunct/>
        <w:topLinePunct w:val="0"/>
        <w:bidi w:val="0"/>
        <w:spacing w:line="360" w:lineRule="auto"/>
        <w:ind w:firstLine="482"/>
        <w:textAlignment w:val="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Q—参与燃烧的物质量，t/s。</w:t>
      </w:r>
    </w:p>
    <w:p w14:paraId="28171DFC">
      <w:pPr>
        <w:pageBreakBefore w:val="0"/>
        <w:kinsoku/>
        <w:wordWrap/>
        <w:overflowPunct/>
        <w:topLinePunct w:val="0"/>
        <w:bidi w:val="0"/>
        <w:spacing w:line="360" w:lineRule="auto"/>
        <w:ind w:firstLine="482"/>
        <w:textAlignment w:val="auto"/>
        <w:rPr>
          <w:rFonts w:hint="eastAsia"/>
          <w:color w:val="000000" w:themeColor="text1"/>
          <w:spacing w:val="4"/>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依据上述公式，C取值90%，q取值</w:t>
      </w:r>
      <w:r>
        <w:rPr>
          <w:rFonts w:hint="eastAsia" w:ascii="Times New Roman" w:hAnsi="Times New Roman" w:cs="Times New Roman"/>
          <w:bCs/>
          <w:color w:val="000000" w:themeColor="text1"/>
          <w:sz w:val="24"/>
          <w:szCs w:val="24"/>
          <w14:textFill>
            <w14:solidFill>
              <w14:schemeClr w14:val="tx1"/>
            </w14:solidFill>
          </w14:textFill>
        </w:rPr>
        <w:t>6%</w:t>
      </w:r>
      <w:r>
        <w:rPr>
          <w:rFonts w:ascii="Times New Roman" w:hAnsi="Times New Roman" w:cs="Times New Roman"/>
          <w:bCs/>
          <w:color w:val="000000" w:themeColor="text1"/>
          <w:sz w:val="24"/>
          <w:szCs w:val="24"/>
          <w14:textFill>
            <w14:solidFill>
              <w14:schemeClr w14:val="tx1"/>
            </w14:solidFill>
          </w14:textFill>
        </w:rPr>
        <w:t>，Q取值</w:t>
      </w:r>
      <w:r>
        <w:rPr>
          <w:rFonts w:hint="eastAsia" w:ascii="Times New Roman" w:hAnsi="Times New Roman" w:cs="Times New Roman"/>
          <w:bCs/>
          <w:color w:val="000000" w:themeColor="text1"/>
          <w:sz w:val="24"/>
          <w:szCs w:val="24"/>
          <w:lang w:val="en-US" w:eastAsia="zh-CN"/>
          <w14:textFill>
            <w14:solidFill>
              <w14:schemeClr w14:val="tx1"/>
            </w14:solidFill>
          </w14:textFill>
        </w:rPr>
        <w:t>0.089</w:t>
      </w:r>
      <w:r>
        <w:rPr>
          <w:rFonts w:ascii="Times New Roman" w:hAnsi="Times New Roman" w:cs="Times New Roman"/>
          <w:bCs/>
          <w:color w:val="000000" w:themeColor="text1"/>
          <w:sz w:val="24"/>
          <w:szCs w:val="24"/>
          <w14:textFill>
            <w14:solidFill>
              <w14:schemeClr w14:val="tx1"/>
            </w14:solidFill>
          </w14:textFill>
        </w:rPr>
        <w:t>kg/s，由此计算出CO的产生量为1.</w:t>
      </w:r>
      <w:r>
        <w:rPr>
          <w:rFonts w:hint="eastAsia" w:ascii="Times New Roman" w:hAnsi="Times New Roman" w:cs="Times New Roman"/>
          <w:bCs/>
          <w:color w:val="000000" w:themeColor="text1"/>
          <w:sz w:val="24"/>
          <w:szCs w:val="24"/>
          <w:lang w:val="en-US" w:eastAsia="zh-CN"/>
          <w14:textFill>
            <w14:solidFill>
              <w14:schemeClr w14:val="tx1"/>
            </w14:solidFill>
          </w14:textFill>
        </w:rPr>
        <w:t>119</w:t>
      </w:r>
      <w:r>
        <w:rPr>
          <w:rFonts w:ascii="Times New Roman" w:hAnsi="Times New Roman" w:cs="Times New Roman"/>
          <w:bCs/>
          <w:color w:val="000000" w:themeColor="text1"/>
          <w:sz w:val="24"/>
          <w:szCs w:val="24"/>
          <w14:textFill>
            <w14:solidFill>
              <w14:schemeClr w14:val="tx1"/>
            </w14:solidFill>
          </w14:textFill>
        </w:rPr>
        <w:t>kg/s。</w:t>
      </w:r>
    </w:p>
    <w:p w14:paraId="04915D90">
      <w:pPr>
        <w:pStyle w:val="8"/>
        <w:pageBreakBefore w:val="0"/>
        <w:kinsoku/>
        <w:wordWrap/>
        <w:overflowPunct/>
        <w:topLinePunct w:val="0"/>
        <w:bidi w:val="0"/>
        <w:spacing w:before="0" w:after="0" w:line="360" w:lineRule="auto"/>
        <w:textAlignment w:val="auto"/>
        <w:rPr>
          <w:sz w:val="24"/>
          <w:szCs w:val="24"/>
        </w:rPr>
      </w:pPr>
      <w:r>
        <w:rPr>
          <w:rFonts w:hint="eastAsia"/>
          <w:sz w:val="24"/>
          <w:szCs w:val="24"/>
          <w:lang w:val="en-US" w:eastAsia="zh-CN"/>
        </w:rPr>
        <w:t>4.2.7</w:t>
      </w:r>
      <w:r>
        <w:rPr>
          <w:rFonts w:hint="eastAsia"/>
          <w:sz w:val="24"/>
          <w:szCs w:val="24"/>
        </w:rPr>
        <w:t>火灾爆炸事故衍生水污染源强分析</w:t>
      </w:r>
    </w:p>
    <w:p w14:paraId="45B8796D">
      <w:pPr>
        <w:pageBreakBefore w:val="0"/>
        <w:kinsoku/>
        <w:wordWrap/>
        <w:overflowPunct/>
        <w:topLinePunct w:val="0"/>
        <w:bidi w:val="0"/>
        <w:spacing w:line="360" w:lineRule="auto"/>
        <w:ind w:firstLine="480" w:firstLineChars="200"/>
        <w:textAlignment w:val="auto"/>
        <w:rPr>
          <w:sz w:val="24"/>
          <w:szCs w:val="24"/>
        </w:rPr>
      </w:pPr>
      <w:r>
        <w:rPr>
          <w:rFonts w:hint="eastAsia"/>
          <w:sz w:val="24"/>
          <w:szCs w:val="24"/>
        </w:rPr>
        <w:t>火灾爆炸事故除产生大气污染外，还会伴生危险化学品泄漏及消防尾水。</w:t>
      </w:r>
    </w:p>
    <w:p w14:paraId="325813E8">
      <w:pPr>
        <w:pageBreakBefore w:val="0"/>
        <w:kinsoku/>
        <w:wordWrap/>
        <w:overflowPunct/>
        <w:topLinePunct w:val="0"/>
        <w:bidi w:val="0"/>
        <w:spacing w:line="360" w:lineRule="auto"/>
        <w:ind w:firstLine="480" w:firstLineChars="200"/>
        <w:textAlignment w:val="auto"/>
        <w:rPr>
          <w:rFonts w:hint="eastAsia"/>
          <w:sz w:val="24"/>
          <w:szCs w:val="24"/>
        </w:rPr>
      </w:pPr>
      <w:r>
        <w:rPr>
          <w:rFonts w:hint="eastAsia"/>
          <w:sz w:val="24"/>
          <w:szCs w:val="24"/>
        </w:rPr>
        <w:t>一般一个厂区按一处事故设防，同一时间，厂区内只按一处发生事故计，即装置区与贮罐区事故不作同时发生考虑。灭火消防给水量按最大的</w:t>
      </w:r>
      <w:r>
        <w:rPr>
          <w:sz w:val="24"/>
          <w:szCs w:val="24"/>
        </w:rPr>
        <w:t>110</w:t>
      </w:r>
      <w:r>
        <w:rPr>
          <w:rFonts w:hint="eastAsia"/>
          <w:sz w:val="24"/>
          <w:szCs w:val="24"/>
        </w:rPr>
        <w:t>L/s计，消防灭火时间按</w:t>
      </w:r>
      <w:r>
        <w:rPr>
          <w:sz w:val="24"/>
          <w:szCs w:val="24"/>
        </w:rPr>
        <w:t>2</w:t>
      </w:r>
      <w:r>
        <w:rPr>
          <w:rFonts w:hint="eastAsia"/>
          <w:sz w:val="24"/>
          <w:szCs w:val="24"/>
        </w:rPr>
        <w:t>小时计，则最大消防用水量为</w:t>
      </w:r>
      <w:r>
        <w:rPr>
          <w:rFonts w:hint="eastAsia"/>
          <w:sz w:val="24"/>
          <w:szCs w:val="24"/>
          <w:lang w:val="en-US" w:eastAsia="zh-CN"/>
        </w:rPr>
        <w:t>243</w:t>
      </w:r>
      <w:r>
        <w:rPr>
          <w:rFonts w:hint="eastAsia"/>
          <w:sz w:val="24"/>
          <w:szCs w:val="24"/>
        </w:rPr>
        <w:t>m</w:t>
      </w:r>
      <w:r>
        <w:rPr>
          <w:rFonts w:hint="eastAsia"/>
          <w:sz w:val="24"/>
          <w:szCs w:val="24"/>
          <w:vertAlign w:val="superscript"/>
        </w:rPr>
        <w:t>3</w:t>
      </w:r>
      <w:r>
        <w:rPr>
          <w:rFonts w:hint="eastAsia"/>
          <w:sz w:val="24"/>
          <w:szCs w:val="24"/>
        </w:rPr>
        <w:t>。事故应急池总容积为</w:t>
      </w:r>
      <w:r>
        <w:rPr>
          <w:rFonts w:hint="eastAsia"/>
          <w:sz w:val="24"/>
          <w:szCs w:val="24"/>
          <w:lang w:val="en-US" w:eastAsia="zh-CN"/>
        </w:rPr>
        <w:t>740</w:t>
      </w:r>
      <w:r>
        <w:rPr>
          <w:rFonts w:hint="eastAsia"/>
          <w:sz w:val="24"/>
          <w:szCs w:val="24"/>
        </w:rPr>
        <w:t>m</w:t>
      </w:r>
      <w:r>
        <w:rPr>
          <w:sz w:val="24"/>
          <w:szCs w:val="24"/>
          <w:vertAlign w:val="superscript"/>
        </w:rPr>
        <w:t>3</w:t>
      </w:r>
      <w:r>
        <w:rPr>
          <w:rFonts w:hint="eastAsia"/>
          <w:sz w:val="24"/>
          <w:szCs w:val="24"/>
        </w:rPr>
        <w:t>，其容积满足要求。消防尾水中会携带有毒有害危险化学品，导致消防水COD增大。</w:t>
      </w:r>
      <w:bookmarkStart w:id="71" w:name="_Toc127256782"/>
    </w:p>
    <w:p w14:paraId="6FCC21B7">
      <w:pPr>
        <w:pageBreakBefore w:val="0"/>
        <w:kinsoku/>
        <w:wordWrap/>
        <w:overflowPunct/>
        <w:topLinePunct w:val="0"/>
        <w:bidi w:val="0"/>
        <w:spacing w:line="360" w:lineRule="auto"/>
        <w:textAlignment w:val="auto"/>
        <w:rPr>
          <w:rFonts w:cs="Times New Roman"/>
          <w:b/>
          <w:bCs/>
          <w:sz w:val="28"/>
          <w:szCs w:val="28"/>
        </w:rPr>
      </w:pPr>
      <w:r>
        <w:rPr>
          <w:rFonts w:hint="eastAsia" w:cs="Times New Roman"/>
          <w:b/>
          <w:bCs/>
          <w:sz w:val="28"/>
          <w:szCs w:val="28"/>
          <w:lang w:val="en-US" w:eastAsia="zh-CN"/>
        </w:rPr>
        <w:t>4.3</w:t>
      </w:r>
      <w:r>
        <w:rPr>
          <w:rFonts w:cs="Times New Roman"/>
          <w:b/>
          <w:bCs/>
          <w:sz w:val="28"/>
          <w:szCs w:val="28"/>
        </w:rPr>
        <w:t>释放环境风险物质的扩散途径、涉及环境风险防控与应急措施、应急资源情况分析</w:t>
      </w:r>
      <w:bookmarkEnd w:id="71"/>
    </w:p>
    <w:p w14:paraId="0F0E3675">
      <w:pPr>
        <w:pStyle w:val="8"/>
        <w:pageBreakBefore w:val="0"/>
        <w:kinsoku/>
        <w:wordWrap/>
        <w:overflowPunct/>
        <w:topLinePunct w:val="0"/>
        <w:bidi w:val="0"/>
        <w:spacing w:before="0" w:after="0" w:line="360" w:lineRule="auto"/>
        <w:textAlignment w:val="auto"/>
        <w:rPr>
          <w:sz w:val="24"/>
          <w:szCs w:val="24"/>
        </w:rPr>
      </w:pPr>
      <w:r>
        <w:rPr>
          <w:rFonts w:hint="eastAsia"/>
          <w:sz w:val="24"/>
          <w:szCs w:val="24"/>
          <w:lang w:val="en-US" w:eastAsia="zh-CN"/>
        </w:rPr>
        <w:t>4.3.1</w:t>
      </w:r>
      <w:r>
        <w:rPr>
          <w:sz w:val="24"/>
          <w:szCs w:val="24"/>
        </w:rPr>
        <w:t>环境风险物质的扩散途径及危害形式</w:t>
      </w:r>
    </w:p>
    <w:p w14:paraId="1039821B">
      <w:pPr>
        <w:pStyle w:val="124"/>
        <w:pageBreakBefore w:val="0"/>
        <w:kinsoku/>
        <w:wordWrap/>
        <w:overflowPunct/>
        <w:topLinePunct w:val="0"/>
        <w:bidi w:val="0"/>
        <w:spacing w:line="360" w:lineRule="auto"/>
        <w:textAlignment w:val="auto"/>
        <w:rPr>
          <w:sz w:val="24"/>
          <w:szCs w:val="24"/>
          <w:lang w:eastAsia="zh-CN"/>
        </w:rPr>
      </w:pPr>
      <w:r>
        <w:rPr>
          <w:rFonts w:hint="eastAsia"/>
          <w:sz w:val="24"/>
          <w:szCs w:val="24"/>
          <w:lang w:eastAsia="zh-CN"/>
        </w:rPr>
        <w:t>环境风险物质甲苯、邻氯硝基苯、盐酸、</w:t>
      </w:r>
      <w:r>
        <w:rPr>
          <w:rFonts w:hint="eastAsia"/>
          <w:sz w:val="24"/>
          <w:szCs w:val="24"/>
          <w:lang w:val="en-US" w:eastAsia="zh-CN"/>
        </w:rPr>
        <w:t>3.3二氯联苯胺盐酸盐、蒸馏残渣</w:t>
      </w:r>
      <w:r>
        <w:rPr>
          <w:sz w:val="24"/>
          <w:szCs w:val="24"/>
          <w:lang w:eastAsia="zh-CN"/>
        </w:rPr>
        <w:t>主要影响大气、地表水、地下水和土壤。</w:t>
      </w:r>
    </w:p>
    <w:p w14:paraId="11E83BFC">
      <w:pPr>
        <w:pStyle w:val="124"/>
        <w:pageBreakBefore w:val="0"/>
        <w:kinsoku/>
        <w:wordWrap/>
        <w:overflowPunct/>
        <w:topLinePunct w:val="0"/>
        <w:bidi w:val="0"/>
        <w:spacing w:line="360" w:lineRule="auto"/>
        <w:textAlignment w:val="auto"/>
        <w:rPr>
          <w:rFonts w:hint="eastAsia"/>
          <w:sz w:val="24"/>
          <w:szCs w:val="24"/>
          <w:lang w:eastAsia="zh-CN"/>
        </w:rPr>
      </w:pPr>
      <w:r>
        <w:rPr>
          <w:rFonts w:hint="eastAsia"/>
          <w:sz w:val="24"/>
          <w:szCs w:val="24"/>
          <w:lang w:eastAsia="zh-CN"/>
        </w:rPr>
        <w:t>甲苯大气污染：释放条件为常温常压下高挥发性(沸点110.8C)，遇热或搅动加速逸散；主要</w:t>
      </w:r>
      <w:r>
        <w:rPr>
          <w:rFonts w:hint="eastAsia"/>
          <w:sz w:val="24"/>
          <w:szCs w:val="24"/>
          <w:highlight w:val="none"/>
          <w:lang w:eastAsia="zh-CN"/>
        </w:rPr>
        <w:t>排放</w:t>
      </w:r>
      <w:r>
        <w:rPr>
          <w:rFonts w:hint="eastAsia"/>
          <w:sz w:val="24"/>
          <w:szCs w:val="24"/>
          <w:lang w:eastAsia="zh-CN"/>
        </w:rPr>
        <w:t>途径是工业溶剂使用中泄漏或不密闭操作，甲苯属VOCs，参与光化学反应生成臭氧和二次有机气溶胶，加剧雾霾。地表水污染：释放条件为意外泄漏管道破裂，含甲苯废水直排或大气湿沉降(降雨携带)；主要</w:t>
      </w:r>
      <w:r>
        <w:rPr>
          <w:rFonts w:hint="eastAsia"/>
          <w:sz w:val="24"/>
          <w:szCs w:val="24"/>
          <w:highlight w:val="none"/>
          <w:lang w:eastAsia="zh-CN"/>
        </w:rPr>
        <w:t>排放</w:t>
      </w:r>
      <w:r>
        <w:rPr>
          <w:rFonts w:hint="eastAsia"/>
          <w:sz w:val="24"/>
          <w:szCs w:val="24"/>
          <w:lang w:eastAsia="zh-CN"/>
        </w:rPr>
        <w:t>途径为工业废水排放(化工，制药，印刷)，事故性溢出，含甲苯产品废弃后雨水冲刷入河湖。甲苯微溶于水(约5g/L)，但易随水流迁移，对水生生物具急性毒性(EC50约10-100 mg/L)。地下水污染：释放条件为长期或大量泄漏至地表且包气带渗透性强(如砂土)，防渗失效；主要</w:t>
      </w:r>
      <w:r>
        <w:rPr>
          <w:rFonts w:hint="eastAsia"/>
          <w:sz w:val="24"/>
          <w:szCs w:val="24"/>
          <w:highlight w:val="none"/>
          <w:lang w:eastAsia="zh-CN"/>
        </w:rPr>
        <w:t>排放</w:t>
      </w:r>
      <w:r>
        <w:rPr>
          <w:rFonts w:hint="eastAsia"/>
          <w:sz w:val="24"/>
          <w:szCs w:val="24"/>
          <w:lang w:eastAsia="zh-CN"/>
        </w:rPr>
        <w:t>途径为含甲苯液体渗漏(如加油站地下储罐，化工厂渗坑)经垂向入渗形成污染羽。虽可被土壤微生物部解(有氧〉无氧)，但高流动性使其易达浅层含水层，不易吸附(Koc低)，难自然阻滞。土壤污染：释放条件为spills，渗漏，污泥施用或大气干/湿沉降累积；主要</w:t>
      </w:r>
      <w:r>
        <w:rPr>
          <w:rFonts w:hint="eastAsia"/>
          <w:sz w:val="24"/>
          <w:szCs w:val="24"/>
          <w:highlight w:val="none"/>
          <w:lang w:eastAsia="zh-CN"/>
        </w:rPr>
        <w:t>排放</w:t>
      </w:r>
      <w:r>
        <w:rPr>
          <w:rFonts w:hint="eastAsia"/>
          <w:sz w:val="24"/>
          <w:szCs w:val="24"/>
          <w:lang w:eastAsia="zh-CN"/>
        </w:rPr>
        <w:t>途径为工业场地污染，容器破裂，废水灌溉。甲苯在土壤中以挥发为主(占去除量70%以上)，有氧条件下生物降解快(半衰期数天-数周)，但厌氧或低温环境可滞留数月，抑制微生物活性并破坏土壤结构。</w:t>
      </w:r>
    </w:p>
    <w:p w14:paraId="503781EA">
      <w:pPr>
        <w:pStyle w:val="124"/>
        <w:pageBreakBefore w:val="0"/>
        <w:kinsoku/>
        <w:wordWrap/>
        <w:overflowPunct/>
        <w:topLinePunct w:val="0"/>
        <w:bidi w:val="0"/>
        <w:spacing w:line="360" w:lineRule="auto"/>
        <w:textAlignment w:val="auto"/>
        <w:rPr>
          <w:sz w:val="24"/>
          <w:szCs w:val="24"/>
          <w:lang w:eastAsia="zh-CN"/>
        </w:rPr>
      </w:pPr>
      <w:r>
        <w:rPr>
          <w:rFonts w:hint="eastAsia"/>
          <w:sz w:val="24"/>
          <w:szCs w:val="24"/>
          <w:lang w:eastAsia="zh-CN"/>
        </w:rPr>
        <w:t>对环境受体(如鱼类，藻类，土壤无脊椎动物)可致氧化应激，繁殖抑制，大气中则通过形成光化学烟雾间接影响植物与生态系统。其环境归趋以大气挥发和生物降解为主导，水体与土壤中迁移性强，持久性中等(半衰期：水1-3天，土壤1-4周).</w:t>
      </w:r>
      <w:r>
        <w:rPr>
          <w:sz w:val="24"/>
          <w:szCs w:val="24"/>
          <w:lang w:eastAsia="zh-CN"/>
        </w:rPr>
        <w:t>气态物质泄漏直接进入大气，受释放面积、释放时间、物质的饱和蒸汽压以及环境大气的气象条件的影响，影响范围不同；液态物质泄漏后由于温度等因素的影响，部分蒸发作用进入大气中，剩余部分若不及时收集处理，会随着地面径流流入周边河流，通过渗透作用进入土壤，进而影响土壤及地下水环境；固态物质泄漏后若遇到雨水，可如液态物质一样影响土壤和地下水。</w:t>
      </w:r>
    </w:p>
    <w:p w14:paraId="380D8351">
      <w:pPr>
        <w:pStyle w:val="124"/>
        <w:pageBreakBefore w:val="0"/>
        <w:kinsoku/>
        <w:wordWrap/>
        <w:overflowPunct/>
        <w:topLinePunct w:val="0"/>
        <w:bidi w:val="0"/>
        <w:spacing w:line="360" w:lineRule="auto"/>
        <w:textAlignment w:val="auto"/>
        <w:rPr>
          <w:rFonts w:hint="eastAsia"/>
          <w:sz w:val="24"/>
          <w:szCs w:val="24"/>
          <w:lang w:eastAsia="zh-CN"/>
        </w:rPr>
      </w:pPr>
      <w:r>
        <w:rPr>
          <w:rFonts w:hint="eastAsia"/>
          <w:sz w:val="24"/>
          <w:szCs w:val="24"/>
          <w:lang w:eastAsia="zh-CN"/>
        </w:rPr>
        <w:t>邻氯硝基苯大气污染：释放条件为高温作业(&gt;200C)，火灾或挥发性逸散（蒸汽压仅0.0448mmHg)；排放途径以蒸气态经无组织排放(如储罐呼吸阀，反应釜密闭不严)进入空气，半衰期约数十天(光解主导)，沉降或湿清除后可间接回落地表/水体。地表水污染：释放条件为储运泄漏，生产废水直排或雨水冲刷污染场地(尤其暴雨后)；排放途径以溶解态(20C水溶性约0.43g/L)或吸附于悬浮颗粒物随径流进入，不易挥发，主要通过地表径流迁移。</w:t>
      </w:r>
    </w:p>
    <w:p w14:paraId="40D760EE">
      <w:pPr>
        <w:pStyle w:val="124"/>
        <w:pageBreakBefore w:val="0"/>
        <w:kinsoku/>
        <w:wordWrap/>
        <w:overflowPunct/>
        <w:topLinePunct w:val="0"/>
        <w:bidi w:val="0"/>
        <w:spacing w:line="360" w:lineRule="auto"/>
        <w:ind w:left="0" w:leftChars="0" w:firstLine="0" w:firstLineChars="0"/>
        <w:textAlignment w:val="auto"/>
        <w:rPr>
          <w:rFonts w:hint="eastAsia"/>
          <w:sz w:val="24"/>
          <w:szCs w:val="24"/>
          <w:lang w:eastAsia="zh-CN"/>
        </w:rPr>
      </w:pPr>
      <w:r>
        <w:rPr>
          <w:rFonts w:hint="eastAsia"/>
          <w:sz w:val="24"/>
          <w:szCs w:val="24"/>
          <w:lang w:eastAsia="zh-CN"/>
        </w:rPr>
        <w:t>地下水污染：释放条件为渗漏储罐，填埋场渗滤液或长期施用含残留废水的污水灌溉(虽未列于农田灌溉标准限值，但存在潜在风险)；排放途径为垂直入渗，因LogP2.3，中等疏水性，可在包气带缓慢迁移，但不易大幅深渗(受土壤有机质弱吸附)。土壤污染：释放条件为泄漏，溅洒，含渣废弃物堆放；排放途径以残留于表层土壤(半衰期数周至月，需特定微生物驯化才可降解)，可被植物根系微量吸收，但不易随风或水大规模扩散。</w:t>
      </w:r>
    </w:p>
    <w:p w14:paraId="7CD3C01C">
      <w:pPr>
        <w:pStyle w:val="124"/>
        <w:pageBreakBefore w:val="0"/>
        <w:kinsoku/>
        <w:wordWrap/>
        <w:overflowPunct/>
        <w:topLinePunct w:val="0"/>
        <w:bidi w:val="0"/>
        <w:spacing w:line="360" w:lineRule="auto"/>
        <w:ind w:left="0" w:leftChars="0" w:firstLine="480" w:firstLineChars="200"/>
        <w:textAlignment w:val="auto"/>
        <w:rPr>
          <w:rFonts w:hint="eastAsia"/>
          <w:sz w:val="24"/>
          <w:szCs w:val="24"/>
          <w:lang w:eastAsia="zh-CN"/>
        </w:rPr>
      </w:pPr>
      <w:r>
        <w:rPr>
          <w:rFonts w:hint="eastAsia"/>
          <w:sz w:val="24"/>
          <w:szCs w:val="24"/>
          <w:lang w:eastAsia="zh-CN"/>
        </w:rPr>
        <w:t>该物质环境行为以局部点源突发泄漏为主，自然降解慢(尤其厌氧条件)，对环境受体水生生物具长期毒性(R52/53)。</w:t>
      </w:r>
    </w:p>
    <w:p w14:paraId="655F628C">
      <w:pPr>
        <w:pStyle w:val="124"/>
        <w:pageBreakBefore w:val="0"/>
        <w:kinsoku/>
        <w:wordWrap/>
        <w:overflowPunct/>
        <w:topLinePunct w:val="0"/>
        <w:bidi w:val="0"/>
        <w:spacing w:line="360" w:lineRule="auto"/>
        <w:ind w:left="0" w:leftChars="0" w:firstLine="480" w:firstLineChars="200"/>
        <w:textAlignment w:val="auto"/>
        <w:rPr>
          <w:rFonts w:hint="eastAsia"/>
          <w:sz w:val="24"/>
          <w:szCs w:val="24"/>
          <w:lang w:eastAsia="zh-CN"/>
        </w:rPr>
      </w:pPr>
      <w:r>
        <w:rPr>
          <w:rFonts w:hint="eastAsia"/>
          <w:sz w:val="24"/>
          <w:szCs w:val="24"/>
          <w:lang w:eastAsia="zh-CN"/>
        </w:rPr>
        <w:t>盐酸大气污染：释放条件为盐酸溶液挥发(浓度〉20%时显著)，酸洗/反应工序逸散或储罐呼吸废气；排放途径为氯化氢气体扩散，遇湿气形成酸雾(可见白烟)，可随沉降(干/湿)转归地表/水体。地表水污染：释放条件为储运泄漏，事故性倾倒或含盐酸废水未经处理直排；排放途径主要通过地表径流，渗漏池/沟渠或暗管/渗井直接进入河流，湖泊等。盐酸迅速降低水体pH(&lt;5.6可毒害水生生物)，并可能溶解重金属加剧毒性。地下水污染：释放条件为泄漏至未防渗地面，渗井/渗坑非法倾倒，或受污染地表水长期下渗；排放途径属"入渗型"污染(连续或间歇)，盐酸随水分下迁酸化含水层，氯离子难降解，修复极难。土壤污染：释放条件为泄漏，泼洒或含酸废液落地：排放途径为直接接触导致表层土壤酸化(pH骤降)，破坏微生物群落，释放铝/重金属，抑制植物生长。盐酸本身挥发或稀释后残留较少，但氯离子累积可致土壤板结与盐渍化。</w:t>
      </w:r>
    </w:p>
    <w:p w14:paraId="521424CC">
      <w:pPr>
        <w:pStyle w:val="124"/>
        <w:pageBreakBefore w:val="0"/>
        <w:kinsoku/>
        <w:wordWrap/>
        <w:overflowPunct/>
        <w:topLinePunct w:val="0"/>
        <w:bidi w:val="0"/>
        <w:spacing w:line="360" w:lineRule="auto"/>
        <w:textAlignment w:val="auto"/>
        <w:rPr>
          <w:rFonts w:hint="eastAsia"/>
          <w:sz w:val="24"/>
          <w:szCs w:val="24"/>
          <w:lang w:val="en-US" w:eastAsia="zh-CN"/>
        </w:rPr>
      </w:pPr>
      <w:r>
        <w:rPr>
          <w:rFonts w:hint="eastAsia"/>
          <w:sz w:val="24"/>
          <w:szCs w:val="24"/>
          <w:lang w:val="en-US" w:eastAsia="zh-CN"/>
        </w:rPr>
        <w:t>3.3-二氯联苯胺盐酸盐大气污染：常态下几乎不挥发(沸点385C，蒸气压极低)，无正常工艺废气排放；仅在高温分解(&gt;200C，如火灾，焚烧)，研磨粉尘或酸雾夹带时释放风险，分解产物含氯化氢，氮氧化物及可能的二噁英类物质；主要排放途径为事故燃烧烟气，粉尘逸散或废气处理系统(如RTO)异常排放。地表水污染：主要通过生产废水泄漏，事故性溢流或含残留物的废液(如高盐，高 COD废水)直接排入水体释放；该物质微溶于水(约〈1g/L)，但其盐酸盐形态在酸性废水中可短暂溶解，进入环境后可能吸附颗粒物沉降或缓慢水解。排放途径包括工业排水口，雨水冲刷污染区，储罐/管线泄漏。地下水污染：源于长期渗漏的储罐，废水池，危废堆场或未防渗的排污沟渠，污染物随垂向渗滤迁移；因该物质辛醇/水分配系数较高(logP6.6)且具一定持久性，在地下水中迁移能力中等，易被土壤胶体吸附，但酸性地质条件下可能增强溶解度与渗透风险。土壤污染：主要因泄漏，spills，含渣废料堆放或污泥农用导致；该物质易被土壤有机质吸附，在中性至碱性土壤中沉降滞留，不易挥发或淋溶，但长期残留可能因微生物缓慢降解(极慢)或酸雨淋放。释放条件为物理破损，未按危废管理处置含母液或滤饼废弃物。</w:t>
      </w:r>
    </w:p>
    <w:p w14:paraId="54C75B2B">
      <w:pPr>
        <w:pStyle w:val="124"/>
        <w:pageBreakBefore w:val="0"/>
        <w:kinsoku/>
        <w:wordWrap/>
        <w:overflowPunct/>
        <w:topLinePunct w:val="0"/>
        <w:bidi w:val="0"/>
        <w:spacing w:line="360" w:lineRule="auto"/>
        <w:textAlignment w:val="auto"/>
        <w:rPr>
          <w:rFonts w:hint="eastAsia"/>
          <w:sz w:val="24"/>
          <w:szCs w:val="24"/>
          <w:lang w:val="en-US" w:eastAsia="zh-CN"/>
        </w:rPr>
      </w:pPr>
      <w:r>
        <w:rPr>
          <w:rFonts w:hint="default"/>
          <w:sz w:val="24"/>
          <w:szCs w:val="24"/>
          <w:lang w:val="en-US" w:eastAsia="zh-CN"/>
        </w:rPr>
        <w:t>对</w:t>
      </w:r>
      <w:r>
        <w:rPr>
          <w:rFonts w:hint="eastAsia"/>
          <w:sz w:val="24"/>
          <w:szCs w:val="24"/>
          <w:lang w:val="en-US" w:eastAsia="zh-CN"/>
        </w:rPr>
        <w:t>环境水体</w:t>
      </w:r>
      <w:r>
        <w:rPr>
          <w:rFonts w:hint="default"/>
          <w:sz w:val="24"/>
          <w:szCs w:val="24"/>
          <w:lang w:val="en-US" w:eastAsia="zh-CN"/>
        </w:rPr>
        <w:t>水生生物毒性极大且具长期持续影响</w:t>
      </w:r>
      <w:r>
        <w:rPr>
          <w:rFonts w:hint="eastAsia"/>
          <w:sz w:val="24"/>
          <w:szCs w:val="24"/>
          <w:lang w:val="en-US" w:eastAsia="zh-CN"/>
        </w:rPr>
        <w:t>。</w:t>
      </w:r>
    </w:p>
    <w:p w14:paraId="36526D98">
      <w:pPr>
        <w:pStyle w:val="124"/>
        <w:pageBreakBefore w:val="0"/>
        <w:kinsoku/>
        <w:wordWrap/>
        <w:overflowPunct/>
        <w:topLinePunct w:val="0"/>
        <w:bidi w:val="0"/>
        <w:spacing w:line="360" w:lineRule="auto"/>
        <w:textAlignment w:val="auto"/>
        <w:rPr>
          <w:rFonts w:hint="eastAsia"/>
          <w:sz w:val="24"/>
          <w:szCs w:val="24"/>
          <w:lang w:val="en-US" w:eastAsia="zh-CN"/>
        </w:rPr>
      </w:pPr>
      <w:r>
        <w:rPr>
          <w:rFonts w:hint="eastAsia"/>
          <w:sz w:val="24"/>
          <w:szCs w:val="24"/>
          <w:lang w:val="en-US" w:eastAsia="zh-CN"/>
        </w:rPr>
        <w:t>蒸馏残渣大气污染：挥发性组分(苯，甲苯，VOCs)常温挥发；高温(如露天焚烧，自燃)释放二噁英，颗粒物，酸性气体(HCI,SO2)；风力扬尘携带吸附重金属的细颗粒。释放条件为露天贮存，高温天气，机械扰动(如运输，挖掘)。地表水污染：降雨或地表径流冲刷露天堆放/非法倾倒的残渣，使含多环芳烃，苯系物，重金属等的渗滤液进入河流，湖泊；释放条件包括降雨，坡地堆放，无防渗措施。地下水污染：残渣(尤其液态/半固态)渗漏至土壤后，随重力与地下水流动缓慢下迁；渗滤液穿透包气带进入含水层。释放条件为长期静置，高渗透性土壤，雨季淋溶，填埋场防渗失效。土壤污染：洒漏或渗漏使有机毒物(如苯并[a]芘)和重金属(铅，砷，铬)接触土壤；酸碱性残渣改变pH，破坏微生物群落。释放条件为裸露堆放，容器破损，运输遗撒，填埋场溃漏。</w:t>
      </w:r>
    </w:p>
    <w:p w14:paraId="78493020">
      <w:pPr>
        <w:pStyle w:val="124"/>
        <w:pageBreakBefore w:val="0"/>
        <w:kinsoku/>
        <w:wordWrap/>
        <w:overflowPunct/>
        <w:topLinePunct w:val="0"/>
        <w:bidi w:val="0"/>
        <w:spacing w:line="360" w:lineRule="auto"/>
        <w:textAlignment w:val="auto"/>
        <w:rPr>
          <w:rFonts w:hint="default"/>
          <w:sz w:val="24"/>
          <w:szCs w:val="24"/>
          <w:lang w:val="en-US" w:eastAsia="zh-CN"/>
        </w:rPr>
      </w:pPr>
      <w:r>
        <w:rPr>
          <w:rFonts w:hint="eastAsia"/>
          <w:sz w:val="24"/>
          <w:szCs w:val="24"/>
          <w:lang w:val="en-US" w:eastAsia="zh-CN"/>
        </w:rPr>
        <w:t>环境受体：</w:t>
      </w:r>
      <w:r>
        <w:rPr>
          <w:rFonts w:hint="default"/>
          <w:sz w:val="24"/>
          <w:szCs w:val="24"/>
          <w:lang w:val="en-US" w:eastAsia="zh-CN"/>
        </w:rPr>
        <w:t>污染物具持久性，</w:t>
      </w:r>
      <w:r>
        <w:rPr>
          <w:rFonts w:hint="eastAsia"/>
          <w:sz w:val="24"/>
          <w:szCs w:val="24"/>
          <w:lang w:val="en-US" w:eastAsia="zh-CN"/>
        </w:rPr>
        <w:t>对环境受体</w:t>
      </w:r>
      <w:r>
        <w:rPr>
          <w:rFonts w:hint="default"/>
          <w:sz w:val="24"/>
          <w:szCs w:val="24"/>
          <w:lang w:val="en-US" w:eastAsia="zh-CN"/>
        </w:rPr>
        <w:t>生物累积性与迁移性，易造成跨介质(如土壤地下水地表水)复合污染，修复难度大，周期长。</w:t>
      </w:r>
    </w:p>
    <w:p w14:paraId="5C94B2AA">
      <w:pPr>
        <w:pStyle w:val="124"/>
        <w:pageBreakBefore w:val="0"/>
        <w:kinsoku/>
        <w:wordWrap/>
        <w:overflowPunct/>
        <w:topLinePunct w:val="0"/>
        <w:bidi w:val="0"/>
        <w:spacing w:line="360" w:lineRule="auto"/>
        <w:textAlignment w:val="auto"/>
        <w:rPr>
          <w:sz w:val="24"/>
          <w:szCs w:val="24"/>
          <w:lang w:eastAsia="zh-CN"/>
        </w:rPr>
      </w:pPr>
      <w:r>
        <w:rPr>
          <w:rFonts w:hint="eastAsia"/>
          <w:sz w:val="24"/>
          <w:szCs w:val="24"/>
          <w:lang w:eastAsia="zh-CN"/>
        </w:rPr>
        <w:t>根据厂区可能发生的风险防控设施失灵、企业违法排污、运输系统故障事故及各种自然灾害事故源强与火灾爆炸事故次生污染源强等源强分析，公司最可能发生的事故为化学品爆炸事件、毒物泄漏事件和污水处理站故障造成的废水外排事件。因此本次评估重点分析此三类事故。</w:t>
      </w:r>
    </w:p>
    <w:p w14:paraId="54E72665">
      <w:pPr>
        <w:keepNext/>
        <w:keepLines/>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4.3.1.1</w:t>
      </w:r>
      <w:r>
        <w:rPr>
          <w:rFonts w:hint="eastAsia"/>
          <w:b/>
          <w:bCs/>
          <w:color w:val="000000" w:themeColor="text1"/>
          <w:sz w:val="24"/>
          <w:szCs w:val="24"/>
          <w14:textFill>
            <w14:solidFill>
              <w14:schemeClr w14:val="tx1"/>
            </w14:solidFill>
          </w14:textFill>
        </w:rPr>
        <w:t>化学品爆炸扩散影响及需要的环境应急能力</w:t>
      </w:r>
    </w:p>
    <w:p w14:paraId="521383A6">
      <w:pPr>
        <w:pageBreakBefore w:val="0"/>
        <w:kinsoku/>
        <w:wordWrap/>
        <w:overflowPunct/>
        <w:topLinePunct w:val="0"/>
        <w:autoSpaceDE w:val="0"/>
        <w:autoSpaceDN w:val="0"/>
        <w:bidi w:val="0"/>
        <w:adjustRightInd w:val="0"/>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1、化学品火灾爆炸引发的大气污染物扩散途径</w:t>
      </w:r>
    </w:p>
    <w:p w14:paraId="1AE968CE">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火灾、爆炸事故中热辐射、冲击波和抛射物等直接危害属于安全事故范畴，其对环境的影响范围一般不超出厂界；而未燃烧的危险物质在高温下迅速挥发释放至大气及燃烧物质燃烧过程中产生的伴生</w:t>
      </w:r>
      <w:r>
        <w:rPr>
          <w:rFonts w:ascii="Times New Roman" w:hAnsi="Times New Roman" w:cs="Times New Roman"/>
          <w:color w:val="000000" w:themeColor="text1"/>
          <w:sz w:val="24"/>
          <w:szCs w:val="24"/>
          <w14:textFill>
            <w14:solidFill>
              <w14:schemeClr w14:val="tx1"/>
            </w14:solidFill>
          </w14:textFill>
        </w:rPr>
        <w:t>/次生物质属于环境风险分析对象，其污染属于环境事故范畴，往往造成厂界外的环境影响。</w:t>
      </w:r>
    </w:p>
    <w:p w14:paraId="1BE8C83A">
      <w:pPr>
        <w:pageBreakBefore w:val="0"/>
        <w:kinsoku/>
        <w:wordWrap/>
        <w:overflowPunct/>
        <w:topLinePunct w:val="0"/>
        <w:autoSpaceDE w:val="0"/>
        <w:autoSpaceDN w:val="0"/>
        <w:bidi w:val="0"/>
        <w:adjustRightInd w:val="0"/>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2、衍生的水污染物释放途径</w:t>
      </w:r>
    </w:p>
    <w:p w14:paraId="20489E8D">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发生爆炸后，需要用大量消防水进行扑消，消防人员在进行消防扑救的同时，产生大量污染废水，即事故状态废水（或消防尾水）。如果不对其加以收集、处置，必然会对企业所在地地表水和地下水造成严重的污染。</w:t>
      </w:r>
    </w:p>
    <w:p w14:paraId="32625052">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根据企业现状在罐区、各生产装置区外、仓库、危废暂存区外设置导排沟、管线，与事故水池相连。当工艺装置、储罐区发生火灾爆炸等事故时，开启应急消防系统，此时受污染的消防水直接进入事故池。本公司依托足够容量的事故水池，以确保事故状态废水不外排，发生事故架设临时泵与污水管线连接，将所收集物送至厂区内污水处理设施处理后送</w:t>
      </w:r>
      <w:r>
        <w:rPr>
          <w:rFonts w:hint="eastAsia" w:ascii="Times New Roman" w:hAnsi="Times New Roman" w:cs="Times New Roman"/>
          <w:color w:val="000000" w:themeColor="text1"/>
          <w:sz w:val="24"/>
          <w:szCs w:val="24"/>
          <w:lang w:eastAsia="zh-CN"/>
          <w14:textFill>
            <w14:solidFill>
              <w14:schemeClr w14:val="tx1"/>
            </w14:solidFill>
          </w14:textFill>
        </w:rPr>
        <w:t>齐鲁石化供排水厂</w:t>
      </w:r>
      <w:r>
        <w:rPr>
          <w:rFonts w:hint="eastAsia" w:ascii="Times New Roman" w:hAnsi="Times New Roman" w:cs="Times New Roman"/>
          <w:color w:val="000000" w:themeColor="text1"/>
          <w:sz w:val="24"/>
          <w:szCs w:val="24"/>
          <w14:textFill>
            <w14:solidFill>
              <w14:schemeClr w14:val="tx1"/>
            </w14:solidFill>
          </w14:textFill>
        </w:rPr>
        <w:t>处理厂处理。</w:t>
      </w:r>
    </w:p>
    <w:p w14:paraId="765D4FCE">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公司为了防范事故对厂区及周边地下水造成污染，对装置区、罐区、仓库等设施的地基和地表进行了防渗处理；车间界区设导排沟，罐区设置围堰，同时对地表初期雨水进行了收集。通过设置可靠的排水管网和事故池，确保事故状态下有毒有害物质不直接排入外环境。</w:t>
      </w:r>
    </w:p>
    <w:p w14:paraId="6C166EC8">
      <w:pPr>
        <w:pageBreakBefore w:val="0"/>
        <w:kinsoku/>
        <w:wordWrap/>
        <w:overflowPunct/>
        <w:topLinePunct w:val="0"/>
        <w:autoSpaceDE w:val="0"/>
        <w:autoSpaceDN w:val="0"/>
        <w:bidi w:val="0"/>
        <w:adjustRightInd w:val="0"/>
        <w:spacing w:line="360" w:lineRule="auto"/>
        <w:ind w:firstLine="482" w:firstLineChars="200"/>
        <w:textAlignment w:val="auto"/>
        <w:rPr>
          <w:rFonts w:ascii="Times New Roman" w:hAnsi="Times New Roman"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14:textFill>
            <w14:solidFill>
              <w14:schemeClr w14:val="tx1"/>
            </w14:solidFill>
          </w14:textFill>
        </w:rPr>
        <w:t>3、此类事故需要的应急物资、应急装备和应急救援队伍情况</w:t>
      </w:r>
    </w:p>
    <w:p w14:paraId="3E302A81">
      <w:pPr>
        <w:pageBreakBefore w:val="0"/>
        <w:kinsoku/>
        <w:wordWrap/>
        <w:overflowPunct/>
        <w:topLinePunct w:val="0"/>
        <w:autoSpaceDE w:val="0"/>
        <w:autoSpaceDN w:val="0"/>
        <w:bidi w:val="0"/>
        <w:adjustRightInd w:val="0"/>
        <w:spacing w:line="360" w:lineRule="auto"/>
        <w:ind w:firstLine="480" w:firstLineChars="200"/>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为将突发事故危害降至最低，必须落实环境应急物资、应急装置和应急救援队伍，具体如下：</w:t>
      </w:r>
    </w:p>
    <w:p w14:paraId="7E33F528">
      <w:pPr>
        <w:pStyle w:val="125"/>
        <w:pageBreakBefore w:val="0"/>
        <w:numPr>
          <w:ilvl w:val="0"/>
          <w:numId w:val="8"/>
        </w:numPr>
        <w:kinsoku/>
        <w:wordWrap/>
        <w:overflowPunct/>
        <w:topLinePunct w:val="0"/>
        <w:autoSpaceDE w:val="0"/>
        <w:autoSpaceDN w:val="0"/>
        <w:bidi w:val="0"/>
        <w:adjustRightInd w:val="0"/>
        <w:spacing w:line="360" w:lineRule="auto"/>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应急装置要求：厂区设置足够容量的应急池，一旦发生火灾爆炸后，截留排放的污水并将其导入事故应急池待处理。在生产装置区周围设置导排沟等导流措施，用于收集泄漏的危险化学品。</w:t>
      </w:r>
    </w:p>
    <w:p w14:paraId="46436110">
      <w:pPr>
        <w:pStyle w:val="125"/>
        <w:pageBreakBefore w:val="0"/>
        <w:numPr>
          <w:ilvl w:val="0"/>
          <w:numId w:val="8"/>
        </w:numPr>
        <w:kinsoku/>
        <w:wordWrap/>
        <w:overflowPunct/>
        <w:topLinePunct w:val="0"/>
        <w:autoSpaceDE w:val="0"/>
        <w:autoSpaceDN w:val="0"/>
        <w:bidi w:val="0"/>
        <w:adjustRightInd w:val="0"/>
        <w:spacing w:line="360" w:lineRule="auto"/>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应急物资要求：</w:t>
      </w:r>
      <w:r>
        <w:rPr>
          <w:rFonts w:hint="eastAsia" w:cs="Times New Roman"/>
          <w:color w:val="000000" w:themeColor="text1"/>
          <w:sz w:val="24"/>
          <w:szCs w:val="24"/>
          <w:lang w:eastAsia="zh-CN"/>
          <w14:textFill>
            <w14:solidFill>
              <w14:schemeClr w14:val="tx1"/>
            </w14:solidFill>
          </w14:textFill>
        </w:rPr>
        <w:t>遵循针对性、配套性、先进适用性。罐区</w:t>
      </w:r>
      <w:r>
        <w:rPr>
          <w:rFonts w:hint="eastAsia"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车间独立配备初期处置物资。针对剧毒物质需配备防毒面具及气密型防护。应急物资须存于罐区</w:t>
      </w:r>
      <w:r>
        <w:rPr>
          <w:rFonts w:hint="eastAsia"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车间</w:t>
      </w:r>
      <w:r>
        <w:rPr>
          <w:rFonts w:hint="eastAsia" w:cs="Times New Roman"/>
          <w:color w:val="000000" w:themeColor="text1"/>
          <w:sz w:val="24"/>
          <w:szCs w:val="24"/>
          <w:lang w:val="en-US" w:eastAsia="zh-CN"/>
          <w14:textFill>
            <w14:solidFill>
              <w14:schemeClr w14:val="tx1"/>
            </w14:solidFill>
          </w14:textFill>
        </w:rPr>
        <w:t>15米内，确保24h可用，物资分类、隔离、防潮防爆存放，严禁混储。建立应急物质管理台账、维护保养台账。</w:t>
      </w:r>
    </w:p>
    <w:p w14:paraId="48A43CA8">
      <w:pPr>
        <w:pStyle w:val="125"/>
        <w:pageBreakBefore w:val="0"/>
        <w:numPr>
          <w:ilvl w:val="0"/>
          <w:numId w:val="8"/>
        </w:numPr>
        <w:kinsoku/>
        <w:wordWrap/>
        <w:overflowPunct/>
        <w:topLinePunct w:val="0"/>
        <w:autoSpaceDE w:val="0"/>
        <w:autoSpaceDN w:val="0"/>
        <w:bidi w:val="0"/>
        <w:adjustRightInd w:val="0"/>
        <w:spacing w:line="360" w:lineRule="auto"/>
        <w:textAlignment w:val="auto"/>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应急救援队伍：由专职人员及兼职人员组成的厂内应急队伍，人员要定岗定位，各岗位人员还要有备份，出现事故时依次序上岗，保证事故发生后，能有人及时启动应急救援，防范恶性事故发生后无人操作。消防人员在灭火救援的同时，也要考虑消防水及有毒物质的流向，安排专人对应急装置进行操作。</w:t>
      </w:r>
    </w:p>
    <w:p w14:paraId="146A967B">
      <w:pPr>
        <w:keepNext/>
        <w:keepLines/>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4.3.1.2</w:t>
      </w:r>
      <w:r>
        <w:rPr>
          <w:rFonts w:hint="eastAsia"/>
          <w:b/>
          <w:bCs/>
          <w:color w:val="000000" w:themeColor="text1"/>
          <w:sz w:val="24"/>
          <w:szCs w:val="24"/>
          <w14:textFill>
            <w14:solidFill>
              <w14:schemeClr w14:val="tx1"/>
            </w14:solidFill>
          </w14:textFill>
        </w:rPr>
        <w:t>毒物泄漏污染扩散影响及需要的环境应急能力</w:t>
      </w:r>
    </w:p>
    <w:p w14:paraId="59B031D9">
      <w:pPr>
        <w:pStyle w:val="124"/>
        <w:pageBreakBefore w:val="0"/>
        <w:kinsoku/>
        <w:wordWrap/>
        <w:overflowPunct/>
        <w:topLinePunct w:val="0"/>
        <w:bidi w:val="0"/>
        <w:spacing w:line="360" w:lineRule="auto"/>
        <w:textAlignment w:val="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本公司物料泄漏风险事故对环境的影响与泄漏时间及各种应急处理措施的有效性密切相关。</w:t>
      </w:r>
    </w:p>
    <w:p w14:paraId="59A14A28">
      <w:pPr>
        <w:pStyle w:val="124"/>
        <w:pageBreakBefore w:val="0"/>
        <w:kinsoku/>
        <w:wordWrap/>
        <w:overflowPunct/>
        <w:topLinePunct w:val="0"/>
        <w:bidi w:val="0"/>
        <w:spacing w:line="360" w:lineRule="auto"/>
        <w:textAlignment w:val="auto"/>
        <w:rPr>
          <w:b/>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1、扩散途径</w:t>
      </w:r>
    </w:p>
    <w:p w14:paraId="405355E5">
      <w:pPr>
        <w:pStyle w:val="124"/>
        <w:pageBreakBefore w:val="0"/>
        <w:kinsoku/>
        <w:wordWrap/>
        <w:overflowPunct/>
        <w:topLinePunct w:val="0"/>
        <w:bidi w:val="0"/>
        <w:spacing w:line="360" w:lineRule="auto"/>
        <w:textAlignment w:val="auto"/>
        <w:rPr>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本厂储罐区以及生产装置区使用和储存液碱、甲苯、邻氯硝基苯等危险化学品，泄漏后易燃，一旦发生泄漏将会引起大气污染。有毒有害液体泄漏可能会通过雨水管网流入厂外，对水体和土壤造成污染。</w:t>
      </w:r>
    </w:p>
    <w:p w14:paraId="3471FA1F">
      <w:pPr>
        <w:pStyle w:val="124"/>
        <w:pageBreakBefore w:val="0"/>
        <w:kinsoku/>
        <w:wordWrap/>
        <w:overflowPunct/>
        <w:topLinePunct w:val="0"/>
        <w:bidi w:val="0"/>
        <w:spacing w:line="360" w:lineRule="auto"/>
        <w:textAlignment w:val="auto"/>
        <w:rPr>
          <w:rFonts w:cs="仿宋_GB2312"/>
          <w:b/>
          <w:bCs/>
          <w:color w:val="000000" w:themeColor="text1"/>
          <w:sz w:val="24"/>
          <w:szCs w:val="24"/>
          <w:lang w:eastAsia="zh-CN"/>
          <w14:textFill>
            <w14:solidFill>
              <w14:schemeClr w14:val="tx1"/>
            </w14:solidFill>
          </w14:textFill>
        </w:rPr>
      </w:pPr>
      <w:r>
        <w:rPr>
          <w:rFonts w:cs="仿宋_GB2312"/>
          <w:b/>
          <w:bCs/>
          <w:color w:val="000000" w:themeColor="text1"/>
          <w:sz w:val="24"/>
          <w:szCs w:val="24"/>
          <w:lang w:eastAsia="zh-CN"/>
          <w14:textFill>
            <w14:solidFill>
              <w14:schemeClr w14:val="tx1"/>
            </w14:solidFill>
          </w14:textFill>
        </w:rPr>
        <w:t>2</w:t>
      </w:r>
      <w:r>
        <w:rPr>
          <w:rFonts w:hint="eastAsia" w:cs="仿宋_GB2312"/>
          <w:b/>
          <w:bCs/>
          <w:color w:val="000000" w:themeColor="text1"/>
          <w:sz w:val="24"/>
          <w:szCs w:val="24"/>
          <w:lang w:eastAsia="zh-CN"/>
          <w14:textFill>
            <w14:solidFill>
              <w14:schemeClr w14:val="tx1"/>
            </w14:solidFill>
          </w14:textFill>
        </w:rPr>
        <w:t>、风险防控</w:t>
      </w:r>
    </w:p>
    <w:p w14:paraId="302BAB8F">
      <w:pPr>
        <w:pStyle w:val="124"/>
        <w:pageBreakBefore w:val="0"/>
        <w:kinsoku/>
        <w:wordWrap/>
        <w:overflowPunct/>
        <w:topLinePunct w:val="0"/>
        <w:bidi w:val="0"/>
        <w:spacing w:line="360" w:lineRule="auto"/>
        <w:textAlignment w:val="auto"/>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①厂区设置事故池，一旦发生事故，消防废水及事故污水经防火堤收集后，通过防渗管道排入总容积</w:t>
      </w:r>
      <w:r>
        <w:rPr>
          <w:rFonts w:hint="eastAsia"/>
          <w:color w:val="000000" w:themeColor="text1"/>
          <w:sz w:val="24"/>
          <w:szCs w:val="24"/>
          <w:lang w:val="en-US" w:eastAsia="zh-CN"/>
          <w14:textFill>
            <w14:solidFill>
              <w14:schemeClr w14:val="tx1"/>
            </w14:solidFill>
          </w14:textFill>
        </w:rPr>
        <w:t>740</w:t>
      </w:r>
      <w:r>
        <w:rPr>
          <w:rFonts w:hint="eastAsia"/>
          <w:color w:val="000000" w:themeColor="text1"/>
          <w:sz w:val="24"/>
          <w:szCs w:val="24"/>
          <w:lang w:eastAsia="zh-CN"/>
          <w14:textFill>
            <w14:solidFill>
              <w14:schemeClr w14:val="tx1"/>
            </w14:solidFill>
          </w14:textFill>
        </w:rPr>
        <w:t>m</w:t>
      </w:r>
      <w:r>
        <w:rPr>
          <w:rFonts w:hint="eastAsia"/>
          <w:color w:val="000000" w:themeColor="text1"/>
          <w:sz w:val="24"/>
          <w:szCs w:val="24"/>
          <w:vertAlign w:val="superscript"/>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事故池中，经厂区污水处理站处理后排入齐鲁石化供排水厂深度处理。</w:t>
      </w:r>
    </w:p>
    <w:p w14:paraId="215DA785">
      <w:pPr>
        <w:pStyle w:val="124"/>
        <w:pageBreakBefore w:val="0"/>
        <w:kinsoku/>
        <w:wordWrap/>
        <w:overflowPunct/>
        <w:topLinePunct w:val="0"/>
        <w:bidi w:val="0"/>
        <w:spacing w:line="360" w:lineRule="auto"/>
        <w:textAlignment w:val="auto"/>
        <w:rPr>
          <w:rFonts w:ascii="Arial" w:hAnsi="Arial" w:cs="Arial"/>
          <w:color w:val="000000" w:themeColor="text1"/>
          <w:sz w:val="24"/>
          <w:szCs w:val="24"/>
          <w:lang w:eastAsia="zh-CN"/>
          <w14:textFill>
            <w14:solidFill>
              <w14:schemeClr w14:val="tx1"/>
            </w14:solidFill>
          </w14:textFill>
        </w:rPr>
      </w:pPr>
      <w:r>
        <w:rPr>
          <w:rFonts w:hint="eastAsia" w:ascii="Arial" w:hAnsi="Arial" w:cs="Arial"/>
          <w:color w:val="000000" w:themeColor="text1"/>
          <w:sz w:val="24"/>
          <w:szCs w:val="24"/>
          <w:lang w:eastAsia="zh-CN"/>
          <w14:textFill>
            <w14:solidFill>
              <w14:schemeClr w14:val="tx1"/>
            </w14:solidFill>
          </w14:textFill>
        </w:rPr>
        <w:t>②公司建立三级防控体系：</w:t>
      </w:r>
    </w:p>
    <w:p w14:paraId="101961EF">
      <w:pPr>
        <w:pageBreakBefore w:val="0"/>
        <w:kinsoku/>
        <w:wordWrap/>
        <w:overflowPunct/>
        <w:topLinePunct w:val="0"/>
        <w:bidi w:val="0"/>
        <w:spacing w:line="360" w:lineRule="auto"/>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一级防控措施：罐区设置围堰，确保泄漏物料不会溢出围堰，并对装置区、罐区、仓库等地面进行重点防渗。</w:t>
      </w:r>
    </w:p>
    <w:p w14:paraId="430551DF">
      <w:pPr>
        <w:pageBreakBefore w:val="0"/>
        <w:kinsoku/>
        <w:wordWrap/>
        <w:overflowPunct/>
        <w:topLinePunct w:val="0"/>
        <w:bidi w:val="0"/>
        <w:spacing w:line="360" w:lineRule="auto"/>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二级防控措施：厂区设置</w:t>
      </w:r>
      <w:r>
        <w:rPr>
          <w:rFonts w:hint="eastAsia"/>
          <w:color w:val="000000" w:themeColor="text1"/>
          <w:sz w:val="24"/>
          <w:szCs w:val="24"/>
          <w:lang w:val="en-US" w:eastAsia="zh-CN"/>
          <w14:textFill>
            <w14:solidFill>
              <w14:schemeClr w14:val="tx1"/>
            </w14:solidFill>
          </w14:textFill>
        </w:rPr>
        <w:t>500</w:t>
      </w:r>
      <w:r>
        <w:rPr>
          <w:color w:val="000000" w:themeColor="text1"/>
          <w:sz w:val="24"/>
          <w:szCs w:val="24"/>
          <w14:textFill>
            <w14:solidFill>
              <w14:schemeClr w14:val="tx1"/>
            </w14:solidFill>
          </w14:textFill>
        </w:rPr>
        <w:t>立方米和</w:t>
      </w:r>
      <w:r>
        <w:rPr>
          <w:rFonts w:hint="eastAsia"/>
          <w:color w:val="000000" w:themeColor="text1"/>
          <w:sz w:val="24"/>
          <w:szCs w:val="24"/>
          <w:lang w:val="en-US" w:eastAsia="zh-CN"/>
          <w14:textFill>
            <w14:solidFill>
              <w14:schemeClr w14:val="tx1"/>
            </w14:solidFill>
          </w14:textFill>
        </w:rPr>
        <w:t>240</w:t>
      </w:r>
      <w:r>
        <w:rPr>
          <w:color w:val="000000" w:themeColor="text1"/>
          <w:sz w:val="24"/>
          <w:szCs w:val="24"/>
          <w14:textFill>
            <w14:solidFill>
              <w14:schemeClr w14:val="tx1"/>
            </w14:solidFill>
          </w14:textFill>
        </w:rPr>
        <w:t>立方米</w:t>
      </w:r>
      <w:r>
        <w:rPr>
          <w:rFonts w:hint="eastAsia"/>
          <w:color w:val="000000" w:themeColor="text1"/>
          <w:sz w:val="24"/>
          <w:szCs w:val="24"/>
          <w14:textFill>
            <w14:solidFill>
              <w14:schemeClr w14:val="tx1"/>
            </w14:solidFill>
          </w14:textFill>
        </w:rPr>
        <w:t>的事故应急池，将事故废水、消防废水、前期雨水等通过防渗管道排入事故应急池，经厂内污水处理站处理后排入</w:t>
      </w:r>
      <w:r>
        <w:rPr>
          <w:rFonts w:hint="eastAsia"/>
          <w:color w:val="000000" w:themeColor="text1"/>
          <w:sz w:val="24"/>
          <w:szCs w:val="24"/>
          <w:lang w:eastAsia="zh-CN"/>
          <w14:textFill>
            <w14:solidFill>
              <w14:schemeClr w14:val="tx1"/>
            </w14:solidFill>
          </w14:textFill>
        </w:rPr>
        <w:t>齐鲁石化供排水厂深度</w:t>
      </w:r>
      <w:r>
        <w:rPr>
          <w:rFonts w:hint="eastAsia"/>
          <w:color w:val="000000" w:themeColor="text1"/>
          <w:sz w:val="24"/>
          <w:szCs w:val="24"/>
          <w14:textFill>
            <w14:solidFill>
              <w14:schemeClr w14:val="tx1"/>
            </w14:solidFill>
          </w14:textFill>
        </w:rPr>
        <w:t>。</w:t>
      </w:r>
    </w:p>
    <w:p w14:paraId="2BBD5032">
      <w:pPr>
        <w:pageBreakBefore w:val="0"/>
        <w:kinsoku/>
        <w:wordWrap/>
        <w:overflowPunct/>
        <w:topLinePunct w:val="0"/>
        <w:bidi w:val="0"/>
        <w:spacing w:line="360" w:lineRule="auto"/>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三级防控措施：厂区雨水排放口设置切断阀，一旦事故废水进入厂区雨水管道，立即切断厂区与外界雨污水受纳管网的联系，将事故废水控制在厂区内。</w:t>
      </w:r>
    </w:p>
    <w:p w14:paraId="7BB109A5">
      <w:pPr>
        <w:pStyle w:val="124"/>
        <w:pageBreakBefore w:val="0"/>
        <w:kinsoku/>
        <w:wordWrap/>
        <w:overflowPunct/>
        <w:topLinePunct w:val="0"/>
        <w:bidi w:val="0"/>
        <w:spacing w:line="360" w:lineRule="auto"/>
        <w:textAlignment w:val="auto"/>
        <w:rPr>
          <w:rFonts w:cs="仿宋_GB2312"/>
          <w:b/>
          <w:bCs/>
          <w:color w:val="000000" w:themeColor="text1"/>
          <w:sz w:val="24"/>
          <w:szCs w:val="24"/>
          <w:lang w:eastAsia="zh-CN"/>
          <w14:textFill>
            <w14:solidFill>
              <w14:schemeClr w14:val="tx1"/>
            </w14:solidFill>
          </w14:textFill>
        </w:rPr>
      </w:pPr>
      <w:r>
        <w:rPr>
          <w:rFonts w:cs="仿宋_GB2312"/>
          <w:b/>
          <w:bCs/>
          <w:color w:val="000000" w:themeColor="text1"/>
          <w:sz w:val="24"/>
          <w:szCs w:val="24"/>
          <w:lang w:eastAsia="zh-CN"/>
          <w14:textFill>
            <w14:solidFill>
              <w14:schemeClr w14:val="tx1"/>
            </w14:solidFill>
          </w14:textFill>
        </w:rPr>
        <w:t>3</w:t>
      </w:r>
      <w:r>
        <w:rPr>
          <w:rFonts w:hint="eastAsia" w:cs="仿宋_GB2312"/>
          <w:b/>
          <w:bCs/>
          <w:color w:val="000000" w:themeColor="text1"/>
          <w:sz w:val="24"/>
          <w:szCs w:val="24"/>
          <w:lang w:eastAsia="zh-CN"/>
          <w14:textFill>
            <w14:solidFill>
              <w14:schemeClr w14:val="tx1"/>
            </w14:solidFill>
          </w14:textFill>
        </w:rPr>
        <w:t>、风险物质处置措施</w:t>
      </w:r>
    </w:p>
    <w:p w14:paraId="1E87F060">
      <w:pPr>
        <w:pStyle w:val="128"/>
        <w:pageBreakBefore w:val="0"/>
        <w:kinsoku/>
        <w:wordWrap/>
        <w:overflowPunct/>
        <w:topLinePunct w:val="0"/>
        <w:bidi w:val="0"/>
        <w:spacing w:beforeLines="0" w:afterLines="0" w:line="360" w:lineRule="auto"/>
        <w:textAlignment w:val="auto"/>
        <w:rPr>
          <w:rFonts w:ascii="Arial" w:hAnsi="Arial" w:cs="Arial"/>
          <w:color w:val="FF0000"/>
          <w:sz w:val="24"/>
          <w:szCs w:val="24"/>
        </w:rPr>
      </w:pPr>
      <w:r>
        <w:rPr>
          <w:sz w:val="24"/>
          <w:szCs w:val="24"/>
        </w:rPr>
        <w:t>表</w:t>
      </w:r>
      <w:r>
        <w:rPr>
          <w:sz w:val="24"/>
          <w:szCs w:val="24"/>
        </w:rPr>
        <w:fldChar w:fldCharType="begin"/>
      </w:r>
      <w:r>
        <w:rPr>
          <w:sz w:val="24"/>
          <w:szCs w:val="24"/>
        </w:rPr>
        <w:instrText xml:space="preserve"> STYLEREF 2 \s </w:instrText>
      </w:r>
      <w:r>
        <w:rPr>
          <w:sz w:val="24"/>
          <w:szCs w:val="24"/>
        </w:rPr>
        <w:fldChar w:fldCharType="separate"/>
      </w:r>
      <w:r>
        <w:rPr>
          <w:sz w:val="24"/>
          <w:szCs w:val="24"/>
        </w:rPr>
        <w:t>4.3</w:t>
      </w:r>
      <w:r>
        <w:rPr>
          <w:sz w:val="24"/>
          <w:szCs w:val="24"/>
        </w:rPr>
        <w:fldChar w:fldCharType="end"/>
      </w:r>
      <w:r>
        <w:rPr>
          <w:sz w:val="24"/>
          <w:szCs w:val="24"/>
        </w:rPr>
        <w:noBreakHyphen/>
      </w:r>
      <w:r>
        <w:rPr>
          <w:sz w:val="24"/>
          <w:szCs w:val="24"/>
        </w:rPr>
        <w:fldChar w:fldCharType="begin"/>
      </w:r>
      <w:r>
        <w:rPr>
          <w:sz w:val="24"/>
          <w:szCs w:val="24"/>
        </w:rPr>
        <w:instrText xml:space="preserve"> SEQ 表格 \* ARABIC \s 2 </w:instrText>
      </w:r>
      <w:r>
        <w:rPr>
          <w:sz w:val="24"/>
          <w:szCs w:val="24"/>
        </w:rPr>
        <w:fldChar w:fldCharType="separate"/>
      </w:r>
      <w:r>
        <w:rPr>
          <w:sz w:val="24"/>
          <w:szCs w:val="24"/>
        </w:rPr>
        <w:t>1</w:t>
      </w:r>
      <w:r>
        <w:rPr>
          <w:sz w:val="24"/>
          <w:szCs w:val="24"/>
        </w:rPr>
        <w:fldChar w:fldCharType="end"/>
      </w:r>
      <w:r>
        <w:rPr>
          <w:sz w:val="24"/>
          <w:szCs w:val="24"/>
        </w:rPr>
        <w:t xml:space="preserve"> </w:t>
      </w:r>
      <w:r>
        <w:rPr>
          <w:rFonts w:hint="eastAsia"/>
          <w:sz w:val="24"/>
          <w:szCs w:val="24"/>
        </w:rPr>
        <w:t>应急处置措施一览表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8174"/>
      </w:tblGrid>
      <w:tr w14:paraId="24AE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pct"/>
            <w:vAlign w:val="center"/>
          </w:tcPr>
          <w:p w14:paraId="669FD49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14:textFill>
                  <w14:solidFill>
                    <w14:schemeClr w14:val="tx1"/>
                  </w14:solidFill>
                </w14:textFill>
              </w:rPr>
            </w:pPr>
            <w:r>
              <w:rPr>
                <w:rFonts w:hint="eastAsia" w:ascii="Calibri" w:cs="Times New Roman"/>
                <w:color w:val="000000" w:themeColor="text1"/>
                <w:kern w:val="2"/>
                <w:sz w:val="24"/>
                <w:szCs w:val="24"/>
                <w14:textFill>
                  <w14:solidFill>
                    <w14:schemeClr w14:val="tx1"/>
                  </w14:solidFill>
                </w14:textFill>
              </w:rPr>
              <w:t>风险类别</w:t>
            </w:r>
          </w:p>
        </w:tc>
        <w:tc>
          <w:tcPr>
            <w:tcW w:w="4244" w:type="pct"/>
            <w:vAlign w:val="center"/>
          </w:tcPr>
          <w:p w14:paraId="1CE408B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14:textFill>
                  <w14:solidFill>
                    <w14:schemeClr w14:val="tx1"/>
                  </w14:solidFill>
                </w14:textFill>
              </w:rPr>
            </w:pPr>
            <w:r>
              <w:rPr>
                <w:rFonts w:hint="eastAsia" w:ascii="Calibri" w:cs="Times New Roman"/>
                <w:color w:val="000000" w:themeColor="text1"/>
                <w:kern w:val="2"/>
                <w:sz w:val="24"/>
                <w:szCs w:val="24"/>
                <w14:textFill>
                  <w14:solidFill>
                    <w14:schemeClr w14:val="tx1"/>
                  </w14:solidFill>
                </w14:textFill>
              </w:rPr>
              <w:t>应急处置方案</w:t>
            </w:r>
          </w:p>
        </w:tc>
      </w:tr>
      <w:tr w14:paraId="3023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pct"/>
            <w:vAlign w:val="center"/>
          </w:tcPr>
          <w:p w14:paraId="058F202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新宋体-18030"/>
                <w:color w:val="000000" w:themeColor="text1"/>
                <w:kern w:val="2"/>
                <w:sz w:val="24"/>
                <w:szCs w:val="24"/>
                <w14:textFill>
                  <w14:solidFill>
                    <w14:schemeClr w14:val="tx1"/>
                  </w14:solidFill>
                </w14:textFill>
              </w:rPr>
            </w:pPr>
            <w:r>
              <w:rPr>
                <w:rFonts w:hint="eastAsia" w:ascii="Calibri" w:cs="Times New Roman"/>
                <w:color w:val="000000" w:themeColor="text1"/>
                <w:kern w:val="2"/>
                <w:sz w:val="24"/>
                <w:szCs w:val="24"/>
                <w:lang w:eastAsia="zh-CN"/>
                <w14:textFill>
                  <w14:solidFill>
                    <w14:schemeClr w14:val="tx1"/>
                  </w14:solidFill>
                </w14:textFill>
              </w:rPr>
              <w:t>甲苯</w:t>
            </w:r>
            <w:r>
              <w:rPr>
                <w:rFonts w:hint="eastAsia" w:ascii="Calibri" w:cs="Times New Roman"/>
                <w:color w:val="000000" w:themeColor="text1"/>
                <w:kern w:val="2"/>
                <w:sz w:val="24"/>
                <w:szCs w:val="24"/>
                <w14:textFill>
                  <w14:solidFill>
                    <w14:schemeClr w14:val="tx1"/>
                  </w14:solidFill>
                </w14:textFill>
              </w:rPr>
              <w:t>泄漏</w:t>
            </w:r>
          </w:p>
        </w:tc>
        <w:tc>
          <w:tcPr>
            <w:tcW w:w="4244" w:type="pct"/>
            <w:vAlign w:val="center"/>
          </w:tcPr>
          <w:p w14:paraId="0D28626A">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14:textFill>
                  <w14:solidFill>
                    <w14:schemeClr w14:val="tx1"/>
                  </w14:solidFill>
                </w14:textFill>
              </w:rPr>
            </w:pPr>
            <w:r>
              <w:rPr>
                <w:rFonts w:hint="eastAsia" w:ascii="Calibri"/>
                <w:color w:val="000000" w:themeColor="text1"/>
                <w:sz w:val="24"/>
                <w:szCs w:val="24"/>
                <w14:textFill>
                  <w14:solidFill>
                    <w14:schemeClr w14:val="tx1"/>
                  </w14:solidFill>
                </w14:textFill>
              </w:rPr>
              <w:t>1、建议应急外理人员</w:t>
            </w:r>
            <w:r>
              <w:rPr>
                <w:rFonts w:hint="eastAsia" w:ascii="Calibri"/>
                <w:color w:val="000000" w:themeColor="text1"/>
                <w:sz w:val="24"/>
                <w:szCs w:val="24"/>
                <w:lang w:eastAsia="zh-CN"/>
                <w14:textFill>
                  <w14:solidFill>
                    <w14:schemeClr w14:val="tx1"/>
                  </w14:solidFill>
                </w14:textFill>
              </w:rPr>
              <w:t>佩</w:t>
            </w:r>
            <w:r>
              <w:rPr>
                <w:rFonts w:hint="eastAsia" w:ascii="Calibri"/>
                <w:color w:val="000000" w:themeColor="text1"/>
                <w:sz w:val="24"/>
                <w:szCs w:val="24"/>
                <w14:textFill>
                  <w14:solidFill>
                    <w14:schemeClr w14:val="tx1"/>
                  </w14:solidFill>
                </w14:textFill>
              </w:rPr>
              <w:t>戴</w:t>
            </w:r>
            <w:r>
              <w:rPr>
                <w:rFonts w:hint="eastAsia" w:ascii="Calibri"/>
                <w:color w:val="000000" w:themeColor="text1"/>
                <w:sz w:val="24"/>
                <w:szCs w:val="24"/>
                <w:lang w:eastAsia="zh-CN"/>
                <w14:textFill>
                  <w14:solidFill>
                    <w14:schemeClr w14:val="tx1"/>
                  </w14:solidFill>
                </w14:textFill>
              </w:rPr>
              <w:t>空气</w:t>
            </w:r>
            <w:r>
              <w:rPr>
                <w:rFonts w:hint="eastAsia" w:ascii="Calibri"/>
                <w:color w:val="000000" w:themeColor="text1"/>
                <w:sz w:val="24"/>
                <w:szCs w:val="24"/>
                <w14:textFill>
                  <w14:solidFill>
                    <w14:schemeClr w14:val="tx1"/>
                  </w14:solidFill>
                </w14:textFill>
              </w:rPr>
              <w:t>呼吸器</w:t>
            </w:r>
            <w:r>
              <w:rPr>
                <w:rFonts w:hint="eastAsia" w:ascii="Calibri"/>
                <w:color w:val="000000" w:themeColor="text1"/>
                <w:sz w:val="24"/>
                <w:szCs w:val="24"/>
                <w:lang w:eastAsia="zh-CN"/>
                <w14:textFill>
                  <w14:solidFill>
                    <w14:schemeClr w14:val="tx1"/>
                  </w14:solidFill>
                </w14:textFill>
              </w:rPr>
              <w:t>、自吸过滤式防毒面具</w:t>
            </w:r>
            <w:r>
              <w:rPr>
                <w:rFonts w:hint="eastAsia" w:ascii="Calibri"/>
                <w:color w:val="000000" w:themeColor="text1"/>
                <w:sz w:val="24"/>
                <w:szCs w:val="24"/>
                <w14:textFill>
                  <w14:solidFill>
                    <w14:schemeClr w14:val="tx1"/>
                  </w14:solidFill>
                </w14:textFill>
              </w:rPr>
              <w:t>，穿防毒服。</w:t>
            </w:r>
          </w:p>
          <w:p w14:paraId="1B624BB0">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14:textFill>
                  <w14:solidFill>
                    <w14:schemeClr w14:val="tx1"/>
                  </w14:solidFill>
                </w14:textFill>
              </w:rPr>
            </w:pPr>
            <w:r>
              <w:rPr>
                <w:rFonts w:hint="eastAsia" w:ascii="Calibri"/>
                <w:color w:val="000000" w:themeColor="text1"/>
                <w:sz w:val="24"/>
                <w:szCs w:val="24"/>
                <w14:textFill>
                  <w14:solidFill>
                    <w14:schemeClr w14:val="tx1"/>
                  </w14:solidFill>
                </w14:textFill>
              </w:rPr>
              <w:t>2、尽可能切断泄漏源。合理通风，加速扩散。</w:t>
            </w:r>
          </w:p>
          <w:p w14:paraId="22FC75AC">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ascii="Calibri"/>
                <w:color w:val="000000" w:themeColor="text1"/>
                <w:sz w:val="24"/>
                <w:szCs w:val="24"/>
                <w14:textFill>
                  <w14:solidFill>
                    <w14:schemeClr w14:val="tx1"/>
                  </w14:solidFill>
                </w14:textFill>
              </w:rPr>
            </w:pPr>
            <w:r>
              <w:rPr>
                <w:rFonts w:hint="eastAsia" w:ascii="Calibri"/>
                <w:color w:val="000000" w:themeColor="text1"/>
                <w:sz w:val="24"/>
                <w:szCs w:val="24"/>
                <w14:textFill>
                  <w14:solidFill>
                    <w14:schemeClr w14:val="tx1"/>
                  </w14:solidFill>
                </w14:textFill>
              </w:rPr>
              <w:t>3、高浓度泄漏区，喷雾状水中和、稀释、溶解。泄漏处要妥善处理，修复、检查后投用。</w:t>
            </w:r>
          </w:p>
        </w:tc>
      </w:tr>
      <w:tr w14:paraId="4E5D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pct"/>
            <w:vAlign w:val="center"/>
          </w:tcPr>
          <w:p w14:paraId="59FDD3F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14:textFill>
                  <w14:solidFill>
                    <w14:schemeClr w14:val="tx1"/>
                  </w14:solidFill>
                </w14:textFill>
              </w:rPr>
            </w:pPr>
            <w:r>
              <w:rPr>
                <w:rFonts w:hint="eastAsia" w:ascii="Calibri" w:cs="Times New Roman"/>
                <w:color w:val="000000" w:themeColor="text1"/>
                <w:kern w:val="2"/>
                <w:sz w:val="24"/>
                <w:szCs w:val="24"/>
                <w14:textFill>
                  <w14:solidFill>
                    <w14:schemeClr w14:val="tx1"/>
                  </w14:solidFill>
                </w14:textFill>
              </w:rPr>
              <w:t>盐酸泄漏</w:t>
            </w:r>
          </w:p>
        </w:tc>
        <w:tc>
          <w:tcPr>
            <w:tcW w:w="4244" w:type="pct"/>
            <w:vAlign w:val="center"/>
          </w:tcPr>
          <w:p w14:paraId="7124FFEE">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1、必须配备必要的个人防护器具。</w:t>
            </w:r>
          </w:p>
          <w:p w14:paraId="23981520">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2、尽可能切断泄漏源。</w:t>
            </w:r>
          </w:p>
          <w:p w14:paraId="3EB6FABD">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3、筑堤堵截或者引流到安全地点。为降低物料向大气中的蒸发速度，可用泡沫或其他覆盖物品覆盖外泄的物料，在其表面形成覆盖层，抑制其蒸发。</w:t>
            </w:r>
          </w:p>
          <w:p w14:paraId="349F6F95">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14:textFill>
                  <w14:solidFill>
                    <w14:schemeClr w14:val="tx1"/>
                  </w14:solidFill>
                </w14:textFill>
              </w:rPr>
            </w:pPr>
            <w:r>
              <w:rPr>
                <w:rFonts w:hint="default"/>
                <w:color w:val="000000" w:themeColor="text1"/>
                <w:sz w:val="24"/>
                <w:szCs w:val="24"/>
                <w14:textFill>
                  <w14:solidFill>
                    <w14:schemeClr w14:val="tx1"/>
                  </w14:solidFill>
                </w14:textFill>
              </w:rPr>
              <w:t>4、对于大型盐酸泄漏，可选择用潜水泵将泄漏出的盐酸抽入容器内或槽车内；当泄漏量小时，可用沙子、吸附材料、中和材料等吸收中和。将收集的盐酸运至废物外理场所处置。用消防水冲洗剩下的少量物料，冲洗水排入收集至事故水池待进一步处理。</w:t>
            </w:r>
          </w:p>
        </w:tc>
      </w:tr>
      <w:tr w14:paraId="4213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pct"/>
            <w:vAlign w:val="center"/>
          </w:tcPr>
          <w:p w14:paraId="6D4AEF4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default" w:ascii="Calibri" w:cs="Times New Roman"/>
                <w:color w:val="000000" w:themeColor="text1"/>
                <w:kern w:val="2"/>
                <w:sz w:val="24"/>
                <w:szCs w:val="24"/>
                <w14:textFill>
                  <w14:solidFill>
                    <w14:schemeClr w14:val="tx1"/>
                  </w14:solidFill>
                </w14:textFill>
              </w:rPr>
            </w:pPr>
            <w:r>
              <w:rPr>
                <w:rFonts w:hint="eastAsia" w:ascii="Calibri" w:cs="Times New Roman"/>
                <w:color w:val="000000" w:themeColor="text1"/>
                <w:kern w:val="2"/>
                <w:sz w:val="24"/>
                <w:szCs w:val="24"/>
                <w:lang w:eastAsia="zh-CN"/>
                <w14:textFill>
                  <w14:solidFill>
                    <w14:schemeClr w14:val="tx1"/>
                  </w14:solidFill>
                </w14:textFill>
              </w:rPr>
              <w:t>邻氯硝基苯</w:t>
            </w:r>
            <w:r>
              <w:rPr>
                <w:rFonts w:hint="eastAsia" w:ascii="Calibri" w:cs="Times New Roman"/>
                <w:color w:val="000000" w:themeColor="text1"/>
                <w:kern w:val="2"/>
                <w:sz w:val="24"/>
                <w:szCs w:val="24"/>
                <w14:textFill>
                  <w14:solidFill>
                    <w14:schemeClr w14:val="tx1"/>
                  </w14:solidFill>
                </w14:textFill>
              </w:rPr>
              <w:t>泄漏</w:t>
            </w:r>
          </w:p>
        </w:tc>
        <w:tc>
          <w:tcPr>
            <w:tcW w:w="4244" w:type="pct"/>
            <w:vAlign w:val="center"/>
          </w:tcPr>
          <w:p w14:paraId="7DCE65AA">
            <w:pPr>
              <w:pStyle w:val="127"/>
              <w:keepNext w:val="0"/>
              <w:keepLines w:val="0"/>
              <w:pageBreakBefore w:val="0"/>
              <w:widowControl/>
              <w:numPr>
                <w:ilvl w:val="0"/>
                <w:numId w:val="9"/>
              </w:numPr>
              <w:suppressLineNumbers w:val="0"/>
              <w:kinsoku/>
              <w:wordWrap/>
              <w:overflowPunct/>
              <w:topLinePunct w:val="0"/>
              <w:bidi w:val="0"/>
              <w:spacing w:before="0" w:beforeAutospacing="0" w:after="0" w:afterAutospacing="0" w:line="360" w:lineRule="auto"/>
              <w:ind w:left="0" w:right="0"/>
              <w:jc w:val="left"/>
              <w:textAlignment w:val="auto"/>
              <w:rPr>
                <w:rFonts w:hint="eastAsia" w:ascii="宋体" w:hAnsi="宋体" w:cs="宋体"/>
                <w:bCs/>
                <w:sz w:val="24"/>
                <w:szCs w:val="24"/>
              </w:rPr>
            </w:pPr>
            <w:r>
              <w:rPr>
                <w:rFonts w:hint="eastAsia" w:ascii="宋体" w:hAnsi="宋体" w:cs="宋体"/>
                <w:bCs/>
                <w:sz w:val="24"/>
                <w:szCs w:val="24"/>
              </w:rPr>
              <w:t>隔离泄漏污染区，限制出入。切断火源。</w:t>
            </w:r>
          </w:p>
          <w:p w14:paraId="133598FF">
            <w:pPr>
              <w:pStyle w:val="127"/>
              <w:keepNext w:val="0"/>
              <w:keepLines w:val="0"/>
              <w:pageBreakBefore w:val="0"/>
              <w:widowControl/>
              <w:numPr>
                <w:ilvl w:val="0"/>
                <w:numId w:val="9"/>
              </w:numPr>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14:textFill>
                  <w14:solidFill>
                    <w14:schemeClr w14:val="tx1"/>
                  </w14:solidFill>
                </w14:textFill>
              </w:rPr>
            </w:pPr>
            <w:r>
              <w:rPr>
                <w:rFonts w:hint="eastAsia" w:ascii="宋体" w:hAnsi="宋体" w:cs="宋体"/>
                <w:bCs/>
                <w:sz w:val="24"/>
                <w:szCs w:val="24"/>
              </w:rPr>
              <w:t>建议应急处理人员戴防尘面具（全面罩），穿防毒服。用洁净的铲子收集于干燥、洁净、有盖的容器中，转移至安全场所。</w:t>
            </w:r>
          </w:p>
          <w:p w14:paraId="5F00ABAF">
            <w:pPr>
              <w:pStyle w:val="127"/>
              <w:keepNext w:val="0"/>
              <w:keepLines w:val="0"/>
              <w:pageBreakBefore w:val="0"/>
              <w:widowControl/>
              <w:numPr>
                <w:ilvl w:val="0"/>
                <w:numId w:val="9"/>
              </w:numPr>
              <w:suppressLineNumbers w:val="0"/>
              <w:kinsoku/>
              <w:wordWrap/>
              <w:overflowPunct/>
              <w:topLinePunct w:val="0"/>
              <w:bidi w:val="0"/>
              <w:spacing w:before="0" w:beforeAutospacing="0" w:after="0" w:afterAutospacing="0" w:line="360" w:lineRule="auto"/>
              <w:ind w:left="0" w:right="0"/>
              <w:jc w:val="left"/>
              <w:textAlignment w:val="auto"/>
              <w:rPr>
                <w:rFonts w:hint="default"/>
                <w:color w:val="000000" w:themeColor="text1"/>
                <w:sz w:val="24"/>
                <w:szCs w:val="24"/>
                <w14:textFill>
                  <w14:solidFill>
                    <w14:schemeClr w14:val="tx1"/>
                  </w14:solidFill>
                </w14:textFill>
              </w:rPr>
            </w:pPr>
            <w:r>
              <w:rPr>
                <w:rFonts w:hint="eastAsia" w:ascii="宋体" w:hAnsi="宋体" w:cs="宋体"/>
                <w:bCs/>
                <w:sz w:val="24"/>
                <w:szCs w:val="24"/>
              </w:rPr>
              <w:t>若大量泄漏，收集回收或运至废物处理场所处置。</w:t>
            </w:r>
          </w:p>
        </w:tc>
      </w:tr>
      <w:tr w14:paraId="57E2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pct"/>
            <w:vAlign w:val="center"/>
          </w:tcPr>
          <w:p w14:paraId="46A0C2C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Calibri" w:cs="Times New Roman"/>
                <w:color w:val="000000" w:themeColor="text1"/>
                <w:kern w:val="2"/>
                <w:sz w:val="24"/>
                <w:szCs w:val="24"/>
                <w:lang w:eastAsia="zh-CN"/>
                <w14:textFill>
                  <w14:solidFill>
                    <w14:schemeClr w14:val="tx1"/>
                  </w14:solidFill>
                </w14:textFill>
              </w:rPr>
            </w:pPr>
            <w:r>
              <w:rPr>
                <w:rFonts w:hint="eastAsia" w:ascii="Calibri" w:cs="Times New Roman"/>
                <w:color w:val="000000" w:themeColor="text1"/>
                <w:kern w:val="2"/>
                <w:sz w:val="24"/>
                <w:szCs w:val="24"/>
                <w:lang w:eastAsia="zh-CN"/>
                <w14:textFill>
                  <w14:solidFill>
                    <w14:schemeClr w14:val="tx1"/>
                  </w14:solidFill>
                </w14:textFill>
              </w:rPr>
              <w:t>蒸馏残渣</w:t>
            </w:r>
            <w:r>
              <w:rPr>
                <w:rFonts w:hint="eastAsia" w:ascii="Calibri" w:cs="Times New Roman"/>
                <w:color w:val="000000" w:themeColor="text1"/>
                <w:kern w:val="2"/>
                <w:sz w:val="24"/>
                <w:szCs w:val="24"/>
                <w14:textFill>
                  <w14:solidFill>
                    <w14:schemeClr w14:val="tx1"/>
                  </w14:solidFill>
                </w14:textFill>
              </w:rPr>
              <w:t>泄漏</w:t>
            </w:r>
          </w:p>
        </w:tc>
        <w:tc>
          <w:tcPr>
            <w:tcW w:w="4244" w:type="pct"/>
            <w:vAlign w:val="center"/>
          </w:tcPr>
          <w:p w14:paraId="6374A7EA">
            <w:pPr>
              <w:pStyle w:val="127"/>
              <w:keepNext w:val="0"/>
              <w:keepLines w:val="0"/>
              <w:pageBreakBefore w:val="0"/>
              <w:widowControl/>
              <w:numPr>
                <w:ilvl w:val="0"/>
                <w:numId w:val="10"/>
              </w:numPr>
              <w:suppressLineNumbers w:val="0"/>
              <w:kinsoku/>
              <w:wordWrap/>
              <w:overflowPunct/>
              <w:topLinePunct w:val="0"/>
              <w:bidi w:val="0"/>
              <w:spacing w:before="0" w:beforeAutospacing="0" w:after="0" w:afterAutospacing="0" w:line="360" w:lineRule="auto"/>
              <w:ind w:left="0" w:right="0"/>
              <w:jc w:val="left"/>
              <w:textAlignment w:val="auto"/>
              <w:rPr>
                <w:rFonts w:hint="eastAsia" w:ascii="宋体" w:hAnsi="宋体" w:cs="宋体"/>
                <w:bCs/>
                <w:sz w:val="24"/>
                <w:szCs w:val="24"/>
              </w:rPr>
            </w:pPr>
            <w:r>
              <w:rPr>
                <w:rFonts w:hint="eastAsia" w:ascii="宋体" w:hAnsi="宋体" w:cs="宋体"/>
                <w:bCs/>
                <w:sz w:val="24"/>
                <w:szCs w:val="24"/>
              </w:rPr>
              <w:t>隔离泄漏污染区，切断火源。</w:t>
            </w:r>
          </w:p>
          <w:p w14:paraId="3024ACDD">
            <w:pPr>
              <w:pStyle w:val="127"/>
              <w:keepNext w:val="0"/>
              <w:keepLines w:val="0"/>
              <w:pageBreakBefore w:val="0"/>
              <w:widowControl/>
              <w:numPr>
                <w:ilvl w:val="0"/>
                <w:numId w:val="10"/>
              </w:numPr>
              <w:suppressLineNumbers w:val="0"/>
              <w:kinsoku/>
              <w:wordWrap/>
              <w:overflowPunct/>
              <w:topLinePunct w:val="0"/>
              <w:bidi w:val="0"/>
              <w:spacing w:before="0" w:beforeAutospacing="0" w:after="0" w:afterAutospacing="0" w:line="360" w:lineRule="auto"/>
              <w:ind w:left="0" w:right="0"/>
              <w:jc w:val="left"/>
              <w:textAlignment w:val="auto"/>
              <w:rPr>
                <w:rFonts w:hint="eastAsia"/>
                <w:color w:val="000000" w:themeColor="text1"/>
                <w:sz w:val="24"/>
                <w:szCs w:val="24"/>
                <w14:textFill>
                  <w14:solidFill>
                    <w14:schemeClr w14:val="tx1"/>
                  </w14:solidFill>
                </w14:textFill>
              </w:rPr>
            </w:pPr>
            <w:r>
              <w:rPr>
                <w:rFonts w:hint="eastAsia" w:ascii="宋体" w:hAnsi="宋体" w:cs="宋体"/>
                <w:bCs/>
                <w:sz w:val="24"/>
                <w:szCs w:val="24"/>
              </w:rPr>
              <w:t>建议应急处理人员戴防尘口罩，穿一般作业工作服。不要直接接触泄漏物。</w:t>
            </w:r>
          </w:p>
          <w:p w14:paraId="2C3A975C">
            <w:pPr>
              <w:pStyle w:val="127"/>
              <w:keepNext w:val="0"/>
              <w:keepLines w:val="0"/>
              <w:pageBreakBefore w:val="0"/>
              <w:widowControl/>
              <w:suppressLineNumbers w:val="0"/>
              <w:kinsoku/>
              <w:wordWrap/>
              <w:overflowPunct/>
              <w:topLinePunct w:val="0"/>
              <w:bidi w:val="0"/>
              <w:spacing w:before="0" w:beforeAutospacing="0" w:after="0" w:afterAutospacing="0" w:line="360" w:lineRule="auto"/>
              <w:ind w:left="0" w:right="0"/>
              <w:jc w:val="left"/>
              <w:textAlignment w:val="auto"/>
              <w:rPr>
                <w:rFonts w:hint="eastAsia"/>
                <w:color w:val="000000" w:themeColor="text1"/>
                <w:sz w:val="24"/>
                <w:szCs w:val="24"/>
                <w14:textFill>
                  <w14:solidFill>
                    <w14:schemeClr w14:val="tx1"/>
                  </w14:solidFill>
                </w14:textFill>
              </w:rPr>
            </w:pPr>
            <w:r>
              <w:rPr>
                <w:rFonts w:hint="eastAsia" w:ascii="宋体" w:hAnsi="宋体" w:cs="宋体"/>
                <w:bCs/>
                <w:sz w:val="24"/>
                <w:szCs w:val="24"/>
                <w:lang w:val="en-US" w:eastAsia="zh-CN"/>
              </w:rPr>
              <w:t>3、</w:t>
            </w:r>
            <w:r>
              <w:rPr>
                <w:rFonts w:hint="eastAsia" w:ascii="宋体" w:hAnsi="宋体" w:cs="宋体"/>
                <w:bCs/>
                <w:sz w:val="24"/>
                <w:szCs w:val="24"/>
              </w:rPr>
              <w:t>小量泄漏：避免扬尘，小心扫起，收集于密闭容器中。大量泄漏：收集回收或运至废物处理场所处置。</w:t>
            </w:r>
          </w:p>
        </w:tc>
      </w:tr>
      <w:tr w14:paraId="49B9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pct"/>
            <w:vAlign w:val="center"/>
          </w:tcPr>
          <w:p w14:paraId="0FE35F9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Calibri" w:cs="Times New Roman"/>
                <w:color w:val="000000" w:themeColor="text1"/>
                <w:kern w:val="2"/>
                <w:sz w:val="24"/>
                <w:szCs w:val="24"/>
                <w:lang w:eastAsia="zh-CN"/>
                <w14:textFill>
                  <w14:solidFill>
                    <w14:schemeClr w14:val="tx1"/>
                  </w14:solidFill>
                </w14:textFill>
              </w:rPr>
            </w:pPr>
            <w:r>
              <w:rPr>
                <w:rFonts w:hint="eastAsia" w:ascii="Calibri" w:cs="Times New Roman"/>
                <w:color w:val="000000" w:themeColor="text1"/>
                <w:kern w:val="2"/>
                <w:sz w:val="24"/>
                <w:szCs w:val="24"/>
                <w:lang w:eastAsia="zh-CN"/>
                <w14:textFill>
                  <w14:solidFill>
                    <w14:schemeClr w14:val="tx1"/>
                  </w14:solidFill>
                </w14:textFill>
              </w:rPr>
              <w:t>3,3’-二氯联苯胺盐酸盐</w:t>
            </w:r>
            <w:r>
              <w:rPr>
                <w:rFonts w:hint="eastAsia" w:ascii="Calibri" w:cs="Times New Roman"/>
                <w:color w:val="000000" w:themeColor="text1"/>
                <w:kern w:val="2"/>
                <w:sz w:val="24"/>
                <w:szCs w:val="24"/>
                <w14:textFill>
                  <w14:solidFill>
                    <w14:schemeClr w14:val="tx1"/>
                  </w14:solidFill>
                </w14:textFill>
              </w:rPr>
              <w:t>泄漏</w:t>
            </w:r>
          </w:p>
        </w:tc>
        <w:tc>
          <w:tcPr>
            <w:tcW w:w="4244" w:type="pct"/>
            <w:vAlign w:val="center"/>
          </w:tcPr>
          <w:p w14:paraId="4BB4CB92">
            <w:pPr>
              <w:pStyle w:val="127"/>
              <w:keepNext w:val="0"/>
              <w:keepLines w:val="0"/>
              <w:pageBreakBefore w:val="0"/>
              <w:widowControl/>
              <w:numPr>
                <w:ilvl w:val="0"/>
                <w:numId w:val="11"/>
              </w:numPr>
              <w:suppressLineNumbers w:val="0"/>
              <w:kinsoku/>
              <w:wordWrap/>
              <w:overflowPunct/>
              <w:topLinePunct w:val="0"/>
              <w:bidi w:val="0"/>
              <w:spacing w:before="0" w:beforeAutospacing="0" w:after="0" w:afterAutospacing="0" w:line="360" w:lineRule="auto"/>
              <w:ind w:left="0" w:right="0"/>
              <w:jc w:val="left"/>
              <w:textAlignment w:val="auto"/>
              <w:rPr>
                <w:rFonts w:hint="eastAsia" w:ascii="宋体" w:hAnsi="宋体" w:cs="宋体"/>
                <w:bCs/>
                <w:sz w:val="24"/>
                <w:szCs w:val="24"/>
              </w:rPr>
            </w:pPr>
            <w:r>
              <w:rPr>
                <w:rFonts w:hint="eastAsia" w:ascii="宋体" w:hAnsi="宋体" w:cs="宋体"/>
                <w:bCs/>
                <w:sz w:val="24"/>
                <w:szCs w:val="24"/>
              </w:rPr>
              <w:t>隔离泄漏污染区，限制出入。切断火源。</w:t>
            </w:r>
          </w:p>
          <w:p w14:paraId="4EE75D15">
            <w:pPr>
              <w:pStyle w:val="127"/>
              <w:keepNext w:val="0"/>
              <w:keepLines w:val="0"/>
              <w:pageBreakBefore w:val="0"/>
              <w:widowControl/>
              <w:numPr>
                <w:ilvl w:val="0"/>
                <w:numId w:val="11"/>
              </w:numPr>
              <w:suppressLineNumbers w:val="0"/>
              <w:kinsoku/>
              <w:wordWrap/>
              <w:overflowPunct/>
              <w:topLinePunct w:val="0"/>
              <w:bidi w:val="0"/>
              <w:spacing w:before="0" w:beforeAutospacing="0" w:after="0" w:afterAutospacing="0" w:line="360" w:lineRule="auto"/>
              <w:ind w:left="0" w:right="0"/>
              <w:jc w:val="left"/>
              <w:textAlignment w:val="auto"/>
              <w:rPr>
                <w:rFonts w:hint="eastAsia"/>
                <w:color w:val="000000" w:themeColor="text1"/>
                <w:sz w:val="24"/>
                <w:szCs w:val="24"/>
                <w14:textFill>
                  <w14:solidFill>
                    <w14:schemeClr w14:val="tx1"/>
                  </w14:solidFill>
                </w14:textFill>
              </w:rPr>
            </w:pPr>
            <w:r>
              <w:rPr>
                <w:rFonts w:hint="eastAsia" w:ascii="宋体" w:hAnsi="宋体" w:cs="宋体"/>
                <w:bCs/>
                <w:sz w:val="24"/>
                <w:szCs w:val="24"/>
              </w:rPr>
              <w:t>建议应急处理人员戴防尘口罩，穿一般作业工作服。不要直接接触泄漏物。</w:t>
            </w:r>
          </w:p>
          <w:p w14:paraId="05257884">
            <w:pPr>
              <w:pStyle w:val="127"/>
              <w:keepNext w:val="0"/>
              <w:keepLines w:val="0"/>
              <w:pageBreakBefore w:val="0"/>
              <w:widowControl/>
              <w:numPr>
                <w:ilvl w:val="0"/>
                <w:numId w:val="11"/>
              </w:numPr>
              <w:suppressLineNumbers w:val="0"/>
              <w:kinsoku/>
              <w:wordWrap/>
              <w:overflowPunct/>
              <w:topLinePunct w:val="0"/>
              <w:bidi w:val="0"/>
              <w:spacing w:before="0" w:beforeAutospacing="0" w:after="0" w:afterAutospacing="0" w:line="360" w:lineRule="auto"/>
              <w:ind w:left="0" w:right="0"/>
              <w:jc w:val="left"/>
              <w:textAlignment w:val="auto"/>
              <w:rPr>
                <w:rFonts w:hint="eastAsia"/>
                <w:color w:val="000000" w:themeColor="text1"/>
                <w:sz w:val="24"/>
                <w:szCs w:val="24"/>
                <w14:textFill>
                  <w14:solidFill>
                    <w14:schemeClr w14:val="tx1"/>
                  </w14:solidFill>
                </w14:textFill>
              </w:rPr>
            </w:pPr>
            <w:r>
              <w:rPr>
                <w:rFonts w:hint="eastAsia" w:ascii="宋体" w:hAnsi="宋体" w:cs="宋体"/>
                <w:bCs/>
                <w:sz w:val="24"/>
                <w:szCs w:val="24"/>
              </w:rPr>
              <w:t>小量泄漏：避免扬尘，小心扫起，收集于密闭容器中。大量泄漏：收集回收或运至废物处理场所处置。</w:t>
            </w:r>
          </w:p>
        </w:tc>
      </w:tr>
    </w:tbl>
    <w:p w14:paraId="2DD24C5F">
      <w:pPr>
        <w:pStyle w:val="2"/>
      </w:pPr>
    </w:p>
    <w:p w14:paraId="41478DC9">
      <w:pPr>
        <w:keepNext/>
        <w:keepLines/>
        <w:pageBreakBefore w:val="0"/>
        <w:widowControl w:val="0"/>
        <w:kinsoku/>
        <w:wordWrap/>
        <w:overflowPunct/>
        <w:topLinePunct w:val="0"/>
        <w:autoSpaceDE/>
        <w:autoSpaceDN/>
        <w:bidi w:val="0"/>
        <w:adjustRightInd/>
        <w:snapToGrid/>
        <w:spacing w:before="240" w:line="360" w:lineRule="auto"/>
        <w:textAlignment w:val="auto"/>
        <w:outlineLvl w:val="9"/>
        <w:rPr>
          <w:b/>
          <w:bCs w:val="0"/>
          <w:color w:val="000000" w:themeColor="text1"/>
          <w:sz w:val="24"/>
          <w:szCs w:val="24"/>
          <w14:textFill>
            <w14:solidFill>
              <w14:schemeClr w14:val="tx1"/>
            </w14:solidFill>
          </w14:textFill>
        </w:rPr>
      </w:pPr>
      <w:r>
        <w:rPr>
          <w:rFonts w:hint="eastAsia"/>
          <w:b/>
          <w:bCs w:val="0"/>
          <w:color w:val="000000" w:themeColor="text1"/>
          <w:sz w:val="24"/>
          <w:szCs w:val="24"/>
          <w:lang w:val="en-US" w:eastAsia="zh-CN"/>
          <w14:textFill>
            <w14:solidFill>
              <w14:schemeClr w14:val="tx1"/>
            </w14:solidFill>
          </w14:textFill>
        </w:rPr>
        <w:t>4.3.1.3</w:t>
      </w:r>
      <w:r>
        <w:rPr>
          <w:rFonts w:hint="eastAsia"/>
          <w:b/>
          <w:bCs w:val="0"/>
          <w:color w:val="000000" w:themeColor="text1"/>
          <w:sz w:val="24"/>
          <w:szCs w:val="24"/>
          <w14:textFill>
            <w14:solidFill>
              <w14:schemeClr w14:val="tx1"/>
            </w14:solidFill>
          </w14:textFill>
        </w:rPr>
        <w:t>污染治理设施异常的风险物质扩散影响</w:t>
      </w:r>
    </w:p>
    <w:p w14:paraId="2BAB45C8">
      <w:pPr>
        <w:pageBreakBefore w:val="0"/>
        <w:widowControl w:val="0"/>
        <w:kinsoku/>
        <w:wordWrap/>
        <w:overflowPunct/>
        <w:topLinePunct w:val="0"/>
        <w:autoSpaceDE/>
        <w:autoSpaceDN/>
        <w:bidi w:val="0"/>
        <w:adjustRightInd/>
        <w:snapToGrid/>
        <w:spacing w:line="360" w:lineRule="auto"/>
        <w:ind w:firstLine="482" w:firstLineChars="200"/>
        <w:textAlignment w:val="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1、废水治理设施异常污染物释放途径</w:t>
      </w:r>
    </w:p>
    <w:p w14:paraId="76037BB0">
      <w:pPr>
        <w:widowControl w:val="0"/>
        <w:autoSpaceDE w:val="0"/>
        <w:autoSpaceDN w:val="0"/>
        <w:adjustRightInd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本公司废水治理设施异常的是废水处理系统</w:t>
      </w:r>
      <w:r>
        <w:rPr>
          <w:rFonts w:hint="eastAsia"/>
          <w:color w:val="000000" w:themeColor="text1"/>
          <w:sz w:val="24"/>
          <w:szCs w:val="24"/>
          <w:lang w:eastAsia="zh-CN"/>
          <w14:textFill>
            <w14:solidFill>
              <w14:schemeClr w14:val="tx1"/>
            </w14:solidFill>
          </w14:textFill>
        </w:rPr>
        <w:t>故障</w:t>
      </w:r>
      <w:r>
        <w:rPr>
          <w:rFonts w:hint="eastAsia"/>
          <w:color w:val="000000" w:themeColor="text1"/>
          <w:sz w:val="24"/>
          <w:szCs w:val="24"/>
          <w14:textFill>
            <w14:solidFill>
              <w14:schemeClr w14:val="tx1"/>
            </w14:solidFill>
          </w14:textFill>
        </w:rPr>
        <w:t>，建设</w:t>
      </w:r>
      <w:r>
        <w:rPr>
          <w:rFonts w:hint="eastAsia"/>
          <w:color w:val="000000" w:themeColor="text1"/>
          <w:sz w:val="24"/>
          <w:szCs w:val="24"/>
          <w:lang w:val="en-US" w:eastAsia="zh-CN"/>
          <w14:textFill>
            <w14:solidFill>
              <w14:schemeClr w14:val="tx1"/>
            </w14:solidFill>
          </w14:textFill>
        </w:rPr>
        <w:t>760</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事故水池</w:t>
      </w:r>
      <w:r>
        <w:rPr>
          <w:rFonts w:hint="eastAsia"/>
          <w:color w:val="000000" w:themeColor="text1"/>
          <w:sz w:val="24"/>
          <w:szCs w:val="24"/>
          <w14:textFill>
            <w14:solidFill>
              <w14:schemeClr w14:val="tx1"/>
            </w14:solidFill>
          </w14:textFill>
        </w:rPr>
        <w:t>可保证事故状态下生产废水收集不外排。</w:t>
      </w:r>
    </w:p>
    <w:p w14:paraId="25EC5BE1">
      <w:pPr>
        <w:widowControl w:val="0"/>
        <w:autoSpaceDE w:val="0"/>
        <w:autoSpaceDN w:val="0"/>
        <w:adjustRightInd w:val="0"/>
        <w:spacing w:line="360" w:lineRule="auto"/>
        <w:ind w:firstLine="482" w:firstLineChars="200"/>
        <w:rPr>
          <w:rFonts w:cs="仿宋_GB2312"/>
          <w:b/>
          <w:bCs/>
          <w:color w:val="000000" w:themeColor="text1"/>
          <w:sz w:val="24"/>
          <w:szCs w:val="24"/>
          <w14:textFill>
            <w14:solidFill>
              <w14:schemeClr w14:val="tx1"/>
            </w14:solidFill>
          </w14:textFill>
        </w:rPr>
      </w:pPr>
      <w:r>
        <w:rPr>
          <w:rFonts w:hint="eastAsia" w:cs="仿宋_GB2312"/>
          <w:b/>
          <w:bCs/>
          <w:color w:val="000000" w:themeColor="text1"/>
          <w:sz w:val="24"/>
          <w:szCs w:val="24"/>
          <w14:textFill>
            <w14:solidFill>
              <w14:schemeClr w14:val="tx1"/>
            </w14:solidFill>
          </w14:textFill>
        </w:rPr>
        <w:t>2、废气治理设施异常污染物释放途径</w:t>
      </w:r>
    </w:p>
    <w:p w14:paraId="1C7EB9B9">
      <w:pPr>
        <w:pStyle w:val="124"/>
        <w:rPr>
          <w:sz w:val="24"/>
          <w:szCs w:val="24"/>
          <w:lang w:eastAsia="zh-CN"/>
        </w:rPr>
      </w:pPr>
      <w:r>
        <w:rPr>
          <w:rFonts w:hint="eastAsia" w:ascii="宋体" w:hAnsi="宋体"/>
          <w:sz w:val="24"/>
          <w:szCs w:val="24"/>
          <w:lang w:eastAsia="zh-CN"/>
        </w:rPr>
        <w:t>①</w:t>
      </w:r>
      <w:r>
        <w:rPr>
          <w:rFonts w:hint="eastAsia"/>
          <w:sz w:val="24"/>
          <w:szCs w:val="24"/>
          <w:lang w:eastAsia="zh-CN"/>
        </w:rPr>
        <w:t>碱喷淋塔系统故障</w:t>
      </w:r>
    </w:p>
    <w:p w14:paraId="4A0774E7">
      <w:pPr>
        <w:pStyle w:val="124"/>
        <w:rPr>
          <w:sz w:val="24"/>
          <w:szCs w:val="24"/>
          <w:lang w:eastAsia="zh-CN"/>
        </w:rPr>
      </w:pPr>
      <w:r>
        <w:rPr>
          <w:rFonts w:hint="eastAsia"/>
          <w:sz w:val="24"/>
          <w:szCs w:val="24"/>
          <w:lang w:eastAsia="zh-CN"/>
        </w:rPr>
        <w:t>碱喷淋塔的喷淋泵或连接器等可能在运行中出现故障，导致喷淋</w:t>
      </w:r>
      <w:r>
        <w:rPr>
          <w:sz w:val="24"/>
          <w:szCs w:val="24"/>
          <w:lang w:eastAsia="zh-CN"/>
        </w:rPr>
        <w:t>系统失效，</w:t>
      </w:r>
      <w:r>
        <w:rPr>
          <w:rFonts w:hint="eastAsia"/>
          <w:sz w:val="24"/>
          <w:szCs w:val="24"/>
          <w:lang w:eastAsia="zh-CN"/>
        </w:rPr>
        <w:t>非甲烷总烃、氮氧化物、氯化氢</w:t>
      </w:r>
      <w:r>
        <w:rPr>
          <w:sz w:val="24"/>
          <w:szCs w:val="24"/>
          <w:lang w:eastAsia="zh-CN"/>
        </w:rPr>
        <w:t>等酸性气体未经吸收处理直接进入后续处理系</w:t>
      </w:r>
      <w:r>
        <w:rPr>
          <w:rFonts w:hint="eastAsia"/>
          <w:sz w:val="24"/>
          <w:szCs w:val="24"/>
          <w:lang w:eastAsia="zh-CN"/>
        </w:rPr>
        <w:t>统。</w:t>
      </w:r>
    </w:p>
    <w:p w14:paraId="143129B6">
      <w:pPr>
        <w:pStyle w:val="124"/>
        <w:rPr>
          <w:sz w:val="24"/>
          <w:szCs w:val="24"/>
          <w:lang w:eastAsia="zh-CN"/>
        </w:rPr>
      </w:pPr>
      <w:r>
        <w:rPr>
          <w:rFonts w:hint="eastAsia" w:ascii="宋体" w:hAnsi="宋体"/>
          <w:sz w:val="24"/>
          <w:szCs w:val="24"/>
          <w:lang w:eastAsia="zh-CN"/>
        </w:rPr>
        <w:t>②</w:t>
      </w:r>
      <w:r>
        <w:rPr>
          <w:rFonts w:hint="eastAsia"/>
          <w:sz w:val="24"/>
          <w:szCs w:val="24"/>
          <w:lang w:eastAsia="zh-CN"/>
        </w:rPr>
        <w:t>活性炭移动床</w:t>
      </w:r>
      <w:r>
        <w:rPr>
          <w:sz w:val="24"/>
          <w:szCs w:val="24"/>
          <w:lang w:eastAsia="zh-CN"/>
        </w:rPr>
        <w:t>系统故障</w:t>
      </w:r>
    </w:p>
    <w:p w14:paraId="238C871B">
      <w:pPr>
        <w:pStyle w:val="124"/>
        <w:rPr>
          <w:sz w:val="24"/>
          <w:szCs w:val="24"/>
          <w:lang w:eastAsia="zh-CN"/>
        </w:rPr>
      </w:pPr>
      <w:r>
        <w:rPr>
          <w:rFonts w:hint="eastAsia"/>
          <w:sz w:val="24"/>
          <w:szCs w:val="24"/>
          <w:lang w:eastAsia="zh-CN"/>
        </w:rPr>
        <w:t>在线监测系统显示污染物超标排放，</w:t>
      </w:r>
      <w:r>
        <w:rPr>
          <w:sz w:val="24"/>
          <w:szCs w:val="24"/>
          <w:lang w:eastAsia="zh-CN"/>
        </w:rPr>
        <w:t>立即停止加料。</w:t>
      </w:r>
      <w:r>
        <w:rPr>
          <w:rFonts w:hint="eastAsia"/>
          <w:sz w:val="24"/>
          <w:szCs w:val="24"/>
          <w:lang w:eastAsia="zh-CN"/>
        </w:rPr>
        <w:t>进入现场检查系统故障</w:t>
      </w:r>
      <w:r>
        <w:rPr>
          <w:sz w:val="24"/>
          <w:szCs w:val="24"/>
          <w:lang w:eastAsia="zh-CN"/>
        </w:rPr>
        <w:t>尽可能</w:t>
      </w:r>
      <w:r>
        <w:rPr>
          <w:rFonts w:hint="eastAsia"/>
          <w:sz w:val="24"/>
          <w:szCs w:val="24"/>
          <w:lang w:eastAsia="zh-CN"/>
        </w:rPr>
        <w:t>将未处理的烟气引入排气筒高空排放</w:t>
      </w:r>
    </w:p>
    <w:p w14:paraId="5F155E81">
      <w:pPr>
        <w:widowControl w:val="0"/>
        <w:autoSpaceDE w:val="0"/>
        <w:autoSpaceDN w:val="0"/>
        <w:adjustRightInd w:val="0"/>
        <w:spacing w:line="360" w:lineRule="auto"/>
        <w:ind w:firstLine="482" w:firstLineChars="200"/>
        <w:rPr>
          <w:rFonts w:cs="仿宋_GB2312"/>
          <w:b/>
          <w:bCs/>
          <w:color w:val="000000" w:themeColor="text1"/>
          <w:sz w:val="24"/>
          <w:szCs w:val="24"/>
          <w14:textFill>
            <w14:solidFill>
              <w14:schemeClr w14:val="tx1"/>
            </w14:solidFill>
          </w14:textFill>
        </w:rPr>
      </w:pPr>
      <w:r>
        <w:rPr>
          <w:rFonts w:cs="仿宋_GB2312"/>
          <w:b/>
          <w:bCs/>
          <w:color w:val="000000" w:themeColor="text1"/>
          <w:sz w:val="24"/>
          <w:szCs w:val="24"/>
          <w14:textFill>
            <w14:solidFill>
              <w14:schemeClr w14:val="tx1"/>
            </w14:solidFill>
          </w14:textFill>
        </w:rPr>
        <w:t>3</w:t>
      </w:r>
      <w:r>
        <w:rPr>
          <w:rFonts w:hint="eastAsia" w:cs="仿宋_GB2312"/>
          <w:b/>
          <w:bCs/>
          <w:color w:val="000000" w:themeColor="text1"/>
          <w:sz w:val="24"/>
          <w:szCs w:val="24"/>
          <w14:textFill>
            <w14:solidFill>
              <w14:schemeClr w14:val="tx1"/>
            </w14:solidFill>
          </w14:textFill>
        </w:rPr>
        <w:t>、</w:t>
      </w:r>
      <w:r>
        <w:rPr>
          <w:rFonts w:hint="eastAsia"/>
          <w:b/>
          <w:bCs/>
          <w:color w:val="000000" w:themeColor="text1"/>
          <w:sz w:val="24"/>
          <w:szCs w:val="24"/>
          <w14:textFill>
            <w14:solidFill>
              <w14:schemeClr w14:val="tx1"/>
            </w14:solidFill>
          </w14:textFill>
        </w:rPr>
        <w:t>此类事故需要的应急物资、应急装备和应急救援队伍情况</w:t>
      </w:r>
    </w:p>
    <w:p w14:paraId="5D4057FE">
      <w:pPr>
        <w:widowControl w:val="0"/>
        <w:autoSpaceDE w:val="0"/>
        <w:autoSpaceDN w:val="0"/>
        <w:adjustRightInd w:val="0"/>
        <w:spacing w:line="360" w:lineRule="auto"/>
        <w:ind w:firstLine="360" w:firstLineChars="150"/>
        <w:rPr>
          <w:rFonts w:cs="仿宋_GB2312"/>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为将突发事故危害降至最低</w:t>
      </w:r>
      <w:r>
        <w:rPr>
          <w:rFonts w:hint="eastAsia" w:cs="GB Pinyinok-A"/>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必须落实环境应急物资、应急装置和应急救援队伍</w:t>
      </w:r>
      <w:r>
        <w:rPr>
          <w:rFonts w:hint="eastAsia" w:cs="GB Pinyinok-A"/>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具体如下：</w:t>
      </w:r>
    </w:p>
    <w:p w14:paraId="2B1CD596">
      <w:pPr>
        <w:widowControl w:val="0"/>
        <w:autoSpaceDE w:val="0"/>
        <w:autoSpaceDN w:val="0"/>
        <w:adjustRightInd w:val="0"/>
        <w:spacing w:line="360" w:lineRule="auto"/>
        <w:ind w:firstLine="480" w:firstLineChars="200"/>
        <w:rPr>
          <w:rFonts w:cs="GB Pinyinok-A"/>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t>a.</w:t>
      </w:r>
      <w:r>
        <w:rPr>
          <w:rFonts w:hint="eastAsia"/>
          <w:color w:val="000000" w:themeColor="text1"/>
          <w:sz w:val="24"/>
          <w:szCs w:val="24"/>
          <w14:textFill>
            <w14:solidFill>
              <w14:schemeClr w14:val="tx1"/>
            </w14:solidFill>
          </w14:textFill>
        </w:rPr>
        <w:t>应急装置要求：厂区设置足够容量的应急池</w:t>
      </w:r>
      <w:r>
        <w:rPr>
          <w:rFonts w:hint="eastAsia" w:cs="GB Pinyinok-A"/>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收集超标的污水并将其导入事故应急池</w:t>
      </w:r>
      <w:r>
        <w:rPr>
          <w:rFonts w:hint="eastAsia" w:cs="GB Pinyinok-A"/>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待污水处理设施故障解除后再行处理</w:t>
      </w:r>
      <w:r>
        <w:rPr>
          <w:rFonts w:hint="eastAsia" w:cs="GB Pinyinok-A"/>
          <w:color w:val="000000" w:themeColor="text1"/>
          <w:sz w:val="24"/>
          <w:szCs w:val="24"/>
          <w14:textFill>
            <w14:solidFill>
              <w14:schemeClr w14:val="tx1"/>
            </w14:solidFill>
          </w14:textFill>
        </w:rPr>
        <w:t>。</w:t>
      </w:r>
    </w:p>
    <w:p w14:paraId="3C2DC09F">
      <w:pPr>
        <w:widowControl w:val="0"/>
        <w:autoSpaceDE w:val="0"/>
        <w:autoSpaceDN w:val="0"/>
        <w:adjustRightInd w:val="0"/>
        <w:spacing w:line="360" w:lineRule="auto"/>
        <w:ind w:firstLine="480" w:firstLineChars="200"/>
        <w:rPr>
          <w:rFonts w:cs="仿宋_GB2312"/>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t>及时检修设备、按操作规程严格操作，并定期巡视、检修，一旦设备出现故障，立刻启用备用设施。</w:t>
      </w:r>
    </w:p>
    <w:p w14:paraId="192DB551">
      <w:pPr>
        <w:widowControl w:val="0"/>
        <w:autoSpaceDE w:val="0"/>
        <w:autoSpaceDN w:val="0"/>
        <w:adjustRightInd w:val="0"/>
        <w:spacing w:line="360" w:lineRule="auto"/>
        <w:ind w:left="139" w:leftChars="66" w:firstLine="360" w:firstLineChars="150"/>
        <w:rPr>
          <w:rFonts w:cs="仿宋_GB2312"/>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t>b.</w:t>
      </w:r>
      <w:r>
        <w:rPr>
          <w:rFonts w:hint="eastAsia"/>
          <w:color w:val="000000" w:themeColor="text1"/>
          <w:sz w:val="24"/>
          <w:szCs w:val="24"/>
          <w14:textFill>
            <w14:solidFill>
              <w14:schemeClr w14:val="tx1"/>
            </w14:solidFill>
          </w14:textFill>
        </w:rPr>
        <w:t>应急物资要求：重点做好废水排放的监控，排放口安装废水在线监测设备</w:t>
      </w:r>
      <w:r>
        <w:rPr>
          <w:rFonts w:hint="eastAsia" w:cs="GB Pinyinok-A"/>
          <w:color w:val="000000" w:themeColor="text1"/>
          <w:sz w:val="24"/>
          <w:szCs w:val="24"/>
          <w14:textFill>
            <w14:solidFill>
              <w14:schemeClr w14:val="tx1"/>
            </w14:solidFill>
          </w14:textFill>
        </w:rPr>
        <w:t>。</w:t>
      </w:r>
    </w:p>
    <w:p w14:paraId="749C594A">
      <w:pPr>
        <w:widowControl w:val="0"/>
        <w:autoSpaceDE w:val="0"/>
        <w:autoSpaceDN w:val="0"/>
        <w:adjustRightInd w:val="0"/>
        <w:spacing w:line="360" w:lineRule="auto"/>
        <w:ind w:firstLine="360" w:firstLineChars="150"/>
        <w:rPr>
          <w:rFonts w:cs="GB Pinyinok-A"/>
          <w:color w:val="000000" w:themeColor="text1"/>
          <w:sz w:val="24"/>
          <w:szCs w:val="24"/>
          <w14:textFill>
            <w14:solidFill>
              <w14:schemeClr w14:val="tx1"/>
            </w14:solidFill>
          </w14:textFill>
        </w:rPr>
      </w:pPr>
      <w:r>
        <w:rPr>
          <w:rFonts w:hint="eastAsia" w:cs="仿宋_GB2312"/>
          <w:color w:val="000000" w:themeColor="text1"/>
          <w:sz w:val="24"/>
          <w:szCs w:val="24"/>
          <w14:textFill>
            <w14:solidFill>
              <w14:schemeClr w14:val="tx1"/>
            </w14:solidFill>
          </w14:textFill>
        </w:rPr>
        <w:t xml:space="preserve"> c.</w:t>
      </w:r>
      <w:r>
        <w:rPr>
          <w:rFonts w:hint="eastAsia"/>
          <w:color w:val="000000" w:themeColor="text1"/>
          <w:sz w:val="24"/>
          <w:szCs w:val="24"/>
          <w14:textFill>
            <w14:solidFill>
              <w14:schemeClr w14:val="tx1"/>
            </w14:solidFill>
          </w14:textFill>
        </w:rPr>
        <w:t>应急救援队伍：由专职人员操作污水处理站，定期分析各项数据，及时排除故障，保证正常运行</w:t>
      </w:r>
      <w:r>
        <w:rPr>
          <w:rFonts w:hint="eastAsia" w:cs="GB Pinyinok-A"/>
          <w:color w:val="000000" w:themeColor="text1"/>
          <w:sz w:val="24"/>
          <w:szCs w:val="24"/>
          <w14:textFill>
            <w14:solidFill>
              <w14:schemeClr w14:val="tx1"/>
            </w14:solidFill>
          </w14:textFill>
        </w:rPr>
        <w:t>。</w:t>
      </w:r>
    </w:p>
    <w:p w14:paraId="35EA0CD5">
      <w:pPr>
        <w:pStyle w:val="8"/>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4.3.2</w:t>
      </w:r>
      <w:r>
        <w:rPr>
          <w:color w:val="000000" w:themeColor="text1"/>
          <w14:textFill>
            <w14:solidFill>
              <w14:schemeClr w14:val="tx1"/>
            </w14:solidFill>
          </w14:textFill>
        </w:rPr>
        <w:t>涉及环境风险防控与应急措施、应急资源</w:t>
      </w:r>
    </w:p>
    <w:p w14:paraId="7B6E8A9F">
      <w:pPr>
        <w:pStyle w:val="124"/>
        <w:rPr>
          <w:b/>
          <w:bCs/>
          <w:color w:val="000000" w:themeColor="text1"/>
          <w:lang w:eastAsia="zh-CN"/>
          <w14:textFill>
            <w14:solidFill>
              <w14:schemeClr w14:val="tx1"/>
            </w14:solidFill>
          </w14:textFill>
        </w:rPr>
      </w:pPr>
      <w:r>
        <w:rPr>
          <w:b/>
          <w:bCs/>
          <w:color w:val="000000" w:themeColor="text1"/>
          <w:lang w:eastAsia="zh-CN"/>
          <w14:textFill>
            <w14:solidFill>
              <w14:schemeClr w14:val="tx1"/>
            </w14:solidFill>
          </w14:textFill>
        </w:rPr>
        <w:t>1、监控措施</w:t>
      </w:r>
    </w:p>
    <w:p w14:paraId="5F6B3460">
      <w:pPr>
        <w:widowControl w:val="0"/>
        <w:spacing w:line="360" w:lineRule="auto"/>
        <w:ind w:firstLine="482"/>
        <w:rPr>
          <w:color w:val="000000" w:themeColor="text1"/>
          <w:sz w:val="24"/>
          <w:szCs w:val="24"/>
          <w14:textFill>
            <w14:solidFill>
              <w14:schemeClr w14:val="tx1"/>
            </w14:solidFill>
          </w14:textFill>
        </w:rPr>
      </w:pPr>
      <w:bookmarkStart w:id="72" w:name="_Hlk73518137"/>
      <w:r>
        <w:rPr>
          <w:rFonts w:hint="eastAsia"/>
          <w:color w:val="000000" w:themeColor="text1"/>
          <w:sz w:val="24"/>
          <w:szCs w:val="24"/>
          <w14:textFill>
            <w14:solidFill>
              <w14:schemeClr w14:val="tx1"/>
            </w14:solidFill>
          </w14:textFill>
        </w:rPr>
        <w:t>建立健全的各种规章制度，落实安全责任，公司生产操作人员定时对车间、罐区进行巡回检查，每月对危险源进行一次全面检查，加强定期巡检并做好记录，对检查中发现的隐患和问题要及时进行整改，对于不能立即整改的问题需上报公司，并提出不断改进的措施。</w:t>
      </w:r>
    </w:p>
    <w:p w14:paraId="12727EAE">
      <w:pPr>
        <w:widowControl w:val="0"/>
        <w:spacing w:line="360" w:lineRule="auto"/>
        <w:ind w:firstLine="482"/>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公司针对不同的环境风险源采用了不同的监测监控方式、方法，具体从以下几个方面进行展开：</w:t>
      </w:r>
    </w:p>
    <w:p w14:paraId="77A331DF">
      <w:pPr>
        <w:spacing w:line="360" w:lineRule="auto"/>
        <w:ind w:firstLine="48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（1）技术控制</w:t>
      </w:r>
    </w:p>
    <w:p w14:paraId="7A9F5F66">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罐区：储罐安装液位计，罐区设有围堰并安装</w:t>
      </w:r>
      <w:r>
        <w:rPr>
          <w:color w:val="000000" w:themeColor="text1"/>
          <w:sz w:val="24"/>
          <w:szCs w:val="24"/>
          <w14:textFill>
            <w14:solidFill>
              <w14:schemeClr w14:val="tx1"/>
            </w14:solidFill>
          </w14:textFill>
        </w:rPr>
        <w:t>24小时电视监控探头，设有可燃气体报警仪</w:t>
      </w:r>
      <w:r>
        <w:rPr>
          <w:rFonts w:hint="eastAsia"/>
          <w:color w:val="000000" w:themeColor="text1"/>
          <w:sz w:val="24"/>
          <w:szCs w:val="24"/>
          <w14:textFill>
            <w14:solidFill>
              <w14:schemeClr w14:val="tx1"/>
            </w14:solidFill>
          </w14:textFill>
        </w:rPr>
        <w:t>、有毒气体报警仪</w:t>
      </w:r>
      <w:r>
        <w:rPr>
          <w:color w:val="000000" w:themeColor="text1"/>
          <w:sz w:val="24"/>
          <w:szCs w:val="24"/>
          <w14:textFill>
            <w14:solidFill>
              <w14:schemeClr w14:val="tx1"/>
            </w14:solidFill>
          </w14:textFill>
        </w:rPr>
        <w:t>。设置警示标志和危害信息告知牌、配备相应的灭火、应急救援器材、淋洗设备等。</w:t>
      </w:r>
    </w:p>
    <w:p w14:paraId="298A1EE4">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生产装置：建设有</w:t>
      </w:r>
      <w:r>
        <w:rPr>
          <w:color w:val="000000" w:themeColor="text1"/>
          <w:sz w:val="24"/>
          <w:szCs w:val="24"/>
          <w14:textFill>
            <w14:solidFill>
              <w14:schemeClr w14:val="tx1"/>
            </w14:solidFill>
          </w14:textFill>
        </w:rPr>
        <w:t>DCS 自动控制系统</w:t>
      </w:r>
      <w:r>
        <w:rPr>
          <w:rFonts w:hint="eastAsia"/>
          <w:color w:val="000000" w:themeColor="text1"/>
          <w:sz w:val="24"/>
          <w:szCs w:val="24"/>
          <w14:textFill>
            <w14:solidFill>
              <w14:schemeClr w14:val="tx1"/>
            </w14:solidFill>
          </w14:textFill>
        </w:rPr>
        <w:t>、电子监控器等。生产装置区</w:t>
      </w:r>
      <w:r>
        <w:rPr>
          <w:color w:val="000000" w:themeColor="text1"/>
          <w:sz w:val="24"/>
          <w:szCs w:val="24"/>
          <w14:textFill>
            <w14:solidFill>
              <w14:schemeClr w14:val="tx1"/>
            </w14:solidFill>
          </w14:textFill>
        </w:rPr>
        <w:t>周围设有消防栓、消防炮、灭火器等消防设施。</w:t>
      </w:r>
    </w:p>
    <w:p w14:paraId="74F1BECC">
      <w:pPr>
        <w:pStyle w:val="124"/>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（2）人员管理</w:t>
      </w:r>
    </w:p>
    <w:p w14:paraId="7D587712">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为防止因人员的不安全行为导致事故发生，公司对所有入厂职工进行了三级安全教育，且每年进行安全环保教育再培训，并考核合格后上岗作业。配备有空气呼吸器、化学防护服、急救药品箱。首先确保了人员安全，其次是操作安全。</w:t>
      </w:r>
    </w:p>
    <w:p w14:paraId="778C2C2E">
      <w:pPr>
        <w:pStyle w:val="124"/>
        <w:rPr>
          <w:color w:val="000000" w:themeColor="text1"/>
          <w:sz w:val="24"/>
          <w:szCs w:val="24"/>
          <w:lang w:eastAsia="zh-CN"/>
          <w14:textFill>
            <w14:solidFill>
              <w14:schemeClr w14:val="tx1"/>
            </w14:solidFill>
          </w14:textFill>
        </w:rPr>
      </w:pPr>
      <w:r>
        <w:rPr>
          <w:rFonts w:hint="eastAsia" w:ascii="宋体" w:hAnsi="宋体"/>
          <w:color w:val="000000" w:themeColor="text1"/>
          <w:sz w:val="24"/>
          <w:szCs w:val="24"/>
          <w:lang w:eastAsia="zh-CN"/>
          <w14:textFill>
            <w14:solidFill>
              <w14:schemeClr w14:val="tx1"/>
            </w14:solidFill>
          </w14:textFill>
        </w:rPr>
        <w:t>对在工作中存在着重大的“三违”现象，公司坚决给予批评教育并处罚；对在安全环境工作中做出突出贡献的职工公司给予奖励</w:t>
      </w:r>
      <w:r>
        <w:rPr>
          <w:rFonts w:hint="eastAsia"/>
          <w:color w:val="000000" w:themeColor="text1"/>
          <w:sz w:val="24"/>
          <w:szCs w:val="24"/>
          <w:lang w:eastAsia="zh-CN"/>
          <w14:textFill>
            <w14:solidFill>
              <w14:schemeClr w14:val="tx1"/>
            </w14:solidFill>
          </w14:textFill>
        </w:rPr>
        <w:t>。</w:t>
      </w:r>
    </w:p>
    <w:bookmarkEnd w:id="72"/>
    <w:p w14:paraId="5DA142C8">
      <w:pPr>
        <w:pStyle w:val="124"/>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（3）设备管理控制</w:t>
      </w:r>
    </w:p>
    <w:p w14:paraId="4F17D097">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对公司内设备设施可能产生的危险采取了以下方法加以控制：</w:t>
      </w:r>
    </w:p>
    <w:p w14:paraId="5080F4E4">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a.建立健全危险源管理的规章制度；</w:t>
      </w:r>
    </w:p>
    <w:p w14:paraId="70570C63">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b.明确责任人、定期检查并记录; </w:t>
      </w:r>
    </w:p>
    <w:p w14:paraId="2E6617E9">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c.加强危险源的日常管理; </w:t>
      </w:r>
    </w:p>
    <w:p w14:paraId="3BC76457">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d.做好信息反馈，及时整改事故隐患。</w:t>
      </w:r>
    </w:p>
    <w:p w14:paraId="06603483">
      <w:pPr>
        <w:pStyle w:val="124"/>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（4）对于突发环境事件，主要风险的监控措施：</w:t>
      </w:r>
    </w:p>
    <w:p w14:paraId="67E5455B">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a.各有关部门、车间安排人员定期进行隐患排查整改。制定定期检查制度。</w:t>
      </w:r>
    </w:p>
    <w:p w14:paraId="597070D1">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b.对岗位人员进行定期专项培训，严格岗位操作规程。</w:t>
      </w:r>
    </w:p>
    <w:p w14:paraId="7760E119">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c.安排公司领导24小时值班。</w:t>
      </w:r>
    </w:p>
    <w:p w14:paraId="1455BEED">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d.设立可燃气体、有毒气体自动检测报警探头、重点部位24小时监控。</w:t>
      </w:r>
    </w:p>
    <w:p w14:paraId="78C03FF9">
      <w:pPr>
        <w:spacing w:line="360" w:lineRule="auto"/>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e.建立公司─车间─班组（岗位）三级监控网络。公司建立全部所属车间、班组基本情况、危险目标、重大事故隐患等相关数据，并落实各部门、车间人员的监控责任。车间负责所辖范围危险源点的监控。班组负责对各岗位设备、设施及人员操作的监控。存在危险目标、重大事故隐患的班组对本岗位的安全监督负主体责任，要及时分析监控信息并跟踪落实整改情况，及时、逐级向负责人报告。</w:t>
      </w:r>
    </w:p>
    <w:p w14:paraId="7EA12535">
      <w:pPr>
        <w:pStyle w:val="124"/>
        <w:rPr>
          <w:b/>
          <w:bCs/>
          <w:color w:val="000000" w:themeColor="text1"/>
          <w:sz w:val="24"/>
          <w:szCs w:val="24"/>
          <w:lang w:eastAsia="zh-CN"/>
          <w14:textFill>
            <w14:solidFill>
              <w14:schemeClr w14:val="tx1"/>
            </w14:solidFill>
          </w14:textFill>
        </w:rPr>
      </w:pPr>
      <w:r>
        <w:rPr>
          <w:b/>
          <w:bCs/>
          <w:color w:val="000000" w:themeColor="text1"/>
          <w:sz w:val="24"/>
          <w:szCs w:val="24"/>
          <w:lang w:eastAsia="zh-CN"/>
          <w14:textFill>
            <w14:solidFill>
              <w14:schemeClr w14:val="tx1"/>
            </w14:solidFill>
          </w14:textFill>
        </w:rPr>
        <w:t>2、建设针对液体风险物质泄漏的三级防控措施</w:t>
      </w:r>
    </w:p>
    <w:p w14:paraId="5FC8029E">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一级防控措施：罐区设置围堰，确保泄漏物料不会溢出围堰，并对装置区、罐区、仓库等地面进行重点防渗。</w:t>
      </w:r>
    </w:p>
    <w:p w14:paraId="0DECD2E7">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二级防控措施：厂区设置</w:t>
      </w:r>
      <w:r>
        <w:rPr>
          <w:rFonts w:hint="eastAsia"/>
          <w:color w:val="000000" w:themeColor="text1"/>
          <w:sz w:val="24"/>
          <w:szCs w:val="24"/>
          <w:lang w:val="en-US" w:eastAsia="zh-CN"/>
          <w14:textFill>
            <w14:solidFill>
              <w14:schemeClr w14:val="tx1"/>
            </w14:solidFill>
          </w14:textFill>
        </w:rPr>
        <w:t>760</w:t>
      </w:r>
      <w:r>
        <w:rPr>
          <w:rFonts w:hint="eastAsia"/>
          <w:color w:val="000000" w:themeColor="text1"/>
          <w:sz w:val="24"/>
          <w:szCs w:val="24"/>
          <w14:textFill>
            <w14:solidFill>
              <w14:schemeClr w14:val="tx1"/>
            </w14:solidFill>
          </w14:textFill>
        </w:rPr>
        <w:t>立方米的事故应急池和</w:t>
      </w:r>
      <w:r>
        <w:rPr>
          <w:rFonts w:hint="eastAsia"/>
          <w:color w:val="000000" w:themeColor="text1"/>
          <w:sz w:val="24"/>
          <w:szCs w:val="24"/>
          <w:lang w:val="en-US" w:eastAsia="zh-CN"/>
          <w14:textFill>
            <w14:solidFill>
              <w14:schemeClr w14:val="tx1"/>
            </w14:solidFill>
          </w14:textFill>
        </w:rPr>
        <w:t>240</w:t>
      </w:r>
      <w:r>
        <w:rPr>
          <w:rFonts w:hint="eastAsia"/>
          <w:color w:val="000000" w:themeColor="text1"/>
          <w:sz w:val="24"/>
          <w:szCs w:val="24"/>
          <w14:textFill>
            <w14:solidFill>
              <w14:schemeClr w14:val="tx1"/>
            </w14:solidFill>
          </w14:textFill>
        </w:rPr>
        <w:t>立方米初期雨水池，将事故废水、消防废水、前期雨水等通过防渗管道排入事故应急池，经厂内污水处理站处理后排入</w:t>
      </w:r>
      <w:r>
        <w:rPr>
          <w:rFonts w:hint="eastAsia"/>
          <w:color w:val="000000" w:themeColor="text1"/>
          <w:sz w:val="24"/>
          <w:szCs w:val="24"/>
          <w:lang w:eastAsia="zh-CN"/>
          <w14:textFill>
            <w14:solidFill>
              <w14:schemeClr w14:val="tx1"/>
            </w14:solidFill>
          </w14:textFill>
        </w:rPr>
        <w:t>齐鲁石化供排水厂深度</w:t>
      </w:r>
      <w:r>
        <w:rPr>
          <w:rFonts w:hint="eastAsia"/>
          <w:color w:val="000000" w:themeColor="text1"/>
          <w:sz w:val="24"/>
          <w:szCs w:val="24"/>
          <w14:textFill>
            <w14:solidFill>
              <w14:schemeClr w14:val="tx1"/>
            </w14:solidFill>
          </w14:textFill>
        </w:rPr>
        <w:t>处理。</w:t>
      </w:r>
    </w:p>
    <w:p w14:paraId="02CE715D">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三级防控措施：厂区雨水排放口设置切断阀，一旦事故废水进入厂区雨水管道，立即切断厂区与外界雨污水受纳管网的联系，将事故废水控制在厂区内。</w:t>
      </w:r>
    </w:p>
    <w:p w14:paraId="6F03E4B8">
      <w:pPr>
        <w:pStyle w:val="124"/>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公司应急指挥中心根据重特大事件预测与预警结果，针对应急事件开展风险评估，做到早发现、早报告、早处置。</w:t>
      </w:r>
    </w:p>
    <w:p w14:paraId="5FC37693">
      <w:pPr>
        <w:pStyle w:val="124"/>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制造部定期组织相关单位进行突发事故事件应急救援预案的修订、评审，及时将修订后的预案传达至相关单位，各单位针对危险源要及时对职工进行应急预案和相关急救知识的培训并定期组织开展事故应急演练。各单位负责对应急救援器材定期检查、维护保养，确保满足使用要求。各部门负责医疗器材的维护保养，对于超过保质期的急救药品要及时更换，满足应急使用要求。公司定期对可燃气体、有毒气体报警仪进行校验，确保监测设施的灵敏可靠，各单位定期对动静泄漏点进行排查，发现跑冒滴漏及时处理，避免化学物质泄漏造成环境污染或造成事故隐患。</w:t>
      </w:r>
    </w:p>
    <w:p w14:paraId="740459CB">
      <w:pPr>
        <w:pStyle w:val="131"/>
        <w:ind w:firstLine="482"/>
        <w:rPr>
          <w:rFonts w:ascii="Times New Roman" w:hAnsi="Times New Roman"/>
          <w:b/>
          <w:bCs/>
          <w:color w:val="000000" w:themeColor="text1"/>
          <w:lang w:eastAsia="zh-CN"/>
          <w14:textFill>
            <w14:solidFill>
              <w14:schemeClr w14:val="tx1"/>
            </w14:solidFill>
          </w14:textFill>
        </w:rPr>
      </w:pPr>
      <w:r>
        <w:rPr>
          <w:rFonts w:ascii="Times New Roman" w:hAnsi="Times New Roman"/>
          <w:b/>
          <w:bCs/>
          <w:color w:val="000000" w:themeColor="text1"/>
          <w:szCs w:val="24"/>
          <w:lang w:eastAsia="zh-CN"/>
          <w14:textFill>
            <w14:solidFill>
              <w14:schemeClr w14:val="tx1"/>
            </w14:solidFill>
          </w14:textFill>
        </w:rPr>
        <w:t>3、针对危险废物挥发的易燃或毒性气体的监控、喷淋</w:t>
      </w:r>
      <w:r>
        <w:rPr>
          <w:rFonts w:ascii="Times New Roman" w:hAnsi="Times New Roman"/>
          <w:b/>
          <w:bCs/>
          <w:color w:val="000000" w:themeColor="text1"/>
          <w:lang w:eastAsia="zh-CN"/>
          <w14:textFill>
            <w14:solidFill>
              <w14:schemeClr w14:val="tx1"/>
            </w14:solidFill>
          </w14:textFill>
        </w:rPr>
        <w:t>措施</w:t>
      </w:r>
    </w:p>
    <w:p w14:paraId="02FF5104">
      <w:pPr>
        <w:pStyle w:val="131"/>
        <w:ind w:firstLine="480"/>
        <w:rPr>
          <w:rFonts w:ascii="Times New Roman" w:hAnsi="Times New Roman"/>
          <w:color w:val="000000" w:themeColor="text1"/>
          <w:szCs w:val="24"/>
          <w:lang w:eastAsia="zh-CN"/>
          <w14:textFill>
            <w14:solidFill>
              <w14:schemeClr w14:val="tx1"/>
            </w14:solidFill>
          </w14:textFill>
        </w:rPr>
      </w:pPr>
      <w:r>
        <w:rPr>
          <w:rFonts w:ascii="Times New Roman" w:hAnsi="Times New Roman"/>
          <w:color w:val="000000" w:themeColor="text1"/>
          <w:szCs w:val="24"/>
          <w:lang w:eastAsia="zh-CN"/>
          <w14:textFill>
            <w14:solidFill>
              <w14:schemeClr w14:val="tx1"/>
            </w14:solidFill>
          </w14:textFill>
        </w:rPr>
        <w:t>针对危险废物挥发的易燃或毒性气体，企业在罐区、</w:t>
      </w:r>
      <w:r>
        <w:rPr>
          <w:rFonts w:hint="eastAsia" w:hAnsi="Times New Roman"/>
          <w:color w:val="000000" w:themeColor="text1"/>
          <w:szCs w:val="24"/>
          <w:lang w:eastAsia="zh-CN"/>
          <w14:textFill>
            <w14:solidFill>
              <w14:schemeClr w14:val="tx1"/>
            </w14:solidFill>
          </w14:textFill>
        </w:rPr>
        <w:t>生产装置</w:t>
      </w:r>
      <w:r>
        <w:rPr>
          <w:rFonts w:hint="eastAsia" w:ascii="Times New Roman" w:hAnsi="Times New Roman"/>
          <w:color w:val="000000" w:themeColor="text1"/>
          <w:szCs w:val="24"/>
          <w:lang w:eastAsia="zh-CN"/>
          <w14:textFill>
            <w14:solidFill>
              <w14:schemeClr w14:val="tx1"/>
            </w14:solidFill>
          </w14:textFill>
        </w:rPr>
        <w:t>、污水站</w:t>
      </w:r>
      <w:r>
        <w:rPr>
          <w:rFonts w:ascii="Times New Roman" w:hAnsi="Times New Roman"/>
          <w:color w:val="000000" w:themeColor="text1"/>
          <w:szCs w:val="24"/>
          <w:lang w:eastAsia="zh-CN"/>
          <w14:textFill>
            <w14:solidFill>
              <w14:schemeClr w14:val="tx1"/>
            </w14:solidFill>
          </w14:textFill>
        </w:rPr>
        <w:t>等设置易燃、毒性气体监测报警装置。</w:t>
      </w:r>
    </w:p>
    <w:p w14:paraId="546BE647">
      <w:pPr>
        <w:pStyle w:val="124"/>
        <w:rPr>
          <w:b/>
          <w:bCs/>
          <w:color w:val="000000" w:themeColor="text1"/>
          <w:lang w:eastAsia="zh-CN"/>
          <w14:textFill>
            <w14:solidFill>
              <w14:schemeClr w14:val="tx1"/>
            </w14:solidFill>
          </w14:textFill>
        </w:rPr>
      </w:pPr>
      <w:r>
        <w:rPr>
          <w:b/>
          <w:bCs/>
          <w:color w:val="000000" w:themeColor="text1"/>
          <w:lang w:eastAsia="zh-CN"/>
          <w14:textFill>
            <w14:solidFill>
              <w14:schemeClr w14:val="tx1"/>
            </w14:solidFill>
          </w14:textFill>
        </w:rPr>
        <w:t>4、应急资源情况分析</w:t>
      </w:r>
    </w:p>
    <w:p w14:paraId="74CF3F52">
      <w:pPr>
        <w:pStyle w:val="124"/>
        <w:rPr>
          <w:color w:val="000000" w:themeColor="text1"/>
          <w:lang w:eastAsia="zh-CN"/>
          <w14:textFill>
            <w14:solidFill>
              <w14:schemeClr w14:val="tx1"/>
            </w14:solidFill>
          </w14:textFill>
        </w:rPr>
      </w:pPr>
      <w:r>
        <w:rPr>
          <w:color w:val="000000" w:themeColor="text1"/>
          <w:lang w:eastAsia="zh-CN"/>
          <w14:textFill>
            <w14:solidFill>
              <w14:schemeClr w14:val="tx1"/>
            </w14:solidFill>
          </w14:textFill>
        </w:rPr>
        <w:t>目前企业的应急资源见表3.7-1，目前应基本能满足应急的要求，还需在今后进一步的完善。</w:t>
      </w:r>
    </w:p>
    <w:p w14:paraId="7E041B96">
      <w:pPr>
        <w:pStyle w:val="7"/>
        <w:pageBreakBefore w:val="0"/>
        <w:kinsoku/>
        <w:wordWrap/>
        <w:topLinePunct w:val="0"/>
        <w:autoSpaceDE/>
        <w:autoSpaceDN/>
        <w:bidi w:val="0"/>
        <w:spacing w:before="0" w:after="0"/>
        <w:textAlignment w:val="auto"/>
        <w:rPr>
          <w:rFonts w:cs="Times New Roman"/>
          <w:color w:val="000000" w:themeColor="text1"/>
          <w14:textFill>
            <w14:solidFill>
              <w14:schemeClr w14:val="tx1"/>
            </w14:solidFill>
          </w14:textFill>
        </w:rPr>
      </w:pPr>
      <w:bookmarkStart w:id="73" w:name="_Toc127256783"/>
      <w:bookmarkStart w:id="74" w:name="_Toc24959"/>
      <w:bookmarkStart w:id="75" w:name="_Toc73285825"/>
      <w:r>
        <w:rPr>
          <w:rFonts w:hint="eastAsia" w:cs="Times New Roman"/>
          <w:color w:val="000000" w:themeColor="text1"/>
          <w:lang w:val="en-US" w:eastAsia="zh-CN"/>
          <w14:textFill>
            <w14:solidFill>
              <w14:schemeClr w14:val="tx1"/>
            </w14:solidFill>
          </w14:textFill>
        </w:rPr>
        <w:t>4.4</w:t>
      </w:r>
      <w:r>
        <w:rPr>
          <w:rFonts w:cs="Times New Roman"/>
          <w:color w:val="000000" w:themeColor="text1"/>
          <w14:textFill>
            <w14:solidFill>
              <w14:schemeClr w14:val="tx1"/>
            </w14:solidFill>
          </w14:textFill>
        </w:rPr>
        <w:t>风险事故影响后果与评价</w:t>
      </w:r>
      <w:bookmarkEnd w:id="73"/>
      <w:bookmarkEnd w:id="74"/>
      <w:bookmarkEnd w:id="75"/>
    </w:p>
    <w:p w14:paraId="7D71A366">
      <w:pPr>
        <w:pStyle w:val="8"/>
        <w:pageBreakBefore w:val="0"/>
        <w:kinsoku/>
        <w:wordWrap/>
        <w:topLinePunct w:val="0"/>
        <w:autoSpaceDE/>
        <w:autoSpaceDN/>
        <w:bidi w:val="0"/>
        <w:spacing w:before="0" w:after="0"/>
        <w:textAlignment w:val="auto"/>
        <w:rPr>
          <w:color w:val="000000" w:themeColor="text1"/>
          <w:sz w:val="24"/>
          <w:szCs w:val="24"/>
          <w14:textFill>
            <w14:solidFill>
              <w14:schemeClr w14:val="tx1"/>
            </w14:solidFill>
          </w14:textFill>
        </w:rPr>
      </w:pPr>
      <w:bookmarkStart w:id="76" w:name="_Hlk73516254"/>
      <w:r>
        <w:rPr>
          <w:rFonts w:hint="eastAsia"/>
          <w:color w:val="000000" w:themeColor="text1"/>
          <w:sz w:val="24"/>
          <w:szCs w:val="24"/>
          <w:lang w:val="en-US" w:eastAsia="zh-CN"/>
          <w14:textFill>
            <w14:solidFill>
              <w14:schemeClr w14:val="tx1"/>
            </w14:solidFill>
          </w14:textFill>
        </w:rPr>
        <w:t>4.4.1</w:t>
      </w:r>
      <w:r>
        <w:rPr>
          <w:color w:val="000000" w:themeColor="text1"/>
          <w:sz w:val="24"/>
          <w:szCs w:val="24"/>
          <w14:textFill>
            <w14:solidFill>
              <w14:schemeClr w14:val="tx1"/>
            </w14:solidFill>
          </w14:textFill>
        </w:rPr>
        <w:t>风险事故大气环境影响分析</w:t>
      </w:r>
    </w:p>
    <w:p w14:paraId="60A2771D">
      <w:pPr>
        <w:pageBreakBefore w:val="0"/>
        <w:kinsoku/>
        <w:wordWrap/>
        <w:overflowPunct w:val="0"/>
        <w:topLinePunct w:val="0"/>
        <w:autoSpaceDE/>
        <w:autoSpaceDN/>
        <w:bidi w:val="0"/>
        <w:spacing w:line="360" w:lineRule="auto"/>
        <w:ind w:firstLine="480" w:firstLineChars="200"/>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厂区可能发生的突发性</w:t>
      </w:r>
      <w:r>
        <w:rPr>
          <w:rFonts w:hint="eastAsia"/>
          <w:color w:val="000000" w:themeColor="text1"/>
          <w:sz w:val="24"/>
          <w:szCs w:val="24"/>
          <w14:textFill>
            <w14:solidFill>
              <w14:schemeClr w14:val="tx1"/>
            </w14:solidFill>
          </w14:textFill>
        </w:rPr>
        <w:t>大气</w:t>
      </w:r>
      <w:r>
        <w:rPr>
          <w:color w:val="000000" w:themeColor="text1"/>
          <w:sz w:val="24"/>
          <w:szCs w:val="24"/>
          <w14:textFill>
            <w14:solidFill>
              <w14:schemeClr w14:val="tx1"/>
            </w14:solidFill>
          </w14:textFill>
        </w:rPr>
        <w:t>污染事故主要有</w:t>
      </w:r>
      <w:r>
        <w:rPr>
          <w:rFonts w:hint="eastAsia"/>
          <w:color w:val="000000" w:themeColor="text1"/>
          <w:sz w:val="24"/>
          <w:szCs w:val="24"/>
          <w:lang w:eastAsia="zh-CN"/>
          <w14:textFill>
            <w14:solidFill>
              <w14:schemeClr w14:val="tx1"/>
            </w14:solidFill>
          </w14:textFill>
        </w:rPr>
        <w:t>甲苯</w:t>
      </w:r>
      <w:r>
        <w:rPr>
          <w:rFonts w:hint="eastAsia"/>
          <w:color w:val="000000" w:themeColor="text1"/>
          <w:sz w:val="24"/>
          <w:szCs w:val="24"/>
          <w14:textFill>
            <w14:solidFill>
              <w14:schemeClr w14:val="tx1"/>
            </w14:solidFill>
          </w14:textFill>
        </w:rPr>
        <w:t>、盐酸、</w:t>
      </w:r>
      <w:r>
        <w:rPr>
          <w:rFonts w:hint="eastAsia"/>
          <w:color w:val="000000" w:themeColor="text1"/>
          <w:sz w:val="24"/>
          <w:szCs w:val="24"/>
          <w:lang w:eastAsia="zh-CN"/>
          <w14:textFill>
            <w14:solidFill>
              <w14:schemeClr w14:val="tx1"/>
            </w14:solidFill>
          </w14:textFill>
        </w:rPr>
        <w:t>液碱</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邻氯硝基苯</w:t>
      </w:r>
      <w:r>
        <w:rPr>
          <w:rFonts w:hint="eastAsia"/>
          <w:color w:val="000000" w:themeColor="text1"/>
          <w:sz w:val="24"/>
          <w:szCs w:val="24"/>
          <w14:textFill>
            <w14:solidFill>
              <w14:schemeClr w14:val="tx1"/>
            </w14:solidFill>
          </w14:textFill>
        </w:rPr>
        <w:t>等物料泄漏挥发产生的有毒有害气体、废气处理装置故障导致</w:t>
      </w:r>
      <w:r>
        <w:rPr>
          <w:rFonts w:hint="eastAsia"/>
          <w:color w:val="000000" w:themeColor="text1"/>
          <w:sz w:val="24"/>
          <w:szCs w:val="24"/>
          <w:lang w:eastAsia="zh-CN"/>
          <w14:textFill>
            <w14:solidFill>
              <w14:schemeClr w14:val="tx1"/>
            </w14:solidFill>
          </w14:textFill>
        </w:rPr>
        <w:t>非甲烷总烃</w:t>
      </w:r>
      <w:r>
        <w:rPr>
          <w:rFonts w:hint="eastAsia"/>
          <w:color w:val="000000" w:themeColor="text1"/>
          <w:sz w:val="24"/>
          <w:szCs w:val="24"/>
          <w14:textFill>
            <w14:solidFill>
              <w14:schemeClr w14:val="tx1"/>
            </w14:solidFill>
          </w14:textFill>
        </w:rPr>
        <w:t>、氮氧化物、氯化氢等大气污染物超标排放；罐区、生产装置区等发生火灾爆炸事故后的次生、衍生有毒有害气体</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公司严格落实风险防范措施，能在火灾发生初期及时发现，及时处置，一般不会造成严重影响。</w:t>
      </w:r>
    </w:p>
    <w:p w14:paraId="793EE7A9">
      <w:pPr>
        <w:pStyle w:val="8"/>
        <w:pageBreakBefore w:val="0"/>
        <w:kinsoku/>
        <w:wordWrap/>
        <w:topLinePunct w:val="0"/>
        <w:autoSpaceDE/>
        <w:autoSpaceDN/>
        <w:bidi w:val="0"/>
        <w:spacing w:before="0" w:after="0"/>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4.4.2</w:t>
      </w:r>
      <w:r>
        <w:rPr>
          <w:color w:val="000000" w:themeColor="text1"/>
          <w:sz w:val="24"/>
          <w:szCs w:val="24"/>
          <w14:textFill>
            <w14:solidFill>
              <w14:schemeClr w14:val="tx1"/>
            </w14:solidFill>
          </w14:textFill>
        </w:rPr>
        <w:t>风险事故水环境影响分析</w:t>
      </w:r>
    </w:p>
    <w:p w14:paraId="0AD79260">
      <w:pPr>
        <w:pStyle w:val="124"/>
        <w:pageBreakBefore w:val="0"/>
        <w:kinsoku/>
        <w:wordWrap/>
        <w:topLinePunct w:val="0"/>
        <w:autoSpaceDE/>
        <w:autoSpaceDN/>
        <w:bidi w:val="0"/>
        <w:textAlignment w:val="auto"/>
        <w:rPr>
          <w:sz w:val="24"/>
          <w:szCs w:val="24"/>
          <w:lang w:eastAsia="zh-CN"/>
        </w:rPr>
      </w:pPr>
      <w:r>
        <w:rPr>
          <w:sz w:val="24"/>
          <w:szCs w:val="24"/>
          <w:lang w:eastAsia="zh-CN"/>
        </w:rPr>
        <w:t>厂区可能发生的突发性水污染事故主要有</w:t>
      </w:r>
      <w:r>
        <w:rPr>
          <w:rFonts w:hint="eastAsia"/>
          <w:sz w:val="24"/>
          <w:szCs w:val="24"/>
          <w:lang w:eastAsia="zh-CN"/>
        </w:rPr>
        <w:t>储罐、生产</w:t>
      </w:r>
      <w:r>
        <w:rPr>
          <w:sz w:val="24"/>
          <w:szCs w:val="24"/>
          <w:lang w:eastAsia="zh-CN"/>
        </w:rPr>
        <w:t>设备泄漏或事故排放，运输管线泄漏，车辆碰撞倾翻、泄漏排放等事故。事故发生后，污染物可能通过下渗、地表径流、地下径流污染周围水环境。</w:t>
      </w:r>
    </w:p>
    <w:p w14:paraId="433A215F">
      <w:pPr>
        <w:pStyle w:val="124"/>
        <w:pageBreakBefore w:val="0"/>
        <w:kinsoku/>
        <w:wordWrap/>
        <w:topLinePunct w:val="0"/>
        <w:autoSpaceDE/>
        <w:autoSpaceDN/>
        <w:bidi w:val="0"/>
        <w:textAlignment w:val="auto"/>
        <w:rPr>
          <w:rFonts w:hint="eastAsia" w:ascii="宋体" w:hAnsi="宋体" w:eastAsia="宋体" w:cs="宋体"/>
          <w:sz w:val="24"/>
          <w:szCs w:val="24"/>
          <w:lang w:eastAsia="zh-CN"/>
        </w:rPr>
      </w:pPr>
      <w:r>
        <w:rPr>
          <w:rFonts w:hint="eastAsia"/>
          <w:sz w:val="24"/>
          <w:szCs w:val="24"/>
          <w:lang w:eastAsia="zh-CN"/>
        </w:rPr>
        <w:t>储罐区、</w:t>
      </w:r>
      <w:r>
        <w:rPr>
          <w:sz w:val="24"/>
          <w:szCs w:val="24"/>
          <w:lang w:eastAsia="zh-CN"/>
        </w:rPr>
        <w:t>设备及运输管线均在</w:t>
      </w:r>
      <w:r>
        <w:rPr>
          <w:rFonts w:hint="eastAsia"/>
          <w:sz w:val="24"/>
          <w:szCs w:val="24"/>
          <w:lang w:eastAsia="zh-CN"/>
        </w:rPr>
        <w:t>厂</w:t>
      </w:r>
      <w:r>
        <w:rPr>
          <w:sz w:val="24"/>
          <w:szCs w:val="24"/>
          <w:lang w:eastAsia="zh-CN"/>
        </w:rPr>
        <w:t>区内，发生泄漏、燃烧、爆炸事故后，可通过下渗、地表径流和地下径流污染</w:t>
      </w:r>
      <w:r>
        <w:rPr>
          <w:rFonts w:hint="eastAsia"/>
          <w:sz w:val="24"/>
          <w:szCs w:val="24"/>
          <w:lang w:eastAsia="zh-CN"/>
        </w:rPr>
        <w:t>厂</w:t>
      </w:r>
      <w:r>
        <w:rPr>
          <w:sz w:val="24"/>
          <w:szCs w:val="24"/>
          <w:lang w:eastAsia="zh-CN"/>
        </w:rPr>
        <w:t>区周围地表水或地下水。车辆碰撞倾翻、泄漏排放等事故有可能发生在</w:t>
      </w:r>
      <w:r>
        <w:rPr>
          <w:rFonts w:hint="eastAsia"/>
          <w:sz w:val="24"/>
          <w:szCs w:val="24"/>
          <w:lang w:eastAsia="zh-CN"/>
        </w:rPr>
        <w:t>厂</w:t>
      </w:r>
      <w:r>
        <w:rPr>
          <w:sz w:val="24"/>
          <w:szCs w:val="24"/>
          <w:lang w:eastAsia="zh-CN"/>
        </w:rPr>
        <w:t>区内，也有可能发生在运输过程中，从而可能影响</w:t>
      </w:r>
      <w:r>
        <w:rPr>
          <w:rFonts w:hint="eastAsia" w:ascii="宋体" w:hAnsi="宋体" w:eastAsia="宋体" w:cs="宋体"/>
          <w:sz w:val="24"/>
          <w:szCs w:val="24"/>
          <w:lang w:eastAsia="zh-CN"/>
        </w:rPr>
        <w:t>事故发生点的地表水或地下水。</w:t>
      </w:r>
    </w:p>
    <w:p w14:paraId="2AD7B69D">
      <w:pPr>
        <w:pStyle w:val="124"/>
        <w:pageBreakBefore w:val="0"/>
        <w:kinsoku/>
        <w:wordWrap/>
        <w:topLinePunct w:val="0"/>
        <w:autoSpaceDE/>
        <w:autoSpaceDN/>
        <w:bidi w:val="0"/>
        <w:textAlignment w:val="auto"/>
        <w:rPr>
          <w:rFonts w:hint="eastAsia" w:ascii="宋体" w:hAnsi="宋体" w:eastAsia="宋体" w:cs="宋体"/>
          <w:lang w:eastAsia="zh-CN"/>
        </w:rPr>
      </w:pPr>
      <w:r>
        <w:rPr>
          <w:rFonts w:hint="eastAsia" w:ascii="宋体" w:hAnsi="宋体" w:eastAsia="宋体" w:cs="宋体"/>
          <w:lang w:eastAsia="zh-CN"/>
        </w:rPr>
        <w:t>（1）对地下水的风险影响分析</w:t>
      </w:r>
    </w:p>
    <w:p w14:paraId="212905B3">
      <w:pPr>
        <w:pStyle w:val="124"/>
        <w:rPr>
          <w:rFonts w:hint="eastAsia" w:ascii="宋体" w:hAnsi="宋体" w:eastAsia="宋体" w:cs="宋体"/>
          <w:lang w:eastAsia="zh-CN"/>
        </w:rPr>
      </w:pPr>
      <w:r>
        <w:rPr>
          <w:rFonts w:hint="eastAsia" w:ascii="宋体" w:hAnsi="宋体" w:eastAsia="宋体" w:cs="宋体"/>
          <w:lang w:eastAsia="zh-CN"/>
        </w:rPr>
        <w:t>装置区、仓库、</w:t>
      </w:r>
      <w:r>
        <w:rPr>
          <w:rFonts w:hint="eastAsia" w:ascii="宋体" w:hAnsi="宋体" w:cs="宋体"/>
          <w:lang w:eastAsia="zh-CN"/>
        </w:rPr>
        <w:t>危废库、</w:t>
      </w:r>
      <w:r>
        <w:rPr>
          <w:rFonts w:hint="eastAsia" w:ascii="宋体" w:hAnsi="宋体" w:eastAsia="宋体" w:cs="宋体"/>
          <w:lang w:eastAsia="zh-CN"/>
        </w:rPr>
        <w:t>罐区等地均采取了严格的硬化防渗处理，厂区设置了完善的事故废水导排系统，建设有事故应急池，泄漏的化学品及灭火时产生的废水可完全被收集处理，不会通过渗透和地表径流污染地下水。</w:t>
      </w:r>
    </w:p>
    <w:p w14:paraId="6F5BC4E0">
      <w:pPr>
        <w:pStyle w:val="124"/>
        <w:rPr>
          <w:rFonts w:hint="eastAsia" w:ascii="宋体" w:hAnsi="宋体" w:eastAsia="宋体" w:cs="宋体"/>
          <w:lang w:eastAsia="zh-CN"/>
        </w:rPr>
      </w:pPr>
      <w:r>
        <w:rPr>
          <w:rFonts w:hint="eastAsia" w:ascii="宋体" w:hAnsi="宋体" w:eastAsia="宋体" w:cs="宋体"/>
          <w:lang w:eastAsia="zh-CN"/>
        </w:rPr>
        <w:t>（2）对地表水的风险影响分析</w:t>
      </w:r>
    </w:p>
    <w:p w14:paraId="315E77C1">
      <w:pPr>
        <w:pStyle w:val="124"/>
        <w:pageBreakBefore w:val="0"/>
        <w:kinsoku/>
        <w:wordWrap/>
        <w:overflowPunct/>
        <w:topLinePunct w:val="0"/>
        <w:autoSpaceDE/>
        <w:autoSpaceDN/>
        <w:bidi w:val="0"/>
        <w:textAlignment w:val="auto"/>
        <w:rPr>
          <w:lang w:eastAsia="zh-CN"/>
        </w:rPr>
      </w:pPr>
      <w:r>
        <w:rPr>
          <w:rFonts w:hint="eastAsia" w:ascii="宋体" w:hAnsi="宋体" w:eastAsia="宋体" w:cs="宋体"/>
          <w:lang w:eastAsia="zh-CN"/>
        </w:rPr>
        <w:t>公司严格采取了分区防渗防治措施，废水经过应急池收集后，统一通过厂内污水处理设施处理达标后排入齐鲁石化供排水厂深度处理，从而使污废水不直接排入地表水环境，因此如厂区发生泄露事故，污染物基本不会对周围河流造成污染。</w:t>
      </w:r>
    </w:p>
    <w:p w14:paraId="37CF8298">
      <w:pPr>
        <w:pStyle w:val="8"/>
        <w:pageBreakBefore w:val="0"/>
        <w:kinsoku/>
        <w:wordWrap/>
        <w:overflowPunct/>
        <w:topLinePunct w:val="0"/>
        <w:autoSpaceDE/>
        <w:autoSpaceDN/>
        <w:bidi w:val="0"/>
        <w:spacing w:before="0" w:after="0"/>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4.4.3</w:t>
      </w:r>
      <w:r>
        <w:rPr>
          <w:rFonts w:hint="eastAsia"/>
          <w:color w:val="000000" w:themeColor="text1"/>
          <w:sz w:val="24"/>
          <w:szCs w:val="24"/>
          <w14:textFill>
            <w14:solidFill>
              <w14:schemeClr w14:val="tx1"/>
            </w14:solidFill>
          </w14:textFill>
        </w:rPr>
        <w:t>次生消防等废水对水环境和土壤环境风险影响分析</w:t>
      </w:r>
    </w:p>
    <w:p w14:paraId="1D67C3F0">
      <w:pPr>
        <w:pStyle w:val="124"/>
        <w:pageBreakBefore w:val="0"/>
        <w:kinsoku/>
        <w:wordWrap/>
        <w:overflowPunct/>
        <w:topLinePunct w:val="0"/>
        <w:autoSpaceDE/>
        <w:autoSpaceDN/>
        <w:bidi w:val="0"/>
        <w:textAlignment w:val="auto"/>
        <w:rPr>
          <w:lang w:eastAsia="zh-CN"/>
        </w:rPr>
      </w:pPr>
      <w:r>
        <w:rPr>
          <w:rFonts w:hint="eastAsia"/>
          <w:color w:val="000000" w:themeColor="text1"/>
          <w:lang w:eastAsia="zh-CN"/>
          <w14:textFill>
            <w14:solidFill>
              <w14:schemeClr w14:val="tx1"/>
            </w14:solidFill>
          </w14:textFill>
        </w:rPr>
        <w:t>事故次生消防等废水经厂区污水处理站处理后外排齐鲁石化供排水厂深度深度处理。一旦事故发生未得到及时控制，导致泄漏</w:t>
      </w:r>
      <w:r>
        <w:rPr>
          <w:rFonts w:hint="eastAsia"/>
          <w:lang w:eastAsia="zh-CN"/>
        </w:rPr>
        <w:t>物料和污水进入齐鲁石化供排水厂深度，对其造成冲击影响。必须采取措施杜绝此类事故发生。车间、危废暂存间、事故水池、污水处理站等均采取防渗防腐处理，避免了各类废水对地下水的污染。罐区设围堰，将事故时产生的物料和消防废水收集，用泵通过管道打入事故应急池，可以避免事故时泄漏物料和未经处理的消防废水直接排放。采取以上措施后，可以防止对土壤、地表水、地下水的污染影响。</w:t>
      </w:r>
    </w:p>
    <w:p w14:paraId="28E1735B">
      <w:pPr>
        <w:pStyle w:val="8"/>
        <w:rPr>
          <w:sz w:val="24"/>
          <w:szCs w:val="24"/>
        </w:rPr>
      </w:pPr>
      <w:r>
        <w:rPr>
          <w:rFonts w:hint="eastAsia"/>
          <w:sz w:val="24"/>
          <w:szCs w:val="24"/>
          <w:lang w:val="en-US" w:eastAsia="zh-CN"/>
        </w:rPr>
        <w:t>4.4.4</w:t>
      </w:r>
      <w:r>
        <w:rPr>
          <w:rFonts w:hint="eastAsia"/>
          <w:sz w:val="24"/>
          <w:szCs w:val="24"/>
        </w:rPr>
        <w:t>运输过程中风险影响分析</w:t>
      </w:r>
    </w:p>
    <w:p w14:paraId="0706C4C7">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sz w:val="24"/>
          <w:szCs w:val="24"/>
        </w:rPr>
      </w:pPr>
      <w:r>
        <w:rPr>
          <w:sz w:val="24"/>
          <w:szCs w:val="24"/>
        </w:rPr>
        <w:t>化工产品其火灾危险性各不相同，有爆炸物品、易燃和可燃液体、可燃和助燃气体、自燃物质及遇</w:t>
      </w:r>
      <w:r>
        <w:rPr>
          <w:rFonts w:hint="eastAsia"/>
          <w:sz w:val="24"/>
          <w:szCs w:val="24"/>
          <w:lang w:eastAsia="zh-CN"/>
        </w:rPr>
        <w:t>火</w:t>
      </w:r>
      <w:r>
        <w:rPr>
          <w:sz w:val="24"/>
          <w:szCs w:val="24"/>
        </w:rPr>
        <w:t>燃烧、酸碱腐蚀物质等。有些相互接触会引起化学反应或撞击、磨擦会发生火灾事故。当发生火灾时，对不同的产品使用的灭火剂和灭火方法不尽相同。因此运输化工产品必须严格遵照规定的配装原则。</w:t>
      </w:r>
    </w:p>
    <w:p w14:paraId="757C6CE3">
      <w:pPr>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公司</w:t>
      </w:r>
      <w:r>
        <w:rPr>
          <w:sz w:val="24"/>
          <w:szCs w:val="24"/>
        </w:rPr>
        <w:t>物料的运输主要以公路运输为主。危险化学品的运输由具有危险化学品运输资质的运输单位承担运输，均采用专用车辆，按照物料的不同化学性质采用适当的装运措施。一般情况下，在运输途中不会产生物料的散落或泄漏，不会对沿途环境造成不利影响。但由于运输频繁，路线复杂，发生交通事故从而引起危险物料外泄的可能性是存在的。运输的风险特征列于</w:t>
      </w:r>
      <w:r>
        <w:rPr>
          <w:rFonts w:hint="eastAsia"/>
          <w:sz w:val="24"/>
          <w:szCs w:val="24"/>
        </w:rPr>
        <w:t>下</w:t>
      </w:r>
      <w:r>
        <w:rPr>
          <w:sz w:val="24"/>
          <w:szCs w:val="24"/>
        </w:rPr>
        <w:t>表。</w:t>
      </w:r>
    </w:p>
    <w:p w14:paraId="6334562C">
      <w:pPr>
        <w:pStyle w:val="128"/>
        <w:spacing w:before="72" w:after="48"/>
        <w:jc w:val="both"/>
      </w:pPr>
    </w:p>
    <w:p w14:paraId="732F4A54">
      <w:pPr>
        <w:pStyle w:val="128"/>
        <w:spacing w:before="72" w:after="48"/>
      </w:pPr>
      <w:r>
        <w:rPr>
          <w:rFonts w:hint="eastAsia"/>
        </w:rPr>
        <w:t>运输的风险特征</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101"/>
        <w:gridCol w:w="1275"/>
        <w:gridCol w:w="3996"/>
        <w:gridCol w:w="3256"/>
      </w:tblGrid>
      <w:tr w14:paraId="3F4AF2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72" w:type="pct"/>
            <w:vAlign w:val="center"/>
          </w:tcPr>
          <w:p w14:paraId="6D820CE3">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运输方式</w:t>
            </w:r>
          </w:p>
        </w:tc>
        <w:tc>
          <w:tcPr>
            <w:tcW w:w="662" w:type="pct"/>
            <w:vAlign w:val="center"/>
          </w:tcPr>
          <w:p w14:paraId="6385C60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风险类型</w:t>
            </w:r>
          </w:p>
        </w:tc>
        <w:tc>
          <w:tcPr>
            <w:tcW w:w="2075" w:type="pct"/>
            <w:vAlign w:val="center"/>
          </w:tcPr>
          <w:p w14:paraId="00E6F953">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危害</w:t>
            </w:r>
          </w:p>
        </w:tc>
        <w:tc>
          <w:tcPr>
            <w:tcW w:w="1691" w:type="pct"/>
            <w:vAlign w:val="center"/>
          </w:tcPr>
          <w:p w14:paraId="74B89F68">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原因简析</w:t>
            </w:r>
          </w:p>
        </w:tc>
      </w:tr>
      <w:tr w14:paraId="20A6D5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72" w:type="pct"/>
            <w:vMerge w:val="restart"/>
            <w:vAlign w:val="center"/>
          </w:tcPr>
          <w:p w14:paraId="1386752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公路运输</w:t>
            </w:r>
          </w:p>
        </w:tc>
        <w:tc>
          <w:tcPr>
            <w:tcW w:w="662" w:type="pct"/>
            <w:vAlign w:val="center"/>
          </w:tcPr>
          <w:p w14:paraId="06EC295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泄露</w:t>
            </w:r>
          </w:p>
        </w:tc>
        <w:tc>
          <w:tcPr>
            <w:tcW w:w="2075" w:type="pct"/>
            <w:vAlign w:val="center"/>
          </w:tcPr>
          <w:p w14:paraId="5F21D77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污染陆域</w:t>
            </w:r>
            <w:r>
              <w:rPr>
                <w:rFonts w:hint="eastAsia"/>
                <w:color w:val="auto"/>
              </w:rPr>
              <w:t>；</w:t>
            </w:r>
            <w:r>
              <w:rPr>
                <w:rFonts w:hint="default"/>
                <w:color w:val="auto"/>
              </w:rPr>
              <w:t>污染地表水</w:t>
            </w:r>
            <w:r>
              <w:rPr>
                <w:rFonts w:hint="eastAsia"/>
                <w:color w:val="auto"/>
              </w:rPr>
              <w:t>；</w:t>
            </w:r>
            <w:r>
              <w:rPr>
                <w:rFonts w:hint="default"/>
                <w:color w:val="auto"/>
              </w:rPr>
              <w:t>火灾、爆炸</w:t>
            </w:r>
          </w:p>
        </w:tc>
        <w:tc>
          <w:tcPr>
            <w:tcW w:w="1691" w:type="pct"/>
            <w:vAlign w:val="center"/>
          </w:tcPr>
          <w:p w14:paraId="6BF673B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碰撞、翻车</w:t>
            </w:r>
            <w:r>
              <w:rPr>
                <w:rFonts w:hint="eastAsia"/>
                <w:color w:val="auto"/>
              </w:rPr>
              <w:t>；</w:t>
            </w:r>
            <w:r>
              <w:rPr>
                <w:rFonts w:hint="default"/>
                <w:color w:val="auto"/>
              </w:rPr>
              <w:t>装卸设备故障</w:t>
            </w:r>
            <w:r>
              <w:rPr>
                <w:rFonts w:hint="eastAsia"/>
                <w:color w:val="auto"/>
              </w:rPr>
              <w:t>；</w:t>
            </w:r>
            <w:r>
              <w:rPr>
                <w:rFonts w:hint="default"/>
                <w:color w:val="auto"/>
              </w:rPr>
              <w:t>误操作</w:t>
            </w:r>
          </w:p>
        </w:tc>
      </w:tr>
      <w:tr w14:paraId="069807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72" w:type="pct"/>
            <w:vMerge w:val="continue"/>
            <w:vAlign w:val="center"/>
          </w:tcPr>
          <w:p w14:paraId="67DFCE99">
            <w:pPr>
              <w:pStyle w:val="127"/>
              <w:keepNext w:val="0"/>
              <w:keepLines w:val="0"/>
              <w:widowControl/>
              <w:suppressLineNumbers w:val="0"/>
              <w:spacing w:before="0" w:beforeAutospacing="0" w:after="0" w:afterAutospacing="0"/>
              <w:ind w:left="0" w:right="0"/>
              <w:rPr>
                <w:rFonts w:hint="default"/>
                <w:color w:val="auto"/>
              </w:rPr>
            </w:pPr>
          </w:p>
        </w:tc>
        <w:tc>
          <w:tcPr>
            <w:tcW w:w="662" w:type="pct"/>
            <w:vAlign w:val="center"/>
          </w:tcPr>
          <w:p w14:paraId="0BEB799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火灾爆炸</w:t>
            </w:r>
          </w:p>
        </w:tc>
        <w:tc>
          <w:tcPr>
            <w:tcW w:w="2075" w:type="pct"/>
            <w:vAlign w:val="center"/>
          </w:tcPr>
          <w:p w14:paraId="7B8FCE52">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财产损失</w:t>
            </w:r>
            <w:r>
              <w:rPr>
                <w:rFonts w:hint="eastAsia"/>
                <w:color w:val="auto"/>
              </w:rPr>
              <w:t>；</w:t>
            </w:r>
            <w:r>
              <w:rPr>
                <w:rFonts w:hint="default"/>
                <w:color w:val="auto"/>
              </w:rPr>
              <w:t>人员伤亡</w:t>
            </w:r>
            <w:r>
              <w:rPr>
                <w:rFonts w:hint="eastAsia"/>
                <w:color w:val="auto"/>
              </w:rPr>
              <w:t>；</w:t>
            </w:r>
            <w:r>
              <w:rPr>
                <w:rFonts w:hint="default"/>
                <w:color w:val="auto"/>
              </w:rPr>
              <w:t>污染环境</w:t>
            </w:r>
          </w:p>
        </w:tc>
        <w:tc>
          <w:tcPr>
            <w:tcW w:w="1691" w:type="pct"/>
            <w:vAlign w:val="center"/>
          </w:tcPr>
          <w:p w14:paraId="1A1D61F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燃料泄漏</w:t>
            </w:r>
            <w:r>
              <w:rPr>
                <w:rFonts w:hint="eastAsia"/>
                <w:color w:val="auto"/>
              </w:rPr>
              <w:t>；</w:t>
            </w:r>
            <w:r>
              <w:rPr>
                <w:rFonts w:hint="default"/>
                <w:color w:val="auto"/>
              </w:rPr>
              <w:t>存在机械、高温、电气、化学火源</w:t>
            </w:r>
          </w:p>
        </w:tc>
      </w:tr>
    </w:tbl>
    <w:p w14:paraId="0217CD04">
      <w:pPr>
        <w:pStyle w:val="124"/>
        <w:keepNext w:val="0"/>
        <w:keepLines w:val="0"/>
        <w:pageBreakBefore w:val="0"/>
        <w:widowControl/>
        <w:kinsoku/>
        <w:wordWrap/>
        <w:overflowPunct/>
        <w:topLinePunct w:val="0"/>
        <w:autoSpaceDE/>
        <w:autoSpaceDN/>
        <w:bidi w:val="0"/>
        <w:adjustRightInd/>
        <w:snapToGrid/>
        <w:ind w:firstLine="482"/>
        <w:textAlignment w:val="auto"/>
        <w:outlineLvl w:val="9"/>
        <w:rPr>
          <w:lang w:eastAsia="zh-CN"/>
        </w:rPr>
      </w:pPr>
      <w:r>
        <w:rPr>
          <w:lang w:eastAsia="zh-CN"/>
        </w:rPr>
        <w:t>交通事故引发的环境污染属于突发环境污染事故，其没有固定的排放方式和排放途径，事故发生的时间、地点、环境具有很大的不确定性，发生突然，在瞬时或短时间内大量的排出污染物质，易对环境造成污染。</w:t>
      </w:r>
    </w:p>
    <w:p w14:paraId="5D4DF89D">
      <w:pPr>
        <w:pStyle w:val="8"/>
        <w:keepNext/>
        <w:keepLines/>
        <w:pageBreakBefore w:val="0"/>
        <w:widowControl w:val="0"/>
        <w:kinsoku/>
        <w:wordWrap/>
        <w:overflowPunct/>
        <w:topLinePunct w:val="0"/>
        <w:autoSpaceDE/>
        <w:autoSpaceDN/>
        <w:bidi w:val="0"/>
        <w:adjustRightInd w:val="0"/>
        <w:snapToGrid w:val="0"/>
        <w:spacing w:before="0" w:after="0"/>
        <w:textAlignment w:val="auto"/>
        <w:outlineLvl w:val="2"/>
        <w:rPr>
          <w:sz w:val="24"/>
          <w:szCs w:val="24"/>
        </w:rPr>
      </w:pPr>
      <w:r>
        <w:rPr>
          <w:rFonts w:hint="eastAsia"/>
          <w:sz w:val="24"/>
          <w:szCs w:val="24"/>
          <w:lang w:val="en-US" w:eastAsia="zh-CN"/>
        </w:rPr>
        <w:t>4.4.5</w:t>
      </w:r>
      <w:r>
        <w:rPr>
          <w:sz w:val="24"/>
          <w:szCs w:val="24"/>
        </w:rPr>
        <w:t>事故连锁效应和事故重叠引发继发事故的可能性及后果</w:t>
      </w:r>
    </w:p>
    <w:p w14:paraId="17E7111F">
      <w:pPr>
        <w:pStyle w:val="124"/>
        <w:keepNext w:val="0"/>
        <w:keepLines w:val="0"/>
        <w:pageBreakBefore w:val="0"/>
        <w:widowControl/>
        <w:kinsoku/>
        <w:wordWrap/>
        <w:overflowPunct/>
        <w:topLinePunct w:val="0"/>
        <w:autoSpaceDE/>
        <w:autoSpaceDN/>
        <w:bidi w:val="0"/>
        <w:adjustRightInd/>
        <w:snapToGrid/>
        <w:ind w:firstLine="482"/>
        <w:textAlignment w:val="auto"/>
        <w:outlineLvl w:val="9"/>
        <w:rPr>
          <w:lang w:eastAsia="zh-CN"/>
        </w:rPr>
      </w:pPr>
      <w:r>
        <w:rPr>
          <w:lang w:eastAsia="zh-CN"/>
        </w:rPr>
        <w:t>事故的连锁效应事故指突发性的事故引起上、下游连锁性的事故。</w:t>
      </w:r>
    </w:p>
    <w:p w14:paraId="04321CB8">
      <w:pPr>
        <w:pStyle w:val="124"/>
        <w:pageBreakBefore w:val="0"/>
        <w:kinsoku/>
        <w:wordWrap/>
        <w:overflowPunct/>
        <w:topLinePunct w:val="0"/>
        <w:autoSpaceDE/>
        <w:autoSpaceDN/>
        <w:bidi w:val="0"/>
        <w:textAlignment w:val="auto"/>
        <w:rPr>
          <w:lang w:eastAsia="zh-CN"/>
        </w:rPr>
      </w:pPr>
      <w:r>
        <w:rPr>
          <w:lang w:eastAsia="zh-CN"/>
        </w:rPr>
        <w:t>重叠引发事故指一个事故因求援不及时或措施不力，引发其它事故的重叠发生，如1个储桶着火，救火不及时或周围桶的降温阻火措施不力，其它桶将会发生多米诺效应，相继着火爆炸，事故状态失控。</w:t>
      </w:r>
    </w:p>
    <w:p w14:paraId="1FC101AF">
      <w:pPr>
        <w:pStyle w:val="124"/>
        <w:rPr>
          <w:rFonts w:hint="eastAsia" w:ascii="宋体" w:hAnsi="宋体" w:eastAsia="宋体" w:cs="宋体"/>
          <w:lang w:eastAsia="zh-CN"/>
        </w:rPr>
      </w:pPr>
      <w:r>
        <w:rPr>
          <w:rFonts w:hint="eastAsia" w:ascii="宋体" w:hAnsi="宋体" w:eastAsia="宋体" w:cs="宋体"/>
          <w:lang w:eastAsia="zh-CN"/>
        </w:rPr>
        <w:t>建设单位对相关装置的安全防火距离、消防设施设置符合相关设计规范可保证紧急状态下的消防要求。</w:t>
      </w:r>
      <w:bookmarkStart w:id="77" w:name="_Hlk126844369"/>
      <w:r>
        <w:rPr>
          <w:rFonts w:hint="eastAsia" w:ascii="宋体" w:hAnsi="宋体" w:eastAsia="宋体" w:cs="宋体"/>
          <w:lang w:eastAsia="zh-CN"/>
        </w:rPr>
        <w:t>生产车间安装DCS系统</w:t>
      </w:r>
      <w:bookmarkEnd w:id="77"/>
      <w:r>
        <w:rPr>
          <w:rFonts w:hint="eastAsia" w:ascii="宋体" w:hAnsi="宋体" w:eastAsia="宋体" w:cs="宋体"/>
          <w:lang w:eastAsia="zh-CN"/>
        </w:rPr>
        <w:t>，可确保事故状态下设备和物料的安全，并设有应急救援系统，使风险事故可以及时得到控制，避免事态恶性发展。</w:t>
      </w:r>
    </w:p>
    <w:p w14:paraId="7366CD22">
      <w:pPr>
        <w:pStyle w:val="124"/>
        <w:rPr>
          <w:rFonts w:hint="eastAsia" w:ascii="宋体" w:hAnsi="宋体" w:eastAsia="宋体" w:cs="宋体"/>
          <w:lang w:eastAsia="zh-CN"/>
        </w:rPr>
      </w:pPr>
      <w:r>
        <w:rPr>
          <w:rFonts w:hint="eastAsia" w:ascii="宋体" w:hAnsi="宋体" w:eastAsia="宋体" w:cs="宋体"/>
          <w:lang w:eastAsia="zh-CN"/>
        </w:rPr>
        <w:t>为防止和减少连锁效应的发生，企业还制定较为可靠的应急预案，一旦发生事故要及时反应、迅速出警、迅速完成事故的安全处置，同时根据功能分区布置，各功能区之间设环形通道，并与区域道路相连，有利于安全疏散和消防。</w:t>
      </w:r>
    </w:p>
    <w:bookmarkEnd w:id="76"/>
    <w:p w14:paraId="01AB3004">
      <w:pPr>
        <w:pStyle w:val="6"/>
        <w:pageBreakBefore w:val="0"/>
        <w:kinsoku/>
        <w:wordWrap/>
        <w:overflowPunct/>
        <w:topLinePunct w:val="0"/>
        <w:autoSpaceDE/>
        <w:autoSpaceDN/>
        <w:bidi w:val="0"/>
        <w:spacing w:beforeLines="0" w:afterLines="0"/>
        <w:textAlignment w:val="auto"/>
        <w:rPr>
          <w:rFonts w:ascii="Times New Roman" w:hAnsi="Times New Roman" w:cs="Times New Roman"/>
        </w:rPr>
      </w:pPr>
      <w:bookmarkStart w:id="78" w:name="_Toc73285826"/>
      <w:bookmarkStart w:id="79" w:name="_Toc127256784"/>
      <w:bookmarkStart w:id="80" w:name="_Toc19724"/>
      <w:r>
        <w:rPr>
          <w:rFonts w:hint="eastAsia" w:ascii="Times New Roman" w:hAnsi="Times New Roman" w:cs="Times New Roman"/>
          <w:lang w:val="en-US" w:eastAsia="zh-CN"/>
        </w:rPr>
        <w:t>5</w:t>
      </w:r>
      <w:r>
        <w:rPr>
          <w:rFonts w:ascii="Times New Roman" w:hAnsi="Times New Roman" w:cs="Times New Roman"/>
        </w:rPr>
        <w:t>现有环境风险</w:t>
      </w:r>
      <w:r>
        <w:rPr>
          <w:rFonts w:hint="eastAsia" w:ascii="Times New Roman" w:hAnsi="Times New Roman" w:cs="Times New Roman"/>
        </w:rPr>
        <w:t>防</w:t>
      </w:r>
      <w:r>
        <w:rPr>
          <w:rFonts w:ascii="Times New Roman" w:hAnsi="Times New Roman" w:cs="Times New Roman"/>
        </w:rPr>
        <w:t>控和应急措施差距分析</w:t>
      </w:r>
      <w:bookmarkEnd w:id="78"/>
      <w:bookmarkEnd w:id="79"/>
      <w:bookmarkEnd w:id="80"/>
    </w:p>
    <w:p w14:paraId="4DF57798">
      <w:pPr>
        <w:pStyle w:val="7"/>
        <w:pageBreakBefore w:val="0"/>
        <w:kinsoku/>
        <w:wordWrap/>
        <w:overflowPunct/>
        <w:topLinePunct w:val="0"/>
        <w:autoSpaceDE/>
        <w:autoSpaceDN/>
        <w:bidi w:val="0"/>
        <w:spacing w:before="0" w:after="0"/>
        <w:textAlignment w:val="auto"/>
        <w:rPr>
          <w:rFonts w:cs="Times New Roman"/>
        </w:rPr>
      </w:pPr>
      <w:bookmarkStart w:id="81" w:name="_Toc73285827"/>
      <w:bookmarkStart w:id="82" w:name="_Toc127256785"/>
      <w:bookmarkStart w:id="83" w:name="_Toc31527"/>
      <w:r>
        <w:rPr>
          <w:rFonts w:hint="eastAsia" w:cs="Times New Roman"/>
          <w:lang w:val="en-US" w:eastAsia="zh-CN"/>
        </w:rPr>
        <w:t>5.1</w:t>
      </w:r>
      <w:r>
        <w:rPr>
          <w:rFonts w:cs="Times New Roman"/>
        </w:rPr>
        <w:t>环境风险管理制度</w:t>
      </w:r>
      <w:bookmarkEnd w:id="81"/>
      <w:bookmarkEnd w:id="82"/>
      <w:bookmarkEnd w:id="83"/>
    </w:p>
    <w:p w14:paraId="406BCB53">
      <w:pPr>
        <w:pStyle w:val="8"/>
        <w:pageBreakBefore w:val="0"/>
        <w:kinsoku/>
        <w:wordWrap/>
        <w:overflowPunct/>
        <w:topLinePunct w:val="0"/>
        <w:autoSpaceDE/>
        <w:autoSpaceDN/>
        <w:bidi w:val="0"/>
        <w:spacing w:before="0" w:after="0"/>
        <w:textAlignment w:val="auto"/>
        <w:rPr>
          <w:sz w:val="24"/>
          <w:szCs w:val="24"/>
        </w:rPr>
      </w:pPr>
      <w:bookmarkStart w:id="84" w:name="_Hlk95225311"/>
      <w:r>
        <w:rPr>
          <w:rFonts w:hint="eastAsia"/>
          <w:sz w:val="24"/>
          <w:szCs w:val="24"/>
          <w:lang w:val="en-US" w:eastAsia="zh-CN"/>
        </w:rPr>
        <w:t>5.1.1</w:t>
      </w:r>
      <w:r>
        <w:rPr>
          <w:rFonts w:hint="eastAsia"/>
          <w:sz w:val="24"/>
          <w:szCs w:val="24"/>
        </w:rPr>
        <w:t>环境风险防控和应急措施制度建设情况</w:t>
      </w:r>
    </w:p>
    <w:bookmarkEnd w:id="84"/>
    <w:p w14:paraId="5F006BDE">
      <w:pPr>
        <w:pStyle w:val="124"/>
        <w:pageBreakBefore w:val="0"/>
        <w:kinsoku/>
        <w:wordWrap/>
        <w:overflowPunct/>
        <w:topLinePunct w:val="0"/>
        <w:autoSpaceDE/>
        <w:autoSpaceDN/>
        <w:bidi w:val="0"/>
        <w:textAlignment w:val="auto"/>
        <w:rPr>
          <w:lang w:eastAsia="zh-CN"/>
        </w:rPr>
      </w:pPr>
      <w:r>
        <w:rPr>
          <w:lang w:eastAsia="zh-CN"/>
        </w:rPr>
        <w:t>（1）公司针对厂内环境风险单元编制了《突发环境事件应急预案》，建立了环境风险防控和应急措施制度，明确了环境风险防控重点岗位的责任机构。</w:t>
      </w:r>
      <w:r>
        <w:rPr>
          <w:rFonts w:hint="eastAsia"/>
          <w:lang w:eastAsia="zh-CN"/>
        </w:rPr>
        <w:t>但制度需要进一步完善</w:t>
      </w:r>
      <w:r>
        <w:rPr>
          <w:lang w:eastAsia="zh-CN"/>
        </w:rPr>
        <w:t>。</w:t>
      </w:r>
    </w:p>
    <w:p w14:paraId="609A6352">
      <w:pPr>
        <w:pStyle w:val="124"/>
        <w:pageBreakBefore w:val="0"/>
        <w:kinsoku/>
        <w:wordWrap/>
        <w:overflowPunct/>
        <w:topLinePunct w:val="0"/>
        <w:autoSpaceDE/>
        <w:autoSpaceDN/>
        <w:bidi w:val="0"/>
        <w:textAlignment w:val="auto"/>
        <w:rPr>
          <w:lang w:eastAsia="zh-CN"/>
        </w:rPr>
      </w:pPr>
      <w:r>
        <w:rPr>
          <w:lang w:eastAsia="zh-CN"/>
        </w:rPr>
        <w:t>（2）</w:t>
      </w:r>
      <w:r>
        <w:rPr>
          <w:rFonts w:hint="eastAsia"/>
          <w:lang w:eastAsia="zh-CN"/>
        </w:rPr>
        <w:t>应进一步明确环保责任人或责任机构，严格落实定期巡检和维护责任制度，加强环境安全的管控。</w:t>
      </w:r>
    </w:p>
    <w:p w14:paraId="1F77DF41">
      <w:pPr>
        <w:pStyle w:val="124"/>
        <w:rPr>
          <w:lang w:eastAsia="zh-CN"/>
        </w:rPr>
      </w:pPr>
      <w:r>
        <w:rPr>
          <w:lang w:eastAsia="zh-CN"/>
        </w:rPr>
        <w:t>（3）在厂区内张贴应急救援机构和人员、风险物质危险特性、急救措施、风险事故内部疏散路线等标识牌。</w:t>
      </w:r>
    </w:p>
    <w:p w14:paraId="35B2A4B8">
      <w:pPr>
        <w:pStyle w:val="124"/>
        <w:rPr>
          <w:lang w:eastAsia="zh-CN"/>
        </w:rPr>
      </w:pPr>
      <w:r>
        <w:rPr>
          <w:lang w:eastAsia="zh-CN"/>
        </w:rPr>
        <w:t>（</w:t>
      </w:r>
      <w:r>
        <w:rPr>
          <w:rFonts w:hint="eastAsia"/>
          <w:lang w:eastAsia="zh-CN"/>
        </w:rPr>
        <w:t>4</w:t>
      </w:r>
      <w:r>
        <w:rPr>
          <w:lang w:eastAsia="zh-CN"/>
        </w:rPr>
        <w:t>）</w:t>
      </w:r>
      <w:r>
        <w:rPr>
          <w:rFonts w:hint="eastAsia"/>
          <w:lang w:eastAsia="zh-CN"/>
        </w:rPr>
        <w:t>本公司环评及批复文件的各项环境风险防控和应急措施已按要求进行了落实。</w:t>
      </w:r>
    </w:p>
    <w:p w14:paraId="2D0AFE9D">
      <w:pPr>
        <w:pStyle w:val="124"/>
        <w:rPr>
          <w:lang w:eastAsia="zh-CN"/>
        </w:rPr>
      </w:pPr>
      <w:r>
        <w:rPr>
          <w:lang w:eastAsia="zh-CN"/>
        </w:rPr>
        <w:t>（</w:t>
      </w:r>
      <w:r>
        <w:rPr>
          <w:rFonts w:hint="eastAsia"/>
          <w:lang w:eastAsia="zh-CN"/>
        </w:rPr>
        <w:t>5</w:t>
      </w:r>
      <w:r>
        <w:rPr>
          <w:lang w:eastAsia="zh-CN"/>
        </w:rPr>
        <w:t>）</w:t>
      </w:r>
      <w:r>
        <w:rPr>
          <w:rFonts w:hint="eastAsia"/>
          <w:lang w:eastAsia="zh-CN"/>
        </w:rPr>
        <w:t>企业建立了突发环境事件信息报告制度，应严格执行</w:t>
      </w:r>
    </w:p>
    <w:p w14:paraId="2B421651">
      <w:pPr>
        <w:keepNext/>
        <w:keepLines/>
        <w:pageBreakBefore w:val="0"/>
        <w:widowControl w:val="0"/>
        <w:kinsoku/>
        <w:wordWrap/>
        <w:overflowPunct/>
        <w:topLinePunct w:val="0"/>
        <w:autoSpaceDE/>
        <w:autoSpaceDN/>
        <w:bidi w:val="0"/>
        <w:adjustRightInd w:val="0"/>
        <w:snapToGrid w:val="0"/>
        <w:spacing w:line="360" w:lineRule="auto"/>
        <w:textAlignment w:val="auto"/>
        <w:outlineLvl w:val="2"/>
        <w:rPr>
          <w:b/>
          <w:bCs/>
          <w:sz w:val="24"/>
          <w:szCs w:val="24"/>
        </w:rPr>
      </w:pPr>
      <w:r>
        <w:rPr>
          <w:rFonts w:hint="eastAsia"/>
          <w:b/>
          <w:bCs/>
          <w:sz w:val="24"/>
          <w:szCs w:val="24"/>
          <w:lang w:val="en-US" w:eastAsia="zh-CN"/>
        </w:rPr>
        <w:t>5.1.2</w:t>
      </w:r>
      <w:r>
        <w:rPr>
          <w:rFonts w:hint="eastAsia"/>
          <w:b/>
          <w:bCs/>
          <w:sz w:val="24"/>
          <w:szCs w:val="24"/>
        </w:rPr>
        <w:t>职工环境风险和应急管理的宣传与培训</w:t>
      </w:r>
    </w:p>
    <w:p w14:paraId="0B064E7E">
      <w:pPr>
        <w:pStyle w:val="124"/>
        <w:pageBreakBefore w:val="0"/>
        <w:kinsoku/>
        <w:wordWrap/>
        <w:overflowPunct/>
        <w:topLinePunct w:val="0"/>
        <w:autoSpaceDE/>
        <w:autoSpaceDN/>
        <w:bidi w:val="0"/>
        <w:spacing w:line="360" w:lineRule="auto"/>
        <w:textAlignment w:val="auto"/>
        <w:rPr>
          <w:lang w:eastAsia="zh-CN"/>
        </w:rPr>
      </w:pPr>
      <w:r>
        <w:rPr>
          <w:rFonts w:hint="eastAsia"/>
          <w:lang w:eastAsia="zh-CN"/>
        </w:rPr>
        <w:t>当前，突发环境事件仍呈高发态势，社会危害及影响明显加大。全国平均两天发生一起时间，有时一天同时处理七起以上事件，事件一般持续</w:t>
      </w:r>
      <w:r>
        <w:rPr>
          <w:lang w:eastAsia="zh-CN"/>
        </w:rPr>
        <w:t>2-3个月。而本公司尚未对职工进行过专门的宣传与培训。</w:t>
      </w:r>
    </w:p>
    <w:p w14:paraId="21E311AD">
      <w:pPr>
        <w:pStyle w:val="124"/>
        <w:rPr>
          <w:lang w:eastAsia="zh-CN"/>
        </w:rPr>
      </w:pPr>
      <w:r>
        <w:rPr>
          <w:rFonts w:hint="eastAsia"/>
          <w:lang w:eastAsia="zh-CN"/>
        </w:rPr>
        <w:t>公司应加强宣传及培训，包括环境应急管理“一案三制”，“一案”是指突发环境事件应急预案，“三制”是指环境应急管理机制、环境应急运行体制、环境应急法制。应急管理体制主要指建立健全集中统一、坚强有力、政令畅通的指挥机构；运行机制主要指建立健全监测预警机制、应急信息报告机制、应急决策和协调机制；而法制建设方面，主要通过依法行政，努力使突发公共事件的应急处置逐步走上规范化、制度化和法制化轨道。</w:t>
      </w:r>
    </w:p>
    <w:p w14:paraId="3E92FF91">
      <w:pPr>
        <w:pStyle w:val="124"/>
        <w:pageBreakBefore w:val="0"/>
        <w:numPr>
          <w:ilvl w:val="0"/>
          <w:numId w:val="0"/>
        </w:numPr>
        <w:kinsoku/>
        <w:wordWrap/>
        <w:overflowPunct/>
        <w:topLinePunct w:val="0"/>
        <w:autoSpaceDE/>
        <w:autoSpaceDN/>
        <w:bidi w:val="0"/>
        <w:ind w:left="482" w:leftChars="0"/>
        <w:textAlignment w:val="auto"/>
        <w:rPr>
          <w:rFonts w:hint="eastAsia"/>
          <w:lang w:eastAsia="zh-CN"/>
        </w:rPr>
      </w:pPr>
      <w:r>
        <w:rPr>
          <w:rFonts w:hint="eastAsia"/>
          <w:lang w:eastAsia="zh-CN"/>
        </w:rPr>
        <w:t>企业还应加强法律法规的宣传与培训，包括：《中华人民共和国环境保护法》（中华</w:t>
      </w:r>
    </w:p>
    <w:p w14:paraId="69E561E7">
      <w:pPr>
        <w:pStyle w:val="124"/>
        <w:pageBreakBefore w:val="0"/>
        <w:numPr>
          <w:ilvl w:val="0"/>
          <w:numId w:val="0"/>
        </w:numPr>
        <w:kinsoku/>
        <w:wordWrap/>
        <w:overflowPunct/>
        <w:topLinePunct w:val="0"/>
        <w:autoSpaceDE/>
        <w:autoSpaceDN/>
        <w:bidi w:val="0"/>
        <w:textAlignment w:val="auto"/>
        <w:rPr>
          <w:lang w:eastAsia="zh-CN"/>
        </w:rPr>
      </w:pPr>
      <w:r>
        <w:rPr>
          <w:rFonts w:hint="eastAsia"/>
          <w:lang w:eastAsia="zh-CN"/>
        </w:rPr>
        <w:t>人名共和国主席令</w:t>
      </w:r>
      <w:r>
        <w:rPr>
          <w:lang w:eastAsia="zh-CN"/>
        </w:rPr>
        <w:t xml:space="preserve"> 第九号） 2014年4月24日；</w:t>
      </w:r>
      <w:r>
        <w:rPr>
          <w:rFonts w:hint="eastAsia" w:ascii="宋体" w:hAnsi="宋体" w:eastAsia="宋体" w:cs="宋体"/>
          <w:color w:val="000000" w:themeColor="text1"/>
          <w:sz w:val="24"/>
          <w:szCs w:val="24"/>
          <w:lang w:eastAsia="zh-CN"/>
          <w14:textFill>
            <w14:solidFill>
              <w14:schemeClr w14:val="tx1"/>
            </w14:solidFill>
          </w14:textFill>
        </w:rPr>
        <w:t>《中华人民共和国突发事件应对法》，</w:t>
      </w:r>
      <w:r>
        <w:rPr>
          <w:rFonts w:hint="eastAsia" w:ascii="宋体" w:hAnsi="宋体" w:cs="宋体"/>
          <w:color w:val="000000" w:themeColor="text1"/>
          <w:sz w:val="24"/>
          <w:szCs w:val="24"/>
          <w:lang w:val="en-US" w:eastAsia="zh-CN"/>
          <w14:textFill>
            <w14:solidFill>
              <w14:schemeClr w14:val="tx1"/>
            </w14:solidFill>
          </w14:textFill>
        </w:rPr>
        <w:t>2024年6月28日修订</w:t>
      </w:r>
      <w:r>
        <w:rPr>
          <w:rFonts w:hint="eastAsia" w:ascii="宋体" w:hAnsi="宋体" w:eastAsia="宋体" w:cs="宋体"/>
          <w:color w:val="000000" w:themeColor="text1"/>
          <w:sz w:val="24"/>
          <w:szCs w:val="24"/>
          <w:lang w:eastAsia="zh-CN"/>
          <w14:textFill>
            <w14:solidFill>
              <w14:schemeClr w14:val="tx1"/>
            </w14:solidFill>
          </w14:textFill>
        </w:rPr>
        <w:t>；</w:t>
      </w:r>
      <w:r>
        <w:rPr>
          <w:lang w:eastAsia="zh-CN"/>
        </w:rPr>
        <w:t>突发环境事件信息报告方法》（环境保护部令第17号），2011年5月1日；《环境污染事故应急预案编制技术指南》（2008年6月）；《环境保护行政主管部门突发环境事件信息报告办法》；</w:t>
      </w:r>
      <w:r>
        <w:rPr>
          <w:rFonts w:hint="eastAsia" w:ascii="宋体" w:hAnsi="宋体" w:eastAsia="宋体" w:cs="宋体"/>
          <w:color w:val="auto"/>
          <w:sz w:val="24"/>
          <w:szCs w:val="24"/>
          <w:lang w:eastAsia="zh-CN"/>
        </w:rPr>
        <w:t>《国家突发环境事件应急预案》（国办函[2014]119号）</w:t>
      </w:r>
      <w:r>
        <w:rPr>
          <w:rFonts w:hint="eastAsia" w:ascii="宋体" w:hAnsi="宋体" w:cs="宋体"/>
          <w:color w:val="auto"/>
          <w:sz w:val="24"/>
          <w:szCs w:val="24"/>
          <w:lang w:eastAsia="zh-CN"/>
        </w:rPr>
        <w:t>等。</w:t>
      </w:r>
    </w:p>
    <w:p w14:paraId="7516A8C3">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5.1.3</w:t>
      </w:r>
      <w:r>
        <w:rPr>
          <w:rFonts w:hint="eastAsia"/>
          <w:sz w:val="24"/>
          <w:szCs w:val="24"/>
        </w:rPr>
        <w:t>突发环境事件信息报告制度及执行情况</w:t>
      </w:r>
    </w:p>
    <w:p w14:paraId="362CDF47">
      <w:pPr>
        <w:pStyle w:val="124"/>
        <w:pageBreakBefore w:val="0"/>
        <w:kinsoku/>
        <w:wordWrap/>
        <w:overflowPunct/>
        <w:topLinePunct w:val="0"/>
        <w:autoSpaceDE/>
        <w:autoSpaceDN/>
        <w:bidi w:val="0"/>
        <w:textAlignment w:val="auto"/>
        <w:rPr>
          <w:lang w:eastAsia="zh-CN"/>
        </w:rPr>
      </w:pPr>
      <w:r>
        <w:rPr>
          <w:rFonts w:hint="eastAsia"/>
          <w:lang w:eastAsia="zh-CN"/>
        </w:rPr>
        <w:t>公司已建立突发环境事件信息报告制度。并在得知突发环境风险事件发生后，由安全环保部对突发环境事故的性质和类别做出初步认定，并把初步认定的情况及时上报，不得瞒报、慌报或故意拖延不报。</w:t>
      </w:r>
    </w:p>
    <w:p w14:paraId="17BF6D97">
      <w:pPr>
        <w:pStyle w:val="124"/>
        <w:rPr>
          <w:lang w:eastAsia="zh-CN"/>
        </w:rPr>
      </w:pPr>
      <w:r>
        <w:rPr>
          <w:lang w:eastAsia="zh-CN"/>
        </w:rPr>
        <w:t>1）报告形式有口头、电话、书面报告；</w:t>
      </w:r>
    </w:p>
    <w:p w14:paraId="77F362F8">
      <w:pPr>
        <w:pStyle w:val="124"/>
        <w:rPr>
          <w:lang w:eastAsia="zh-CN"/>
        </w:rPr>
      </w:pPr>
      <w:r>
        <w:rPr>
          <w:lang w:eastAsia="zh-CN"/>
        </w:rPr>
        <w:t>2）突发环境风险事故的报告分初报、续报和处理结果报告三类；初报从发现事件后</w:t>
      </w:r>
      <w:r>
        <w:rPr>
          <w:rFonts w:hint="eastAsia"/>
          <w:lang w:eastAsia="zh-CN"/>
        </w:rPr>
        <w:t>立即</w:t>
      </w:r>
      <w:r>
        <w:rPr>
          <w:lang w:eastAsia="zh-CN"/>
        </w:rPr>
        <w:t>上报；续报在查清有关基本情况后随时上报；处理结果报告在事件处理完毕后立即上报。</w:t>
      </w:r>
    </w:p>
    <w:p w14:paraId="6F729BEA">
      <w:pPr>
        <w:pStyle w:val="124"/>
        <w:rPr>
          <w:lang w:eastAsia="zh-CN"/>
        </w:rPr>
      </w:pPr>
      <w:r>
        <w:rPr>
          <w:rFonts w:hint="eastAsia"/>
          <w:lang w:eastAsia="zh-CN"/>
        </w:rPr>
        <w:t>初报在发现和得知突发环境风险事故后上报，通常采用电话直接报告，主要内容包括：突发环境风险事故的类型、发生时间、发生地点、初步原因、主要污染物和数量、人员受害情况、事件潜在危害程度等初步情况。</w:t>
      </w:r>
    </w:p>
    <w:p w14:paraId="0CF3D47B">
      <w:pPr>
        <w:pStyle w:val="124"/>
        <w:rPr>
          <w:lang w:eastAsia="zh-CN"/>
        </w:rPr>
      </w:pPr>
      <w:r>
        <w:rPr>
          <w:rFonts w:hint="eastAsia"/>
          <w:lang w:eastAsia="zh-CN"/>
        </w:rPr>
        <w:t>续报在查清有关基本情况后随时上报、通常通过书面报告，视突发环境风险事故进展情况可一次或多次报告、在初报的基础上报告突发环境风险事故有关确切数据、发生的原因、过程、进展情况、危害程度及采取的应急措施、措施效果等基本情况。</w:t>
      </w:r>
    </w:p>
    <w:p w14:paraId="3BA12B6D">
      <w:pPr>
        <w:pStyle w:val="124"/>
        <w:rPr>
          <w:lang w:eastAsia="zh-CN"/>
        </w:rPr>
      </w:pPr>
      <w:r>
        <w:rPr>
          <w:rFonts w:hint="eastAsia"/>
          <w:lang w:eastAsia="zh-CN"/>
        </w:rPr>
        <w:t>处理结果报告在突发环境事故处理完毕后上报。通常采用书面报告，处理结果报告在初报和续报的基础上，报告处理突发环境风险事故的措施、过程和结果，突发环境风险事故潜在或间接的危害及损失、社会影响、处理后的溢流问题、责任追究等详细情况。</w:t>
      </w:r>
    </w:p>
    <w:p w14:paraId="5ED341EA">
      <w:pPr>
        <w:pStyle w:val="124"/>
        <w:rPr>
          <w:lang w:eastAsia="zh-CN"/>
        </w:rPr>
      </w:pPr>
      <w:r>
        <w:rPr>
          <w:lang w:eastAsia="zh-CN"/>
        </w:rPr>
        <w:t>3）发生或即将发生突发环境风险事故的信息得到核实后，公司应急人员应当立即赶赴现场调查了解情况，组织指挥有关人员进行先期处置，采取措施努力控制污染和生态破坏事故继续扩大。</w:t>
      </w:r>
    </w:p>
    <w:p w14:paraId="7CD70581">
      <w:pPr>
        <w:pStyle w:val="7"/>
        <w:spacing w:before="120"/>
        <w:rPr>
          <w:rFonts w:cs="Times New Roman"/>
        </w:rPr>
      </w:pPr>
      <w:bookmarkStart w:id="85" w:name="_Toc73285828"/>
      <w:bookmarkStart w:id="86" w:name="_Toc127256786"/>
      <w:bookmarkStart w:id="87" w:name="_Toc10560"/>
      <w:r>
        <w:rPr>
          <w:rFonts w:hint="eastAsia" w:cs="Times New Roman"/>
          <w:lang w:val="en-US" w:eastAsia="zh-CN"/>
        </w:rPr>
        <w:t>5.2</w:t>
      </w:r>
      <w:r>
        <w:rPr>
          <w:rFonts w:cs="Times New Roman"/>
        </w:rPr>
        <w:t>环境风险防控与应急措施</w:t>
      </w:r>
      <w:bookmarkEnd w:id="85"/>
      <w:r>
        <w:rPr>
          <w:rFonts w:cs="Times New Roman"/>
        </w:rPr>
        <w:t>差距分析</w:t>
      </w:r>
      <w:bookmarkEnd w:id="86"/>
      <w:bookmarkEnd w:id="87"/>
    </w:p>
    <w:p w14:paraId="3A241BCD">
      <w:pPr>
        <w:pStyle w:val="124"/>
        <w:rPr>
          <w:lang w:eastAsia="zh-CN"/>
        </w:rPr>
      </w:pPr>
      <w:r>
        <w:rPr>
          <w:lang w:eastAsia="zh-CN"/>
        </w:rPr>
        <w:t>企业现有环境风险防控和应急措施差距分析一览见</w:t>
      </w:r>
      <w:r>
        <w:rPr>
          <w:lang w:eastAsia="zh-CN"/>
        </w:rPr>
        <w:fldChar w:fldCharType="begin"/>
      </w:r>
      <w:r>
        <w:rPr>
          <w:lang w:eastAsia="zh-CN"/>
        </w:rPr>
        <w:instrText xml:space="preserve"> REF _Ref95230050 \h  \* MERGEFORMAT </w:instrText>
      </w:r>
      <w:r>
        <w:rPr>
          <w:lang w:eastAsia="zh-CN"/>
        </w:rPr>
        <w:fldChar w:fldCharType="separate"/>
      </w:r>
      <w:r>
        <w:rPr>
          <w:lang w:eastAsia="zh-CN"/>
        </w:rPr>
        <w:t>表5.2</w:t>
      </w:r>
      <w:r>
        <w:rPr>
          <w:lang w:eastAsia="zh-CN"/>
        </w:rPr>
        <w:noBreakHyphen/>
      </w:r>
      <w:r>
        <w:rPr>
          <w:lang w:eastAsia="zh-CN"/>
        </w:rPr>
        <w:t>1</w:t>
      </w:r>
      <w:r>
        <w:rPr>
          <w:lang w:eastAsia="zh-CN"/>
        </w:rPr>
        <w:fldChar w:fldCharType="end"/>
      </w:r>
      <w:r>
        <w:rPr>
          <w:lang w:eastAsia="zh-CN"/>
        </w:rPr>
        <w:t>。</w:t>
      </w:r>
    </w:p>
    <w:p w14:paraId="6ACCE9F1">
      <w:pPr>
        <w:pStyle w:val="128"/>
        <w:spacing w:before="72" w:after="48"/>
      </w:pPr>
      <w:bookmarkStart w:id="88" w:name="_Ref95230050"/>
      <w:r>
        <w:t>表</w:t>
      </w:r>
      <w:r>
        <w:fldChar w:fldCharType="begin"/>
      </w:r>
      <w:r>
        <w:instrText xml:space="preserve"> STYLEREF 2 \s </w:instrText>
      </w:r>
      <w:r>
        <w:fldChar w:fldCharType="separate"/>
      </w:r>
      <w:r>
        <w:t>5.2</w:t>
      </w:r>
      <w:r>
        <w:fldChar w:fldCharType="end"/>
      </w:r>
      <w:r>
        <w:noBreakHyphen/>
      </w:r>
      <w:r>
        <w:fldChar w:fldCharType="begin"/>
      </w:r>
      <w:r>
        <w:instrText xml:space="preserve"> SEQ 表格 \* ARABIC \s 2 </w:instrText>
      </w:r>
      <w:r>
        <w:fldChar w:fldCharType="separate"/>
      </w:r>
      <w:r>
        <w:t>1</w:t>
      </w:r>
      <w:r>
        <w:fldChar w:fldCharType="end"/>
      </w:r>
      <w:bookmarkEnd w:id="88"/>
      <w:r>
        <w:t xml:space="preserve"> 企业现有环境风险防控和应急措施差距分析一览表</w:t>
      </w:r>
    </w:p>
    <w:tbl>
      <w:tblPr>
        <w:tblStyle w:val="35"/>
        <w:tblW w:w="93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9"/>
        <w:gridCol w:w="5845"/>
        <w:gridCol w:w="2230"/>
      </w:tblGrid>
      <w:tr w14:paraId="74E2A0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Align w:val="center"/>
          </w:tcPr>
          <w:p w14:paraId="4FA808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bookmarkStart w:id="89" w:name="_Toc127256787"/>
            <w:bookmarkStart w:id="90" w:name="_Toc73285831"/>
            <w:r>
              <w:rPr>
                <w:rFonts w:hint="default" w:ascii="Times New Roman" w:hAnsi="Times New Roman" w:cs="Times New Roman"/>
                <w:color w:val="auto"/>
                <w:szCs w:val="21"/>
                <w:highlight w:val="none"/>
              </w:rPr>
              <w:t>评估指标</w:t>
            </w:r>
          </w:p>
        </w:tc>
        <w:tc>
          <w:tcPr>
            <w:tcW w:w="5845" w:type="dxa"/>
            <w:vAlign w:val="center"/>
          </w:tcPr>
          <w:p w14:paraId="3E3F8C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评估依据</w:t>
            </w:r>
          </w:p>
        </w:tc>
        <w:tc>
          <w:tcPr>
            <w:tcW w:w="2230" w:type="dxa"/>
            <w:vAlign w:val="center"/>
          </w:tcPr>
          <w:p w14:paraId="49D3F23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企业情况</w:t>
            </w:r>
          </w:p>
        </w:tc>
      </w:tr>
      <w:tr w14:paraId="46E2B5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27D01B9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截流措施</w:t>
            </w:r>
          </w:p>
        </w:tc>
        <w:tc>
          <w:tcPr>
            <w:tcW w:w="5845" w:type="dxa"/>
            <w:vAlign w:val="center"/>
          </w:tcPr>
          <w:p w14:paraId="15353EF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（1）环境风险单元设防渗漏、防腐蚀、防淋溶、防流失措施；且</w:t>
            </w:r>
          </w:p>
          <w:p w14:paraId="64A5CF9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（2）装置围堰与罐区防火堤（围堰）外设排水切换阀，正常情况下通向雨水系统的阀门关闭，通向事故存液池、应急事故水池、清净废水排放缓冲池或污水处理系统的阀门打开；且</w:t>
            </w:r>
          </w:p>
          <w:p w14:paraId="1426FEC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（3）前述措施日常管理及维护良好，有专人负责阀门切换或设置自动切换设施，保证初期雨水、泄漏物和受污染的消防水排入污水系统</w:t>
            </w:r>
          </w:p>
        </w:tc>
        <w:tc>
          <w:tcPr>
            <w:tcW w:w="2230" w:type="dxa"/>
            <w:vMerge w:val="restart"/>
            <w:vAlign w:val="center"/>
          </w:tcPr>
          <w:p w14:paraId="58CEE6A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生产车间设有防渗漏、防腐蚀、防淋溶、防流失措施；围堰外设排水切换阀；设置有事故水池、</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等对</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泄漏物、受污染的消防水进行收集措施；</w:t>
            </w:r>
            <w:r>
              <w:rPr>
                <w:rFonts w:hint="default" w:ascii="Times New Roman" w:hAnsi="Times New Roman" w:cs="Times New Roman"/>
                <w:color w:val="auto"/>
                <w:szCs w:val="21"/>
                <w:highlight w:val="none"/>
                <w:lang w:eastAsia="zh-CN"/>
              </w:rPr>
              <w:t>加强罐区管理，及时进行雨污切换，确保非降雨期阀门关闭</w:t>
            </w:r>
          </w:p>
          <w:p w14:paraId="0B3B799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64562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1263267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458C0DB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有任意一个环境风险单元（包括可能发生液体泄漏或产生液体泄漏物的危险废物贮存场所）的截流措施不符合上述任意一条要求的</w:t>
            </w:r>
          </w:p>
        </w:tc>
        <w:tc>
          <w:tcPr>
            <w:tcW w:w="2230" w:type="dxa"/>
            <w:vMerge w:val="continue"/>
            <w:vAlign w:val="center"/>
          </w:tcPr>
          <w:p w14:paraId="1C9FFE9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85A7D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0A4EBB7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事故废水收集措施</w:t>
            </w:r>
          </w:p>
        </w:tc>
        <w:tc>
          <w:tcPr>
            <w:tcW w:w="5845" w:type="dxa"/>
            <w:vAlign w:val="center"/>
          </w:tcPr>
          <w:p w14:paraId="4687BF8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（1）按相关设计规范设置应急事故水池、事故存液池或清净废水排放缓冲池等事故排水收集设施，并根据相关设计规范、下游环境风险受体敏感程度和易发生极端天气情况，设计事故排水收集设施的容量；且</w:t>
            </w:r>
          </w:p>
          <w:p w14:paraId="129F1C1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（2）确保事故排水收集设施在事故状态下能顺利收集泄漏物和消防水，日常保持足够的事故排水缓冲容量；且</w:t>
            </w:r>
          </w:p>
          <w:p w14:paraId="74D2CCC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（3）通过协议单位或自建管线，能将所收集废水送至厂区内污水处理设施处理</w:t>
            </w:r>
          </w:p>
        </w:tc>
        <w:tc>
          <w:tcPr>
            <w:tcW w:w="2230" w:type="dxa"/>
            <w:vMerge w:val="restart"/>
            <w:vAlign w:val="center"/>
          </w:tcPr>
          <w:p w14:paraId="7D53EEA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按相关设计规范设置了事故水池和</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，并根据下游环境风险受体敏感程度和易发生极端天气情况，设置了</w:t>
            </w:r>
            <w:r>
              <w:rPr>
                <w:rFonts w:hint="default" w:ascii="Times New Roman" w:hAnsi="Times New Roman" w:cs="Times New Roman"/>
                <w:color w:val="auto"/>
                <w:kern w:val="0"/>
                <w:sz w:val="21"/>
                <w:szCs w:val="21"/>
                <w:highlight w:val="none"/>
              </w:rPr>
              <w:t>事故水池</w:t>
            </w:r>
            <w:r>
              <w:rPr>
                <w:rFonts w:hint="default" w:ascii="Times New Roman" w:hAnsi="Times New Roman" w:cs="Times New Roman"/>
                <w:color w:val="auto"/>
                <w:kern w:val="0"/>
                <w:sz w:val="21"/>
                <w:szCs w:val="21"/>
                <w:highlight w:val="none"/>
                <w:lang w:val="en-US" w:eastAsia="zh-CN"/>
              </w:rPr>
              <w:t>2</w:t>
            </w:r>
            <w:r>
              <w:rPr>
                <w:rFonts w:hint="default" w:ascii="Times New Roman" w:hAnsi="Times New Roman" w:cs="Times New Roman"/>
                <w:color w:val="auto"/>
                <w:kern w:val="0"/>
                <w:sz w:val="21"/>
                <w:szCs w:val="21"/>
                <w:highlight w:val="none"/>
              </w:rPr>
              <w:t>个（有效</w:t>
            </w:r>
            <w:r>
              <w:rPr>
                <w:rFonts w:hint="default" w:ascii="Times New Roman" w:hAnsi="Times New Roman" w:cs="Times New Roman"/>
                <w:color w:val="auto"/>
                <w:sz w:val="21"/>
                <w:szCs w:val="21"/>
                <w:highlight w:val="none"/>
              </w:rPr>
              <w:t>容积</w:t>
            </w:r>
            <w:r>
              <w:rPr>
                <w:rFonts w:hint="eastAsia" w:cs="Times New Roman"/>
                <w:color w:val="auto"/>
                <w:sz w:val="21"/>
                <w:szCs w:val="21"/>
                <w:highlight w:val="none"/>
                <w:lang w:eastAsia="zh-CN"/>
              </w:rPr>
              <w:t>分别为</w:t>
            </w:r>
            <w:r>
              <w:rPr>
                <w:rFonts w:hint="default" w:ascii="Times New Roman" w:hAnsi="Times New Roman" w:cs="Times New Roman"/>
                <w:color w:val="auto"/>
                <w:sz w:val="21"/>
                <w:szCs w:val="21"/>
                <w:highlight w:val="none"/>
                <w:lang w:val="en-US" w:eastAsia="zh-CN"/>
              </w:rPr>
              <w:t>50</w:t>
            </w:r>
            <w:r>
              <w:rPr>
                <w:rFonts w:hint="default" w:ascii="Times New Roman" w:hAnsi="Times New Roman" w:cs="Times New Roman"/>
                <w:color w:val="auto"/>
                <w:sz w:val="21"/>
                <w:szCs w:val="21"/>
                <w:highlight w:val="none"/>
              </w:rPr>
              <w:t>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240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；事故水池位置合理，能确保事故状态下顺利收集</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泄漏事故水，其余车间消防废水进入</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，日常保持足够的事故排水缓冲容量；由</w:t>
            </w:r>
            <w:r>
              <w:rPr>
                <w:rFonts w:hint="default" w:ascii="Times New Roman" w:hAnsi="Times New Roman" w:cs="Times New Roman"/>
                <w:color w:val="auto"/>
                <w:szCs w:val="21"/>
                <w:highlight w:val="none"/>
                <w:lang w:eastAsia="zh-CN"/>
              </w:rPr>
              <w:t>物料泄漏</w:t>
            </w:r>
            <w:r>
              <w:rPr>
                <w:rFonts w:hint="default" w:ascii="Times New Roman" w:hAnsi="Times New Roman" w:cs="Times New Roman"/>
                <w:color w:val="auto"/>
                <w:szCs w:val="21"/>
                <w:highlight w:val="none"/>
              </w:rPr>
              <w:t>产生的存放于事故水池的事故水由罐车外运处理，收纳在</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中的其余消防废水</w:t>
            </w:r>
            <w:r>
              <w:rPr>
                <w:rFonts w:hint="default" w:ascii="Times New Roman" w:hAnsi="Times New Roman" w:cs="Times New Roman"/>
                <w:color w:val="auto"/>
                <w:szCs w:val="21"/>
                <w:highlight w:val="none"/>
                <w:lang w:eastAsia="zh-CN"/>
              </w:rPr>
              <w:t>经厂内污水处理装置预处理后通过管网排入齐鲁石化供排水厂深度处理，处理达标后经排海管线排海</w:t>
            </w:r>
          </w:p>
          <w:p w14:paraId="229E761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0F9A9B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4B1C74A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7E21124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有任意一个环境风险单元（包括可能发生液体泄漏或产生液体泄漏物的危险废物贮存场所）的事故排水收集措施不符合上述任意一条要求的</w:t>
            </w:r>
          </w:p>
        </w:tc>
        <w:tc>
          <w:tcPr>
            <w:tcW w:w="2230" w:type="dxa"/>
            <w:vMerge w:val="continue"/>
            <w:vAlign w:val="center"/>
          </w:tcPr>
          <w:p w14:paraId="19D2FD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E780A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6E21D35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清净废水系统风险防控措施</w:t>
            </w:r>
          </w:p>
        </w:tc>
        <w:tc>
          <w:tcPr>
            <w:tcW w:w="5845" w:type="dxa"/>
            <w:vAlign w:val="center"/>
          </w:tcPr>
          <w:p w14:paraId="7D28A74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（1）不涉及清净废水；或</w:t>
            </w:r>
          </w:p>
          <w:p w14:paraId="1CADFE2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（2）厂区内清净废水均可排入废水处理系统；或清污分流，且清净废水系统具有下述所有措施：</w:t>
            </w:r>
          </w:p>
          <w:p w14:paraId="1CFF379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①具有收集受污染的清净废水的缓冲池（或收集池），池内日常保持足够的</w:t>
            </w:r>
          </w:p>
          <w:p w14:paraId="6561F08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事故排水缓冲容量；池内设有提升设施或通过自流，能将所收集物送至厂区</w:t>
            </w:r>
          </w:p>
          <w:p w14:paraId="4DFE88C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内污水处理设施处理；且</w:t>
            </w:r>
          </w:p>
          <w:p w14:paraId="75462B2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②具有清净废水系统的总排口监视及关闭设施，有专人负责在紧急情况下关</w:t>
            </w:r>
          </w:p>
          <w:p w14:paraId="5A32DCF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闭清净废水总排口，防止受污染的清净废水和泄漏物进入外环境</w:t>
            </w:r>
          </w:p>
        </w:tc>
        <w:tc>
          <w:tcPr>
            <w:tcW w:w="2230" w:type="dxa"/>
            <w:vMerge w:val="restart"/>
            <w:vAlign w:val="center"/>
          </w:tcPr>
          <w:p w14:paraId="4AC8E2E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采用雨污分流制，初期雨水通过导排系统排入2个初期雨水收集池，然后分批泵送至</w:t>
            </w:r>
            <w:r>
              <w:rPr>
                <w:rFonts w:hint="default" w:ascii="Times New Roman" w:hAnsi="Times New Roman" w:cs="Times New Roman"/>
                <w:color w:val="auto"/>
                <w:szCs w:val="21"/>
                <w:highlight w:val="none"/>
                <w:lang w:eastAsia="zh-CN"/>
              </w:rPr>
              <w:t>山东隆盛和助剂有限公司</w:t>
            </w:r>
            <w:r>
              <w:rPr>
                <w:rFonts w:hint="default" w:ascii="Times New Roman" w:hAnsi="Times New Roman" w:eastAsia="宋体" w:cs="Times New Roman"/>
                <w:color w:val="auto"/>
                <w:szCs w:val="21"/>
                <w:highlight w:val="none"/>
                <w:lang w:eastAsia="zh-CN"/>
              </w:rPr>
              <w:t>污水处理站处理，处理达标后排入齐鲁石化供排水厂进行深度处理。</w:t>
            </w:r>
          </w:p>
          <w:p w14:paraId="185F84F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厂区生活污水经化粪池暂存后与厂内产生的生产废水经厂内污水处理装置预处理后通过管网排入齐鲁石化供排水厂深度处理，处理达标后经排海管线排海</w:t>
            </w:r>
          </w:p>
          <w:p w14:paraId="350D659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p>
          <w:p w14:paraId="117A37C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4AE4BF9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58BE9E6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32BDEBD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涉及清净废水，有任意一个环境风险单元的清净废水系统风险防控措施不符合上述（2）要求的</w:t>
            </w:r>
          </w:p>
        </w:tc>
        <w:tc>
          <w:tcPr>
            <w:tcW w:w="2230" w:type="dxa"/>
            <w:vMerge w:val="continue"/>
            <w:vAlign w:val="center"/>
          </w:tcPr>
          <w:p w14:paraId="2A65E35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6E511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1CA11D7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雨水排水系统风险防控措施</w:t>
            </w:r>
          </w:p>
        </w:tc>
        <w:tc>
          <w:tcPr>
            <w:tcW w:w="5845" w:type="dxa"/>
            <w:vAlign w:val="center"/>
          </w:tcPr>
          <w:p w14:paraId="5BCC04E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（1）厂区内雨水均进入废水处理系统；或雨污分流，且雨水排水系统具有下述所有措施：</w:t>
            </w:r>
          </w:p>
          <w:p w14:paraId="230CC2E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①具有收集初期雨水的收集池或雨水监控池；池出水管上设置切断阀，正常情况下阀门关闭，防止受污染的雨水外排；池内设有提升设施或通过自流，能将所收集物送至厂区内污水处理设施处理；</w:t>
            </w:r>
          </w:p>
          <w:p w14:paraId="5AA09DF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②具有雨水系统总排口（含泄洪渠）监视及关闭设施，在紧急情况下有专人负责关闭雨水系统总排口（含与清净废水共用一套排水系统情况），防止雨水、消防水和泄漏物进入外环境</w:t>
            </w:r>
          </w:p>
          <w:p w14:paraId="1673067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（2）如果有排洪沟，排洪沟不得通过生产区和罐区，或具有防止泄漏物和受污染的消防水等流入区域排洪沟的措施</w:t>
            </w:r>
          </w:p>
        </w:tc>
        <w:tc>
          <w:tcPr>
            <w:tcW w:w="2230" w:type="dxa"/>
            <w:vMerge w:val="restart"/>
            <w:vAlign w:val="center"/>
          </w:tcPr>
          <w:p w14:paraId="031E115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r>
              <w:rPr>
                <w:rFonts w:hint="default" w:ascii="Times New Roman" w:hAnsi="Times New Roman" w:eastAsia="宋体" w:cs="Times New Roman"/>
                <w:color w:val="auto"/>
                <w:szCs w:val="21"/>
                <w:highlight w:val="none"/>
              </w:rPr>
              <w:t>雨污分流；</w:t>
            </w:r>
            <w:r>
              <w:rPr>
                <w:rFonts w:hint="default" w:ascii="Times New Roman" w:hAnsi="Times New Roman" w:eastAsia="宋体" w:cs="Times New Roman"/>
                <w:color w:val="auto"/>
                <w:szCs w:val="21"/>
                <w:highlight w:val="none"/>
                <w:lang w:eastAsia="zh-CN"/>
              </w:rPr>
              <w:t>企业</w:t>
            </w:r>
            <w:r>
              <w:rPr>
                <w:rFonts w:hint="default" w:ascii="Times New Roman" w:hAnsi="Times New Roman" w:cs="Times New Roman"/>
                <w:color w:val="auto"/>
                <w:szCs w:val="21"/>
                <w:highlight w:val="none"/>
                <w:lang w:eastAsia="zh-CN"/>
              </w:rPr>
              <w:t>已</w:t>
            </w:r>
            <w:r>
              <w:rPr>
                <w:rFonts w:hint="default" w:ascii="Times New Roman" w:hAnsi="Times New Roman" w:eastAsia="宋体" w:cs="Times New Roman"/>
                <w:color w:val="auto"/>
                <w:szCs w:val="21"/>
                <w:highlight w:val="none"/>
                <w:lang w:eastAsia="zh-CN"/>
              </w:rPr>
              <w:t>需设置初期雨水收集池</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lang w:eastAsia="zh-CN"/>
              </w:rPr>
              <w:t>水池</w:t>
            </w:r>
            <w:r>
              <w:rPr>
                <w:rFonts w:hint="default" w:ascii="Times New Roman" w:hAnsi="Times New Roman" w:eastAsia="宋体" w:cs="Times New Roman"/>
                <w:color w:val="auto"/>
                <w:szCs w:val="21"/>
                <w:highlight w:val="none"/>
              </w:rPr>
              <w:t>出水管</w:t>
            </w:r>
            <w:r>
              <w:rPr>
                <w:rFonts w:hint="default" w:ascii="Times New Roman" w:hAnsi="Times New Roman" w:eastAsia="宋体" w:cs="Times New Roman"/>
                <w:color w:val="auto"/>
                <w:szCs w:val="21"/>
                <w:highlight w:val="none"/>
                <w:lang w:eastAsia="zh-CN"/>
              </w:rPr>
              <w:t>及</w:t>
            </w:r>
            <w:r>
              <w:rPr>
                <w:rFonts w:hint="default" w:ascii="Times New Roman" w:hAnsi="Times New Roman" w:eastAsia="宋体" w:cs="Times New Roman"/>
                <w:color w:val="auto"/>
                <w:szCs w:val="21"/>
                <w:highlight w:val="none"/>
              </w:rPr>
              <w:t>雨水系统外排总排口（含泄洪渠）监视及关闭设施</w:t>
            </w: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p>
          <w:p w14:paraId="10D3526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p w14:paraId="757A758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1B6402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534C229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493DC24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不符合上述要求的</w:t>
            </w:r>
          </w:p>
        </w:tc>
        <w:tc>
          <w:tcPr>
            <w:tcW w:w="2230" w:type="dxa"/>
            <w:vMerge w:val="continue"/>
            <w:vAlign w:val="center"/>
          </w:tcPr>
          <w:p w14:paraId="375F41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C7C4C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6026A47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生产废水处理系统风险防控措施</w:t>
            </w:r>
          </w:p>
        </w:tc>
        <w:tc>
          <w:tcPr>
            <w:tcW w:w="5845" w:type="dxa"/>
            <w:vAlign w:val="center"/>
          </w:tcPr>
          <w:p w14:paraId="07B7E8F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（1）无生产废水产生或外排；或</w:t>
            </w:r>
          </w:p>
          <w:p w14:paraId="029F0CD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（2）有废水外排时：</w:t>
            </w:r>
          </w:p>
          <w:p w14:paraId="12D8C66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①受污染的循环冷却水、雨水、消防水等排入生产废水系统或独立处理系统；</w:t>
            </w:r>
          </w:p>
          <w:p w14:paraId="735AFCF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②生产废水排放前设监控池，能够将不合格废水送废水处理设施处理；</w:t>
            </w:r>
          </w:p>
          <w:p w14:paraId="697A275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③如企业受污染的清净废水或雨水进入废水处理系统处理，则废水处理系统应设置事故水缓冲设施；</w:t>
            </w:r>
          </w:p>
          <w:p w14:paraId="3C5D913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④具有生产废水总排口监视及关闭设施，有专人负责启闭，确保泄漏物、受污染的消防水、不合格废水不排出厂外</w:t>
            </w:r>
          </w:p>
        </w:tc>
        <w:tc>
          <w:tcPr>
            <w:tcW w:w="2230" w:type="dxa"/>
            <w:vMerge w:val="restart"/>
            <w:vAlign w:val="center"/>
          </w:tcPr>
          <w:p w14:paraId="7E60796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0683D03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p>
        </w:tc>
      </w:tr>
      <w:tr w14:paraId="0E0C53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76B01B8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2FC2FA1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涉及废水外排，且不符合上述（2）中任意一条要求的</w:t>
            </w:r>
          </w:p>
        </w:tc>
        <w:tc>
          <w:tcPr>
            <w:tcW w:w="2230" w:type="dxa"/>
            <w:vMerge w:val="continue"/>
            <w:vAlign w:val="center"/>
          </w:tcPr>
          <w:p w14:paraId="743C50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17524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69A98AD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废水排放去向</w:t>
            </w:r>
          </w:p>
        </w:tc>
        <w:tc>
          <w:tcPr>
            <w:tcW w:w="5845" w:type="dxa"/>
            <w:vAlign w:val="center"/>
          </w:tcPr>
          <w:p w14:paraId="7094E8C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无生产废水产生或外排</w:t>
            </w:r>
          </w:p>
        </w:tc>
        <w:tc>
          <w:tcPr>
            <w:tcW w:w="2230" w:type="dxa"/>
            <w:vMerge w:val="restart"/>
            <w:vAlign w:val="center"/>
          </w:tcPr>
          <w:p w14:paraId="41A9500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tc>
      </w:tr>
      <w:tr w14:paraId="400E4B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7BF3E4E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6200B08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（1）依法获取污水排入排水管网许可，进入城镇污水处理厂；或</w:t>
            </w:r>
          </w:p>
          <w:p w14:paraId="5A946E0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（2）进入工业废水集中处理厂；</w:t>
            </w:r>
          </w:p>
          <w:p w14:paraId="288B863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（3）进入其他单位</w:t>
            </w:r>
          </w:p>
        </w:tc>
        <w:tc>
          <w:tcPr>
            <w:tcW w:w="2230" w:type="dxa"/>
            <w:vMerge w:val="continue"/>
            <w:vAlign w:val="center"/>
          </w:tcPr>
          <w:p w14:paraId="121D2A1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41150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0168FB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72A2C93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（1）直接进入海域或进入江、河、湖、库等水环境；或</w:t>
            </w:r>
          </w:p>
          <w:p w14:paraId="54AC333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（2）进入城市下水道再入江、河、湖、库或再进入海域；或</w:t>
            </w:r>
          </w:p>
          <w:p w14:paraId="591291F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（3）未依法取得污水排入排水管网许可，进入城镇污水处理厂；或</w:t>
            </w:r>
          </w:p>
          <w:p w14:paraId="019C8E7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（4）直接进入污灌农田或蒸发地</w:t>
            </w:r>
          </w:p>
        </w:tc>
        <w:tc>
          <w:tcPr>
            <w:tcW w:w="2230" w:type="dxa"/>
            <w:vMerge w:val="continue"/>
            <w:vAlign w:val="center"/>
          </w:tcPr>
          <w:p w14:paraId="0366346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F3971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22A623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厂内危险废物</w:t>
            </w:r>
          </w:p>
          <w:p w14:paraId="704E241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环境管理</w:t>
            </w:r>
          </w:p>
        </w:tc>
        <w:tc>
          <w:tcPr>
            <w:tcW w:w="5845" w:type="dxa"/>
            <w:vAlign w:val="center"/>
          </w:tcPr>
          <w:p w14:paraId="7242C12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（1）不涉及危险废物的；或</w:t>
            </w:r>
          </w:p>
          <w:p w14:paraId="18E2E62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（2）针对危险废物分区贮存、运输、利用、处置具有完善的专业设施和风险防控措施</w:t>
            </w:r>
          </w:p>
        </w:tc>
        <w:tc>
          <w:tcPr>
            <w:tcW w:w="2230" w:type="dxa"/>
            <w:vMerge w:val="restart"/>
            <w:vAlign w:val="center"/>
          </w:tcPr>
          <w:p w14:paraId="0880265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危险废物分区贮存、运输、利用、处置具有完善的专业设施和风险防控措施</w:t>
            </w:r>
          </w:p>
        </w:tc>
      </w:tr>
      <w:tr w14:paraId="199849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4FA3A68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1465C8D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不具备完善的危险废物贮存、运输、利用、处置设施和风险防控措施</w:t>
            </w:r>
          </w:p>
        </w:tc>
        <w:tc>
          <w:tcPr>
            <w:tcW w:w="2230" w:type="dxa"/>
            <w:vMerge w:val="continue"/>
            <w:vAlign w:val="center"/>
          </w:tcPr>
          <w:p w14:paraId="310E42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66DEC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1A195D9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近3年内突发水环境事件发生情况</w:t>
            </w:r>
          </w:p>
        </w:tc>
        <w:tc>
          <w:tcPr>
            <w:tcW w:w="5845" w:type="dxa"/>
            <w:vAlign w:val="center"/>
          </w:tcPr>
          <w:p w14:paraId="1763CA8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发生过特别重大及重大等级突发水环境事件的</w:t>
            </w:r>
          </w:p>
        </w:tc>
        <w:tc>
          <w:tcPr>
            <w:tcW w:w="2230" w:type="dxa"/>
            <w:vMerge w:val="restart"/>
            <w:vAlign w:val="center"/>
          </w:tcPr>
          <w:p w14:paraId="413E74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近3年内未发生突发水环境事件</w:t>
            </w:r>
          </w:p>
        </w:tc>
      </w:tr>
      <w:tr w14:paraId="3095B2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4B6A096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28F794F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发生过较大等级突发水环境事件的</w:t>
            </w:r>
          </w:p>
        </w:tc>
        <w:tc>
          <w:tcPr>
            <w:tcW w:w="2230" w:type="dxa"/>
            <w:vMerge w:val="continue"/>
            <w:vAlign w:val="center"/>
          </w:tcPr>
          <w:p w14:paraId="50DE75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68D67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469E5C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5F0A731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发生过一般等级突发水环境事件的</w:t>
            </w:r>
          </w:p>
        </w:tc>
        <w:tc>
          <w:tcPr>
            <w:tcW w:w="2230" w:type="dxa"/>
            <w:vMerge w:val="continue"/>
            <w:vAlign w:val="center"/>
          </w:tcPr>
          <w:p w14:paraId="5752411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F47F9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101D1C8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845" w:type="dxa"/>
            <w:vAlign w:val="center"/>
          </w:tcPr>
          <w:p w14:paraId="3E7A6E7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未发生突发水环境事件的</w:t>
            </w:r>
          </w:p>
        </w:tc>
        <w:tc>
          <w:tcPr>
            <w:tcW w:w="2230" w:type="dxa"/>
            <w:vMerge w:val="continue"/>
            <w:vAlign w:val="center"/>
          </w:tcPr>
          <w:p w14:paraId="757906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2ECC4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2DE71D1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毒性气体泄漏监控预警措施</w:t>
            </w:r>
          </w:p>
        </w:tc>
        <w:tc>
          <w:tcPr>
            <w:tcW w:w="5845" w:type="dxa"/>
            <w:vAlign w:val="center"/>
          </w:tcPr>
          <w:p w14:paraId="78D72EB0">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（1）不涉及附录A中有毒有害气体的；或</w:t>
            </w:r>
          </w:p>
          <w:p w14:paraId="18AD58B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（2）根据实际情况，具备有毒有害气体（如硫化氢、氰化氢、氯化氢、光气、氯气、氨气、苯等）厂界泄漏监控预警系统的</w:t>
            </w:r>
          </w:p>
        </w:tc>
        <w:tc>
          <w:tcPr>
            <w:tcW w:w="2230" w:type="dxa"/>
            <w:vMerge w:val="restart"/>
            <w:vAlign w:val="center"/>
          </w:tcPr>
          <w:p w14:paraId="5A1FD1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生产过程中会产生氯化氢，厂区安装了泄漏报警仪，但不具备厂界泄漏监控预警系统</w:t>
            </w:r>
          </w:p>
        </w:tc>
      </w:tr>
      <w:tr w14:paraId="57890D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40170D9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2754CA2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不具备厂界有毒有害气体泄漏监控预警系统的</w:t>
            </w:r>
          </w:p>
        </w:tc>
        <w:tc>
          <w:tcPr>
            <w:tcW w:w="2230" w:type="dxa"/>
            <w:vMerge w:val="continue"/>
            <w:vAlign w:val="center"/>
          </w:tcPr>
          <w:p w14:paraId="265D4E0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8084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6649DEB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符合防护距离情况</w:t>
            </w:r>
          </w:p>
        </w:tc>
        <w:tc>
          <w:tcPr>
            <w:tcW w:w="5845" w:type="dxa"/>
            <w:vAlign w:val="center"/>
          </w:tcPr>
          <w:p w14:paraId="59C30F8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符合环评及批复文件防护距离要求的</w:t>
            </w:r>
          </w:p>
        </w:tc>
        <w:tc>
          <w:tcPr>
            <w:tcW w:w="2230" w:type="dxa"/>
            <w:vMerge w:val="restart"/>
            <w:vAlign w:val="center"/>
          </w:tcPr>
          <w:p w14:paraId="091AB02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符合环评及批复文件防护距离要求的</w:t>
            </w:r>
          </w:p>
        </w:tc>
      </w:tr>
      <w:tr w14:paraId="159A0C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6BC3618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565D991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不符合环评及批复文件防护距离要求的</w:t>
            </w:r>
          </w:p>
        </w:tc>
        <w:tc>
          <w:tcPr>
            <w:tcW w:w="2230" w:type="dxa"/>
            <w:vMerge w:val="continue"/>
            <w:vAlign w:val="center"/>
          </w:tcPr>
          <w:p w14:paraId="52C7CDF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F26D9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4E418D0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近3年内突发大气环境事件发生情况</w:t>
            </w:r>
          </w:p>
        </w:tc>
        <w:tc>
          <w:tcPr>
            <w:tcW w:w="5845" w:type="dxa"/>
            <w:vAlign w:val="center"/>
          </w:tcPr>
          <w:p w14:paraId="075E030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发生过特别重大或重大等级突发大气环境事件的</w:t>
            </w:r>
          </w:p>
        </w:tc>
        <w:tc>
          <w:tcPr>
            <w:tcW w:w="2230" w:type="dxa"/>
            <w:vMerge w:val="restart"/>
            <w:vAlign w:val="center"/>
          </w:tcPr>
          <w:p w14:paraId="2E4DD6B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近3年内未发生突发大气环境事件</w:t>
            </w:r>
          </w:p>
        </w:tc>
      </w:tr>
      <w:tr w14:paraId="1B23A6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0BDC081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791F5FC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发生过较大等级突发大气环境事件的</w:t>
            </w:r>
          </w:p>
        </w:tc>
        <w:tc>
          <w:tcPr>
            <w:tcW w:w="2230" w:type="dxa"/>
            <w:vMerge w:val="continue"/>
            <w:vAlign w:val="center"/>
          </w:tcPr>
          <w:p w14:paraId="703FF2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20380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5FFC26C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5845" w:type="dxa"/>
            <w:vAlign w:val="center"/>
          </w:tcPr>
          <w:p w14:paraId="634E3DB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发生过一般等级突发大气环境事件的</w:t>
            </w:r>
          </w:p>
        </w:tc>
        <w:tc>
          <w:tcPr>
            <w:tcW w:w="2230" w:type="dxa"/>
            <w:vMerge w:val="continue"/>
            <w:vAlign w:val="center"/>
          </w:tcPr>
          <w:p w14:paraId="0662C93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E50ED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6088106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FF0000"/>
                <w:szCs w:val="21"/>
                <w:highlight w:val="none"/>
              </w:rPr>
            </w:pPr>
          </w:p>
        </w:tc>
        <w:tc>
          <w:tcPr>
            <w:tcW w:w="5845" w:type="dxa"/>
            <w:vAlign w:val="center"/>
          </w:tcPr>
          <w:p w14:paraId="5EC9815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FF0000"/>
                <w:szCs w:val="21"/>
                <w:highlight w:val="none"/>
              </w:rPr>
            </w:pPr>
            <w:r>
              <w:rPr>
                <w:rFonts w:hint="default" w:ascii="Times New Roman" w:hAnsi="Times New Roman" w:cs="Times New Roman"/>
                <w:color w:val="auto"/>
                <w:szCs w:val="21"/>
                <w:highlight w:val="none"/>
              </w:rPr>
              <w:t>未发生突发大气环境事件的</w:t>
            </w:r>
          </w:p>
        </w:tc>
        <w:tc>
          <w:tcPr>
            <w:tcW w:w="2230" w:type="dxa"/>
            <w:vMerge w:val="continue"/>
            <w:vAlign w:val="center"/>
          </w:tcPr>
          <w:p w14:paraId="04938E4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FF0000"/>
                <w:szCs w:val="21"/>
                <w:highlight w:val="none"/>
              </w:rPr>
            </w:pPr>
          </w:p>
        </w:tc>
      </w:tr>
    </w:tbl>
    <w:p w14:paraId="641AB7B8">
      <w:pPr>
        <w:pStyle w:val="7"/>
        <w:spacing w:before="120"/>
        <w:rPr>
          <w:rFonts w:cs="Times New Roman"/>
        </w:rPr>
      </w:pPr>
      <w:bookmarkStart w:id="91" w:name="_Toc5551"/>
      <w:r>
        <w:rPr>
          <w:rFonts w:hint="eastAsia" w:cs="Times New Roman"/>
          <w:lang w:val="en-US" w:eastAsia="zh-CN"/>
        </w:rPr>
        <w:t>5.3</w:t>
      </w:r>
      <w:r>
        <w:rPr>
          <w:rFonts w:cs="Times New Roman"/>
        </w:rPr>
        <w:t>环境</w:t>
      </w:r>
      <w:r>
        <w:rPr>
          <w:rFonts w:hint="eastAsia" w:cs="Times New Roman"/>
        </w:rPr>
        <w:t>应急资源</w:t>
      </w:r>
      <w:bookmarkEnd w:id="89"/>
      <w:bookmarkEnd w:id="91"/>
    </w:p>
    <w:p w14:paraId="0C1D0CD5">
      <w:pPr>
        <w:pStyle w:val="124"/>
        <w:rPr>
          <w:lang w:eastAsia="zh-CN"/>
        </w:rPr>
      </w:pPr>
      <w:r>
        <w:rPr>
          <w:rFonts w:hint="eastAsia"/>
          <w:lang w:eastAsia="zh-CN"/>
        </w:rPr>
        <w:t>（</w:t>
      </w:r>
      <w:r>
        <w:rPr>
          <w:lang w:eastAsia="zh-CN"/>
        </w:rPr>
        <w:t>1）已经配备了必要的应急物资和应急设备；</w:t>
      </w:r>
    </w:p>
    <w:p w14:paraId="1AAB9768">
      <w:pPr>
        <w:pStyle w:val="124"/>
        <w:rPr>
          <w:lang w:eastAsia="zh-CN"/>
        </w:rPr>
      </w:pPr>
      <w:r>
        <w:rPr>
          <w:rFonts w:hint="eastAsia"/>
          <w:lang w:eastAsia="zh-CN"/>
        </w:rPr>
        <w:t>（</w:t>
      </w:r>
      <w:r>
        <w:rPr>
          <w:lang w:eastAsia="zh-CN"/>
        </w:rPr>
        <w:t>2）公司已设置由专兼职人员组成的应急救援队伍；</w:t>
      </w:r>
    </w:p>
    <w:p w14:paraId="4653607E">
      <w:pPr>
        <w:pStyle w:val="124"/>
        <w:rPr>
          <w:lang w:eastAsia="zh-CN"/>
        </w:rPr>
      </w:pPr>
      <w:r>
        <w:rPr>
          <w:rFonts w:hint="eastAsia"/>
          <w:lang w:eastAsia="zh-CN"/>
        </w:rPr>
        <w:t>（</w:t>
      </w:r>
      <w:r>
        <w:rPr>
          <w:lang w:eastAsia="zh-CN"/>
        </w:rPr>
        <w:t>3）外部救援机构均为政府职能部门或服务性机构，公司与</w:t>
      </w:r>
      <w:r>
        <w:rPr>
          <w:rFonts w:hint="eastAsia"/>
          <w:lang w:eastAsia="zh-CN"/>
        </w:rPr>
        <w:t>周边企业</w:t>
      </w:r>
      <w:r>
        <w:rPr>
          <w:lang w:eastAsia="zh-CN"/>
        </w:rPr>
        <w:t>签订应急救援协议或互救协议，一旦发生突发环境事件，需要实施外部救援时，相关部门本着“以人为本，快速响应”的原则，有责任和义务对本公司进行应急救援。</w:t>
      </w:r>
    </w:p>
    <w:p w14:paraId="07004A2E">
      <w:pPr>
        <w:pStyle w:val="7"/>
        <w:spacing w:before="120"/>
        <w:rPr>
          <w:rFonts w:cs="Times New Roman"/>
        </w:rPr>
      </w:pPr>
      <w:bookmarkStart w:id="92" w:name="_Toc127256788"/>
      <w:bookmarkStart w:id="93" w:name="_Toc19554"/>
      <w:bookmarkStart w:id="94" w:name="_Hlk95226186"/>
      <w:r>
        <w:rPr>
          <w:rFonts w:hint="eastAsia" w:cs="Times New Roman"/>
          <w:lang w:val="en-US" w:eastAsia="zh-CN"/>
        </w:rPr>
        <w:t>5.4</w:t>
      </w:r>
      <w:r>
        <w:rPr>
          <w:rFonts w:hint="eastAsia" w:cs="Times New Roman"/>
        </w:rPr>
        <w:t>历史经验总结教训</w:t>
      </w:r>
      <w:bookmarkEnd w:id="92"/>
      <w:bookmarkEnd w:id="93"/>
    </w:p>
    <w:bookmarkEnd w:id="94"/>
    <w:p w14:paraId="48BC42AA">
      <w:pPr>
        <w:pStyle w:val="124"/>
        <w:rPr>
          <w:lang w:eastAsia="zh-CN"/>
        </w:rPr>
      </w:pPr>
      <w:r>
        <w:rPr>
          <w:rFonts w:hint="eastAsia"/>
          <w:lang w:eastAsia="zh-CN"/>
        </w:rPr>
        <w:t>对前文收集的国内同类企业突发环境事件案例进行分析、总结，案例中企业生产装置区及储罐区火灾爆炸事故发生的主要原因有：高危操作单元监控措施不到位；使用违规、落后设备从事生产；员工违规违章操作。</w:t>
      </w:r>
    </w:p>
    <w:p w14:paraId="78E0BBD3">
      <w:pPr>
        <w:pStyle w:val="124"/>
        <w:rPr>
          <w:lang w:eastAsia="zh-CN"/>
        </w:rPr>
      </w:pPr>
      <w:r>
        <w:rPr>
          <w:rFonts w:hint="eastAsia"/>
          <w:lang w:eastAsia="zh-CN"/>
        </w:rPr>
        <w:t>公司引以为戒、吸取历史经验教训，针对上述酿成事故的原因，采取了如下相应对策：</w:t>
      </w:r>
    </w:p>
    <w:p w14:paraId="5EA2C68C">
      <w:pPr>
        <w:pStyle w:val="124"/>
        <w:rPr>
          <w:lang w:eastAsia="zh-CN"/>
        </w:rPr>
      </w:pPr>
      <w:r>
        <w:rPr>
          <w:lang w:eastAsia="zh-CN"/>
        </w:rPr>
        <w:t>1、</w:t>
      </w:r>
      <w:r>
        <w:rPr>
          <w:rFonts w:hint="eastAsia"/>
          <w:lang w:eastAsia="zh-CN"/>
        </w:rPr>
        <w:t>重视安全生产管理中暴露出的问题，及时整改</w:t>
      </w:r>
      <w:r>
        <w:rPr>
          <w:lang w:eastAsia="zh-CN"/>
        </w:rPr>
        <w:t>，</w:t>
      </w:r>
      <w:r>
        <w:rPr>
          <w:rFonts w:hint="eastAsia"/>
          <w:lang w:eastAsia="zh-CN"/>
        </w:rPr>
        <w:t>严格执行安全生产管理制度，</w:t>
      </w:r>
      <w:r>
        <w:rPr>
          <w:lang w:eastAsia="zh-CN"/>
        </w:rPr>
        <w:t>安全操作；</w:t>
      </w:r>
    </w:p>
    <w:p w14:paraId="08920672">
      <w:pPr>
        <w:pStyle w:val="124"/>
        <w:rPr>
          <w:lang w:eastAsia="zh-CN"/>
        </w:rPr>
      </w:pPr>
      <w:r>
        <w:rPr>
          <w:lang w:eastAsia="zh-CN"/>
        </w:rPr>
        <w:t>2、</w:t>
      </w:r>
      <w:r>
        <w:rPr>
          <w:rFonts w:hint="eastAsia"/>
          <w:lang w:eastAsia="zh-CN"/>
        </w:rPr>
        <w:t>加强企业生产安全监管</w:t>
      </w:r>
      <w:r>
        <w:rPr>
          <w:lang w:eastAsia="zh-CN"/>
        </w:rPr>
        <w:t>。定期开展生产检修，采用探测仪探伤，发现问题及时修补，有必要时进行更换，保证设备满足负荷要求、安全生产。</w:t>
      </w:r>
    </w:p>
    <w:p w14:paraId="65C94197">
      <w:pPr>
        <w:pStyle w:val="124"/>
        <w:pageBreakBefore w:val="0"/>
        <w:kinsoku/>
        <w:wordWrap/>
        <w:overflowPunct/>
        <w:topLinePunct w:val="0"/>
        <w:autoSpaceDE/>
        <w:autoSpaceDN/>
        <w:bidi w:val="0"/>
        <w:textAlignment w:val="auto"/>
        <w:rPr>
          <w:lang w:eastAsia="zh-CN"/>
        </w:rPr>
      </w:pPr>
      <w:r>
        <w:rPr>
          <w:lang w:eastAsia="zh-CN"/>
        </w:rPr>
        <w:t>3、加强管理，定期开展员工培训，提高员工素质、增强操作技能；内部、外部培训后进行考试。对员工考核结果应记录备案，考试通过即为合格。考试合格者才能使用，不合格者应继续补习，直到合格为止，做到上岗持证；为加强公司员工按章规范操作的主动性、自觉性，制定并落实内部奖惩措施。</w:t>
      </w:r>
    </w:p>
    <w:p w14:paraId="52F00DE3">
      <w:pPr>
        <w:pStyle w:val="7"/>
        <w:pageBreakBefore w:val="0"/>
        <w:kinsoku/>
        <w:wordWrap/>
        <w:overflowPunct/>
        <w:topLinePunct w:val="0"/>
        <w:autoSpaceDE/>
        <w:autoSpaceDN/>
        <w:bidi w:val="0"/>
        <w:spacing w:before="0" w:after="0"/>
        <w:textAlignment w:val="auto"/>
        <w:rPr>
          <w:rFonts w:cs="Times New Roman"/>
        </w:rPr>
      </w:pPr>
      <w:bookmarkStart w:id="95" w:name="_Toc127256789"/>
      <w:bookmarkStart w:id="96" w:name="_Toc21430"/>
      <w:r>
        <w:rPr>
          <w:rFonts w:hint="eastAsia" w:cs="Times New Roman"/>
          <w:lang w:val="en-US" w:eastAsia="zh-CN"/>
        </w:rPr>
        <w:t>5.5</w:t>
      </w:r>
      <w:r>
        <w:rPr>
          <w:rFonts w:hint="eastAsia" w:cs="Times New Roman"/>
        </w:rPr>
        <w:t>需要整改的短期、中期和长期项目内容</w:t>
      </w:r>
      <w:bookmarkEnd w:id="95"/>
      <w:bookmarkEnd w:id="96"/>
    </w:p>
    <w:p w14:paraId="20F5F87C">
      <w:pPr>
        <w:pageBreakBefore w:val="0"/>
        <w:kinsoku/>
        <w:wordWrap/>
        <w:overflowPunct/>
        <w:topLinePunct w:val="0"/>
        <w:autoSpaceDE/>
        <w:autoSpaceDN/>
        <w:bidi w:val="0"/>
        <w:snapToGrid w:val="0"/>
        <w:spacing w:line="360" w:lineRule="auto"/>
        <w:ind w:firstLine="560"/>
        <w:textAlignment w:val="auto"/>
        <w:rPr>
          <w:sz w:val="24"/>
          <w:szCs w:val="24"/>
        </w:rPr>
      </w:pPr>
      <w:r>
        <w:rPr>
          <w:sz w:val="24"/>
          <w:szCs w:val="24"/>
        </w:rPr>
        <w:t>针对上述排查的每一项差距和隐患，根据其危害性、紧迫性和治理时间的长短，提出需要完成整改的期限， 分别按短期（3个月以内）、中期（3-6个月）和长期（6个月以上）给出。</w:t>
      </w:r>
    </w:p>
    <w:p w14:paraId="4C3F59FE">
      <w:pPr>
        <w:snapToGrid w:val="0"/>
        <w:spacing w:line="360" w:lineRule="auto"/>
        <w:ind w:firstLine="560"/>
        <w:rPr>
          <w:sz w:val="24"/>
          <w:szCs w:val="24"/>
        </w:rPr>
      </w:pPr>
      <w:r>
        <w:rPr>
          <w:sz w:val="24"/>
          <w:szCs w:val="24"/>
        </w:rPr>
        <w:t>长期（6个月以上）：定期开展安全生产动员大会和定期组织员工进行专题培训，形式有内部专家培训讲座及外部培训班等。</w:t>
      </w:r>
      <w:r>
        <w:rPr>
          <w:rFonts w:hint="eastAsia"/>
          <w:sz w:val="24"/>
          <w:szCs w:val="24"/>
        </w:rPr>
        <w:t>全面推进环境安全防控体系建设，积极开展风险评估，编制预案，开展应急演练。</w:t>
      </w:r>
    </w:p>
    <w:p w14:paraId="3775FD45">
      <w:pPr>
        <w:snapToGrid w:val="0"/>
        <w:spacing w:line="360" w:lineRule="auto"/>
        <w:ind w:firstLine="560"/>
        <w:rPr>
          <w:sz w:val="24"/>
          <w:szCs w:val="24"/>
        </w:rPr>
      </w:pPr>
      <w:r>
        <w:rPr>
          <w:sz w:val="24"/>
          <w:szCs w:val="24"/>
        </w:rPr>
        <w:t>中期（3-6个月）：明确环境风险防控重点岗位的责任机构，落实到人，开展定期巡检和维护工作</w:t>
      </w:r>
      <w:r>
        <w:rPr>
          <w:rFonts w:hint="eastAsia"/>
          <w:sz w:val="24"/>
          <w:szCs w:val="24"/>
        </w:rPr>
        <w:t>；建设并运行环境风险防范设施，实行全员、全过程、全方位安全管控；组织项目环保、安全竣工验收；定期防腐检修设施设备。</w:t>
      </w:r>
    </w:p>
    <w:p w14:paraId="5FD80ABF">
      <w:pPr>
        <w:pStyle w:val="124"/>
        <w:keepLines w:val="0"/>
        <w:pageBreakBefore w:val="0"/>
        <w:kinsoku/>
        <w:wordWrap/>
        <w:overflowPunct/>
        <w:topLinePunct w:val="0"/>
        <w:autoSpaceDE/>
        <w:autoSpaceDN/>
        <w:bidi w:val="0"/>
        <w:textAlignment w:val="auto"/>
        <w:rPr>
          <w:spacing w:val="-2"/>
          <w:sz w:val="24"/>
          <w:szCs w:val="24"/>
          <w:lang w:eastAsia="zh-CN"/>
        </w:rPr>
      </w:pPr>
      <w:r>
        <w:rPr>
          <w:rFonts w:ascii="宋体" w:hAnsi="宋体"/>
          <w:sz w:val="24"/>
          <w:szCs w:val="24"/>
          <w:lang w:eastAsia="zh-CN"/>
        </w:rPr>
        <w:t>短期（3个月以内）：</w:t>
      </w:r>
      <w:r>
        <w:rPr>
          <w:rFonts w:hint="eastAsia" w:ascii="宋体" w:hAnsi="宋体"/>
          <w:sz w:val="24"/>
          <w:szCs w:val="24"/>
          <w:lang w:eastAsia="zh-CN"/>
        </w:rPr>
        <w:t>雨水总排口、事故池门口完善标志牌，并由专人负责；制订和完善环境风险防控和应急措施制度；应按规范备足应急所需工具，补充相应应急救援装备、物资、药品等，并悬挂应急物资一览表，明确物资种类、数量、存放位置，责任人等；加强现场、人员管理，确保各项规章制度落实到位。</w:t>
      </w:r>
    </w:p>
    <w:p w14:paraId="2837254D">
      <w:pPr>
        <w:pStyle w:val="6"/>
        <w:keepLines w:val="0"/>
        <w:pageBreakBefore w:val="0"/>
        <w:kinsoku/>
        <w:wordWrap/>
        <w:overflowPunct/>
        <w:topLinePunct w:val="0"/>
        <w:autoSpaceDE/>
        <w:autoSpaceDN/>
        <w:bidi w:val="0"/>
        <w:spacing w:beforeLines="0" w:afterLines="0"/>
        <w:textAlignment w:val="auto"/>
        <w:rPr>
          <w:rFonts w:ascii="Times New Roman" w:hAnsi="Times New Roman" w:cs="Times New Roman"/>
        </w:rPr>
      </w:pPr>
      <w:bookmarkStart w:id="97" w:name="_Toc127256790"/>
      <w:bookmarkStart w:id="98" w:name="_Toc7459"/>
      <w:r>
        <w:rPr>
          <w:rFonts w:hint="eastAsia" w:ascii="Times New Roman" w:hAnsi="Times New Roman" w:cs="Times New Roman"/>
          <w:lang w:val="en-US" w:eastAsia="zh-CN"/>
        </w:rPr>
        <w:t>6</w:t>
      </w:r>
      <w:r>
        <w:rPr>
          <w:rFonts w:ascii="Times New Roman" w:hAnsi="Times New Roman" w:cs="Times New Roman"/>
        </w:rPr>
        <w:t>完善环境风险防控和应急措施的实施计划</w:t>
      </w:r>
      <w:bookmarkEnd w:id="90"/>
      <w:bookmarkEnd w:id="97"/>
      <w:bookmarkEnd w:id="98"/>
    </w:p>
    <w:p w14:paraId="44A47FA8">
      <w:pPr>
        <w:keepLines w:val="0"/>
        <w:pageBreakBefore w:val="0"/>
        <w:kinsoku/>
        <w:wordWrap/>
        <w:overflowPunct/>
        <w:topLinePunct w:val="0"/>
        <w:autoSpaceDE/>
        <w:autoSpaceDN/>
        <w:bidi w:val="0"/>
        <w:snapToGrid w:val="0"/>
        <w:spacing w:line="360" w:lineRule="auto"/>
        <w:ind w:firstLine="560"/>
        <w:textAlignment w:val="auto"/>
        <w:rPr>
          <w:sz w:val="24"/>
          <w:szCs w:val="24"/>
        </w:rPr>
      </w:pPr>
      <w:bookmarkStart w:id="99" w:name="_Toc73285832"/>
      <w:r>
        <w:rPr>
          <w:sz w:val="24"/>
          <w:szCs w:val="24"/>
        </w:rPr>
        <w:t>对</w:t>
      </w:r>
      <w:r>
        <w:rPr>
          <w:rFonts w:hint="eastAsia"/>
          <w:sz w:val="24"/>
          <w:szCs w:val="24"/>
          <w:lang w:eastAsia="zh-CN"/>
        </w:rPr>
        <w:t>公司</w:t>
      </w:r>
      <w:r>
        <w:rPr>
          <w:sz w:val="24"/>
          <w:szCs w:val="24"/>
        </w:rPr>
        <w:t>需要整改的短期、中期和长期项目，分别制定完善环境风险防控和应急措施的实施计划如下。</w:t>
      </w:r>
    </w:p>
    <w:p w14:paraId="0D25F3A9">
      <w:pPr>
        <w:keepLines w:val="0"/>
        <w:pageBreakBefore w:val="0"/>
        <w:kinsoku/>
        <w:wordWrap/>
        <w:overflowPunct/>
        <w:topLinePunct w:val="0"/>
        <w:autoSpaceDE/>
        <w:autoSpaceDN/>
        <w:bidi w:val="0"/>
        <w:snapToGrid w:val="0"/>
        <w:spacing w:line="360" w:lineRule="auto"/>
        <w:ind w:firstLine="560"/>
        <w:textAlignment w:val="auto"/>
        <w:rPr>
          <w:sz w:val="24"/>
          <w:szCs w:val="24"/>
        </w:rPr>
      </w:pPr>
      <w:r>
        <w:rPr>
          <w:sz w:val="24"/>
          <w:szCs w:val="24"/>
        </w:rPr>
        <w:t>长期（</w:t>
      </w:r>
      <w:r>
        <w:rPr>
          <w:rFonts w:hint="eastAsia"/>
          <w:sz w:val="24"/>
          <w:szCs w:val="24"/>
        </w:rPr>
        <w:t>负责人：</w:t>
      </w:r>
      <w:r>
        <w:rPr>
          <w:rFonts w:hint="eastAsia"/>
          <w:sz w:val="24"/>
          <w:szCs w:val="24"/>
          <w:lang w:eastAsia="zh-CN"/>
        </w:rPr>
        <w:t>崔成武</w:t>
      </w:r>
      <w:r>
        <w:rPr>
          <w:sz w:val="24"/>
          <w:szCs w:val="24"/>
        </w:rPr>
        <w:t>）：定期开展安全生产动员大会和定期组织员工进行专题培训，形式有内部培训及外部培训班等。</w:t>
      </w:r>
      <w:r>
        <w:rPr>
          <w:rFonts w:hint="eastAsia"/>
          <w:sz w:val="24"/>
          <w:szCs w:val="24"/>
        </w:rPr>
        <w:t>全面推进环境安全防控体系建设，积极开展风险评估，编制预案，开展应急演练。</w:t>
      </w:r>
    </w:p>
    <w:p w14:paraId="7E593FE5">
      <w:pPr>
        <w:snapToGrid w:val="0"/>
        <w:spacing w:line="360" w:lineRule="auto"/>
        <w:ind w:firstLine="560"/>
        <w:rPr>
          <w:sz w:val="24"/>
          <w:szCs w:val="24"/>
        </w:rPr>
      </w:pPr>
      <w:r>
        <w:rPr>
          <w:sz w:val="24"/>
          <w:szCs w:val="24"/>
        </w:rPr>
        <w:t>中期（</w:t>
      </w:r>
      <w:r>
        <w:rPr>
          <w:rFonts w:hint="eastAsia"/>
          <w:sz w:val="24"/>
          <w:szCs w:val="24"/>
        </w:rPr>
        <w:t>负责人：</w:t>
      </w:r>
      <w:r>
        <w:rPr>
          <w:rFonts w:hint="eastAsia"/>
          <w:sz w:val="24"/>
          <w:szCs w:val="24"/>
          <w:lang w:eastAsia="zh-CN"/>
        </w:rPr>
        <w:t>王庆</w:t>
      </w:r>
      <w:r>
        <w:rPr>
          <w:sz w:val="24"/>
          <w:szCs w:val="24"/>
        </w:rPr>
        <w:t>）：</w:t>
      </w:r>
      <w:r>
        <w:rPr>
          <w:rFonts w:hint="eastAsia"/>
          <w:sz w:val="24"/>
          <w:szCs w:val="24"/>
        </w:rPr>
        <w:t>明确环境风险防控重点岗位的责任机构，落实到人，开展定期巡检和维护工作；建设并运行环境风险防范设施，实行全员、全过程、全方位安全管控；组织项目环保、安全竣工验收；定期防腐检修设施设备。</w:t>
      </w:r>
    </w:p>
    <w:p w14:paraId="4BB610DF">
      <w:pPr>
        <w:pStyle w:val="124"/>
        <w:rPr>
          <w:spacing w:val="-2"/>
          <w:sz w:val="24"/>
          <w:szCs w:val="24"/>
          <w:lang w:eastAsia="zh-CN"/>
        </w:rPr>
      </w:pPr>
      <w:r>
        <w:rPr>
          <w:rFonts w:ascii="宋体" w:hAnsi="宋体"/>
          <w:sz w:val="24"/>
          <w:szCs w:val="24"/>
          <w:lang w:eastAsia="zh-CN"/>
        </w:rPr>
        <w:t>短期（</w:t>
      </w:r>
      <w:r>
        <w:rPr>
          <w:rFonts w:hint="eastAsia" w:ascii="宋体" w:hAnsi="宋体"/>
          <w:sz w:val="24"/>
          <w:szCs w:val="24"/>
          <w:lang w:eastAsia="zh-CN"/>
        </w:rPr>
        <w:t>负责人：王凯</w:t>
      </w:r>
      <w:r>
        <w:rPr>
          <w:rFonts w:ascii="宋体" w:hAnsi="宋体"/>
          <w:sz w:val="24"/>
          <w:szCs w:val="24"/>
          <w:lang w:eastAsia="zh-CN"/>
        </w:rPr>
        <w:t>）：</w:t>
      </w:r>
      <w:r>
        <w:rPr>
          <w:rFonts w:hint="eastAsia" w:ascii="宋体" w:hAnsi="宋体"/>
          <w:sz w:val="24"/>
          <w:szCs w:val="24"/>
          <w:lang w:eastAsia="zh-CN"/>
        </w:rPr>
        <w:t>雨水总排口、事故池门口完善标志牌，并由专人负责；制订和完善环境风险防控和应急措施制度；应按规范备足应急所需工具，补充相应应急救援装备、物资、药品等，并悬挂应急物资一览表，明确物资种类、数量、存放位置，责任人等；加强现场、人员管理，确保各项规章制度落实到位。</w:t>
      </w:r>
    </w:p>
    <w:p w14:paraId="36B52EE8">
      <w:pPr>
        <w:pStyle w:val="6"/>
        <w:spacing w:before="120"/>
        <w:rPr>
          <w:rFonts w:ascii="Times New Roman" w:hAnsi="Times New Roman" w:cs="Times New Roman"/>
        </w:rPr>
      </w:pPr>
      <w:bookmarkStart w:id="100" w:name="_Toc15759"/>
      <w:bookmarkStart w:id="101" w:name="_Toc127256791"/>
      <w:r>
        <w:rPr>
          <w:rFonts w:hint="eastAsia" w:ascii="Times New Roman" w:hAnsi="Times New Roman" w:cs="Times New Roman"/>
          <w:lang w:val="en-US" w:eastAsia="zh-CN"/>
        </w:rPr>
        <w:t>7</w:t>
      </w:r>
      <w:r>
        <w:rPr>
          <w:rFonts w:ascii="Times New Roman" w:hAnsi="Times New Roman" w:cs="Times New Roman"/>
        </w:rPr>
        <w:t>企业突发环境事件风险等级</w:t>
      </w:r>
      <w:bookmarkEnd w:id="99"/>
      <w:bookmarkEnd w:id="100"/>
      <w:bookmarkEnd w:id="101"/>
    </w:p>
    <w:p w14:paraId="15BA01C4">
      <w:pPr>
        <w:pStyle w:val="124"/>
        <w:rPr>
          <w:lang w:eastAsia="zh-CN"/>
        </w:rPr>
      </w:pPr>
      <w:bookmarkStart w:id="102" w:name="_Hlk111213232"/>
      <w:r>
        <w:rPr>
          <w:rFonts w:hint="eastAsia"/>
          <w:lang w:eastAsia="zh-CN"/>
        </w:rPr>
        <w:t>根据公司生产、使用、存储和释放的突发环境事件风险物质数量与其临界量的比值（</w:t>
      </w:r>
      <w:r>
        <w:rPr>
          <w:lang w:eastAsia="zh-CN"/>
        </w:rPr>
        <w:t>Q），</w:t>
      </w:r>
      <w:r>
        <w:rPr>
          <w:rFonts w:hint="eastAsia"/>
          <w:lang w:eastAsia="zh-CN"/>
        </w:rPr>
        <w:t>评估生产工艺过程与环境风险控制水平（</w:t>
      </w:r>
      <w:r>
        <w:rPr>
          <w:lang w:eastAsia="zh-CN"/>
        </w:rPr>
        <w:t>M）以及环境风险受体敏感程度（E）的评估分析</w:t>
      </w:r>
      <w:r>
        <w:rPr>
          <w:rFonts w:hint="eastAsia"/>
          <w:lang w:eastAsia="zh-CN"/>
        </w:rPr>
        <w:t>结果，分别评估企业突发大气环境事件风险和突发水环境事件风险，将企业突发大气或水环境事件风险等级划分为一般环境风险、较大环境风险和重大环境风险三级，分别用蓝色、黄色和红色标识。同时涉及突发大气和水环境事件风险的企业，以等级高者确定企业突发环境事件风险等级。</w:t>
      </w:r>
    </w:p>
    <w:p w14:paraId="553E1017">
      <w:pPr>
        <w:pStyle w:val="124"/>
        <w:rPr>
          <w:lang w:eastAsia="zh-CN"/>
        </w:rPr>
      </w:pPr>
      <w:r>
        <w:rPr>
          <w:lang w:eastAsia="zh-CN"/>
        </w:rPr>
        <w:t>突发环境事件风险评估程序见</w:t>
      </w:r>
      <w:r>
        <w:rPr>
          <w:rFonts w:hint="eastAsia"/>
          <w:lang w:eastAsia="zh-CN"/>
        </w:rPr>
        <w:t>下图</w:t>
      </w:r>
      <w:r>
        <w:rPr>
          <w:lang w:eastAsia="zh-CN"/>
        </w:rPr>
        <w:t>。</w:t>
      </w:r>
    </w:p>
    <w:p w14:paraId="655F8B83">
      <w:pPr>
        <w:pStyle w:val="130"/>
        <w:spacing w:after="240"/>
      </w:pPr>
      <w:bookmarkStart w:id="103" w:name="_Ref95141388"/>
      <w:r>
        <w:drawing>
          <wp:anchor distT="0" distB="0" distL="114300" distR="114300" simplePos="0" relativeHeight="251666432" behindDoc="0" locked="0" layoutInCell="1" allowOverlap="1">
            <wp:simplePos x="0" y="0"/>
            <wp:positionH relativeFrom="column">
              <wp:posOffset>541655</wp:posOffset>
            </wp:positionH>
            <wp:positionV relativeFrom="paragraph">
              <wp:posOffset>41910</wp:posOffset>
            </wp:positionV>
            <wp:extent cx="5181600" cy="4515485"/>
            <wp:effectExtent l="0" t="0" r="0" b="18415"/>
            <wp:wrapTopAndBottom/>
            <wp:docPr id="24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 descr="图示&#10;&#10;描述已自动生成"/>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181600" cy="4515485"/>
                    </a:xfrm>
                    <a:prstGeom prst="rect">
                      <a:avLst/>
                    </a:prstGeom>
                    <a:noFill/>
                    <a:ln>
                      <a:noFill/>
                    </a:ln>
                  </pic:spPr>
                </pic:pic>
              </a:graphicData>
            </a:graphic>
          </wp:anchor>
        </w:drawing>
      </w:r>
      <w:bookmarkEnd w:id="103"/>
      <w:r>
        <w:t>企业突发环境事件风险等级划分流程示意图</w:t>
      </w:r>
    </w:p>
    <w:bookmarkEnd w:id="102"/>
    <w:p w14:paraId="638F3B11">
      <w:pPr>
        <w:pStyle w:val="7"/>
        <w:spacing w:before="120"/>
        <w:rPr>
          <w:rFonts w:cs="Times New Roman"/>
        </w:rPr>
      </w:pPr>
      <w:bookmarkStart w:id="104" w:name="_Toc73285833"/>
      <w:bookmarkStart w:id="105" w:name="_Toc21860"/>
      <w:bookmarkStart w:id="106" w:name="_Toc127256792"/>
      <w:r>
        <w:rPr>
          <w:rFonts w:hint="eastAsia" w:cs="Times New Roman"/>
          <w:lang w:val="en-US" w:eastAsia="zh-CN"/>
        </w:rPr>
        <w:t>7.1</w:t>
      </w:r>
      <w:r>
        <w:rPr>
          <w:rFonts w:cs="Times New Roman"/>
        </w:rPr>
        <w:t>企业突发大气环境事件风险等级</w:t>
      </w:r>
      <w:bookmarkEnd w:id="104"/>
      <w:bookmarkEnd w:id="105"/>
      <w:bookmarkEnd w:id="106"/>
    </w:p>
    <w:p w14:paraId="3C919A03">
      <w:pPr>
        <w:pStyle w:val="8"/>
        <w:rPr>
          <w:rFonts w:hint="eastAsia" w:ascii="宋体" w:hAnsi="宋体" w:eastAsia="宋体" w:cs="宋体"/>
          <w:sz w:val="24"/>
          <w:szCs w:val="24"/>
        </w:rPr>
      </w:pPr>
      <w:r>
        <w:rPr>
          <w:rFonts w:hint="eastAsia"/>
          <w:sz w:val="24"/>
          <w:szCs w:val="24"/>
          <w:lang w:val="en-US" w:eastAsia="zh-CN"/>
        </w:rPr>
        <w:t>7.1.</w:t>
      </w:r>
      <w:r>
        <w:rPr>
          <w:rFonts w:hint="eastAsia" w:ascii="宋体" w:hAnsi="宋体" w:eastAsia="宋体" w:cs="宋体"/>
          <w:sz w:val="24"/>
          <w:szCs w:val="24"/>
          <w:lang w:val="en-US" w:eastAsia="zh-CN"/>
        </w:rPr>
        <w:t>1</w:t>
      </w:r>
      <w:r>
        <w:rPr>
          <w:rFonts w:hint="eastAsia" w:ascii="宋体" w:hAnsi="宋体" w:eastAsia="宋体" w:cs="宋体"/>
          <w:sz w:val="24"/>
          <w:szCs w:val="24"/>
        </w:rPr>
        <w:t>计算涉气风险物质与临界量比值（Q）</w:t>
      </w:r>
    </w:p>
    <w:p w14:paraId="46FDC6BA">
      <w:pPr>
        <w:pStyle w:val="124"/>
        <w:spacing w:before="120" w:after="120"/>
        <w:rPr>
          <w:rFonts w:hint="eastAsia" w:ascii="宋体" w:hAnsi="宋体" w:eastAsia="宋体" w:cs="宋体"/>
          <w:sz w:val="24"/>
          <w:szCs w:val="24"/>
          <w:lang w:eastAsia="zh-CN"/>
        </w:rPr>
      </w:pPr>
      <w:r>
        <w:rPr>
          <w:rFonts w:hint="eastAsia" w:ascii="宋体" w:hAnsi="宋体" w:eastAsia="宋体" w:cs="宋体"/>
          <w:sz w:val="24"/>
          <w:szCs w:val="24"/>
          <w:lang w:eastAsia="zh-CN"/>
        </w:rPr>
        <w:t>计算涉气风险物质在厂界内的存在量（如存在量呈动态变化，则按年度内最大存在量计算）与《企业突发环境事件风险分级方法》（2018.3.1）附录 A 中第一、第二、第三、第四、第六部分全部风险物质以及第八部分中除 NH3-N浓度≥2000mg/L的废液、COD浓度≥10000mg/L的有机废液之外的气态和可挥发造成突发大气环境事件的固态、液态风险物质临界量的比值 Q：</w:t>
      </w:r>
    </w:p>
    <w:p w14:paraId="27D97ABF">
      <w:pPr>
        <w:pStyle w:val="124"/>
        <w:spacing w:before="120" w:after="120"/>
        <w:rPr>
          <w:rFonts w:hint="eastAsia" w:ascii="宋体" w:hAnsi="宋体" w:eastAsia="宋体" w:cs="宋体"/>
          <w:sz w:val="24"/>
          <w:szCs w:val="24"/>
          <w:lang w:eastAsia="zh-CN"/>
        </w:rPr>
      </w:pPr>
      <w:r>
        <w:rPr>
          <w:rFonts w:hint="eastAsia" w:ascii="宋体" w:hAnsi="宋体" w:eastAsia="宋体" w:cs="宋体"/>
          <w:sz w:val="24"/>
          <w:szCs w:val="24"/>
          <w:lang w:eastAsia="zh-CN"/>
        </w:rPr>
        <w:t>（1）当企业只涉及一种风险物质时，该物质的数量与其临界量比值，即为 Q。</w:t>
      </w:r>
    </w:p>
    <w:p w14:paraId="0F417D92">
      <w:pPr>
        <w:pStyle w:val="124"/>
        <w:spacing w:before="120" w:after="120"/>
        <w:rPr>
          <w:rFonts w:hint="eastAsia" w:ascii="宋体" w:hAnsi="宋体" w:eastAsia="宋体" w:cs="宋体"/>
          <w:sz w:val="24"/>
          <w:szCs w:val="24"/>
          <w:lang w:eastAsia="zh-CN"/>
        </w:rPr>
      </w:pPr>
      <w:r>
        <w:rPr>
          <w:rFonts w:hint="eastAsia" w:ascii="宋体" w:hAnsi="宋体" w:eastAsia="宋体" w:cs="宋体"/>
          <w:sz w:val="24"/>
          <w:szCs w:val="24"/>
          <w:lang w:eastAsia="zh-CN"/>
        </w:rPr>
        <w:t>（2）当企业存在多种风险物质时，则按式（1）计算：</w:t>
      </w:r>
    </w:p>
    <w:p w14:paraId="40598752">
      <w:pPr>
        <w:jc w:val="center"/>
        <w:rPr>
          <w:rFonts w:hint="eastAsia" w:ascii="宋体" w:hAnsi="宋体" w:eastAsia="宋体" w:cs="宋体"/>
          <w:sz w:val="24"/>
          <w:szCs w:val="24"/>
        </w:rPr>
      </w:pPr>
      <w:r>
        <w:rPr>
          <w:rFonts w:hint="eastAsia"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4105275</wp:posOffset>
            </wp:positionH>
            <wp:positionV relativeFrom="paragraph">
              <wp:posOffset>146685</wp:posOffset>
            </wp:positionV>
            <wp:extent cx="447675" cy="285750"/>
            <wp:effectExtent l="0" t="0" r="9525" b="0"/>
            <wp:wrapThrough wrapText="bothSides">
              <wp:wrapPolygon>
                <wp:start x="0" y="0"/>
                <wp:lineTo x="0" y="20160"/>
                <wp:lineTo x="20436" y="20160"/>
                <wp:lineTo x="20436" y="0"/>
                <wp:lineTo x="0" y="0"/>
              </wp:wrapPolygon>
            </wp:wrapThrough>
            <wp:docPr id="30527" name="图片 3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7" name="图片 305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47675" cy="285750"/>
                    </a:xfrm>
                    <a:prstGeom prst="rect">
                      <a:avLst/>
                    </a:prstGeom>
                    <a:noFill/>
                  </pic:spPr>
                </pic:pic>
              </a:graphicData>
            </a:graphic>
          </wp:anchor>
        </w:drawing>
      </w:r>
      <w:r>
        <w:rPr>
          <w:rFonts w:hint="eastAsia" w:ascii="宋体" w:hAnsi="宋体" w:eastAsia="宋体" w:cs="宋体"/>
          <w:sz w:val="24"/>
          <w:szCs w:val="24"/>
        </w:rPr>
        <w:drawing>
          <wp:inline distT="0" distB="0" distL="0" distR="0">
            <wp:extent cx="2057400" cy="514350"/>
            <wp:effectExtent l="0" t="0" r="0" b="0"/>
            <wp:docPr id="30484" name="图片 3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4" name="图片 304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069264" cy="517316"/>
                    </a:xfrm>
                    <a:prstGeom prst="rect">
                      <a:avLst/>
                    </a:prstGeom>
                    <a:noFill/>
                    <a:ln>
                      <a:noFill/>
                    </a:ln>
                  </pic:spPr>
                </pic:pic>
              </a:graphicData>
            </a:graphic>
          </wp:inline>
        </w:drawing>
      </w:r>
    </w:p>
    <w:p w14:paraId="08968416">
      <w:pPr>
        <w:pStyle w:val="131"/>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式中：w</w:t>
      </w:r>
      <w:r>
        <w:rPr>
          <w:rFonts w:hint="eastAsia" w:ascii="宋体" w:hAnsi="宋体" w:eastAsia="宋体" w:cs="宋体"/>
          <w:sz w:val="24"/>
          <w:szCs w:val="24"/>
          <w:vertAlign w:val="subscript"/>
          <w:lang w:eastAsia="zh-CN"/>
        </w:rPr>
        <w:t>1</w:t>
      </w:r>
      <w:r>
        <w:rPr>
          <w:rFonts w:hint="eastAsia" w:ascii="宋体" w:hAnsi="宋体" w:eastAsia="宋体" w:cs="宋体"/>
          <w:sz w:val="24"/>
          <w:szCs w:val="24"/>
          <w:lang w:eastAsia="zh-CN"/>
        </w:rPr>
        <w:t>,w</w:t>
      </w:r>
      <w:r>
        <w:rPr>
          <w:rFonts w:hint="eastAsia" w:ascii="宋体" w:hAnsi="宋体" w:eastAsia="宋体" w:cs="宋体"/>
          <w:sz w:val="24"/>
          <w:szCs w:val="24"/>
          <w:vertAlign w:val="subscript"/>
          <w:lang w:eastAsia="zh-CN"/>
        </w:rPr>
        <w:t>2</w:t>
      </w:r>
      <w:r>
        <w:rPr>
          <w:rFonts w:hint="eastAsia" w:ascii="宋体" w:hAnsi="宋体" w:eastAsia="宋体" w:cs="宋体"/>
          <w:sz w:val="24"/>
          <w:szCs w:val="24"/>
          <w:lang w:eastAsia="zh-CN"/>
        </w:rPr>
        <w:t>,……，w</w:t>
      </w:r>
      <w:r>
        <w:rPr>
          <w:rFonts w:hint="eastAsia" w:ascii="宋体" w:hAnsi="宋体" w:eastAsia="宋体" w:cs="宋体"/>
          <w:sz w:val="24"/>
          <w:szCs w:val="24"/>
          <w:vertAlign w:val="subscript"/>
          <w:lang w:eastAsia="zh-CN"/>
        </w:rPr>
        <w:t>n</w:t>
      </w:r>
      <w:r>
        <w:rPr>
          <w:rFonts w:hint="eastAsia" w:ascii="宋体" w:hAnsi="宋体" w:eastAsia="宋体" w:cs="宋体"/>
          <w:sz w:val="24"/>
          <w:szCs w:val="24"/>
          <w:lang w:eastAsia="zh-CN"/>
        </w:rPr>
        <w:t>—— 每种环境风险物质的存在量，t；</w:t>
      </w:r>
    </w:p>
    <w:p w14:paraId="28353B61">
      <w:pPr>
        <w:pStyle w:val="131"/>
        <w:ind w:firstLine="1200" w:firstLineChars="500"/>
        <w:rPr>
          <w:rFonts w:hint="eastAsia" w:ascii="宋体" w:hAnsi="宋体" w:eastAsia="宋体" w:cs="宋体"/>
          <w:sz w:val="24"/>
          <w:szCs w:val="24"/>
          <w:lang w:eastAsia="zh-CN"/>
        </w:rPr>
      </w:pPr>
      <w:r>
        <w:rPr>
          <w:rFonts w:hint="eastAsia" w:ascii="宋体" w:hAnsi="宋体" w:eastAsia="宋体" w:cs="宋体"/>
          <w:sz w:val="24"/>
          <w:szCs w:val="24"/>
          <w:lang w:eastAsia="zh-CN"/>
        </w:rPr>
        <w:t>W</w:t>
      </w:r>
      <w:r>
        <w:rPr>
          <w:rFonts w:hint="eastAsia" w:ascii="宋体" w:hAnsi="宋体" w:eastAsia="宋体" w:cs="宋体"/>
          <w:sz w:val="24"/>
          <w:szCs w:val="24"/>
          <w:vertAlign w:val="subscript"/>
          <w:lang w:eastAsia="zh-CN"/>
        </w:rPr>
        <w:t>1</w:t>
      </w:r>
      <w:r>
        <w:rPr>
          <w:rFonts w:hint="eastAsia" w:ascii="宋体" w:hAnsi="宋体" w:eastAsia="宋体" w:cs="宋体"/>
          <w:sz w:val="24"/>
          <w:szCs w:val="24"/>
          <w:lang w:eastAsia="zh-CN"/>
        </w:rPr>
        <w:t>,W</w:t>
      </w:r>
      <w:r>
        <w:rPr>
          <w:rFonts w:hint="eastAsia" w:ascii="宋体" w:hAnsi="宋体" w:eastAsia="宋体" w:cs="宋体"/>
          <w:sz w:val="24"/>
          <w:szCs w:val="24"/>
          <w:vertAlign w:val="subscript"/>
          <w:lang w:eastAsia="zh-CN"/>
        </w:rPr>
        <w:t>2</w:t>
      </w:r>
      <w:r>
        <w:rPr>
          <w:rFonts w:hint="eastAsia" w:ascii="宋体" w:hAnsi="宋体" w:eastAsia="宋体" w:cs="宋体"/>
          <w:sz w:val="24"/>
          <w:szCs w:val="24"/>
          <w:lang w:eastAsia="zh-CN"/>
        </w:rPr>
        <w:t>,……，W</w:t>
      </w:r>
      <w:r>
        <w:rPr>
          <w:rFonts w:hint="eastAsia" w:ascii="宋体" w:hAnsi="宋体" w:eastAsia="宋体" w:cs="宋体"/>
          <w:sz w:val="24"/>
          <w:szCs w:val="24"/>
          <w:vertAlign w:val="subscript"/>
          <w:lang w:eastAsia="zh-CN"/>
        </w:rPr>
        <w:t>N</w:t>
      </w:r>
      <w:r>
        <w:rPr>
          <w:rFonts w:hint="eastAsia" w:ascii="宋体" w:hAnsi="宋体" w:eastAsia="宋体" w:cs="宋体"/>
          <w:sz w:val="24"/>
          <w:szCs w:val="24"/>
          <w:lang w:eastAsia="zh-CN"/>
        </w:rPr>
        <w:t>—— 每种环境风险物质的临界量，t。</w:t>
      </w:r>
    </w:p>
    <w:p w14:paraId="3892C498">
      <w:pPr>
        <w:pStyle w:val="131"/>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计算出Q值后，将Q值划分为4个水平，分别为：</w:t>
      </w:r>
    </w:p>
    <w:p w14:paraId="2F6E3045">
      <w:pPr>
        <w:pStyle w:val="131"/>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（1）Q＜1,以Q0表示，企业直接评为,一般环境风险等级；</w:t>
      </w:r>
    </w:p>
    <w:p w14:paraId="0B839C82">
      <w:pPr>
        <w:pStyle w:val="131"/>
        <w:ind w:firstLine="480"/>
        <w:rPr>
          <w:rFonts w:hint="eastAsia" w:ascii="宋体" w:hAnsi="宋体" w:eastAsia="宋体" w:cs="宋体"/>
          <w:sz w:val="24"/>
          <w:szCs w:val="24"/>
        </w:rPr>
      </w:pPr>
      <w:r>
        <w:rPr>
          <w:rFonts w:hint="eastAsia" w:ascii="宋体" w:hAnsi="宋体" w:eastAsia="宋体" w:cs="宋体"/>
          <w:sz w:val="24"/>
          <w:szCs w:val="24"/>
        </w:rPr>
        <w:t>（2）1≤Q＜10,以Q1表示；</w:t>
      </w:r>
    </w:p>
    <w:p w14:paraId="193231A7">
      <w:pPr>
        <w:pStyle w:val="131"/>
        <w:ind w:firstLine="480"/>
        <w:rPr>
          <w:rFonts w:hint="eastAsia" w:ascii="宋体" w:hAnsi="宋体" w:eastAsia="宋体" w:cs="宋体"/>
          <w:sz w:val="24"/>
          <w:szCs w:val="24"/>
        </w:rPr>
      </w:pPr>
      <w:r>
        <w:rPr>
          <w:rFonts w:hint="eastAsia" w:ascii="宋体" w:hAnsi="宋体" w:eastAsia="宋体" w:cs="宋体"/>
          <w:sz w:val="24"/>
          <w:szCs w:val="24"/>
        </w:rPr>
        <w:t>（3）10≤Q＜100,以Q2表示；</w:t>
      </w:r>
    </w:p>
    <w:p w14:paraId="773E0E46">
      <w:pPr>
        <w:pStyle w:val="131"/>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（4）Q≥100,以Q3表示。</w:t>
      </w:r>
    </w:p>
    <w:p w14:paraId="3D8576EF">
      <w:pPr>
        <w:snapToGrid w:val="0"/>
        <w:spacing w:line="360" w:lineRule="auto"/>
        <w:ind w:firstLine="560"/>
        <w:jc w:val="both"/>
        <w:rPr>
          <w:rFonts w:hint="eastAsia" w:ascii="宋体" w:hAnsi="宋体" w:eastAsia="宋体" w:cs="宋体"/>
          <w:spacing w:val="-2"/>
          <w:sz w:val="24"/>
          <w:szCs w:val="24"/>
        </w:rPr>
      </w:pPr>
      <w:r>
        <w:rPr>
          <w:rFonts w:hint="eastAsia" w:ascii="宋体" w:hAnsi="宋体" w:eastAsia="宋体" w:cs="宋体"/>
          <w:spacing w:val="-2"/>
          <w:sz w:val="24"/>
          <w:szCs w:val="24"/>
        </w:rPr>
        <w:t>对照《企业突发环境事件风险分级方法》（2018.3.1）附录 A 中涉气风险物质，企业涉气环境风险物质与临界量比值计算结果见</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REF _Ref95230072 \h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表 7.1</w:t>
      </w:r>
      <w:r>
        <w:rPr>
          <w:rFonts w:hint="eastAsia" w:ascii="宋体" w:hAnsi="宋体" w:eastAsia="宋体" w:cs="宋体"/>
          <w:sz w:val="24"/>
          <w:szCs w:val="24"/>
        </w:rPr>
        <w:noBreakHyphen/>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pacing w:val="-2"/>
          <w:sz w:val="24"/>
          <w:szCs w:val="24"/>
        </w:rPr>
        <w:t>。</w:t>
      </w:r>
    </w:p>
    <w:p w14:paraId="6AB17A03">
      <w:pPr>
        <w:pStyle w:val="128"/>
        <w:spacing w:before="72" w:after="48"/>
      </w:pPr>
      <w:bookmarkStart w:id="107" w:name="_Ref95230072"/>
      <w:r>
        <w:t xml:space="preserve">表 </w:t>
      </w:r>
      <w:r>
        <w:fldChar w:fldCharType="begin"/>
      </w:r>
      <w:r>
        <w:instrText xml:space="preserve"> STYLEREF 2 \s </w:instrText>
      </w:r>
      <w:r>
        <w:fldChar w:fldCharType="separate"/>
      </w:r>
      <w:r>
        <w:t>7.1</w:t>
      </w:r>
      <w:r>
        <w:fldChar w:fldCharType="end"/>
      </w:r>
      <w:r>
        <w:noBreakHyphen/>
      </w:r>
      <w:r>
        <w:fldChar w:fldCharType="begin"/>
      </w:r>
      <w:r>
        <w:instrText xml:space="preserve"> SEQ 表格 \* ARABIC \s 2 </w:instrText>
      </w:r>
      <w:r>
        <w:fldChar w:fldCharType="separate"/>
      </w:r>
      <w:r>
        <w:t>1</w:t>
      </w:r>
      <w:r>
        <w:fldChar w:fldCharType="end"/>
      </w:r>
      <w:bookmarkEnd w:id="107"/>
      <w:r>
        <w:t xml:space="preserve"> </w:t>
      </w:r>
      <w:r>
        <w:rPr>
          <w:rFonts w:hint="eastAsia"/>
        </w:rPr>
        <w:t>涉气</w:t>
      </w:r>
      <w:r>
        <w:t>环境风险物质与临界量的比值结果</w:t>
      </w:r>
    </w:p>
    <w:tbl>
      <w:tblPr>
        <w:tblStyle w:val="34"/>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431"/>
        <w:gridCol w:w="2160"/>
        <w:gridCol w:w="1950"/>
        <w:gridCol w:w="1554"/>
      </w:tblGrid>
      <w:tr w14:paraId="5C1F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129D793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431" w:type="dxa"/>
            <w:vAlign w:val="center"/>
          </w:tcPr>
          <w:p w14:paraId="21B461A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w:t>
            </w:r>
          </w:p>
        </w:tc>
        <w:tc>
          <w:tcPr>
            <w:tcW w:w="2160" w:type="dxa"/>
            <w:vAlign w:val="center"/>
          </w:tcPr>
          <w:p w14:paraId="3D22BA0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临界量（t）</w:t>
            </w:r>
          </w:p>
        </w:tc>
        <w:tc>
          <w:tcPr>
            <w:tcW w:w="1950" w:type="dxa"/>
            <w:vAlign w:val="center"/>
          </w:tcPr>
          <w:p w14:paraId="0407B12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最大储量（t）</w:t>
            </w:r>
          </w:p>
        </w:tc>
        <w:tc>
          <w:tcPr>
            <w:tcW w:w="1554" w:type="dxa"/>
            <w:vAlign w:val="center"/>
          </w:tcPr>
          <w:p w14:paraId="7504B62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r>
              <w:rPr>
                <w:rFonts w:hint="default" w:ascii="Times New Roman" w:hAnsi="Times New Roman" w:cs="Times New Roman"/>
                <w:b/>
                <w:bCs/>
                <w:color w:val="auto"/>
                <w:szCs w:val="21"/>
                <w:highlight w:val="none"/>
              </w:rPr>
              <w:t>/</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p>
        </w:tc>
      </w:tr>
      <w:tr w14:paraId="63AB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BB6C2A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431" w:type="dxa"/>
            <w:vAlign w:val="center"/>
          </w:tcPr>
          <w:p w14:paraId="3E015EF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甲苯</w:t>
            </w:r>
          </w:p>
        </w:tc>
        <w:tc>
          <w:tcPr>
            <w:tcW w:w="2160" w:type="dxa"/>
            <w:vAlign w:val="center"/>
          </w:tcPr>
          <w:p w14:paraId="1FA9830C">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1950" w:type="dxa"/>
            <w:vAlign w:val="center"/>
          </w:tcPr>
          <w:p w14:paraId="5E4E7F0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74</w:t>
            </w:r>
          </w:p>
        </w:tc>
        <w:tc>
          <w:tcPr>
            <w:tcW w:w="1554" w:type="dxa"/>
            <w:vAlign w:val="center"/>
          </w:tcPr>
          <w:p w14:paraId="4A77CE1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7.4</w:t>
            </w:r>
          </w:p>
        </w:tc>
      </w:tr>
      <w:tr w14:paraId="4D22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7202D36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2431" w:type="dxa"/>
            <w:vAlign w:val="center"/>
          </w:tcPr>
          <w:p w14:paraId="489315A6">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eastAsia="zh-CN"/>
              </w:rPr>
              <w:t>盐酸</w:t>
            </w:r>
          </w:p>
        </w:tc>
        <w:tc>
          <w:tcPr>
            <w:tcW w:w="2160" w:type="dxa"/>
            <w:vAlign w:val="center"/>
          </w:tcPr>
          <w:p w14:paraId="22187E47">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w:t>
            </w:r>
            <w:r>
              <w:rPr>
                <w:rFonts w:hint="default" w:ascii="Times New Roman" w:hAnsi="Times New Roman" w:cs="Times New Roman"/>
                <w:color w:val="auto"/>
                <w:szCs w:val="21"/>
                <w:highlight w:val="none"/>
                <w:lang w:val="en-US" w:eastAsia="zh-CN"/>
              </w:rPr>
              <w:t>.5</w:t>
            </w:r>
          </w:p>
        </w:tc>
        <w:tc>
          <w:tcPr>
            <w:tcW w:w="1950" w:type="dxa"/>
            <w:vAlign w:val="center"/>
          </w:tcPr>
          <w:p w14:paraId="1AF480F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374</w:t>
            </w:r>
          </w:p>
        </w:tc>
        <w:tc>
          <w:tcPr>
            <w:tcW w:w="1554" w:type="dxa"/>
            <w:vAlign w:val="center"/>
          </w:tcPr>
          <w:p w14:paraId="7883D658">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49.867</w:t>
            </w:r>
          </w:p>
        </w:tc>
      </w:tr>
      <w:tr w14:paraId="3180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2DE1E28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3</w:t>
            </w:r>
          </w:p>
        </w:tc>
        <w:tc>
          <w:tcPr>
            <w:tcW w:w="2431" w:type="dxa"/>
            <w:vAlign w:val="center"/>
          </w:tcPr>
          <w:p w14:paraId="4A7AA436">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Cs w:val="21"/>
                <w:highlight w:val="none"/>
                <w:lang w:eastAsia="zh-CN"/>
              </w:rPr>
            </w:pPr>
            <w:r>
              <w:rPr>
                <w:rFonts w:hint="eastAsia" w:cs="Times New Roman"/>
                <w:color w:val="auto"/>
                <w:szCs w:val="21"/>
                <w:highlight w:val="none"/>
                <w:lang w:eastAsia="zh-CN"/>
              </w:rPr>
              <w:t>液碱</w:t>
            </w:r>
          </w:p>
        </w:tc>
        <w:tc>
          <w:tcPr>
            <w:tcW w:w="2160" w:type="dxa"/>
            <w:vAlign w:val="center"/>
          </w:tcPr>
          <w:p w14:paraId="55CED276">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50</w:t>
            </w:r>
          </w:p>
        </w:tc>
        <w:tc>
          <w:tcPr>
            <w:tcW w:w="1950" w:type="dxa"/>
            <w:vAlign w:val="center"/>
          </w:tcPr>
          <w:p w14:paraId="12A57D29">
            <w:pPr>
              <w:keepNext w:val="0"/>
              <w:keepLines w:val="0"/>
              <w:suppressLineNumbers w:val="0"/>
              <w:spacing w:before="0" w:beforeAutospacing="0" w:after="0" w:afterAutospacing="0" w:line="320" w:lineRule="exact"/>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341.7</w:t>
            </w:r>
          </w:p>
        </w:tc>
        <w:tc>
          <w:tcPr>
            <w:tcW w:w="1554" w:type="dxa"/>
            <w:vAlign w:val="center"/>
          </w:tcPr>
          <w:p w14:paraId="7B75E4E3">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6.834</w:t>
            </w:r>
          </w:p>
        </w:tc>
      </w:tr>
      <w:tr w14:paraId="3F425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F9265D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w:t>
            </w:r>
          </w:p>
        </w:tc>
        <w:tc>
          <w:tcPr>
            <w:tcW w:w="2431" w:type="dxa"/>
            <w:vAlign w:val="center"/>
          </w:tcPr>
          <w:p w14:paraId="621F780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氢气</w:t>
            </w:r>
          </w:p>
        </w:tc>
        <w:tc>
          <w:tcPr>
            <w:tcW w:w="2160" w:type="dxa"/>
            <w:vAlign w:val="center"/>
          </w:tcPr>
          <w:p w14:paraId="2E5F285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1950" w:type="dxa"/>
            <w:vAlign w:val="center"/>
          </w:tcPr>
          <w:p w14:paraId="137AA6D8">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w:t>
            </w:r>
          </w:p>
        </w:tc>
        <w:tc>
          <w:tcPr>
            <w:tcW w:w="1554" w:type="dxa"/>
            <w:vAlign w:val="center"/>
          </w:tcPr>
          <w:p w14:paraId="2A7FBBA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w:t>
            </w:r>
          </w:p>
        </w:tc>
      </w:tr>
      <w:tr w14:paraId="2E82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0168C1E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w:t>
            </w:r>
          </w:p>
        </w:tc>
        <w:tc>
          <w:tcPr>
            <w:tcW w:w="2431" w:type="dxa"/>
            <w:vAlign w:val="center"/>
          </w:tcPr>
          <w:p w14:paraId="66B5B0D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邻氯硝基苯</w:t>
            </w:r>
          </w:p>
        </w:tc>
        <w:tc>
          <w:tcPr>
            <w:tcW w:w="2160" w:type="dxa"/>
            <w:vAlign w:val="center"/>
          </w:tcPr>
          <w:p w14:paraId="20C43CE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10</w:t>
            </w:r>
          </w:p>
        </w:tc>
        <w:tc>
          <w:tcPr>
            <w:tcW w:w="1950" w:type="dxa"/>
            <w:shd w:val="clear" w:color="auto" w:fill="auto"/>
            <w:vAlign w:val="center"/>
          </w:tcPr>
          <w:p w14:paraId="429C0F26">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2121.6</w:t>
            </w:r>
          </w:p>
        </w:tc>
        <w:tc>
          <w:tcPr>
            <w:tcW w:w="1554" w:type="dxa"/>
            <w:shd w:val="clear" w:color="auto" w:fill="auto"/>
            <w:vAlign w:val="center"/>
          </w:tcPr>
          <w:p w14:paraId="27CDC02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212.16</w:t>
            </w:r>
          </w:p>
        </w:tc>
      </w:tr>
      <w:tr w14:paraId="0484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374" w:type="dxa"/>
            <w:vAlign w:val="center"/>
          </w:tcPr>
          <w:p w14:paraId="39558035">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w:t>
            </w:r>
          </w:p>
        </w:tc>
        <w:tc>
          <w:tcPr>
            <w:tcW w:w="2431" w:type="dxa"/>
            <w:vAlign w:val="center"/>
          </w:tcPr>
          <w:p w14:paraId="2B993592">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蒸馏残渣</w:t>
            </w:r>
          </w:p>
        </w:tc>
        <w:tc>
          <w:tcPr>
            <w:tcW w:w="2160" w:type="dxa"/>
            <w:vAlign w:val="center"/>
          </w:tcPr>
          <w:p w14:paraId="39A20726">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950" w:type="dxa"/>
            <w:shd w:val="clear" w:color="auto" w:fill="auto"/>
            <w:vAlign w:val="center"/>
          </w:tcPr>
          <w:p w14:paraId="370873DF">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80</w:t>
            </w:r>
          </w:p>
        </w:tc>
        <w:tc>
          <w:tcPr>
            <w:tcW w:w="1554" w:type="dxa"/>
            <w:shd w:val="clear" w:color="auto" w:fill="auto"/>
            <w:vAlign w:val="center"/>
          </w:tcPr>
          <w:p w14:paraId="46BB8F3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4684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13B98167">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7</w:t>
            </w:r>
          </w:p>
        </w:tc>
        <w:tc>
          <w:tcPr>
            <w:tcW w:w="2431" w:type="dxa"/>
            <w:vAlign w:val="center"/>
          </w:tcPr>
          <w:p w14:paraId="39599D1E">
            <w:pPr>
              <w:keepNext w:val="0"/>
              <w:keepLines w:val="0"/>
              <w:suppressLineNumbers w:val="0"/>
              <w:spacing w:before="0" w:beforeAutospacing="0" w:after="0" w:afterAutospacing="0" w:line="32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3.3-二氯联苯胺盐酸盐</w:t>
            </w:r>
          </w:p>
        </w:tc>
        <w:tc>
          <w:tcPr>
            <w:tcW w:w="2160" w:type="dxa"/>
            <w:vAlign w:val="center"/>
          </w:tcPr>
          <w:p w14:paraId="5C3A2F01">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100</w:t>
            </w:r>
          </w:p>
        </w:tc>
        <w:tc>
          <w:tcPr>
            <w:tcW w:w="1950" w:type="dxa"/>
            <w:shd w:val="clear" w:color="auto" w:fill="auto"/>
            <w:vAlign w:val="center"/>
          </w:tcPr>
          <w:p w14:paraId="5C9336DE">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500</w:t>
            </w:r>
          </w:p>
        </w:tc>
        <w:tc>
          <w:tcPr>
            <w:tcW w:w="1554" w:type="dxa"/>
            <w:shd w:val="clear" w:color="auto" w:fill="auto"/>
            <w:vAlign w:val="center"/>
          </w:tcPr>
          <w:p w14:paraId="5414D0D3">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r>
      <w:tr w14:paraId="49C5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7432326C">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8</w:t>
            </w:r>
          </w:p>
        </w:tc>
        <w:tc>
          <w:tcPr>
            <w:tcW w:w="2431" w:type="dxa"/>
            <w:vAlign w:val="center"/>
          </w:tcPr>
          <w:p w14:paraId="544441E0">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Style w:val="36"/>
                <w:rFonts w:hint="eastAsia" w:cs="Times New Roman"/>
                <w:color w:val="000000"/>
                <w:kern w:val="2"/>
                <w:sz w:val="21"/>
                <w:szCs w:val="20"/>
                <w:lang w:val="en-US" w:eastAsia="zh-CN" w:bidi="ar-SA"/>
              </w:rPr>
              <w:t>邻氯苯胺</w:t>
            </w:r>
          </w:p>
        </w:tc>
        <w:tc>
          <w:tcPr>
            <w:tcW w:w="2160" w:type="dxa"/>
            <w:vAlign w:val="center"/>
          </w:tcPr>
          <w:p w14:paraId="5A1DA185">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1950" w:type="dxa"/>
            <w:shd w:val="clear" w:color="auto" w:fill="auto"/>
            <w:vAlign w:val="center"/>
          </w:tcPr>
          <w:p w14:paraId="71A98C50">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35</w:t>
            </w:r>
          </w:p>
        </w:tc>
        <w:tc>
          <w:tcPr>
            <w:tcW w:w="1554" w:type="dxa"/>
            <w:shd w:val="clear" w:color="auto" w:fill="auto"/>
            <w:vAlign w:val="center"/>
          </w:tcPr>
          <w:p w14:paraId="6846C51E">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w:t>
            </w:r>
          </w:p>
        </w:tc>
      </w:tr>
      <w:tr w14:paraId="0FC1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B9D0BB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合计</w:t>
            </w:r>
          </w:p>
        </w:tc>
        <w:tc>
          <w:tcPr>
            <w:tcW w:w="2431" w:type="dxa"/>
            <w:vAlign w:val="center"/>
          </w:tcPr>
          <w:p w14:paraId="1BC4F3D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2160" w:type="dxa"/>
            <w:vAlign w:val="center"/>
          </w:tcPr>
          <w:p w14:paraId="33E3F0E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950" w:type="dxa"/>
            <w:vAlign w:val="center"/>
          </w:tcPr>
          <w:p w14:paraId="03FD306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554" w:type="dxa"/>
            <w:vAlign w:val="center"/>
          </w:tcPr>
          <w:p w14:paraId="1264F277">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293.261</w:t>
            </w:r>
          </w:p>
        </w:tc>
      </w:tr>
    </w:tbl>
    <w:p w14:paraId="09171A7B"/>
    <w:p w14:paraId="2A37A766">
      <w:pPr>
        <w:pageBreakBefore w:val="0"/>
        <w:kinsoku/>
        <w:wordWrap/>
        <w:overflowPunct/>
        <w:topLinePunct w:val="0"/>
        <w:autoSpaceDE/>
        <w:autoSpaceDN/>
        <w:bidi w:val="0"/>
        <w:spacing w:line="360" w:lineRule="auto"/>
        <w:ind w:firstLine="554"/>
        <w:jc w:val="both"/>
        <w:textAlignment w:val="auto"/>
        <w:rPr>
          <w:sz w:val="24"/>
          <w:szCs w:val="24"/>
        </w:rPr>
      </w:pPr>
      <w:r>
        <w:rPr>
          <w:rFonts w:cs="Times New Roman"/>
          <w:sz w:val="24"/>
          <w:szCs w:val="24"/>
        </w:rPr>
        <w:t>由</w:t>
      </w:r>
      <w:r>
        <w:rPr>
          <w:sz w:val="24"/>
          <w:szCs w:val="24"/>
        </w:rPr>
        <w:fldChar w:fldCharType="begin"/>
      </w:r>
      <w:r>
        <w:rPr>
          <w:sz w:val="24"/>
          <w:szCs w:val="24"/>
        </w:rPr>
        <w:instrText xml:space="preserve"> REF _Ref95230072 \h  \* MERGEFORMAT </w:instrText>
      </w:r>
      <w:r>
        <w:rPr>
          <w:sz w:val="24"/>
          <w:szCs w:val="24"/>
        </w:rPr>
        <w:fldChar w:fldCharType="separate"/>
      </w:r>
      <w:r>
        <w:rPr>
          <w:sz w:val="24"/>
          <w:szCs w:val="24"/>
        </w:rPr>
        <w:t>表 7.1</w:t>
      </w:r>
      <w:r>
        <w:rPr>
          <w:sz w:val="24"/>
          <w:szCs w:val="24"/>
        </w:rPr>
        <w:noBreakHyphen/>
      </w:r>
      <w:r>
        <w:rPr>
          <w:sz w:val="24"/>
          <w:szCs w:val="24"/>
        </w:rPr>
        <w:t>1</w:t>
      </w:r>
      <w:r>
        <w:rPr>
          <w:sz w:val="24"/>
          <w:szCs w:val="24"/>
        </w:rPr>
        <w:fldChar w:fldCharType="end"/>
      </w:r>
      <w:r>
        <w:rPr>
          <w:rFonts w:cs="Times New Roman"/>
          <w:sz w:val="24"/>
          <w:szCs w:val="24"/>
        </w:rPr>
        <w:t>可以看出，该公司涉气环境风险物质与临界量的比值（Q）属于第</w:t>
      </w:r>
      <w:r>
        <w:rPr>
          <w:rFonts w:hint="eastAsia" w:cs="Times New Roman"/>
          <w:sz w:val="24"/>
          <w:szCs w:val="24"/>
          <w:lang w:val="en-US" w:eastAsia="zh-CN"/>
        </w:rPr>
        <w:t>4</w:t>
      </w:r>
      <w:r>
        <w:rPr>
          <w:rFonts w:cs="Times New Roman"/>
          <w:sz w:val="24"/>
          <w:szCs w:val="24"/>
        </w:rPr>
        <w:t>类，用Q</w:t>
      </w:r>
      <w:r>
        <w:rPr>
          <w:rFonts w:hint="eastAsia" w:cs="Times New Roman"/>
          <w:sz w:val="24"/>
          <w:szCs w:val="24"/>
          <w:lang w:val="en-US" w:eastAsia="zh-CN"/>
        </w:rPr>
        <w:t>3</w:t>
      </w:r>
      <w:r>
        <w:rPr>
          <w:rFonts w:cs="Times New Roman"/>
          <w:spacing w:val="-4"/>
          <w:sz w:val="24"/>
          <w:szCs w:val="24"/>
        </w:rPr>
        <w:t>表示。</w:t>
      </w:r>
    </w:p>
    <w:p w14:paraId="51C15E14">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7.1.2</w:t>
      </w:r>
      <w:r>
        <w:rPr>
          <w:rFonts w:hint="eastAsia"/>
          <w:sz w:val="24"/>
          <w:szCs w:val="24"/>
        </w:rPr>
        <w:t>生产工艺过程与大气环境风险控制水平（M）评估</w:t>
      </w:r>
    </w:p>
    <w:p w14:paraId="77F60D73">
      <w:pPr>
        <w:pStyle w:val="124"/>
        <w:pageBreakBefore w:val="0"/>
        <w:kinsoku/>
        <w:wordWrap/>
        <w:overflowPunct/>
        <w:topLinePunct w:val="0"/>
        <w:autoSpaceDE/>
        <w:autoSpaceDN/>
        <w:bidi w:val="0"/>
        <w:jc w:val="both"/>
        <w:textAlignment w:val="auto"/>
        <w:rPr>
          <w:sz w:val="24"/>
          <w:szCs w:val="24"/>
          <w:lang w:eastAsia="zh-CN"/>
        </w:rPr>
      </w:pPr>
      <w:r>
        <w:rPr>
          <w:rFonts w:hint="eastAsia"/>
          <w:sz w:val="24"/>
          <w:szCs w:val="24"/>
          <w:lang w:eastAsia="zh-CN"/>
        </w:rPr>
        <w:t>采用评分法对生产工艺过程、大气环境风险防控措施及突发大气环境事件发生情况进行评估，将各项指标分值累加，确定企业生产工艺过程与大气环境风险控制水平（M）。</w:t>
      </w:r>
    </w:p>
    <w:p w14:paraId="23BD703D">
      <w:pPr>
        <w:keepNext/>
        <w:keepLines/>
        <w:pageBreakBefore w:val="0"/>
        <w:widowControl w:val="0"/>
        <w:numPr>
          <w:ilvl w:val="0"/>
          <w:numId w:val="0"/>
        </w:numPr>
        <w:kinsoku/>
        <w:wordWrap/>
        <w:overflowPunct/>
        <w:topLinePunct w:val="0"/>
        <w:autoSpaceDE/>
        <w:autoSpaceDN/>
        <w:bidi w:val="0"/>
        <w:adjustRightInd/>
        <w:snapToGrid/>
        <w:ind w:leftChars="0"/>
        <w:textAlignment w:val="auto"/>
        <w:outlineLvl w:val="9"/>
        <w:rPr>
          <w:b/>
          <w:bCs/>
          <w:sz w:val="24"/>
          <w:szCs w:val="24"/>
        </w:rPr>
      </w:pPr>
      <w:r>
        <w:rPr>
          <w:rFonts w:hint="eastAsia"/>
          <w:b/>
          <w:bCs/>
          <w:sz w:val="24"/>
          <w:szCs w:val="24"/>
          <w:lang w:val="en-US" w:eastAsia="zh-CN"/>
        </w:rPr>
        <w:t>7.1.2.1</w:t>
      </w:r>
      <w:r>
        <w:rPr>
          <w:rFonts w:hint="eastAsia"/>
          <w:b/>
          <w:bCs/>
          <w:sz w:val="24"/>
          <w:szCs w:val="24"/>
        </w:rPr>
        <w:t>生产工艺过程含有风险工艺和设备情况</w:t>
      </w:r>
    </w:p>
    <w:p w14:paraId="75D29296">
      <w:pPr>
        <w:pStyle w:val="124"/>
        <w:pageBreakBefore w:val="0"/>
        <w:kinsoku/>
        <w:wordWrap/>
        <w:overflowPunct/>
        <w:topLinePunct w:val="0"/>
        <w:autoSpaceDE/>
        <w:autoSpaceDN/>
        <w:bidi w:val="0"/>
        <w:textAlignment w:val="auto"/>
        <w:rPr>
          <w:rFonts w:hint="eastAsia"/>
          <w:sz w:val="24"/>
          <w:szCs w:val="24"/>
          <w:lang w:eastAsia="zh-CN"/>
        </w:rPr>
      </w:pPr>
      <w:r>
        <w:rPr>
          <w:rFonts w:hint="eastAsia"/>
          <w:sz w:val="24"/>
          <w:szCs w:val="24"/>
          <w:lang w:eastAsia="zh-CN"/>
        </w:rPr>
        <w:t>对生产工艺过程含有风险工艺和设备情况的评估按照工艺单元进行，具有多套工艺单元的企业，对每套工艺单元分别评分并求和，该指标分值最高为30分。</w:t>
      </w:r>
    </w:p>
    <w:p w14:paraId="3EB528C1">
      <w:pPr>
        <w:pStyle w:val="70"/>
        <w:spacing w:line="360" w:lineRule="auto"/>
        <w:ind w:firstLine="482"/>
        <w:rPr>
          <w:rFonts w:hint="default" w:ascii="Times New Roman" w:hAnsi="Times New Roman" w:cs="Times New Roman"/>
          <w:b w:val="0"/>
          <w:bCs/>
          <w:color w:val="auto"/>
          <w:sz w:val="22"/>
          <w:szCs w:val="20"/>
        </w:rPr>
      </w:pPr>
      <w:r>
        <w:rPr>
          <w:rFonts w:hint="default" w:ascii="Times New Roman" w:hAnsi="Times New Roman" w:cs="Times New Roman"/>
          <w:b w:val="0"/>
          <w:bCs/>
          <w:color w:val="auto"/>
          <w:sz w:val="22"/>
          <w:szCs w:val="20"/>
        </w:rPr>
        <w:t>表7.1-</w:t>
      </w:r>
      <w:r>
        <w:rPr>
          <w:rFonts w:hint="eastAsia" w:ascii="Times New Roman" w:hAnsi="Times New Roman" w:cs="Times New Roman"/>
          <w:b w:val="0"/>
          <w:bCs/>
          <w:color w:val="auto"/>
          <w:sz w:val="22"/>
          <w:szCs w:val="20"/>
          <w:lang w:val="en-US" w:eastAsia="zh-CN"/>
        </w:rPr>
        <w:t>1</w:t>
      </w:r>
      <w:r>
        <w:rPr>
          <w:rFonts w:hint="default" w:ascii="Times New Roman" w:hAnsi="Times New Roman" w:cs="Times New Roman"/>
          <w:b w:val="0"/>
          <w:bCs/>
          <w:color w:val="auto"/>
          <w:sz w:val="22"/>
          <w:szCs w:val="20"/>
        </w:rPr>
        <w:t xml:space="preserve">  企业生产工艺评分依据</w:t>
      </w:r>
    </w:p>
    <w:tbl>
      <w:tblPr>
        <w:tblStyle w:val="3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5CE9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17EA322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309" w:type="dxa"/>
            <w:vAlign w:val="center"/>
          </w:tcPr>
          <w:p w14:paraId="1F89A3D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317A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B00118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07AADF6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10/每套</w:t>
            </w:r>
          </w:p>
        </w:tc>
      </w:tr>
      <w:tr w14:paraId="1F7E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4A8AB38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其他高温或高压、涉及易燃易爆等物质的工艺过程</w:t>
            </w:r>
            <w:r>
              <w:rPr>
                <w:rFonts w:hint="default" w:ascii="Times New Roman" w:hAnsi="Times New Roman" w:cs="Times New Roman"/>
                <w:color w:val="auto"/>
                <w:szCs w:val="21"/>
                <w:vertAlign w:val="superscript"/>
              </w:rPr>
              <w:t>a</w:t>
            </w:r>
          </w:p>
        </w:tc>
        <w:tc>
          <w:tcPr>
            <w:tcW w:w="1309" w:type="dxa"/>
            <w:vAlign w:val="center"/>
          </w:tcPr>
          <w:p w14:paraId="55CF6616">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5/每套</w:t>
            </w:r>
          </w:p>
        </w:tc>
      </w:tr>
      <w:tr w14:paraId="1981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B6D2CC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具有国家规定限期淘汰的工艺名录和设备</w:t>
            </w:r>
            <w:r>
              <w:rPr>
                <w:rFonts w:hint="default" w:ascii="Times New Roman" w:hAnsi="Times New Roman" w:cs="Times New Roman"/>
                <w:color w:val="auto"/>
                <w:szCs w:val="21"/>
                <w:vertAlign w:val="superscript"/>
              </w:rPr>
              <w:t>b</w:t>
            </w:r>
          </w:p>
        </w:tc>
        <w:tc>
          <w:tcPr>
            <w:tcW w:w="1309" w:type="dxa"/>
            <w:vAlign w:val="center"/>
          </w:tcPr>
          <w:p w14:paraId="1D95C94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5/每套</w:t>
            </w:r>
          </w:p>
        </w:tc>
      </w:tr>
      <w:tr w14:paraId="474B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AE2269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不涉及以上危险工艺过程或国家规定的禁用工艺/设备</w:t>
            </w:r>
          </w:p>
        </w:tc>
        <w:tc>
          <w:tcPr>
            <w:tcW w:w="1309" w:type="dxa"/>
            <w:vAlign w:val="center"/>
          </w:tcPr>
          <w:p w14:paraId="4933095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448D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1439F451">
            <w:pPr>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cs="Times New Roman"/>
                <w:color w:val="auto"/>
                <w:szCs w:val="21"/>
              </w:rPr>
            </w:pPr>
            <w:r>
              <w:rPr>
                <w:rFonts w:hint="default" w:ascii="Times New Roman" w:hAnsi="Times New Roman" w:cs="Times New Roman"/>
                <w:color w:val="auto"/>
                <w:szCs w:val="21"/>
              </w:rPr>
              <w:t>注：a高温指工艺温度≥300℃，高压指压力容器的设计压力（p）≥10.0MPa，易燃易爆物质是指按照GB30000.2至GB30000.13所确定的化学物质；b指《产业结构调整指导目录》中有淘汰期限的淘汰类落后生产工艺装备</w:t>
            </w:r>
          </w:p>
        </w:tc>
      </w:tr>
    </w:tbl>
    <w:p w14:paraId="37CC67D4">
      <w:pPr>
        <w:pStyle w:val="124"/>
        <w:pageBreakBefore w:val="0"/>
        <w:kinsoku/>
        <w:wordWrap/>
        <w:overflowPunct/>
        <w:topLinePunct w:val="0"/>
        <w:autoSpaceDE/>
        <w:autoSpaceDN/>
        <w:bidi w:val="0"/>
        <w:textAlignment w:val="auto"/>
        <w:rPr>
          <w:rFonts w:hint="eastAsia"/>
          <w:sz w:val="24"/>
          <w:szCs w:val="24"/>
          <w:lang w:eastAsia="zh-CN"/>
        </w:rPr>
      </w:pPr>
    </w:p>
    <w:p w14:paraId="74F4FF32">
      <w:pPr>
        <w:pStyle w:val="70"/>
        <w:spacing w:line="360" w:lineRule="auto"/>
        <w:ind w:firstLine="482"/>
        <w:rPr>
          <w:rFonts w:hint="default" w:ascii="Times New Roman" w:hAnsi="Times New Roman" w:eastAsia="宋体" w:cs="Times New Roman"/>
          <w:b w:val="0"/>
          <w:bCs/>
          <w:color w:val="auto"/>
          <w:sz w:val="22"/>
          <w:szCs w:val="20"/>
        </w:rPr>
      </w:pPr>
      <w:bookmarkStart w:id="108" w:name="_Ref95230225"/>
      <w:r>
        <w:rPr>
          <w:rFonts w:hint="default" w:ascii="Times New Roman" w:hAnsi="Times New Roman" w:eastAsia="宋体" w:cs="Times New Roman"/>
          <w:b w:val="0"/>
          <w:bCs/>
          <w:color w:val="auto"/>
          <w:sz w:val="22"/>
          <w:szCs w:val="20"/>
        </w:rPr>
        <w:t xml:space="preserve">表 </w:t>
      </w:r>
      <w:r>
        <w:rPr>
          <w:rFonts w:hint="default" w:ascii="Times New Roman" w:hAnsi="Times New Roman" w:eastAsia="宋体" w:cs="Times New Roman"/>
          <w:b w:val="0"/>
          <w:bCs/>
          <w:color w:val="auto"/>
          <w:sz w:val="22"/>
          <w:szCs w:val="20"/>
        </w:rPr>
        <w:fldChar w:fldCharType="begin"/>
      </w:r>
      <w:r>
        <w:rPr>
          <w:rFonts w:hint="default" w:ascii="Times New Roman" w:hAnsi="Times New Roman" w:eastAsia="宋体" w:cs="Times New Roman"/>
          <w:b w:val="0"/>
          <w:bCs/>
          <w:color w:val="auto"/>
          <w:sz w:val="22"/>
          <w:szCs w:val="20"/>
        </w:rPr>
        <w:instrText xml:space="preserve"> STYLEREF 2 \s </w:instrText>
      </w:r>
      <w:r>
        <w:rPr>
          <w:rFonts w:hint="default" w:ascii="Times New Roman" w:hAnsi="Times New Roman" w:eastAsia="宋体" w:cs="Times New Roman"/>
          <w:b w:val="0"/>
          <w:bCs/>
          <w:color w:val="auto"/>
          <w:sz w:val="22"/>
          <w:szCs w:val="20"/>
        </w:rPr>
        <w:fldChar w:fldCharType="separate"/>
      </w:r>
      <w:r>
        <w:rPr>
          <w:rFonts w:hint="default" w:ascii="Times New Roman" w:hAnsi="Times New Roman" w:eastAsia="宋体" w:cs="Times New Roman"/>
          <w:b w:val="0"/>
          <w:bCs/>
          <w:color w:val="auto"/>
          <w:sz w:val="22"/>
          <w:szCs w:val="20"/>
        </w:rPr>
        <w:t>7.1</w:t>
      </w:r>
      <w:r>
        <w:rPr>
          <w:rFonts w:hint="default" w:ascii="Times New Roman" w:hAnsi="Times New Roman" w:eastAsia="宋体" w:cs="Times New Roman"/>
          <w:b w:val="0"/>
          <w:bCs/>
          <w:color w:val="auto"/>
          <w:sz w:val="22"/>
          <w:szCs w:val="20"/>
        </w:rPr>
        <w:fldChar w:fldCharType="end"/>
      </w:r>
      <w:r>
        <w:rPr>
          <w:rFonts w:hint="default" w:ascii="Times New Roman" w:hAnsi="Times New Roman" w:eastAsia="宋体" w:cs="Times New Roman"/>
          <w:b w:val="0"/>
          <w:bCs/>
          <w:color w:val="auto"/>
          <w:sz w:val="22"/>
          <w:szCs w:val="20"/>
        </w:rPr>
        <w:noBreakHyphen/>
      </w:r>
      <w:r>
        <w:rPr>
          <w:rFonts w:hint="default" w:ascii="Times New Roman" w:hAnsi="Times New Roman" w:eastAsia="宋体" w:cs="Times New Roman"/>
          <w:b w:val="0"/>
          <w:bCs/>
          <w:color w:val="auto"/>
          <w:sz w:val="22"/>
          <w:szCs w:val="20"/>
        </w:rPr>
        <w:fldChar w:fldCharType="begin"/>
      </w:r>
      <w:r>
        <w:rPr>
          <w:rFonts w:hint="default" w:ascii="Times New Roman" w:hAnsi="Times New Roman" w:eastAsia="宋体" w:cs="Times New Roman"/>
          <w:b w:val="0"/>
          <w:bCs/>
          <w:color w:val="auto"/>
          <w:sz w:val="22"/>
          <w:szCs w:val="20"/>
        </w:rPr>
        <w:instrText xml:space="preserve"> SEQ 表格 \* ARABIC \s 2 </w:instrText>
      </w:r>
      <w:r>
        <w:rPr>
          <w:rFonts w:hint="default" w:ascii="Times New Roman" w:hAnsi="Times New Roman" w:eastAsia="宋体" w:cs="Times New Roman"/>
          <w:b w:val="0"/>
          <w:bCs/>
          <w:color w:val="auto"/>
          <w:sz w:val="22"/>
          <w:szCs w:val="20"/>
        </w:rPr>
        <w:fldChar w:fldCharType="separate"/>
      </w:r>
      <w:r>
        <w:rPr>
          <w:rFonts w:hint="default" w:ascii="Times New Roman" w:hAnsi="Times New Roman" w:eastAsia="宋体" w:cs="Times New Roman"/>
          <w:b w:val="0"/>
          <w:bCs/>
          <w:color w:val="auto"/>
          <w:sz w:val="22"/>
          <w:szCs w:val="20"/>
        </w:rPr>
        <w:t>2</w:t>
      </w:r>
      <w:r>
        <w:rPr>
          <w:rFonts w:hint="default" w:ascii="Times New Roman" w:hAnsi="Times New Roman" w:eastAsia="宋体" w:cs="Times New Roman"/>
          <w:b w:val="0"/>
          <w:bCs/>
          <w:color w:val="auto"/>
          <w:sz w:val="22"/>
          <w:szCs w:val="20"/>
        </w:rPr>
        <w:fldChar w:fldCharType="end"/>
      </w:r>
      <w:bookmarkEnd w:id="108"/>
      <w:r>
        <w:rPr>
          <w:rFonts w:hint="default" w:ascii="Times New Roman" w:hAnsi="Times New Roman" w:eastAsia="宋体" w:cs="Times New Roman"/>
          <w:b w:val="0"/>
          <w:bCs/>
          <w:color w:val="auto"/>
          <w:sz w:val="22"/>
          <w:szCs w:val="20"/>
        </w:rPr>
        <w:t xml:space="preserve">  企业环境风险及其控制水平得分表</w:t>
      </w:r>
    </w:p>
    <w:tbl>
      <w:tblPr>
        <w:tblStyle w:val="3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4"/>
        <w:gridCol w:w="1484"/>
      </w:tblGrid>
      <w:tr w14:paraId="2114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144" w:type="dxa"/>
            <w:vAlign w:val="center"/>
          </w:tcPr>
          <w:p w14:paraId="2F9164C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484" w:type="dxa"/>
            <w:vAlign w:val="center"/>
          </w:tcPr>
          <w:p w14:paraId="735EB82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19C4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44" w:type="dxa"/>
            <w:vAlign w:val="center"/>
          </w:tcPr>
          <w:p w14:paraId="54D7BBF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484" w:type="dxa"/>
            <w:vAlign w:val="center"/>
          </w:tcPr>
          <w:p w14:paraId="712978FC">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加氢工艺得10</w:t>
            </w:r>
          </w:p>
        </w:tc>
      </w:tr>
      <w:tr w14:paraId="28A5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144" w:type="dxa"/>
            <w:vAlign w:val="center"/>
          </w:tcPr>
          <w:p w14:paraId="4310C6F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484" w:type="dxa"/>
            <w:vAlign w:val="center"/>
          </w:tcPr>
          <w:p w14:paraId="0B272263">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甲苯得5分，氢气得10分</w:t>
            </w:r>
          </w:p>
        </w:tc>
      </w:tr>
      <w:tr w14:paraId="27DD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44" w:type="dxa"/>
            <w:vAlign w:val="center"/>
          </w:tcPr>
          <w:p w14:paraId="22A5A4E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具有国家规定限期淘汰的工艺名录和设备</w:t>
            </w:r>
            <w:r>
              <w:rPr>
                <w:rFonts w:hint="default" w:ascii="Times New Roman" w:hAnsi="Times New Roman" w:cs="Times New Roman"/>
                <w:color w:val="auto"/>
                <w:szCs w:val="21"/>
                <w:vertAlign w:val="superscript"/>
              </w:rPr>
              <w:t>b</w:t>
            </w:r>
          </w:p>
        </w:tc>
        <w:tc>
          <w:tcPr>
            <w:tcW w:w="1484" w:type="dxa"/>
            <w:vAlign w:val="center"/>
          </w:tcPr>
          <w:p w14:paraId="625A4E6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0A38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44" w:type="dxa"/>
            <w:vAlign w:val="center"/>
          </w:tcPr>
          <w:p w14:paraId="0066987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不涉及以上危险工艺过程或国家规定的禁用工艺/设备</w:t>
            </w:r>
          </w:p>
        </w:tc>
        <w:tc>
          <w:tcPr>
            <w:tcW w:w="1484" w:type="dxa"/>
            <w:vAlign w:val="center"/>
          </w:tcPr>
          <w:p w14:paraId="33B72B4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3628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144" w:type="dxa"/>
            <w:vAlign w:val="center"/>
          </w:tcPr>
          <w:p w14:paraId="089A352D">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color w:val="auto"/>
                <w:szCs w:val="21"/>
                <w:lang w:eastAsia="zh-CN"/>
              </w:rPr>
            </w:pPr>
            <w:r>
              <w:rPr>
                <w:rFonts w:hint="eastAsia" w:cs="Times New Roman"/>
                <w:color w:val="auto"/>
                <w:szCs w:val="21"/>
                <w:lang w:eastAsia="zh-CN"/>
              </w:rPr>
              <w:t>合计</w:t>
            </w:r>
          </w:p>
        </w:tc>
        <w:tc>
          <w:tcPr>
            <w:tcW w:w="1484" w:type="dxa"/>
            <w:vAlign w:val="center"/>
          </w:tcPr>
          <w:p w14:paraId="756AB75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20</w:t>
            </w:r>
          </w:p>
        </w:tc>
      </w:tr>
    </w:tbl>
    <w:p w14:paraId="6409EF36">
      <w:pPr>
        <w:pStyle w:val="124"/>
        <w:pageBreakBefore w:val="0"/>
        <w:kinsoku/>
        <w:wordWrap/>
        <w:overflowPunct/>
        <w:topLinePunct w:val="0"/>
        <w:autoSpaceDE/>
        <w:autoSpaceDN/>
        <w:bidi w:val="0"/>
        <w:adjustRightInd/>
        <w:snapToGrid/>
        <w:ind w:left="0" w:leftChars="0" w:firstLine="480" w:firstLineChars="200"/>
        <w:textAlignment w:val="auto"/>
        <w:rPr>
          <w:sz w:val="24"/>
          <w:szCs w:val="24"/>
          <w:lang w:eastAsia="zh-CN"/>
        </w:rPr>
      </w:pPr>
      <w:r>
        <w:rPr>
          <w:rFonts w:hint="eastAsia"/>
          <w:sz w:val="24"/>
          <w:szCs w:val="24"/>
          <w:lang w:eastAsia="zh-CN"/>
        </w:rPr>
        <w:t>公司涉及加氢工艺，</w:t>
      </w:r>
      <w:r>
        <w:rPr>
          <w:rFonts w:hint="default" w:ascii="Times New Roman" w:hAnsi="Times New Roman" w:cs="Times New Roman"/>
          <w:color w:val="auto"/>
          <w:szCs w:val="21"/>
          <w:highlight w:val="none"/>
        </w:rPr>
        <w:t>易燃易爆物质</w:t>
      </w:r>
      <w:r>
        <w:rPr>
          <w:rFonts w:hint="eastAsia"/>
          <w:sz w:val="24"/>
          <w:szCs w:val="24"/>
          <w:lang w:eastAsia="zh-CN"/>
        </w:rPr>
        <w:t>的工艺过程</w:t>
      </w:r>
      <w:r>
        <w:rPr>
          <w:sz w:val="24"/>
          <w:szCs w:val="24"/>
          <w:lang w:eastAsia="zh-CN"/>
        </w:rPr>
        <w:t>，</w:t>
      </w:r>
      <w:r>
        <w:rPr>
          <w:rFonts w:hint="eastAsia"/>
          <w:sz w:val="24"/>
          <w:szCs w:val="24"/>
          <w:lang w:eastAsia="zh-CN"/>
        </w:rPr>
        <w:t>因而取值为</w:t>
      </w:r>
      <w:r>
        <w:rPr>
          <w:rFonts w:hint="eastAsia"/>
          <w:sz w:val="24"/>
          <w:szCs w:val="24"/>
          <w:lang w:val="en-US" w:eastAsia="zh-CN"/>
        </w:rPr>
        <w:t>25</w:t>
      </w:r>
      <w:r>
        <w:rPr>
          <w:rFonts w:hint="eastAsia"/>
          <w:sz w:val="24"/>
          <w:szCs w:val="24"/>
          <w:lang w:eastAsia="zh-CN"/>
        </w:rPr>
        <w:t>分</w:t>
      </w:r>
      <w:r>
        <w:rPr>
          <w:sz w:val="24"/>
          <w:szCs w:val="24"/>
          <w:lang w:eastAsia="zh-CN"/>
        </w:rPr>
        <w:t>。</w:t>
      </w:r>
    </w:p>
    <w:p w14:paraId="66F6E552">
      <w:pPr>
        <w:keepNext/>
        <w:keepLines/>
        <w:pageBreakBefore w:val="0"/>
        <w:widowControl w:val="0"/>
        <w:kinsoku/>
        <w:wordWrap/>
        <w:overflowPunct/>
        <w:topLinePunct w:val="0"/>
        <w:autoSpaceDE/>
        <w:autoSpaceDN/>
        <w:bidi w:val="0"/>
        <w:adjustRightInd/>
        <w:snapToGrid/>
        <w:spacing w:line="360" w:lineRule="auto"/>
        <w:textAlignment w:val="auto"/>
        <w:outlineLvl w:val="9"/>
        <w:rPr>
          <w:b/>
          <w:bCs/>
          <w:sz w:val="24"/>
          <w:szCs w:val="24"/>
        </w:rPr>
      </w:pPr>
      <w:r>
        <w:rPr>
          <w:rFonts w:hint="eastAsia"/>
          <w:b/>
          <w:bCs/>
          <w:sz w:val="24"/>
          <w:szCs w:val="24"/>
          <w:lang w:val="en-US" w:eastAsia="zh-CN"/>
        </w:rPr>
        <w:t>7.1.2.2</w:t>
      </w:r>
      <w:r>
        <w:rPr>
          <w:rFonts w:hint="eastAsia"/>
          <w:b/>
          <w:bCs/>
          <w:sz w:val="24"/>
          <w:szCs w:val="24"/>
        </w:rPr>
        <w:t>大气环境风险防控措施及突发大气环境事件发生情况</w:t>
      </w:r>
    </w:p>
    <w:p w14:paraId="39C0F778">
      <w:pPr>
        <w:pStyle w:val="124"/>
        <w:pageBreakBefore w:val="0"/>
        <w:kinsoku/>
        <w:wordWrap/>
        <w:overflowPunct/>
        <w:topLinePunct w:val="0"/>
        <w:autoSpaceDE/>
        <w:autoSpaceDN/>
        <w:bidi w:val="0"/>
        <w:adjustRightInd/>
        <w:snapToGrid/>
        <w:spacing w:line="360" w:lineRule="auto"/>
        <w:textAlignment w:val="auto"/>
        <w:rPr>
          <w:rFonts w:hint="eastAsia"/>
          <w:bCs/>
          <w:sz w:val="24"/>
          <w:szCs w:val="24"/>
          <w:lang w:eastAsia="zh-CN"/>
        </w:rPr>
      </w:pPr>
      <w:r>
        <w:rPr>
          <w:rFonts w:hint="eastAsia"/>
          <w:bCs/>
          <w:sz w:val="24"/>
          <w:szCs w:val="24"/>
          <w:lang w:eastAsia="zh-CN"/>
        </w:rPr>
        <w:t>大气环境风险防控措施及突发大气环境事件发生情况评估指标见</w:t>
      </w:r>
      <w:r>
        <w:rPr>
          <w:bCs/>
          <w:sz w:val="24"/>
          <w:szCs w:val="24"/>
          <w:lang w:eastAsia="zh-CN"/>
        </w:rPr>
        <w:fldChar w:fldCharType="begin"/>
      </w:r>
      <w:r>
        <w:rPr>
          <w:bCs/>
          <w:sz w:val="24"/>
          <w:szCs w:val="24"/>
          <w:lang w:eastAsia="zh-CN"/>
        </w:rPr>
        <w:instrText xml:space="preserve"> </w:instrText>
      </w:r>
      <w:r>
        <w:rPr>
          <w:rFonts w:hint="eastAsia"/>
          <w:bCs/>
          <w:sz w:val="24"/>
          <w:szCs w:val="24"/>
          <w:lang w:eastAsia="zh-CN"/>
        </w:rPr>
        <w:instrText xml:space="preserve">REF _Ref95230136 \h</w:instrText>
      </w:r>
      <w:r>
        <w:rPr>
          <w:bCs/>
          <w:sz w:val="24"/>
          <w:szCs w:val="24"/>
          <w:lang w:eastAsia="zh-CN"/>
        </w:rPr>
        <w:instrText xml:space="preserve">  \* MERGEFORMAT </w:instrText>
      </w:r>
      <w:r>
        <w:rPr>
          <w:bCs/>
          <w:sz w:val="24"/>
          <w:szCs w:val="24"/>
          <w:lang w:eastAsia="zh-CN"/>
        </w:rPr>
        <w:fldChar w:fldCharType="separate"/>
      </w:r>
      <w:r>
        <w:rPr>
          <w:sz w:val="24"/>
          <w:szCs w:val="24"/>
          <w:lang w:eastAsia="zh-CN"/>
        </w:rPr>
        <w:t>表 7.1</w:t>
      </w:r>
      <w:r>
        <w:rPr>
          <w:sz w:val="24"/>
          <w:szCs w:val="24"/>
          <w:lang w:eastAsia="zh-CN"/>
        </w:rPr>
        <w:noBreakHyphen/>
      </w:r>
      <w:r>
        <w:rPr>
          <w:sz w:val="24"/>
          <w:szCs w:val="24"/>
          <w:lang w:eastAsia="zh-CN"/>
        </w:rPr>
        <w:t>3</w:t>
      </w:r>
      <w:r>
        <w:rPr>
          <w:bCs/>
          <w:sz w:val="24"/>
          <w:szCs w:val="24"/>
          <w:lang w:eastAsia="zh-CN"/>
        </w:rPr>
        <w:fldChar w:fldCharType="end"/>
      </w:r>
      <w:r>
        <w:rPr>
          <w:rFonts w:hint="eastAsia"/>
          <w:bCs/>
          <w:sz w:val="24"/>
          <w:szCs w:val="24"/>
          <w:lang w:eastAsia="zh-CN"/>
        </w:rPr>
        <w:t>。对各项评估指标分别评分、计算总和，各项指标分值合计最高为70分。</w:t>
      </w:r>
    </w:p>
    <w:p w14:paraId="0CB2E163">
      <w:pPr>
        <w:widowControl/>
        <w:adjustRightInd w:val="0"/>
        <w:snapToGrid w:val="0"/>
        <w:spacing w:line="360" w:lineRule="auto"/>
        <w:ind w:firstLine="360"/>
        <w:jc w:val="center"/>
        <w:rPr>
          <w:rFonts w:hint="default" w:ascii="Times New Roman" w:hAnsi="Times New Roman" w:cs="Times New Roman"/>
          <w:b w:val="0"/>
          <w:bCs w:val="0"/>
          <w:color w:val="auto"/>
          <w:sz w:val="22"/>
          <w:szCs w:val="22"/>
        </w:rPr>
      </w:pPr>
      <w:r>
        <w:rPr>
          <w:rFonts w:hint="default" w:ascii="Times New Roman" w:hAnsi="Times New Roman" w:cs="Times New Roman"/>
          <w:b w:val="0"/>
          <w:bCs w:val="0"/>
          <w:color w:val="auto"/>
          <w:sz w:val="22"/>
          <w:szCs w:val="22"/>
        </w:rPr>
        <w:t>表7.1-</w:t>
      </w:r>
      <w:r>
        <w:rPr>
          <w:rFonts w:hint="eastAsia" w:ascii="Times New Roman" w:hAnsi="Times New Roman" w:cs="Times New Roman"/>
          <w:b w:val="0"/>
          <w:bCs w:val="0"/>
          <w:color w:val="auto"/>
          <w:sz w:val="22"/>
          <w:szCs w:val="22"/>
          <w:lang w:val="en-US" w:eastAsia="zh-CN"/>
        </w:rPr>
        <w:t>3</w:t>
      </w:r>
      <w:r>
        <w:rPr>
          <w:rFonts w:hint="default" w:ascii="Times New Roman" w:hAnsi="Times New Roman" w:cs="Times New Roman"/>
          <w:b w:val="0"/>
          <w:bCs w:val="0"/>
          <w:color w:val="auto"/>
          <w:sz w:val="22"/>
          <w:szCs w:val="22"/>
        </w:rPr>
        <w:t xml:space="preserve">  企业大气环境风险防控措施及突发大气环境事件发生情况评分依据</w:t>
      </w:r>
    </w:p>
    <w:tbl>
      <w:tblPr>
        <w:tblStyle w:val="3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7"/>
        <w:gridCol w:w="5080"/>
        <w:gridCol w:w="1091"/>
      </w:tblGrid>
      <w:tr w14:paraId="2B04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Align w:val="center"/>
          </w:tcPr>
          <w:p w14:paraId="750C139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评估指标</w:t>
            </w:r>
          </w:p>
        </w:tc>
        <w:tc>
          <w:tcPr>
            <w:tcW w:w="5080" w:type="dxa"/>
            <w:vAlign w:val="center"/>
          </w:tcPr>
          <w:p w14:paraId="54A4463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091" w:type="dxa"/>
            <w:vAlign w:val="center"/>
          </w:tcPr>
          <w:p w14:paraId="503476D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527B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3D3EBDE5">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毒性气体泄漏监控预警措施</w:t>
            </w:r>
          </w:p>
        </w:tc>
        <w:tc>
          <w:tcPr>
            <w:tcW w:w="5080" w:type="dxa"/>
            <w:vAlign w:val="center"/>
          </w:tcPr>
          <w:p w14:paraId="00DA099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（1）不涉及附录A中有毒有害气体的；或</w:t>
            </w:r>
          </w:p>
          <w:p w14:paraId="10A0975B">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（2）根据实际情况，具备有毒有害气体（如硫化氢、氰化氢、氯化氢、光气、氯气、氨气、苯等）厂界泄漏监控预警系统的</w:t>
            </w:r>
          </w:p>
        </w:tc>
        <w:tc>
          <w:tcPr>
            <w:tcW w:w="1091" w:type="dxa"/>
            <w:vAlign w:val="center"/>
          </w:tcPr>
          <w:p w14:paraId="38C8969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1B81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6947B65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7488ED1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不具备厂界有毒有害气体泄漏监控预警系统的</w:t>
            </w:r>
          </w:p>
        </w:tc>
        <w:tc>
          <w:tcPr>
            <w:tcW w:w="1091" w:type="dxa"/>
            <w:vAlign w:val="center"/>
          </w:tcPr>
          <w:p w14:paraId="13F79D6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w:t>
            </w:r>
          </w:p>
        </w:tc>
      </w:tr>
      <w:tr w14:paraId="78AF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7CC5B77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符合防护距离情况</w:t>
            </w:r>
          </w:p>
        </w:tc>
        <w:tc>
          <w:tcPr>
            <w:tcW w:w="5080" w:type="dxa"/>
            <w:vAlign w:val="center"/>
          </w:tcPr>
          <w:p w14:paraId="3E2BB10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1091" w:type="dxa"/>
            <w:vAlign w:val="center"/>
          </w:tcPr>
          <w:p w14:paraId="4B529F9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17EB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1FB43A3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1A7A8411">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不符合环评及批复文件防护距离要求的</w:t>
            </w:r>
          </w:p>
        </w:tc>
        <w:tc>
          <w:tcPr>
            <w:tcW w:w="1091" w:type="dxa"/>
            <w:vAlign w:val="center"/>
          </w:tcPr>
          <w:p w14:paraId="0DFE1E0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25</w:t>
            </w:r>
          </w:p>
        </w:tc>
      </w:tr>
      <w:tr w14:paraId="23DC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566AF9C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近三年内突发大气环境事件发生情况</w:t>
            </w:r>
          </w:p>
        </w:tc>
        <w:tc>
          <w:tcPr>
            <w:tcW w:w="5080" w:type="dxa"/>
            <w:vAlign w:val="center"/>
          </w:tcPr>
          <w:p w14:paraId="5D050868">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发生过特别重大及重大等级突发大气环境事件的</w:t>
            </w:r>
          </w:p>
        </w:tc>
        <w:tc>
          <w:tcPr>
            <w:tcW w:w="1091" w:type="dxa"/>
            <w:vAlign w:val="center"/>
          </w:tcPr>
          <w:p w14:paraId="4D84CAB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20</w:t>
            </w:r>
          </w:p>
        </w:tc>
      </w:tr>
      <w:tr w14:paraId="532F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1DB7837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1682AE9F">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发生过较大等级突发大气环境事件的</w:t>
            </w:r>
          </w:p>
        </w:tc>
        <w:tc>
          <w:tcPr>
            <w:tcW w:w="1091" w:type="dxa"/>
            <w:vAlign w:val="center"/>
          </w:tcPr>
          <w:p w14:paraId="4D01A52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15</w:t>
            </w:r>
          </w:p>
        </w:tc>
      </w:tr>
      <w:tr w14:paraId="60EF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252F6EC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620B47F9">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发生过一般等级突发大气环境事件的</w:t>
            </w:r>
          </w:p>
        </w:tc>
        <w:tc>
          <w:tcPr>
            <w:tcW w:w="1091" w:type="dxa"/>
            <w:vAlign w:val="center"/>
          </w:tcPr>
          <w:p w14:paraId="2769467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10</w:t>
            </w:r>
          </w:p>
        </w:tc>
      </w:tr>
      <w:tr w14:paraId="20E7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2D5023B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01FF5330">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未发生突发大气环境事件的</w:t>
            </w:r>
          </w:p>
        </w:tc>
        <w:tc>
          <w:tcPr>
            <w:tcW w:w="1091" w:type="dxa"/>
            <w:vAlign w:val="center"/>
          </w:tcPr>
          <w:p w14:paraId="3E08CCA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bl>
    <w:p w14:paraId="2E4CE35F">
      <w:pPr>
        <w:widowControl/>
        <w:adjustRightInd w:val="0"/>
        <w:snapToGrid w:val="0"/>
        <w:spacing w:line="360" w:lineRule="auto"/>
        <w:ind w:firstLine="1540" w:firstLineChars="700"/>
        <w:jc w:val="both"/>
        <w:rPr>
          <w:rFonts w:hint="default" w:ascii="Times New Roman" w:hAnsi="Times New Roman" w:eastAsia="宋体" w:cs="Times New Roman"/>
          <w:b w:val="0"/>
          <w:bCs w:val="0"/>
          <w:color w:val="auto"/>
          <w:sz w:val="22"/>
          <w:szCs w:val="22"/>
        </w:rPr>
      </w:pPr>
      <w:bookmarkStart w:id="109" w:name="_Ref95230136"/>
      <w:r>
        <w:rPr>
          <w:rFonts w:hint="default" w:ascii="Times New Roman" w:hAnsi="Times New Roman" w:eastAsia="宋体" w:cs="Times New Roman"/>
          <w:b w:val="0"/>
          <w:bCs w:val="0"/>
          <w:color w:val="auto"/>
          <w:sz w:val="22"/>
          <w:szCs w:val="22"/>
        </w:rPr>
        <w:t xml:space="preserve">表 </w:t>
      </w:r>
      <w:r>
        <w:rPr>
          <w:rFonts w:hint="default" w:ascii="Times New Roman" w:hAnsi="Times New Roman" w:eastAsia="宋体" w:cs="Times New Roman"/>
          <w:b w:val="0"/>
          <w:bCs w:val="0"/>
          <w:color w:val="auto"/>
          <w:sz w:val="22"/>
          <w:szCs w:val="22"/>
        </w:rPr>
        <w:fldChar w:fldCharType="begin"/>
      </w:r>
      <w:r>
        <w:rPr>
          <w:rFonts w:hint="default" w:ascii="Times New Roman" w:hAnsi="Times New Roman" w:eastAsia="宋体" w:cs="Times New Roman"/>
          <w:b w:val="0"/>
          <w:bCs w:val="0"/>
          <w:color w:val="auto"/>
          <w:sz w:val="22"/>
          <w:szCs w:val="22"/>
        </w:rPr>
        <w:instrText xml:space="preserve"> STYLEREF 2 \s </w:instrText>
      </w:r>
      <w:r>
        <w:rPr>
          <w:rFonts w:hint="default" w:ascii="Times New Roman" w:hAnsi="Times New Roman" w:eastAsia="宋体" w:cs="Times New Roman"/>
          <w:b w:val="0"/>
          <w:bCs w:val="0"/>
          <w:color w:val="auto"/>
          <w:sz w:val="22"/>
          <w:szCs w:val="22"/>
        </w:rPr>
        <w:fldChar w:fldCharType="separate"/>
      </w:r>
      <w:r>
        <w:rPr>
          <w:rFonts w:hint="default" w:ascii="Times New Roman" w:hAnsi="Times New Roman" w:eastAsia="宋体" w:cs="Times New Roman"/>
          <w:b w:val="0"/>
          <w:bCs w:val="0"/>
          <w:color w:val="auto"/>
          <w:sz w:val="22"/>
          <w:szCs w:val="22"/>
        </w:rPr>
        <w:t>7.1</w:t>
      </w:r>
      <w:r>
        <w:rPr>
          <w:rFonts w:hint="default" w:ascii="Times New Roman" w:hAnsi="Times New Roman" w:eastAsia="宋体" w:cs="Times New Roman"/>
          <w:b w:val="0"/>
          <w:bCs w:val="0"/>
          <w:color w:val="auto"/>
          <w:sz w:val="22"/>
          <w:szCs w:val="22"/>
        </w:rPr>
        <w:fldChar w:fldCharType="end"/>
      </w:r>
      <w:r>
        <w:rPr>
          <w:rFonts w:hint="default" w:ascii="Times New Roman" w:hAnsi="Times New Roman" w:eastAsia="宋体" w:cs="Times New Roman"/>
          <w:b w:val="0"/>
          <w:bCs w:val="0"/>
          <w:color w:val="auto"/>
          <w:sz w:val="22"/>
          <w:szCs w:val="22"/>
        </w:rPr>
        <w:noBreakHyphen/>
      </w:r>
      <w:bookmarkEnd w:id="109"/>
      <w:r>
        <w:rPr>
          <w:rFonts w:hint="eastAsia" w:ascii="Times New Roman" w:hAnsi="Times New Roman" w:eastAsia="宋体" w:cs="Times New Roman"/>
          <w:b w:val="0"/>
          <w:bCs w:val="0"/>
          <w:color w:val="auto"/>
          <w:sz w:val="22"/>
          <w:szCs w:val="22"/>
          <w:lang w:val="en-US" w:eastAsia="zh-CN"/>
        </w:rPr>
        <w:t>4</w:t>
      </w:r>
      <w:r>
        <w:rPr>
          <w:rFonts w:hint="default" w:ascii="Times New Roman" w:hAnsi="Times New Roman" w:eastAsia="宋体" w:cs="Times New Roman"/>
          <w:b w:val="0"/>
          <w:bCs w:val="0"/>
          <w:color w:val="auto"/>
          <w:sz w:val="22"/>
          <w:szCs w:val="22"/>
        </w:rPr>
        <w:t xml:space="preserve"> </w:t>
      </w:r>
      <w:r>
        <w:rPr>
          <w:rFonts w:hint="eastAsia" w:ascii="Times New Roman" w:hAnsi="Times New Roman" w:eastAsia="宋体" w:cs="Times New Roman"/>
          <w:b w:val="0"/>
          <w:bCs w:val="0"/>
          <w:color w:val="auto"/>
          <w:sz w:val="22"/>
          <w:szCs w:val="22"/>
        </w:rPr>
        <w:t>企业大气环境风险防控措施与突发大气环境事件发生情况评估</w:t>
      </w:r>
    </w:p>
    <w:tbl>
      <w:tblPr>
        <w:tblStyle w:val="34"/>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0"/>
        <w:gridCol w:w="4650"/>
        <w:gridCol w:w="1201"/>
        <w:gridCol w:w="972"/>
      </w:tblGrid>
      <w:tr w14:paraId="695B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Align w:val="center"/>
          </w:tcPr>
          <w:p w14:paraId="0BBE932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评估指标</w:t>
            </w:r>
          </w:p>
        </w:tc>
        <w:tc>
          <w:tcPr>
            <w:tcW w:w="4650" w:type="dxa"/>
            <w:vAlign w:val="center"/>
          </w:tcPr>
          <w:p w14:paraId="2FD3B53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201" w:type="dxa"/>
            <w:vAlign w:val="center"/>
          </w:tcPr>
          <w:p w14:paraId="7ABD145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企业情况</w:t>
            </w:r>
          </w:p>
        </w:tc>
        <w:tc>
          <w:tcPr>
            <w:tcW w:w="972" w:type="dxa"/>
            <w:vAlign w:val="center"/>
          </w:tcPr>
          <w:p w14:paraId="79A347B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6025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1A16AC5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毒性气体泄漏监控预警措施</w:t>
            </w:r>
          </w:p>
        </w:tc>
        <w:tc>
          <w:tcPr>
            <w:tcW w:w="4650" w:type="dxa"/>
            <w:vAlign w:val="center"/>
          </w:tcPr>
          <w:p w14:paraId="73D8C48C">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（1）不涉及附录A中有毒有害气体的；</w:t>
            </w:r>
          </w:p>
          <w:p w14:paraId="57325F53">
            <w:pPr>
              <w:pStyle w:val="2"/>
              <w:keepNext w:val="0"/>
              <w:keepLines w:val="0"/>
              <w:suppressLineNumbers w:val="0"/>
              <w:spacing w:before="0" w:beforeAutospacing="0" w:afterAutospacing="0"/>
              <w:ind w:left="0" w:leftChars="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szCs w:val="22"/>
                <w:highlight w:val="none"/>
              </w:rPr>
              <w:t>（2）根据实际情况，具备有毒有害气体（如硫化氢、氰化氢、氯化氢、光气、氯气、氨气、苯等）厂界泄漏监控预警系统的</w:t>
            </w:r>
          </w:p>
        </w:tc>
        <w:tc>
          <w:tcPr>
            <w:tcW w:w="1201" w:type="dxa"/>
            <w:vMerge w:val="restart"/>
            <w:vAlign w:val="center"/>
          </w:tcPr>
          <w:p w14:paraId="3EA5E92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lang w:eastAsia="zh-CN"/>
              </w:rPr>
              <w:t>生产过程中会产生氯化氢，厂区安装了泄漏报警仪</w:t>
            </w:r>
          </w:p>
        </w:tc>
        <w:tc>
          <w:tcPr>
            <w:tcW w:w="972" w:type="dxa"/>
            <w:vMerge w:val="restart"/>
            <w:vAlign w:val="center"/>
          </w:tcPr>
          <w:p w14:paraId="0B7929C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0</w:t>
            </w:r>
          </w:p>
        </w:tc>
      </w:tr>
      <w:tr w14:paraId="5ED9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0C32171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7DCD091E">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不具备厂界有毒有害气体泄漏监控预警系统的</w:t>
            </w:r>
          </w:p>
        </w:tc>
        <w:tc>
          <w:tcPr>
            <w:tcW w:w="1201" w:type="dxa"/>
            <w:vMerge w:val="continue"/>
            <w:vAlign w:val="center"/>
          </w:tcPr>
          <w:p w14:paraId="19BF21E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39594AD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2EE8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25B1367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符合防护距离情况</w:t>
            </w:r>
          </w:p>
        </w:tc>
        <w:tc>
          <w:tcPr>
            <w:tcW w:w="4650" w:type="dxa"/>
            <w:vAlign w:val="center"/>
          </w:tcPr>
          <w:p w14:paraId="11B65848">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1201" w:type="dxa"/>
            <w:vMerge w:val="restart"/>
            <w:vAlign w:val="center"/>
          </w:tcPr>
          <w:p w14:paraId="2797B18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972" w:type="dxa"/>
            <w:vMerge w:val="restart"/>
            <w:vAlign w:val="center"/>
          </w:tcPr>
          <w:p w14:paraId="4ADECF1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4D66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5173BFF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0970E36B">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不符合环评及批复文件防护距离要求的</w:t>
            </w:r>
          </w:p>
        </w:tc>
        <w:tc>
          <w:tcPr>
            <w:tcW w:w="1201" w:type="dxa"/>
            <w:vMerge w:val="continue"/>
            <w:vAlign w:val="center"/>
          </w:tcPr>
          <w:p w14:paraId="224CB3F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51C461C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3E41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1841EE1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近三年内突发大气环境事件发生情况</w:t>
            </w:r>
          </w:p>
        </w:tc>
        <w:tc>
          <w:tcPr>
            <w:tcW w:w="4650" w:type="dxa"/>
            <w:vAlign w:val="center"/>
          </w:tcPr>
          <w:p w14:paraId="1A47D48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发生过特别重大及重大等级突发大气环境事件的</w:t>
            </w:r>
          </w:p>
        </w:tc>
        <w:tc>
          <w:tcPr>
            <w:tcW w:w="1201" w:type="dxa"/>
            <w:vMerge w:val="restart"/>
            <w:vAlign w:val="center"/>
          </w:tcPr>
          <w:p w14:paraId="7A60976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w:t>
            </w:r>
          </w:p>
        </w:tc>
        <w:tc>
          <w:tcPr>
            <w:tcW w:w="972" w:type="dxa"/>
            <w:vMerge w:val="restart"/>
            <w:vAlign w:val="center"/>
          </w:tcPr>
          <w:p w14:paraId="321AB2F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69EE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3D987E3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064250E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发生过较大等级突发大气环境事件的</w:t>
            </w:r>
          </w:p>
        </w:tc>
        <w:tc>
          <w:tcPr>
            <w:tcW w:w="1201" w:type="dxa"/>
            <w:vMerge w:val="continue"/>
            <w:vAlign w:val="center"/>
          </w:tcPr>
          <w:p w14:paraId="7F77AD3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320CC38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750F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69C5142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15E8929D">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发生过一般等级突发大气环境事件的</w:t>
            </w:r>
          </w:p>
        </w:tc>
        <w:tc>
          <w:tcPr>
            <w:tcW w:w="1201" w:type="dxa"/>
            <w:vMerge w:val="continue"/>
            <w:vAlign w:val="center"/>
          </w:tcPr>
          <w:p w14:paraId="7B074C0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3AA7CDF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4D55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59FF2D1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1FF1D9BC">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未发生突发大气环境事件的</w:t>
            </w:r>
          </w:p>
        </w:tc>
        <w:tc>
          <w:tcPr>
            <w:tcW w:w="1201" w:type="dxa"/>
            <w:vMerge w:val="continue"/>
            <w:vAlign w:val="center"/>
          </w:tcPr>
          <w:p w14:paraId="4C4BC73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483EB45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36CC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81" w:type="dxa"/>
            <w:gridSpan w:val="3"/>
            <w:vAlign w:val="center"/>
          </w:tcPr>
          <w:p w14:paraId="5C5E70B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总分</w:t>
            </w:r>
          </w:p>
        </w:tc>
        <w:tc>
          <w:tcPr>
            <w:tcW w:w="972" w:type="dxa"/>
            <w:vAlign w:val="center"/>
          </w:tcPr>
          <w:p w14:paraId="687E0FB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0</w:t>
            </w:r>
          </w:p>
        </w:tc>
      </w:tr>
    </w:tbl>
    <w:p w14:paraId="4890CB03">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b/>
          <w:bCs/>
          <w:sz w:val="24"/>
          <w:szCs w:val="24"/>
          <w:lang w:val="en-US" w:eastAsia="zh-CN"/>
        </w:rPr>
      </w:pPr>
    </w:p>
    <w:p w14:paraId="73171A6E">
      <w:pPr>
        <w:keepNext/>
        <w:keepLines/>
        <w:pageBreakBefore w:val="0"/>
        <w:widowControl w:val="0"/>
        <w:kinsoku/>
        <w:wordWrap/>
        <w:overflowPunct/>
        <w:topLinePunct w:val="0"/>
        <w:autoSpaceDE/>
        <w:autoSpaceDN/>
        <w:bidi w:val="0"/>
        <w:adjustRightInd/>
        <w:snapToGrid/>
        <w:spacing w:before="0" w:after="0" w:line="360" w:lineRule="auto"/>
        <w:textAlignment w:val="auto"/>
        <w:outlineLvl w:val="9"/>
        <w:rPr>
          <w:b/>
          <w:bCs/>
          <w:sz w:val="24"/>
          <w:szCs w:val="24"/>
        </w:rPr>
      </w:pPr>
      <w:r>
        <w:rPr>
          <w:rFonts w:hint="eastAsia"/>
          <w:b/>
          <w:bCs/>
          <w:sz w:val="24"/>
          <w:szCs w:val="24"/>
          <w:lang w:val="en-US" w:eastAsia="zh-CN"/>
        </w:rPr>
        <w:t>7.1.2.3</w:t>
      </w:r>
      <w:r>
        <w:rPr>
          <w:rFonts w:hint="eastAsia"/>
          <w:b/>
          <w:bCs/>
          <w:sz w:val="24"/>
          <w:szCs w:val="24"/>
        </w:rPr>
        <w:t>企业生产工艺过程与大气环境风险控制水平</w:t>
      </w:r>
    </w:p>
    <w:p w14:paraId="2A346FA6">
      <w:pPr>
        <w:pStyle w:val="124"/>
        <w:pageBreakBefore w:val="0"/>
        <w:kinsoku/>
        <w:wordWrap/>
        <w:overflowPunct/>
        <w:topLinePunct w:val="0"/>
        <w:autoSpaceDE/>
        <w:autoSpaceDN/>
        <w:bidi w:val="0"/>
        <w:adjustRightInd/>
        <w:snapToGrid/>
        <w:spacing w:line="360" w:lineRule="auto"/>
        <w:textAlignment w:val="auto"/>
        <w:rPr>
          <w:sz w:val="24"/>
          <w:szCs w:val="24"/>
          <w:lang w:eastAsia="zh-CN"/>
        </w:rPr>
      </w:pPr>
      <w:r>
        <w:rPr>
          <w:rFonts w:hint="eastAsia"/>
          <w:sz w:val="24"/>
          <w:szCs w:val="24"/>
          <w:lang w:eastAsia="zh-CN"/>
        </w:rPr>
        <w:t>生产工艺过程、大气环境风险防控措施及突发大气环境事件发生情况各项指标评估分值累加，得出生产工艺过程与大气环境风险控制水平值，按照</w:t>
      </w:r>
      <w:r>
        <w:rPr>
          <w:sz w:val="24"/>
          <w:szCs w:val="24"/>
          <w:lang w:eastAsia="zh-CN"/>
        </w:rPr>
        <w:fldChar w:fldCharType="begin"/>
      </w:r>
      <w:r>
        <w:rPr>
          <w:sz w:val="24"/>
          <w:szCs w:val="24"/>
          <w:lang w:eastAsia="zh-CN"/>
        </w:rPr>
        <w:instrText xml:space="preserve"> </w:instrText>
      </w:r>
      <w:r>
        <w:rPr>
          <w:rFonts w:hint="eastAsia"/>
          <w:sz w:val="24"/>
          <w:szCs w:val="24"/>
          <w:lang w:eastAsia="zh-CN"/>
        </w:rPr>
        <w:instrText xml:space="preserve">REF _Ref95230154 \h</w:instrText>
      </w:r>
      <w:r>
        <w:rPr>
          <w:sz w:val="24"/>
          <w:szCs w:val="24"/>
          <w:lang w:eastAsia="zh-CN"/>
        </w:rPr>
        <w:instrText xml:space="preserve">  \* MERGEFORMAT </w:instrText>
      </w:r>
      <w:r>
        <w:rPr>
          <w:sz w:val="24"/>
          <w:szCs w:val="24"/>
          <w:lang w:eastAsia="zh-CN"/>
        </w:rPr>
        <w:fldChar w:fldCharType="separate"/>
      </w:r>
      <w:r>
        <w:rPr>
          <w:rStyle w:val="135"/>
          <w:rFonts w:cs="宋体"/>
          <w:kern w:val="0"/>
          <w:sz w:val="24"/>
          <w:szCs w:val="24"/>
          <w:lang w:eastAsia="zh-CN"/>
        </w:rPr>
        <w:t>表 7.1</w:t>
      </w:r>
      <w:r>
        <w:rPr>
          <w:rStyle w:val="135"/>
          <w:rFonts w:cs="宋体"/>
          <w:kern w:val="0"/>
          <w:sz w:val="24"/>
          <w:szCs w:val="24"/>
          <w:lang w:eastAsia="zh-CN"/>
        </w:rPr>
        <w:noBreakHyphen/>
      </w:r>
      <w:r>
        <w:rPr>
          <w:rStyle w:val="135"/>
          <w:rFonts w:cs="宋体"/>
          <w:kern w:val="0"/>
          <w:sz w:val="24"/>
          <w:szCs w:val="24"/>
          <w:lang w:eastAsia="zh-CN"/>
        </w:rPr>
        <w:t>4</w:t>
      </w:r>
      <w:r>
        <w:rPr>
          <w:sz w:val="24"/>
          <w:szCs w:val="24"/>
          <w:lang w:eastAsia="zh-CN"/>
        </w:rPr>
        <w:fldChar w:fldCharType="end"/>
      </w:r>
      <w:r>
        <w:rPr>
          <w:rFonts w:hint="eastAsia"/>
          <w:sz w:val="24"/>
          <w:szCs w:val="24"/>
          <w:lang w:eastAsia="zh-CN"/>
        </w:rPr>
        <w:t>划分为4个类型。</w:t>
      </w:r>
    </w:p>
    <w:p w14:paraId="7D2DF584">
      <w:pPr>
        <w:pStyle w:val="128"/>
        <w:pageBreakBefore w:val="0"/>
        <w:kinsoku/>
        <w:wordWrap/>
        <w:overflowPunct/>
        <w:topLinePunct w:val="0"/>
        <w:autoSpaceDE/>
        <w:autoSpaceDN/>
        <w:bidi w:val="0"/>
        <w:spacing w:beforeLines="0" w:afterLines="0" w:line="360" w:lineRule="auto"/>
        <w:textAlignment w:val="auto"/>
      </w:pPr>
      <w:bookmarkStart w:id="110" w:name="_Ref95230154"/>
      <w:r>
        <w:rPr>
          <w:rStyle w:val="135"/>
          <w:rFonts w:cs="宋体"/>
          <w:kern w:val="0"/>
          <w:szCs w:val="21"/>
        </w:rPr>
        <w:t xml:space="preserve">表 </w:t>
      </w:r>
      <w:r>
        <w:rPr>
          <w:rStyle w:val="135"/>
          <w:rFonts w:cs="宋体"/>
          <w:kern w:val="0"/>
          <w:szCs w:val="21"/>
        </w:rPr>
        <w:fldChar w:fldCharType="begin"/>
      </w:r>
      <w:r>
        <w:rPr>
          <w:rStyle w:val="135"/>
          <w:rFonts w:cs="宋体"/>
          <w:kern w:val="0"/>
          <w:szCs w:val="21"/>
        </w:rPr>
        <w:instrText xml:space="preserve"> STYLEREF 2 \s </w:instrText>
      </w:r>
      <w:r>
        <w:rPr>
          <w:rStyle w:val="135"/>
          <w:rFonts w:cs="宋体"/>
          <w:kern w:val="0"/>
          <w:szCs w:val="21"/>
        </w:rPr>
        <w:fldChar w:fldCharType="separate"/>
      </w:r>
      <w:r>
        <w:rPr>
          <w:rStyle w:val="135"/>
          <w:rFonts w:cs="宋体"/>
          <w:kern w:val="0"/>
          <w:szCs w:val="21"/>
        </w:rPr>
        <w:t>7.1</w:t>
      </w:r>
      <w:r>
        <w:rPr>
          <w:rStyle w:val="135"/>
          <w:rFonts w:cs="宋体"/>
          <w:kern w:val="0"/>
          <w:szCs w:val="21"/>
        </w:rPr>
        <w:fldChar w:fldCharType="end"/>
      </w:r>
      <w:r>
        <w:rPr>
          <w:rStyle w:val="135"/>
          <w:rFonts w:cs="宋体"/>
          <w:kern w:val="0"/>
          <w:szCs w:val="21"/>
        </w:rPr>
        <w:noBreakHyphen/>
      </w:r>
      <w:r>
        <w:rPr>
          <w:rStyle w:val="135"/>
          <w:rFonts w:cs="宋体"/>
          <w:kern w:val="0"/>
          <w:szCs w:val="21"/>
        </w:rPr>
        <w:fldChar w:fldCharType="begin"/>
      </w:r>
      <w:r>
        <w:rPr>
          <w:rStyle w:val="135"/>
          <w:rFonts w:cs="宋体"/>
          <w:kern w:val="0"/>
          <w:szCs w:val="21"/>
        </w:rPr>
        <w:instrText xml:space="preserve"> SEQ 表格 \* ARABIC \s 2 </w:instrText>
      </w:r>
      <w:r>
        <w:rPr>
          <w:rStyle w:val="135"/>
          <w:rFonts w:cs="宋体"/>
          <w:kern w:val="0"/>
          <w:szCs w:val="21"/>
        </w:rPr>
        <w:fldChar w:fldCharType="separate"/>
      </w:r>
      <w:r>
        <w:rPr>
          <w:rStyle w:val="135"/>
          <w:rFonts w:cs="宋体"/>
          <w:kern w:val="0"/>
          <w:szCs w:val="21"/>
        </w:rPr>
        <w:t>1</w:t>
      </w:r>
      <w:r>
        <w:rPr>
          <w:rStyle w:val="135"/>
          <w:rFonts w:cs="宋体"/>
          <w:kern w:val="0"/>
          <w:szCs w:val="21"/>
        </w:rPr>
        <w:fldChar w:fldCharType="end"/>
      </w:r>
      <w:bookmarkEnd w:id="110"/>
      <w:r>
        <w:t xml:space="preserve"> </w:t>
      </w:r>
      <w:r>
        <w:rPr>
          <w:rFonts w:hint="eastAsia"/>
        </w:rPr>
        <w:t>企业生产工艺过程与环境风险控制水平类型划分</w:t>
      </w:r>
    </w:p>
    <w:tbl>
      <w:tblPr>
        <w:tblStyle w:val="133"/>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01"/>
        <w:gridCol w:w="4701"/>
      </w:tblGrid>
      <w:tr w14:paraId="56AD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4C2B6433">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eastAsia"/>
                <w:color w:val="auto"/>
              </w:rPr>
              <w:t>生产工艺过程与环境风险控制水平值</w:t>
            </w:r>
          </w:p>
        </w:tc>
        <w:tc>
          <w:tcPr>
            <w:tcW w:w="4701" w:type="dxa"/>
            <w:tcBorders>
              <w:top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6E7F61BD">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eastAsia"/>
                <w:color w:val="auto"/>
              </w:rPr>
              <w:t>生产工艺过程与环境风险控制水平类型</w:t>
            </w:r>
          </w:p>
        </w:tc>
      </w:tr>
      <w:tr w14:paraId="4C31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6A3898FA">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eastAsia"/>
                <w:color w:val="auto"/>
              </w:rPr>
              <w:t>M＜25</w:t>
            </w:r>
          </w:p>
        </w:tc>
        <w:tc>
          <w:tcPr>
            <w:tcW w:w="4701" w:type="dxa"/>
            <w:shd w:val="clear" w:color="auto" w:fill="auto"/>
            <w:vAlign w:val="center"/>
          </w:tcPr>
          <w:p w14:paraId="71FA71BA">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default"/>
                <w:color w:val="auto"/>
              </w:rPr>
              <w:t>M1</w:t>
            </w:r>
          </w:p>
        </w:tc>
      </w:tr>
      <w:tr w14:paraId="5BBB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62D33914">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eastAsia"/>
                <w:color w:val="auto"/>
              </w:rPr>
              <w:t>25≤M＜45</w:t>
            </w:r>
          </w:p>
        </w:tc>
        <w:tc>
          <w:tcPr>
            <w:tcW w:w="4701" w:type="dxa"/>
            <w:shd w:val="clear" w:color="auto" w:fill="auto"/>
            <w:vAlign w:val="center"/>
          </w:tcPr>
          <w:p w14:paraId="78D7AD5A">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default"/>
                <w:color w:val="auto"/>
              </w:rPr>
              <w:t>M2</w:t>
            </w:r>
          </w:p>
        </w:tc>
      </w:tr>
      <w:tr w14:paraId="6E7D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3725CB88">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eastAsia"/>
                <w:color w:val="auto"/>
              </w:rPr>
              <w:t>45≤M＜65</w:t>
            </w:r>
          </w:p>
        </w:tc>
        <w:tc>
          <w:tcPr>
            <w:tcW w:w="4701" w:type="dxa"/>
            <w:shd w:val="clear" w:color="auto" w:fill="auto"/>
            <w:vAlign w:val="center"/>
          </w:tcPr>
          <w:p w14:paraId="6D829ACB">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default"/>
                <w:color w:val="auto"/>
              </w:rPr>
              <w:t>M3</w:t>
            </w:r>
          </w:p>
        </w:tc>
      </w:tr>
      <w:tr w14:paraId="319B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701" w:type="dxa"/>
            <w:shd w:val="clear" w:color="auto" w:fill="auto"/>
            <w:vAlign w:val="center"/>
          </w:tcPr>
          <w:p w14:paraId="180F81E2">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eastAsia"/>
                <w:color w:val="auto"/>
              </w:rPr>
              <w:t>M≥65</w:t>
            </w:r>
          </w:p>
        </w:tc>
        <w:tc>
          <w:tcPr>
            <w:tcW w:w="4701" w:type="dxa"/>
            <w:shd w:val="clear" w:color="auto" w:fill="auto"/>
            <w:vAlign w:val="center"/>
          </w:tcPr>
          <w:p w14:paraId="35488929">
            <w:pPr>
              <w:pStyle w:val="12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textAlignment w:val="auto"/>
              <w:rPr>
                <w:rFonts w:hint="default"/>
                <w:color w:val="auto"/>
              </w:rPr>
            </w:pPr>
            <w:r>
              <w:rPr>
                <w:rFonts w:hint="default"/>
                <w:color w:val="auto"/>
              </w:rPr>
              <w:t>M4</w:t>
            </w:r>
          </w:p>
        </w:tc>
      </w:tr>
    </w:tbl>
    <w:p w14:paraId="0A013E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b w:val="0"/>
          <w:bCs w:val="0"/>
          <w:sz w:val="24"/>
          <w:szCs w:val="24"/>
          <w:lang w:val="en-US" w:eastAsia="zh-CN"/>
        </w:rPr>
        <w:t>根据大气环境风险防控措施及突发大气环境事件发生情况的分可知，M为25分，工艺过程与环境风险控制水平为M2类。</w:t>
      </w:r>
    </w:p>
    <w:p w14:paraId="1173B022">
      <w:pPr>
        <w:pStyle w:val="8"/>
        <w:rPr>
          <w:sz w:val="24"/>
          <w:szCs w:val="24"/>
        </w:rPr>
      </w:pPr>
      <w:r>
        <w:rPr>
          <w:rFonts w:hint="eastAsia"/>
          <w:sz w:val="24"/>
          <w:szCs w:val="24"/>
          <w:lang w:val="en-US" w:eastAsia="zh-CN"/>
        </w:rPr>
        <w:t>7.1.3</w:t>
      </w:r>
      <w:r>
        <w:rPr>
          <w:sz w:val="24"/>
          <w:szCs w:val="24"/>
        </w:rPr>
        <w:t>大气环境风险受体类型（E）评估</w:t>
      </w:r>
    </w:p>
    <w:p w14:paraId="5DB9A650">
      <w:pPr>
        <w:pStyle w:val="131"/>
        <w:ind w:firstLine="480"/>
        <w:rPr>
          <w:lang w:eastAsia="zh-CN"/>
        </w:rPr>
      </w:pPr>
      <w:r>
        <w:rPr>
          <w:rFonts w:hint="eastAsia"/>
          <w:lang w:eastAsia="zh-CN"/>
        </w:rPr>
        <w:t>大气环境风险受体敏感程度类型按照企业周边人口数进行划分。按照企业周边 5 公里或500 米范围内人口数将大气环境风险受体敏感程度划分为类型 1、类型 2 和类型 3 三种类型，分别以 E1、E2 和 E3 表示，见</w:t>
      </w:r>
      <w:r>
        <w:rPr>
          <w:lang w:eastAsia="zh-CN"/>
        </w:rPr>
        <w:fldChar w:fldCharType="begin"/>
      </w:r>
      <w:r>
        <w:rPr>
          <w:lang w:eastAsia="zh-CN"/>
        </w:rPr>
        <w:instrText xml:space="preserve"> </w:instrText>
      </w:r>
      <w:r>
        <w:rPr>
          <w:rFonts w:hint="eastAsia"/>
          <w:lang w:eastAsia="zh-CN"/>
        </w:rPr>
        <w:instrText xml:space="preserve">REF _Ref95230243 \h</w:instrText>
      </w:r>
      <w:r>
        <w:rPr>
          <w:lang w:eastAsia="zh-CN"/>
        </w:rPr>
        <w:instrText xml:space="preserve">  \* MERGEFORMAT </w:instrText>
      </w:r>
      <w:r>
        <w:rPr>
          <w:lang w:eastAsia="zh-CN"/>
        </w:rPr>
        <w:fldChar w:fldCharType="separate"/>
      </w:r>
      <w:r>
        <w:rPr>
          <w:lang w:eastAsia="zh-CN"/>
        </w:rPr>
        <w:t>表 7.1</w:t>
      </w:r>
      <w:r>
        <w:rPr>
          <w:lang w:eastAsia="zh-CN"/>
        </w:rPr>
        <w:noBreakHyphen/>
      </w:r>
      <w:r>
        <w:rPr>
          <w:lang w:eastAsia="zh-CN"/>
        </w:rPr>
        <w:t>5</w:t>
      </w:r>
      <w:r>
        <w:rPr>
          <w:lang w:eastAsia="zh-CN"/>
        </w:rPr>
        <w:fldChar w:fldCharType="end"/>
      </w:r>
      <w:r>
        <w:rPr>
          <w:rFonts w:hint="eastAsia"/>
          <w:lang w:eastAsia="zh-CN"/>
        </w:rPr>
        <w:t>。</w:t>
      </w:r>
    </w:p>
    <w:p w14:paraId="2F02886E">
      <w:pPr>
        <w:pStyle w:val="131"/>
        <w:ind w:firstLine="480"/>
        <w:rPr>
          <w:lang w:eastAsia="zh-CN"/>
        </w:rPr>
      </w:pPr>
      <w:r>
        <w:rPr>
          <w:rFonts w:hint="eastAsia"/>
          <w:lang w:eastAsia="zh-CN"/>
        </w:rPr>
        <w:t>大气环境风险受体敏感程度按类型 1、类型 2 和类型 3 顺序依次降低。若企业周边存在多种敏感程度类型的大气环境风险受体，则按敏感程度高者确定企业大气环境风险受体敏感程度类型。</w:t>
      </w:r>
    </w:p>
    <w:p w14:paraId="6FC3DAD3">
      <w:pPr>
        <w:pStyle w:val="128"/>
        <w:spacing w:before="72" w:after="48"/>
      </w:pPr>
      <w:bookmarkStart w:id="111" w:name="_Ref95230243"/>
      <w:r>
        <w:t xml:space="preserve">表 </w:t>
      </w:r>
      <w:r>
        <w:fldChar w:fldCharType="begin"/>
      </w:r>
      <w:r>
        <w:instrText xml:space="preserve"> STYLEREF 2 \s </w:instrText>
      </w:r>
      <w:r>
        <w:fldChar w:fldCharType="separate"/>
      </w:r>
      <w:r>
        <w:t>7.1</w:t>
      </w:r>
      <w:r>
        <w:fldChar w:fldCharType="end"/>
      </w:r>
      <w:r>
        <w:noBreakHyphen/>
      </w:r>
      <w:r>
        <w:fldChar w:fldCharType="begin"/>
      </w:r>
      <w:r>
        <w:instrText xml:space="preserve"> SEQ 表格 \* ARABIC \s 2 </w:instrText>
      </w:r>
      <w:r>
        <w:fldChar w:fldCharType="separate"/>
      </w:r>
      <w:r>
        <w:t>2</w:t>
      </w:r>
      <w:r>
        <w:fldChar w:fldCharType="end"/>
      </w:r>
      <w:bookmarkEnd w:id="111"/>
      <w:r>
        <w:rPr>
          <w:rFonts w:hint="eastAsia"/>
        </w:rPr>
        <w:t>大气环境风险受体敏感程度类型划分</w:t>
      </w:r>
    </w:p>
    <w:tbl>
      <w:tblPr>
        <w:tblStyle w:val="133"/>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4"/>
        <w:gridCol w:w="7648"/>
      </w:tblGrid>
      <w:tr w14:paraId="7D87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rPr>
        <w:tc>
          <w:tcPr>
            <w:tcW w:w="1754" w:type="dxa"/>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31547D9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敏感程度类型</w:t>
            </w:r>
          </w:p>
        </w:tc>
        <w:tc>
          <w:tcPr>
            <w:tcW w:w="7648" w:type="dxa"/>
            <w:tcBorders>
              <w:top w:val="single" w:color="auto" w:sz="4" w:space="0"/>
              <w:bottom w:val="single" w:color="auto" w:sz="4" w:space="0"/>
              <w:right w:val="single" w:color="auto" w:sz="4" w:space="0"/>
              <w:insideH w:val="single" w:sz="4" w:space="0"/>
              <w:insideV w:val="single" w:sz="4" w:space="0"/>
              <w:tl2br w:val="nil"/>
              <w:tr2bl w:val="nil"/>
            </w:tcBorders>
            <w:shd w:val="clear" w:color="auto" w:fill="auto"/>
            <w:vAlign w:val="center"/>
          </w:tcPr>
          <w:p w14:paraId="01E223EC">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大气环境风险受体</w:t>
            </w:r>
          </w:p>
        </w:tc>
      </w:tr>
      <w:tr w14:paraId="2930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7" w:hRule="atLeast"/>
        </w:trPr>
        <w:tc>
          <w:tcPr>
            <w:tcW w:w="1754" w:type="dxa"/>
            <w:shd w:val="clear" w:color="auto" w:fill="auto"/>
            <w:vAlign w:val="center"/>
          </w:tcPr>
          <w:p w14:paraId="37D1675F">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类型1（E1）</w:t>
            </w:r>
          </w:p>
        </w:tc>
        <w:tc>
          <w:tcPr>
            <w:tcW w:w="7648" w:type="dxa"/>
            <w:shd w:val="clear" w:color="auto" w:fill="auto"/>
            <w:vAlign w:val="center"/>
          </w:tcPr>
          <w:p w14:paraId="62CCDF14">
            <w:pPr>
              <w:pStyle w:val="127"/>
              <w:keepNext w:val="0"/>
              <w:keepLines w:val="0"/>
              <w:widowControl/>
              <w:suppressLineNumbers w:val="0"/>
              <w:spacing w:before="0" w:beforeAutospacing="0" w:after="0" w:afterAutospacing="0"/>
              <w:ind w:left="0" w:right="0"/>
              <w:jc w:val="both"/>
              <w:rPr>
                <w:rFonts w:hint="default"/>
                <w:color w:val="auto"/>
              </w:rPr>
            </w:pPr>
            <w:r>
              <w:rPr>
                <w:rFonts w:hint="eastAsia"/>
                <w:color w:val="auto"/>
              </w:rPr>
              <w:t>企业周边5公里范围内居住区、医疗卫生机构、文化教育机构、科研单位、行政机关、企事业单位、商场、公园等人口总数5万人以上，或企业周边500米范围内人口总数1000人以上，或企业周边5公里涉及军事禁区、军事管理区、国家相关保密区域</w:t>
            </w:r>
          </w:p>
        </w:tc>
      </w:tr>
      <w:tr w14:paraId="40E9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1754" w:type="dxa"/>
            <w:shd w:val="clear" w:color="auto" w:fill="auto"/>
            <w:vAlign w:val="center"/>
          </w:tcPr>
          <w:p w14:paraId="3965893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类型2（E2）</w:t>
            </w:r>
          </w:p>
        </w:tc>
        <w:tc>
          <w:tcPr>
            <w:tcW w:w="7648" w:type="dxa"/>
            <w:shd w:val="clear" w:color="auto" w:fill="auto"/>
            <w:vAlign w:val="center"/>
          </w:tcPr>
          <w:p w14:paraId="2BCD3BF0">
            <w:pPr>
              <w:pStyle w:val="127"/>
              <w:keepNext w:val="0"/>
              <w:keepLines w:val="0"/>
              <w:widowControl/>
              <w:suppressLineNumbers w:val="0"/>
              <w:spacing w:before="0" w:beforeAutospacing="0" w:after="0" w:afterAutospacing="0"/>
              <w:ind w:left="0" w:right="0"/>
              <w:jc w:val="both"/>
              <w:rPr>
                <w:rFonts w:hint="default"/>
                <w:color w:val="auto"/>
              </w:rPr>
            </w:pPr>
            <w:r>
              <w:rPr>
                <w:rFonts w:hint="eastAsia"/>
                <w:color w:val="auto"/>
              </w:rPr>
              <w:t>企业周边5公里范围内居住区、医疗卫生机构、文化教育机构、科研单位、行政机关、企事业单位、商场、公园等人口总数1万人以上、5万人以下，或企业周边500米范围内人口总数500人以上、1000人以下</w:t>
            </w:r>
          </w:p>
        </w:tc>
      </w:tr>
      <w:tr w14:paraId="140F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trPr>
        <w:tc>
          <w:tcPr>
            <w:tcW w:w="1754" w:type="dxa"/>
            <w:shd w:val="clear" w:color="auto" w:fill="auto"/>
            <w:vAlign w:val="center"/>
          </w:tcPr>
          <w:p w14:paraId="1DB2045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类型3（E3）</w:t>
            </w:r>
          </w:p>
        </w:tc>
        <w:tc>
          <w:tcPr>
            <w:tcW w:w="7648" w:type="dxa"/>
            <w:shd w:val="clear" w:color="auto" w:fill="auto"/>
            <w:vAlign w:val="center"/>
          </w:tcPr>
          <w:p w14:paraId="380DBC16">
            <w:pPr>
              <w:pStyle w:val="127"/>
              <w:keepNext w:val="0"/>
              <w:keepLines w:val="0"/>
              <w:widowControl/>
              <w:suppressLineNumbers w:val="0"/>
              <w:spacing w:before="0" w:beforeAutospacing="0" w:after="0" w:afterAutospacing="0"/>
              <w:ind w:left="0" w:right="0"/>
              <w:jc w:val="both"/>
              <w:rPr>
                <w:rFonts w:hint="default"/>
                <w:color w:val="auto"/>
              </w:rPr>
            </w:pPr>
            <w:r>
              <w:rPr>
                <w:rFonts w:hint="eastAsia"/>
                <w:color w:val="auto"/>
              </w:rPr>
              <w:t>企业周边5公里范围内居住区、医疗卫生机构、文化教育机构、科研单位、行政机关、企事业单位、商场、公园等人口总数1万人以下，且企业周边500米范围内人口总数500人以下</w:t>
            </w:r>
          </w:p>
        </w:tc>
      </w:tr>
    </w:tbl>
    <w:p w14:paraId="6DDAE084">
      <w:pPr>
        <w:pageBreakBefore w:val="0"/>
        <w:kinsoku/>
        <w:wordWrap/>
        <w:overflowPunct/>
        <w:topLinePunct w:val="0"/>
        <w:autoSpaceDE/>
        <w:autoSpaceDN/>
        <w:bidi w:val="0"/>
        <w:spacing w:line="360" w:lineRule="auto"/>
        <w:ind w:firstLine="560"/>
        <w:textAlignment w:val="auto"/>
        <w:rPr>
          <w:rFonts w:hAnsi="PMingLiU" w:cs="Times New Roman"/>
          <w:sz w:val="24"/>
          <w:szCs w:val="24"/>
        </w:rPr>
      </w:pPr>
      <w:r>
        <w:rPr>
          <w:rFonts w:hint="eastAsia" w:hAnsi="PMingLiU" w:cs="Times New Roman"/>
          <w:sz w:val="24"/>
          <w:szCs w:val="24"/>
        </w:rPr>
        <w:t>周边5公里范围内居住区、医疗卫生机构、文化教育机构、科研单位、行政机关、企事业单位、商场、公园等人口总数1万人以上、5万人以下</w:t>
      </w:r>
      <w:r>
        <w:rPr>
          <w:rFonts w:hint="eastAsia" w:hAnsi="PMingLiU" w:cs="Times New Roman"/>
          <w:sz w:val="24"/>
          <w:szCs w:val="24"/>
          <w:lang w:eastAsia="zh-CN"/>
        </w:rPr>
        <w:t>，</w:t>
      </w:r>
      <w:r>
        <w:rPr>
          <w:rFonts w:hint="eastAsia" w:hAnsi="PMingLiU" w:cs="Times New Roman"/>
          <w:sz w:val="24"/>
          <w:szCs w:val="24"/>
        </w:rPr>
        <w:t>或企业周边500米范围内人口总数500人以上、1000人以下</w:t>
      </w:r>
      <w:r>
        <w:rPr>
          <w:rFonts w:hAnsi="PMingLiU" w:cs="Times New Roman"/>
          <w:sz w:val="24"/>
          <w:szCs w:val="24"/>
        </w:rPr>
        <w:t>该公司</w:t>
      </w:r>
      <w:r>
        <w:rPr>
          <w:rFonts w:hint="eastAsia" w:hAnsi="PMingLiU" w:cs="Times New Roman"/>
          <w:sz w:val="24"/>
          <w:szCs w:val="24"/>
        </w:rPr>
        <w:t>大气环境风险受体敏感程度类型</w:t>
      </w:r>
      <w:r>
        <w:rPr>
          <w:rFonts w:hAnsi="PMingLiU" w:cs="Times New Roman"/>
          <w:sz w:val="24"/>
          <w:szCs w:val="24"/>
        </w:rPr>
        <w:t>为类型</w:t>
      </w:r>
      <w:r>
        <w:rPr>
          <w:rFonts w:hint="eastAsia" w:hAnsi="PMingLiU" w:cs="Times New Roman"/>
          <w:sz w:val="24"/>
          <w:szCs w:val="24"/>
        </w:rPr>
        <w:t>2</w:t>
      </w:r>
      <w:r>
        <w:rPr>
          <w:rFonts w:hAnsi="PMingLiU" w:cs="Times New Roman"/>
          <w:sz w:val="24"/>
          <w:szCs w:val="24"/>
        </w:rPr>
        <w:t>，以E2表示。</w:t>
      </w:r>
    </w:p>
    <w:p w14:paraId="1BBB7457">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7.1.4</w:t>
      </w:r>
      <w:r>
        <w:rPr>
          <w:rFonts w:hint="eastAsia"/>
          <w:sz w:val="24"/>
          <w:szCs w:val="24"/>
        </w:rPr>
        <w:t>突发大气环境事件风险等级确定</w:t>
      </w:r>
    </w:p>
    <w:p w14:paraId="55F376C8">
      <w:pPr>
        <w:pageBreakBefore w:val="0"/>
        <w:widowControl/>
        <w:kinsoku/>
        <w:wordWrap/>
        <w:overflowPunct/>
        <w:topLinePunct w:val="0"/>
        <w:autoSpaceDE/>
        <w:autoSpaceDN/>
        <w:bidi w:val="0"/>
        <w:adjustRightInd w:val="0"/>
        <w:snapToGrid w:val="0"/>
        <w:spacing w:line="360" w:lineRule="auto"/>
        <w:ind w:firstLine="561"/>
        <w:textAlignment w:val="auto"/>
        <w:rPr>
          <w:lang w:eastAsia="zh-CN"/>
        </w:rPr>
      </w:pPr>
      <w:r>
        <w:rPr>
          <w:rFonts w:hint="eastAsia"/>
          <w:sz w:val="24"/>
          <w:szCs w:val="24"/>
          <w:lang w:eastAsia="zh-CN"/>
        </w:rPr>
        <w:t>周边大气环境风险受体敏感程度（E）、涉气风险物质数量与临界量比值（Q）和生产工艺过程与大气环境风险控制水平（M），按照表7.1-6确定企业突发大气环境事件风险等级</w:t>
      </w:r>
      <w:r>
        <w:rPr>
          <w:rFonts w:hint="default" w:ascii="Times New Roman" w:hAnsi="Times New Roman" w:cs="Times New Roman"/>
          <w:color w:val="auto"/>
          <w:sz w:val="24"/>
          <w:szCs w:val="24"/>
          <w:highlight w:val="none"/>
        </w:rPr>
        <w:t>，为</w:t>
      </w:r>
      <w:r>
        <w:rPr>
          <w:rFonts w:hint="eastAsia" w:cs="Times New Roman"/>
          <w:color w:val="auto"/>
          <w:sz w:val="24"/>
          <w:szCs w:val="24"/>
          <w:highlight w:val="none"/>
          <w:lang w:eastAsia="zh-CN"/>
        </w:rPr>
        <w:t>重</w:t>
      </w:r>
      <w:r>
        <w:rPr>
          <w:rFonts w:hint="default" w:ascii="Times New Roman" w:hAnsi="Times New Roman" w:cs="Times New Roman"/>
          <w:color w:val="auto"/>
          <w:sz w:val="24"/>
          <w:szCs w:val="24"/>
          <w:highlight w:val="none"/>
          <w:lang w:eastAsia="zh-CN"/>
        </w:rPr>
        <w:t>大</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大气（Q</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-M</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-E2）。</w:t>
      </w:r>
    </w:p>
    <w:p w14:paraId="2DDC3273">
      <w:pPr>
        <w:pStyle w:val="128"/>
        <w:spacing w:before="72" w:after="48"/>
      </w:pPr>
      <w:r>
        <w:t xml:space="preserve">表 </w:t>
      </w:r>
      <w:r>
        <w:fldChar w:fldCharType="begin"/>
      </w:r>
      <w:r>
        <w:instrText xml:space="preserve"> STYLEREF 2 \s </w:instrText>
      </w:r>
      <w:r>
        <w:fldChar w:fldCharType="separate"/>
      </w:r>
      <w:r>
        <w:t>7.1</w:t>
      </w:r>
      <w:r>
        <w:fldChar w:fldCharType="end"/>
      </w:r>
      <w:r>
        <w:noBreakHyphen/>
      </w:r>
      <w:r>
        <w:fldChar w:fldCharType="begin"/>
      </w:r>
      <w:r>
        <w:instrText xml:space="preserve"> SEQ 表格 \* ARABIC \s 2 </w:instrText>
      </w:r>
      <w:r>
        <w:fldChar w:fldCharType="separate"/>
      </w:r>
      <w:r>
        <w:t>3</w:t>
      </w:r>
      <w:r>
        <w:fldChar w:fldCharType="end"/>
      </w:r>
      <w:r>
        <w:t xml:space="preserve"> </w:t>
      </w:r>
      <w:r>
        <w:rPr>
          <w:rFonts w:hint="eastAsia"/>
        </w:rPr>
        <w:t>企业突发环境事件风险分级矩阵表</w:t>
      </w:r>
    </w:p>
    <w:tbl>
      <w:tblPr>
        <w:tblStyle w:val="34"/>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921"/>
        <w:gridCol w:w="2409"/>
        <w:gridCol w:w="1267"/>
        <w:gridCol w:w="1267"/>
        <w:gridCol w:w="1267"/>
        <w:gridCol w:w="1271"/>
      </w:tblGrid>
      <w:tr w14:paraId="42BF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346B1C0A">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环境风险受体</w:t>
            </w:r>
          </w:p>
          <w:p w14:paraId="6B7FD721">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敏感程度（E）</w:t>
            </w:r>
          </w:p>
        </w:tc>
        <w:tc>
          <w:tcPr>
            <w:tcW w:w="2409" w:type="dxa"/>
            <w:vMerge w:val="restart"/>
            <w:shd w:val="clear" w:color="auto" w:fill="FFFFFF" w:themeFill="background1"/>
            <w:vAlign w:val="center"/>
          </w:tcPr>
          <w:p w14:paraId="1E11A566">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风险物质数量与临界量比值（Q）</w:t>
            </w:r>
          </w:p>
        </w:tc>
        <w:tc>
          <w:tcPr>
            <w:tcW w:w="5072" w:type="dxa"/>
            <w:gridSpan w:val="4"/>
            <w:shd w:val="clear" w:color="auto" w:fill="FFFFFF" w:themeFill="background1"/>
            <w:vAlign w:val="center"/>
          </w:tcPr>
          <w:p w14:paraId="31BA462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生产工艺过程与环境风险控制水平（M）</w:t>
            </w:r>
          </w:p>
        </w:tc>
      </w:tr>
      <w:tr w14:paraId="55A3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764D675E">
            <w:pPr>
              <w:pStyle w:val="127"/>
              <w:keepNext w:val="0"/>
              <w:keepLines w:val="0"/>
              <w:widowControl/>
              <w:suppressLineNumbers w:val="0"/>
              <w:spacing w:before="0" w:beforeAutospacing="0" w:after="0" w:afterAutospacing="0"/>
              <w:ind w:left="0" w:right="0"/>
              <w:rPr>
                <w:rFonts w:hint="default"/>
                <w:color w:val="auto"/>
              </w:rPr>
            </w:pPr>
          </w:p>
        </w:tc>
        <w:tc>
          <w:tcPr>
            <w:tcW w:w="2409" w:type="dxa"/>
            <w:vMerge w:val="continue"/>
            <w:shd w:val="clear" w:color="auto" w:fill="FFFFFF" w:themeFill="background1"/>
            <w:vAlign w:val="center"/>
          </w:tcPr>
          <w:p w14:paraId="75DDB061">
            <w:pPr>
              <w:pStyle w:val="127"/>
              <w:keepNext w:val="0"/>
              <w:keepLines w:val="0"/>
              <w:widowControl/>
              <w:suppressLineNumbers w:val="0"/>
              <w:spacing w:before="0" w:beforeAutospacing="0" w:after="0" w:afterAutospacing="0"/>
              <w:ind w:left="0" w:right="0"/>
              <w:rPr>
                <w:rFonts w:hint="default"/>
                <w:color w:val="auto"/>
              </w:rPr>
            </w:pPr>
          </w:p>
        </w:tc>
        <w:tc>
          <w:tcPr>
            <w:tcW w:w="1267" w:type="dxa"/>
            <w:shd w:val="clear" w:color="auto" w:fill="FFFFFF" w:themeFill="background1"/>
            <w:vAlign w:val="center"/>
          </w:tcPr>
          <w:p w14:paraId="52B2A3F2">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M1类水平</w:t>
            </w:r>
          </w:p>
        </w:tc>
        <w:tc>
          <w:tcPr>
            <w:tcW w:w="1267" w:type="dxa"/>
            <w:shd w:val="clear" w:color="auto" w:fill="FFFFFF" w:themeFill="background1"/>
            <w:vAlign w:val="center"/>
          </w:tcPr>
          <w:p w14:paraId="06D5B884">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M2类水平</w:t>
            </w:r>
          </w:p>
        </w:tc>
        <w:tc>
          <w:tcPr>
            <w:tcW w:w="1267" w:type="dxa"/>
            <w:shd w:val="clear" w:color="auto" w:fill="FFFFFF" w:themeFill="background1"/>
            <w:vAlign w:val="center"/>
          </w:tcPr>
          <w:p w14:paraId="3C454D33">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M3类水平</w:t>
            </w:r>
          </w:p>
        </w:tc>
        <w:tc>
          <w:tcPr>
            <w:tcW w:w="1271" w:type="dxa"/>
            <w:shd w:val="clear" w:color="auto" w:fill="FFFFFF" w:themeFill="background1"/>
            <w:vAlign w:val="center"/>
          </w:tcPr>
          <w:p w14:paraId="0130AB87">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M4类水平</w:t>
            </w:r>
          </w:p>
        </w:tc>
      </w:tr>
      <w:tr w14:paraId="5A93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78979872">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类型1</w:t>
            </w:r>
          </w:p>
          <w:p w14:paraId="0C621F3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（E1）</w:t>
            </w:r>
          </w:p>
        </w:tc>
        <w:tc>
          <w:tcPr>
            <w:tcW w:w="2409" w:type="dxa"/>
            <w:shd w:val="clear" w:color="auto" w:fill="FFFFFF" w:themeFill="background1"/>
            <w:vAlign w:val="center"/>
          </w:tcPr>
          <w:p w14:paraId="3E2335F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 Q＜10（Q1）</w:t>
            </w:r>
          </w:p>
        </w:tc>
        <w:tc>
          <w:tcPr>
            <w:tcW w:w="1267" w:type="dxa"/>
            <w:shd w:val="clear" w:color="auto" w:fill="FFFFFF" w:themeFill="background1"/>
            <w:vAlign w:val="center"/>
          </w:tcPr>
          <w:p w14:paraId="6734A30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21FC1549">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406667F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71" w:type="dxa"/>
            <w:shd w:val="clear" w:color="auto" w:fill="FFFFFF" w:themeFill="background1"/>
            <w:vAlign w:val="center"/>
          </w:tcPr>
          <w:p w14:paraId="28A557BF">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5785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4C2F3C86">
            <w:pPr>
              <w:pStyle w:val="127"/>
              <w:keepNext w:val="0"/>
              <w:keepLines w:val="0"/>
              <w:widowControl/>
              <w:suppressLineNumbers w:val="0"/>
              <w:spacing w:before="0" w:beforeAutospacing="0" w:after="0" w:afterAutospacing="0"/>
              <w:ind w:left="0" w:right="0"/>
              <w:rPr>
                <w:rFonts w:hint="default"/>
                <w:color w:val="auto"/>
              </w:rPr>
            </w:pPr>
          </w:p>
        </w:tc>
        <w:tc>
          <w:tcPr>
            <w:tcW w:w="2409" w:type="dxa"/>
            <w:shd w:val="clear" w:color="auto" w:fill="FFFFFF" w:themeFill="background1"/>
            <w:vAlign w:val="center"/>
          </w:tcPr>
          <w:p w14:paraId="0BADD739">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10≤ Q＜100（Q2）</w:t>
            </w:r>
          </w:p>
        </w:tc>
        <w:tc>
          <w:tcPr>
            <w:tcW w:w="1267" w:type="dxa"/>
            <w:shd w:val="clear" w:color="auto" w:fill="FFFFFF" w:themeFill="background1"/>
            <w:vAlign w:val="center"/>
          </w:tcPr>
          <w:p w14:paraId="0884E66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0AD24D96">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67" w:type="dxa"/>
            <w:shd w:val="clear" w:color="auto" w:fill="FFFFFF" w:themeFill="background1"/>
            <w:vAlign w:val="center"/>
          </w:tcPr>
          <w:p w14:paraId="589B6939">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71" w:type="dxa"/>
            <w:shd w:val="clear" w:color="auto" w:fill="FFFFFF" w:themeFill="background1"/>
            <w:vAlign w:val="center"/>
          </w:tcPr>
          <w:p w14:paraId="115FA0F0">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41A1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1681C006">
            <w:pPr>
              <w:pStyle w:val="127"/>
              <w:keepNext w:val="0"/>
              <w:keepLines w:val="0"/>
              <w:widowControl/>
              <w:suppressLineNumbers w:val="0"/>
              <w:spacing w:before="0" w:beforeAutospacing="0" w:after="0" w:afterAutospacing="0"/>
              <w:ind w:left="0" w:right="0"/>
              <w:rPr>
                <w:rFonts w:hint="default"/>
                <w:color w:val="auto"/>
              </w:rPr>
            </w:pPr>
          </w:p>
        </w:tc>
        <w:tc>
          <w:tcPr>
            <w:tcW w:w="2409" w:type="dxa"/>
            <w:shd w:val="clear" w:color="auto" w:fill="FFFFFF" w:themeFill="background1"/>
            <w:vAlign w:val="center"/>
          </w:tcPr>
          <w:p w14:paraId="2328F79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Q≥ 100（Q3）</w:t>
            </w:r>
          </w:p>
        </w:tc>
        <w:tc>
          <w:tcPr>
            <w:tcW w:w="1267" w:type="dxa"/>
            <w:shd w:val="clear" w:color="auto" w:fill="FFFFFF" w:themeFill="background1"/>
            <w:vAlign w:val="center"/>
          </w:tcPr>
          <w:p w14:paraId="34C55CCF">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67" w:type="dxa"/>
            <w:shd w:val="clear" w:color="auto" w:fill="FFFFFF" w:themeFill="background1"/>
            <w:vAlign w:val="center"/>
          </w:tcPr>
          <w:p w14:paraId="591794A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67" w:type="dxa"/>
            <w:shd w:val="clear" w:color="auto" w:fill="FFFFFF" w:themeFill="background1"/>
            <w:vAlign w:val="center"/>
          </w:tcPr>
          <w:p w14:paraId="6CC98AE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71" w:type="dxa"/>
            <w:shd w:val="clear" w:color="auto" w:fill="FFFFFF" w:themeFill="background1"/>
            <w:vAlign w:val="center"/>
          </w:tcPr>
          <w:p w14:paraId="506A0D2F">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42BA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75E0DA81">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类型2</w:t>
            </w:r>
          </w:p>
          <w:p w14:paraId="0630BC7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（E2）</w:t>
            </w:r>
          </w:p>
        </w:tc>
        <w:tc>
          <w:tcPr>
            <w:tcW w:w="2409" w:type="dxa"/>
            <w:shd w:val="clear" w:color="auto" w:fill="FFFFFF" w:themeFill="background1"/>
            <w:vAlign w:val="center"/>
          </w:tcPr>
          <w:p w14:paraId="7B497E09">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 Q＜10（Q1）</w:t>
            </w:r>
          </w:p>
        </w:tc>
        <w:tc>
          <w:tcPr>
            <w:tcW w:w="1267" w:type="dxa"/>
            <w:shd w:val="clear" w:color="auto" w:fill="FFFFFF" w:themeFill="background1"/>
            <w:vAlign w:val="center"/>
          </w:tcPr>
          <w:p w14:paraId="01AABB2F">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一般</w:t>
            </w:r>
          </w:p>
        </w:tc>
        <w:tc>
          <w:tcPr>
            <w:tcW w:w="1267" w:type="dxa"/>
            <w:shd w:val="clear" w:color="auto" w:fill="FFFFFF" w:themeFill="background1"/>
            <w:vAlign w:val="center"/>
          </w:tcPr>
          <w:p w14:paraId="1BD72179">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5F7066C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71" w:type="dxa"/>
            <w:shd w:val="clear" w:color="auto" w:fill="FFFFFF" w:themeFill="background1"/>
            <w:vAlign w:val="center"/>
          </w:tcPr>
          <w:p w14:paraId="0FA0F85C">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5C7E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33037C95">
            <w:pPr>
              <w:pStyle w:val="127"/>
              <w:keepNext w:val="0"/>
              <w:keepLines w:val="0"/>
              <w:widowControl/>
              <w:suppressLineNumbers w:val="0"/>
              <w:spacing w:before="0" w:beforeAutospacing="0" w:after="0" w:afterAutospacing="0"/>
              <w:ind w:left="0" w:right="0"/>
              <w:rPr>
                <w:rFonts w:hint="default"/>
                <w:color w:val="auto"/>
              </w:rPr>
            </w:pPr>
          </w:p>
        </w:tc>
        <w:tc>
          <w:tcPr>
            <w:tcW w:w="2409" w:type="dxa"/>
            <w:shd w:val="clear" w:color="auto" w:fill="FFFFFF" w:themeFill="background1"/>
            <w:vAlign w:val="center"/>
          </w:tcPr>
          <w:p w14:paraId="24BCA87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10≤ Q＜100（Q2）</w:t>
            </w:r>
          </w:p>
        </w:tc>
        <w:tc>
          <w:tcPr>
            <w:tcW w:w="1267" w:type="dxa"/>
            <w:shd w:val="clear" w:color="auto" w:fill="FFFFFF" w:themeFill="background1"/>
            <w:vAlign w:val="center"/>
          </w:tcPr>
          <w:p w14:paraId="01D63D82">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510F624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1F37DEF8">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71" w:type="dxa"/>
            <w:shd w:val="clear" w:color="auto" w:fill="FFFFFF" w:themeFill="background1"/>
            <w:vAlign w:val="center"/>
          </w:tcPr>
          <w:p w14:paraId="1F59D922">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3E4B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21BCC570">
            <w:pPr>
              <w:pStyle w:val="127"/>
              <w:keepNext w:val="0"/>
              <w:keepLines w:val="0"/>
              <w:widowControl/>
              <w:suppressLineNumbers w:val="0"/>
              <w:spacing w:before="0" w:beforeAutospacing="0" w:after="0" w:afterAutospacing="0"/>
              <w:ind w:left="0" w:right="0"/>
              <w:rPr>
                <w:rFonts w:hint="default"/>
                <w:color w:val="auto"/>
              </w:rPr>
            </w:pPr>
          </w:p>
        </w:tc>
        <w:tc>
          <w:tcPr>
            <w:tcW w:w="2409" w:type="dxa"/>
            <w:shd w:val="clear" w:color="auto" w:fill="FFFFFF" w:themeFill="background1"/>
            <w:vAlign w:val="center"/>
          </w:tcPr>
          <w:p w14:paraId="794BDE95">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Q≥100（Q3）</w:t>
            </w:r>
          </w:p>
        </w:tc>
        <w:tc>
          <w:tcPr>
            <w:tcW w:w="1267" w:type="dxa"/>
            <w:shd w:val="clear" w:color="auto" w:fill="FFFFFF" w:themeFill="background1"/>
            <w:vAlign w:val="center"/>
          </w:tcPr>
          <w:p w14:paraId="276D4846">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5879C449">
            <w:pPr>
              <w:pStyle w:val="127"/>
              <w:keepNext w:val="0"/>
              <w:keepLines w:val="0"/>
              <w:widowControl/>
              <w:suppressLineNumbers w:val="0"/>
              <w:spacing w:before="0" w:beforeAutospacing="0" w:after="0" w:afterAutospacing="0"/>
              <w:ind w:left="0" w:right="0"/>
              <w:rPr>
                <w:rFonts w:hint="default"/>
                <w:color w:val="auto"/>
                <w:highlight w:val="yellow"/>
              </w:rPr>
            </w:pPr>
            <w:r>
              <w:rPr>
                <w:rFonts w:hint="default"/>
                <w:color w:val="auto"/>
              </w:rPr>
              <w:t>重大</w:t>
            </w:r>
          </w:p>
        </w:tc>
        <w:tc>
          <w:tcPr>
            <w:tcW w:w="1267" w:type="dxa"/>
            <w:shd w:val="clear" w:color="auto" w:fill="FFFFFF" w:themeFill="background1"/>
            <w:vAlign w:val="center"/>
          </w:tcPr>
          <w:p w14:paraId="5B82917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71" w:type="dxa"/>
            <w:shd w:val="clear" w:color="auto" w:fill="FFFFFF" w:themeFill="background1"/>
            <w:vAlign w:val="center"/>
          </w:tcPr>
          <w:p w14:paraId="7124472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1E8F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restart"/>
            <w:shd w:val="clear" w:color="auto" w:fill="FFFFFF" w:themeFill="background1"/>
            <w:vAlign w:val="center"/>
          </w:tcPr>
          <w:p w14:paraId="4D1DC9F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类型3</w:t>
            </w:r>
          </w:p>
          <w:p w14:paraId="1D06A1F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（E3）</w:t>
            </w:r>
          </w:p>
        </w:tc>
        <w:tc>
          <w:tcPr>
            <w:tcW w:w="2409" w:type="dxa"/>
            <w:shd w:val="clear" w:color="auto" w:fill="FFFFFF" w:themeFill="background1"/>
            <w:vAlign w:val="center"/>
          </w:tcPr>
          <w:p w14:paraId="6F89B8F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 Q＜10（Q1）</w:t>
            </w:r>
          </w:p>
        </w:tc>
        <w:tc>
          <w:tcPr>
            <w:tcW w:w="1267" w:type="dxa"/>
            <w:shd w:val="clear" w:color="auto" w:fill="FFFFFF" w:themeFill="background1"/>
            <w:vAlign w:val="center"/>
          </w:tcPr>
          <w:p w14:paraId="61B925B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一般</w:t>
            </w:r>
          </w:p>
        </w:tc>
        <w:tc>
          <w:tcPr>
            <w:tcW w:w="1267" w:type="dxa"/>
            <w:shd w:val="clear" w:color="auto" w:fill="FFFFFF" w:themeFill="background1"/>
            <w:vAlign w:val="center"/>
          </w:tcPr>
          <w:p w14:paraId="72428E52">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一般</w:t>
            </w:r>
          </w:p>
        </w:tc>
        <w:tc>
          <w:tcPr>
            <w:tcW w:w="1267" w:type="dxa"/>
            <w:shd w:val="clear" w:color="auto" w:fill="FFFFFF" w:themeFill="background1"/>
            <w:vAlign w:val="center"/>
          </w:tcPr>
          <w:p w14:paraId="3EABEEA7">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71" w:type="dxa"/>
            <w:shd w:val="clear" w:color="auto" w:fill="FFFFFF" w:themeFill="background1"/>
            <w:vAlign w:val="center"/>
          </w:tcPr>
          <w:p w14:paraId="68B93655">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r>
      <w:tr w14:paraId="3008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29789641">
            <w:pPr>
              <w:pStyle w:val="127"/>
              <w:keepNext w:val="0"/>
              <w:keepLines w:val="0"/>
              <w:widowControl/>
              <w:suppressLineNumbers w:val="0"/>
              <w:spacing w:before="0" w:beforeAutospacing="0" w:after="0" w:afterAutospacing="0"/>
              <w:ind w:left="0" w:right="0"/>
              <w:rPr>
                <w:rFonts w:hint="default"/>
                <w:color w:val="auto"/>
              </w:rPr>
            </w:pPr>
          </w:p>
        </w:tc>
        <w:tc>
          <w:tcPr>
            <w:tcW w:w="2409" w:type="dxa"/>
            <w:shd w:val="clear" w:color="auto" w:fill="FFFFFF" w:themeFill="background1"/>
            <w:vAlign w:val="center"/>
          </w:tcPr>
          <w:p w14:paraId="6B77D507">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10≤ Q＜100（Q2）</w:t>
            </w:r>
          </w:p>
        </w:tc>
        <w:tc>
          <w:tcPr>
            <w:tcW w:w="1267" w:type="dxa"/>
            <w:shd w:val="clear" w:color="auto" w:fill="FFFFFF" w:themeFill="background1"/>
            <w:vAlign w:val="center"/>
          </w:tcPr>
          <w:p w14:paraId="7C51A78A">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一般</w:t>
            </w:r>
          </w:p>
        </w:tc>
        <w:tc>
          <w:tcPr>
            <w:tcW w:w="1267" w:type="dxa"/>
            <w:shd w:val="clear" w:color="auto" w:fill="FFFFFF" w:themeFill="background1"/>
            <w:vAlign w:val="center"/>
          </w:tcPr>
          <w:p w14:paraId="6E5ABAE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42593B49">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71" w:type="dxa"/>
            <w:shd w:val="clear" w:color="auto" w:fill="FFFFFF" w:themeFill="background1"/>
            <w:vAlign w:val="center"/>
          </w:tcPr>
          <w:p w14:paraId="084CA724">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r w14:paraId="5C23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921" w:type="dxa"/>
            <w:vMerge w:val="continue"/>
            <w:shd w:val="clear" w:color="auto" w:fill="FFFFFF" w:themeFill="background1"/>
            <w:vAlign w:val="center"/>
          </w:tcPr>
          <w:p w14:paraId="3072E8CD">
            <w:pPr>
              <w:pStyle w:val="127"/>
              <w:keepNext w:val="0"/>
              <w:keepLines w:val="0"/>
              <w:widowControl/>
              <w:suppressLineNumbers w:val="0"/>
              <w:spacing w:before="0" w:beforeAutospacing="0" w:after="0" w:afterAutospacing="0"/>
              <w:ind w:left="0" w:right="0"/>
              <w:rPr>
                <w:rFonts w:hint="default"/>
                <w:color w:val="auto"/>
              </w:rPr>
            </w:pPr>
          </w:p>
        </w:tc>
        <w:tc>
          <w:tcPr>
            <w:tcW w:w="2409" w:type="dxa"/>
            <w:shd w:val="clear" w:color="auto" w:fill="FFFFFF" w:themeFill="background1"/>
            <w:vAlign w:val="center"/>
          </w:tcPr>
          <w:p w14:paraId="0FAFACE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Q≥ 100（Q3）</w:t>
            </w:r>
          </w:p>
        </w:tc>
        <w:tc>
          <w:tcPr>
            <w:tcW w:w="1267" w:type="dxa"/>
            <w:shd w:val="clear" w:color="auto" w:fill="FFFFFF" w:themeFill="background1"/>
            <w:vAlign w:val="center"/>
          </w:tcPr>
          <w:p w14:paraId="29FD115F">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30BA3AD6">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较大</w:t>
            </w:r>
          </w:p>
        </w:tc>
        <w:tc>
          <w:tcPr>
            <w:tcW w:w="1267" w:type="dxa"/>
            <w:shd w:val="clear" w:color="auto" w:fill="FFFFFF" w:themeFill="background1"/>
            <w:vAlign w:val="center"/>
          </w:tcPr>
          <w:p w14:paraId="2CC04E4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c>
          <w:tcPr>
            <w:tcW w:w="1271" w:type="dxa"/>
            <w:shd w:val="clear" w:color="auto" w:fill="FFFFFF" w:themeFill="background1"/>
            <w:vAlign w:val="center"/>
          </w:tcPr>
          <w:p w14:paraId="221680D1">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重大</w:t>
            </w:r>
          </w:p>
        </w:tc>
      </w:tr>
    </w:tbl>
    <w:p w14:paraId="1C31B30B">
      <w:pPr>
        <w:pStyle w:val="7"/>
        <w:pageBreakBefore w:val="0"/>
        <w:kinsoku/>
        <w:wordWrap/>
        <w:overflowPunct/>
        <w:topLinePunct w:val="0"/>
        <w:autoSpaceDE/>
        <w:autoSpaceDN/>
        <w:bidi w:val="0"/>
        <w:spacing w:before="0" w:after="0"/>
        <w:textAlignment w:val="auto"/>
        <w:rPr>
          <w:rFonts w:hint="eastAsia"/>
          <w:lang w:val="en-US" w:eastAsia="zh-CN"/>
        </w:rPr>
      </w:pPr>
      <w:bookmarkStart w:id="112" w:name="_Toc127256793"/>
      <w:bookmarkStart w:id="113" w:name="_Toc71712267"/>
      <w:bookmarkStart w:id="114" w:name="_Toc522985314"/>
    </w:p>
    <w:p w14:paraId="6628DF3B">
      <w:pPr>
        <w:pStyle w:val="7"/>
        <w:pageBreakBefore w:val="0"/>
        <w:kinsoku/>
        <w:wordWrap/>
        <w:overflowPunct/>
        <w:topLinePunct w:val="0"/>
        <w:autoSpaceDE/>
        <w:autoSpaceDN/>
        <w:bidi w:val="0"/>
        <w:spacing w:before="0" w:after="0"/>
        <w:textAlignment w:val="auto"/>
      </w:pPr>
      <w:bookmarkStart w:id="115" w:name="_Toc5384"/>
      <w:r>
        <w:rPr>
          <w:rFonts w:hint="eastAsia"/>
          <w:lang w:val="en-US" w:eastAsia="zh-CN"/>
        </w:rPr>
        <w:t>7.2</w:t>
      </w:r>
      <w:r>
        <w:t>企业突发水环境事件风险等级</w:t>
      </w:r>
      <w:bookmarkEnd w:id="112"/>
      <w:bookmarkEnd w:id="113"/>
      <w:bookmarkEnd w:id="114"/>
      <w:bookmarkEnd w:id="115"/>
    </w:p>
    <w:p w14:paraId="40B9CDE5">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7.2.1</w:t>
      </w:r>
      <w:r>
        <w:rPr>
          <w:sz w:val="24"/>
          <w:szCs w:val="24"/>
        </w:rPr>
        <w:t>计算涉水风险物质与临界量比值（</w:t>
      </w:r>
      <w:r>
        <w:rPr>
          <w:rFonts w:hint="eastAsia"/>
          <w:sz w:val="24"/>
          <w:szCs w:val="24"/>
        </w:rPr>
        <w:t>Q</w:t>
      </w:r>
      <w:r>
        <w:rPr>
          <w:sz w:val="24"/>
          <w:szCs w:val="24"/>
        </w:rPr>
        <w:t>）</w:t>
      </w:r>
    </w:p>
    <w:p w14:paraId="17C2714F">
      <w:pPr>
        <w:pStyle w:val="131"/>
        <w:pageBreakBefore w:val="0"/>
        <w:kinsoku/>
        <w:wordWrap/>
        <w:overflowPunct/>
        <w:topLinePunct w:val="0"/>
        <w:autoSpaceDE/>
        <w:autoSpaceDN/>
        <w:bidi w:val="0"/>
        <w:ind w:firstLine="480"/>
        <w:textAlignment w:val="auto"/>
        <w:rPr>
          <w:lang w:eastAsia="zh-CN"/>
        </w:rPr>
      </w:pPr>
      <w:r>
        <w:rPr>
          <w:rFonts w:hint="eastAsia"/>
          <w:lang w:eastAsia="zh-CN"/>
        </w:rPr>
        <w:t>计算涉水风险物质在厂界内的存在量（如存在量呈动态变化，则按年度内最大存在量计算）与《企业突发环境事件风险分级方法》（</w:t>
      </w:r>
      <w:r>
        <w:rPr>
          <w:lang w:eastAsia="zh-CN"/>
        </w:rPr>
        <w:t>2018.3.1）</w:t>
      </w:r>
      <w:r>
        <w:rPr>
          <w:rFonts w:hint="eastAsia"/>
          <w:lang w:eastAsia="zh-CN"/>
        </w:rPr>
        <w:t>附录 A 中临界量的比值 Q：</w:t>
      </w:r>
    </w:p>
    <w:p w14:paraId="6795C364">
      <w:pPr>
        <w:pStyle w:val="124"/>
        <w:pageBreakBefore w:val="0"/>
        <w:kinsoku/>
        <w:wordWrap/>
        <w:overflowPunct/>
        <w:topLinePunct w:val="0"/>
        <w:autoSpaceDE/>
        <w:autoSpaceDN/>
        <w:bidi w:val="0"/>
        <w:textAlignment w:val="auto"/>
        <w:rPr>
          <w:lang w:eastAsia="zh-CN" w:bidi="en-US"/>
        </w:rPr>
      </w:pPr>
      <w:r>
        <w:rPr>
          <w:rFonts w:hint="eastAsia"/>
          <w:lang w:eastAsia="zh-CN"/>
        </w:rPr>
        <w:t>（1）当企业只涉及一种风险物质时，该物质的数量与其临界量比值，即为 Q。</w:t>
      </w:r>
    </w:p>
    <w:p w14:paraId="0032100D">
      <w:pPr>
        <w:pStyle w:val="131"/>
        <w:pageBreakBefore w:val="0"/>
        <w:kinsoku/>
        <w:wordWrap/>
        <w:overflowPunct/>
        <w:topLinePunct w:val="0"/>
        <w:autoSpaceDE/>
        <w:autoSpaceDN/>
        <w:bidi w:val="0"/>
        <w:ind w:firstLine="480"/>
        <w:textAlignment w:val="auto"/>
        <w:rPr>
          <w:lang w:eastAsia="zh-CN"/>
        </w:rPr>
      </w:pPr>
      <w:r>
        <w:rPr>
          <w:rFonts w:hint="eastAsia"/>
          <w:lang w:eastAsia="zh-CN"/>
        </w:rPr>
        <w:t>（2）当企业存在多种风险物质时，则按式（1）计算：</w:t>
      </w:r>
    </w:p>
    <w:p w14:paraId="1752ECE8">
      <w:pPr>
        <w:pStyle w:val="136"/>
        <w:pageBreakBefore w:val="0"/>
        <w:kinsoku/>
        <w:wordWrap/>
        <w:overflowPunct/>
        <w:topLinePunct w:val="0"/>
        <w:autoSpaceDE/>
        <w:autoSpaceDN/>
        <w:bidi w:val="0"/>
        <w:ind w:left="900" w:hanging="420"/>
        <w:textAlignment w:val="auto"/>
      </w:pPr>
      <w:r>
        <w:drawing>
          <wp:anchor distT="0" distB="0" distL="114300" distR="114300" simplePos="0" relativeHeight="251664384" behindDoc="0" locked="0" layoutInCell="1" allowOverlap="1">
            <wp:simplePos x="0" y="0"/>
            <wp:positionH relativeFrom="column">
              <wp:posOffset>4105275</wp:posOffset>
            </wp:positionH>
            <wp:positionV relativeFrom="paragraph">
              <wp:posOffset>146685</wp:posOffset>
            </wp:positionV>
            <wp:extent cx="447675" cy="285750"/>
            <wp:effectExtent l="0" t="0" r="9525" b="0"/>
            <wp:wrapThrough wrapText="bothSides">
              <wp:wrapPolygon>
                <wp:start x="0" y="0"/>
                <wp:lineTo x="0" y="20160"/>
                <wp:lineTo x="20436" y="20160"/>
                <wp:lineTo x="20436" y="0"/>
                <wp:lineTo x="0" y="0"/>
              </wp:wrapPolygon>
            </wp:wrapThrough>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675" cy="285750"/>
                    </a:xfrm>
                    <a:prstGeom prst="rect">
                      <a:avLst/>
                    </a:prstGeom>
                  </pic:spPr>
                </pic:pic>
              </a:graphicData>
            </a:graphic>
          </wp:anchor>
        </w:drawing>
      </w:r>
      <w:r>
        <w:drawing>
          <wp:inline distT="0" distB="0" distL="0" distR="0">
            <wp:extent cx="2171700" cy="542925"/>
            <wp:effectExtent l="0" t="0" r="0" b="952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25" cstate="print"/>
                    <a:stretch>
                      <a:fillRect/>
                    </a:stretch>
                  </pic:blipFill>
                  <pic:spPr>
                    <a:xfrm>
                      <a:off x="0" y="0"/>
                      <a:ext cx="2171700" cy="542925"/>
                    </a:xfrm>
                    <a:prstGeom prst="rect">
                      <a:avLst/>
                    </a:prstGeom>
                  </pic:spPr>
                </pic:pic>
              </a:graphicData>
            </a:graphic>
          </wp:inline>
        </w:drawing>
      </w:r>
      <w:r>
        <w:rPr>
          <w:rFonts w:hint="eastAsia"/>
        </w:rPr>
        <w:t xml:space="preserve">    </w:t>
      </w:r>
    </w:p>
    <w:p w14:paraId="0D83252E">
      <w:pPr>
        <w:pStyle w:val="131"/>
        <w:keepNext w:val="0"/>
        <w:keepLines w:val="0"/>
        <w:pageBreakBefore w:val="0"/>
        <w:widowControl w:val="0"/>
        <w:kinsoku/>
        <w:wordWrap/>
        <w:overflowPunct/>
        <w:topLinePunct w:val="0"/>
        <w:autoSpaceDE/>
        <w:autoSpaceDN/>
        <w:bidi w:val="0"/>
        <w:snapToGrid w:val="0"/>
        <w:ind w:firstLine="480"/>
        <w:textAlignment w:val="auto"/>
        <w:rPr>
          <w:sz w:val="24"/>
          <w:szCs w:val="24"/>
          <w:lang w:eastAsia="zh-CN"/>
        </w:rPr>
      </w:pPr>
      <w:r>
        <w:rPr>
          <w:sz w:val="24"/>
          <w:szCs w:val="24"/>
          <w:lang w:eastAsia="zh-CN"/>
        </w:rPr>
        <w:t>式中：</w:t>
      </w:r>
      <w:r>
        <w:rPr>
          <w:rFonts w:hint="eastAsia"/>
          <w:i/>
          <w:sz w:val="24"/>
          <w:szCs w:val="24"/>
          <w:lang w:eastAsia="zh-CN"/>
        </w:rPr>
        <w:t>w</w:t>
      </w:r>
      <w:r>
        <w:rPr>
          <w:rFonts w:hint="eastAsia"/>
          <w:i/>
          <w:sz w:val="24"/>
          <w:szCs w:val="24"/>
          <w:vertAlign w:val="subscript"/>
          <w:lang w:eastAsia="zh-CN"/>
        </w:rPr>
        <w:t>1</w:t>
      </w:r>
      <w:r>
        <w:rPr>
          <w:i/>
          <w:sz w:val="24"/>
          <w:szCs w:val="24"/>
          <w:lang w:eastAsia="zh-CN"/>
        </w:rPr>
        <w:t>,w</w:t>
      </w:r>
      <w:r>
        <w:rPr>
          <w:i/>
          <w:sz w:val="24"/>
          <w:szCs w:val="24"/>
          <w:vertAlign w:val="subscript"/>
          <w:lang w:eastAsia="zh-CN"/>
        </w:rPr>
        <w:t>2</w:t>
      </w:r>
      <w:r>
        <w:rPr>
          <w:i/>
          <w:sz w:val="24"/>
          <w:szCs w:val="24"/>
          <w:lang w:eastAsia="zh-CN"/>
        </w:rPr>
        <w:t>,……，</w:t>
      </w:r>
      <w:r>
        <w:rPr>
          <w:rFonts w:hint="eastAsia"/>
          <w:i/>
          <w:sz w:val="24"/>
          <w:szCs w:val="24"/>
          <w:lang w:eastAsia="zh-CN"/>
        </w:rPr>
        <w:t>w</w:t>
      </w:r>
      <w:r>
        <w:rPr>
          <w:i/>
          <w:sz w:val="24"/>
          <w:szCs w:val="24"/>
          <w:vertAlign w:val="subscript"/>
          <w:lang w:eastAsia="zh-CN"/>
        </w:rPr>
        <w:t>n</w:t>
      </w:r>
      <w:r>
        <w:rPr>
          <w:i/>
          <w:sz w:val="24"/>
          <w:szCs w:val="24"/>
          <w:lang w:eastAsia="zh-CN"/>
        </w:rPr>
        <w:t>—</w:t>
      </w:r>
      <w:r>
        <w:rPr>
          <w:sz w:val="24"/>
          <w:szCs w:val="24"/>
          <w:lang w:eastAsia="zh-CN"/>
        </w:rPr>
        <w:t>—</w:t>
      </w:r>
      <w:r>
        <w:rPr>
          <w:sz w:val="24"/>
          <w:szCs w:val="24"/>
          <w:vertAlign w:val="subscript"/>
          <w:lang w:eastAsia="zh-CN"/>
        </w:rPr>
        <w:t xml:space="preserve"> </w:t>
      </w:r>
      <w:r>
        <w:rPr>
          <w:sz w:val="24"/>
          <w:szCs w:val="24"/>
          <w:lang w:eastAsia="zh-CN"/>
        </w:rPr>
        <w:t>每种环境风险物质的存在量，t；</w:t>
      </w:r>
    </w:p>
    <w:p w14:paraId="50518783">
      <w:pPr>
        <w:pStyle w:val="131"/>
        <w:keepNext w:val="0"/>
        <w:keepLines w:val="0"/>
        <w:pageBreakBefore w:val="0"/>
        <w:widowControl w:val="0"/>
        <w:kinsoku/>
        <w:wordWrap/>
        <w:overflowPunct/>
        <w:topLinePunct w:val="0"/>
        <w:autoSpaceDE/>
        <w:autoSpaceDN/>
        <w:bidi w:val="0"/>
        <w:snapToGrid w:val="0"/>
        <w:ind w:firstLine="849" w:firstLineChars="354"/>
        <w:textAlignment w:val="auto"/>
        <w:rPr>
          <w:sz w:val="24"/>
          <w:szCs w:val="24"/>
          <w:lang w:eastAsia="zh-CN"/>
        </w:rPr>
      </w:pPr>
      <w:r>
        <w:rPr>
          <w:i/>
          <w:sz w:val="24"/>
          <w:szCs w:val="24"/>
          <w:lang w:eastAsia="zh-CN"/>
        </w:rPr>
        <w:t>W</w:t>
      </w:r>
      <w:r>
        <w:rPr>
          <w:i/>
          <w:sz w:val="24"/>
          <w:szCs w:val="24"/>
          <w:vertAlign w:val="subscript"/>
          <w:lang w:eastAsia="zh-CN"/>
        </w:rPr>
        <w:t>1</w:t>
      </w:r>
      <w:r>
        <w:rPr>
          <w:i/>
          <w:sz w:val="24"/>
          <w:szCs w:val="24"/>
          <w:lang w:eastAsia="zh-CN"/>
        </w:rPr>
        <w:t>,W</w:t>
      </w:r>
      <w:r>
        <w:rPr>
          <w:i/>
          <w:sz w:val="24"/>
          <w:szCs w:val="24"/>
          <w:vertAlign w:val="subscript"/>
          <w:lang w:eastAsia="zh-CN"/>
        </w:rPr>
        <w:t>2</w:t>
      </w:r>
      <w:r>
        <w:rPr>
          <w:i/>
          <w:sz w:val="24"/>
          <w:szCs w:val="24"/>
          <w:lang w:eastAsia="zh-CN"/>
        </w:rPr>
        <w:t>,……，W</w:t>
      </w:r>
      <w:r>
        <w:rPr>
          <w:i/>
          <w:sz w:val="24"/>
          <w:szCs w:val="24"/>
          <w:vertAlign w:val="subscript"/>
          <w:lang w:eastAsia="zh-CN"/>
        </w:rPr>
        <w:t>N</w:t>
      </w:r>
      <w:r>
        <w:rPr>
          <w:sz w:val="24"/>
          <w:szCs w:val="24"/>
          <w:lang w:eastAsia="zh-CN"/>
        </w:rPr>
        <w:t>——</w:t>
      </w:r>
      <w:r>
        <w:rPr>
          <w:sz w:val="24"/>
          <w:szCs w:val="24"/>
          <w:vertAlign w:val="subscript"/>
          <w:lang w:eastAsia="zh-CN"/>
        </w:rPr>
        <w:t xml:space="preserve"> </w:t>
      </w:r>
      <w:r>
        <w:rPr>
          <w:sz w:val="24"/>
          <w:szCs w:val="24"/>
          <w:lang w:eastAsia="zh-CN"/>
        </w:rPr>
        <w:t>每种环境风险物质的</w:t>
      </w:r>
      <w:r>
        <w:rPr>
          <w:rFonts w:hint="eastAsia"/>
          <w:sz w:val="24"/>
          <w:szCs w:val="24"/>
          <w:lang w:eastAsia="zh-CN"/>
        </w:rPr>
        <w:t>临界</w:t>
      </w:r>
      <w:r>
        <w:rPr>
          <w:sz w:val="24"/>
          <w:szCs w:val="24"/>
          <w:lang w:eastAsia="zh-CN"/>
        </w:rPr>
        <w:t>量，t。</w:t>
      </w:r>
    </w:p>
    <w:p w14:paraId="52BCB92B">
      <w:pPr>
        <w:pStyle w:val="131"/>
        <w:keepNext w:val="0"/>
        <w:keepLines w:val="0"/>
        <w:pageBreakBefore w:val="0"/>
        <w:widowControl w:val="0"/>
        <w:kinsoku/>
        <w:wordWrap/>
        <w:overflowPunct/>
        <w:topLinePunct w:val="0"/>
        <w:autoSpaceDE/>
        <w:autoSpaceDN/>
        <w:bidi w:val="0"/>
        <w:snapToGrid w:val="0"/>
        <w:ind w:firstLine="464"/>
        <w:textAlignment w:val="auto"/>
        <w:rPr>
          <w:spacing w:val="-4"/>
          <w:sz w:val="24"/>
          <w:szCs w:val="24"/>
          <w:lang w:eastAsia="zh-CN"/>
        </w:rPr>
      </w:pPr>
      <w:r>
        <w:rPr>
          <w:spacing w:val="-4"/>
          <w:sz w:val="24"/>
          <w:szCs w:val="24"/>
          <w:lang w:eastAsia="zh-CN"/>
        </w:rPr>
        <w:t>计算出Q值后，将Q值划分为4个水平，分别为：</w:t>
      </w:r>
    </w:p>
    <w:p w14:paraId="40494C9A">
      <w:pPr>
        <w:pStyle w:val="131"/>
        <w:keepNext w:val="0"/>
        <w:keepLines w:val="0"/>
        <w:pageBreakBefore w:val="0"/>
        <w:widowControl w:val="0"/>
        <w:kinsoku/>
        <w:wordWrap/>
        <w:overflowPunct/>
        <w:topLinePunct w:val="0"/>
        <w:autoSpaceDE/>
        <w:autoSpaceDN/>
        <w:bidi w:val="0"/>
        <w:snapToGrid w:val="0"/>
        <w:ind w:firstLine="464"/>
        <w:textAlignment w:val="auto"/>
        <w:rPr>
          <w:spacing w:val="-4"/>
          <w:sz w:val="24"/>
          <w:szCs w:val="24"/>
          <w:lang w:eastAsia="zh-CN"/>
        </w:rPr>
      </w:pPr>
      <w:r>
        <w:rPr>
          <w:spacing w:val="-4"/>
          <w:sz w:val="24"/>
          <w:szCs w:val="24"/>
          <w:lang w:eastAsia="zh-CN"/>
        </w:rPr>
        <w:t>（1）Q＜1,以Q0表示，企业直接评为,一般环境风险等级；</w:t>
      </w:r>
    </w:p>
    <w:p w14:paraId="4229441D">
      <w:pPr>
        <w:pStyle w:val="131"/>
        <w:keepNext w:val="0"/>
        <w:keepLines w:val="0"/>
        <w:pageBreakBefore w:val="0"/>
        <w:widowControl w:val="0"/>
        <w:kinsoku/>
        <w:wordWrap/>
        <w:overflowPunct/>
        <w:topLinePunct w:val="0"/>
        <w:autoSpaceDE/>
        <w:autoSpaceDN/>
        <w:bidi w:val="0"/>
        <w:snapToGrid w:val="0"/>
        <w:ind w:firstLine="464"/>
        <w:textAlignment w:val="auto"/>
        <w:rPr>
          <w:spacing w:val="-4"/>
          <w:sz w:val="24"/>
          <w:szCs w:val="24"/>
        </w:rPr>
      </w:pPr>
      <w:r>
        <w:rPr>
          <w:spacing w:val="-4"/>
          <w:sz w:val="24"/>
          <w:szCs w:val="24"/>
        </w:rPr>
        <w:t>（2）1≤Q＜10,以</w:t>
      </w:r>
      <w:r>
        <w:rPr>
          <w:rFonts w:hint="eastAsia"/>
          <w:spacing w:val="-4"/>
          <w:sz w:val="24"/>
          <w:szCs w:val="24"/>
        </w:rPr>
        <w:t>Q1表示；</w:t>
      </w:r>
    </w:p>
    <w:p w14:paraId="44721FE4">
      <w:pPr>
        <w:pStyle w:val="131"/>
        <w:keepNext w:val="0"/>
        <w:keepLines w:val="0"/>
        <w:pageBreakBefore w:val="0"/>
        <w:widowControl w:val="0"/>
        <w:kinsoku/>
        <w:wordWrap/>
        <w:overflowPunct/>
        <w:topLinePunct w:val="0"/>
        <w:autoSpaceDE/>
        <w:autoSpaceDN/>
        <w:bidi w:val="0"/>
        <w:snapToGrid w:val="0"/>
        <w:ind w:firstLine="464"/>
        <w:textAlignment w:val="auto"/>
        <w:rPr>
          <w:spacing w:val="-4"/>
          <w:sz w:val="24"/>
          <w:szCs w:val="24"/>
        </w:rPr>
      </w:pPr>
      <w:r>
        <w:rPr>
          <w:spacing w:val="-4"/>
          <w:sz w:val="24"/>
          <w:szCs w:val="24"/>
        </w:rPr>
        <w:t>（3）10≤Q＜100,以</w:t>
      </w:r>
      <w:r>
        <w:rPr>
          <w:rFonts w:hint="eastAsia"/>
          <w:spacing w:val="-4"/>
          <w:sz w:val="24"/>
          <w:szCs w:val="24"/>
        </w:rPr>
        <w:t>Q2表示；</w:t>
      </w:r>
    </w:p>
    <w:p w14:paraId="312ECF92">
      <w:pPr>
        <w:pStyle w:val="131"/>
        <w:keepNext w:val="0"/>
        <w:keepLines w:val="0"/>
        <w:pageBreakBefore w:val="0"/>
        <w:widowControl w:val="0"/>
        <w:kinsoku/>
        <w:wordWrap/>
        <w:overflowPunct/>
        <w:topLinePunct w:val="0"/>
        <w:autoSpaceDE/>
        <w:autoSpaceDN/>
        <w:bidi w:val="0"/>
        <w:snapToGrid w:val="0"/>
        <w:ind w:firstLine="464"/>
        <w:textAlignment w:val="auto"/>
        <w:rPr>
          <w:spacing w:val="-2"/>
          <w:sz w:val="24"/>
          <w:szCs w:val="24"/>
          <w:lang w:eastAsia="zh-CN"/>
        </w:rPr>
      </w:pPr>
      <w:r>
        <w:rPr>
          <w:spacing w:val="-4"/>
          <w:sz w:val="24"/>
          <w:szCs w:val="24"/>
          <w:lang w:eastAsia="zh-CN"/>
        </w:rPr>
        <w:t>（4）Q≥100,以</w:t>
      </w:r>
      <w:r>
        <w:rPr>
          <w:rFonts w:hint="eastAsia"/>
          <w:spacing w:val="-4"/>
          <w:sz w:val="24"/>
          <w:szCs w:val="24"/>
          <w:lang w:eastAsia="zh-CN"/>
        </w:rPr>
        <w:t>Q3表示。</w:t>
      </w:r>
    </w:p>
    <w:p w14:paraId="60BB7A7B">
      <w:pPr>
        <w:keepNext w:val="0"/>
        <w:keepLines w:val="0"/>
        <w:pageBreakBefore w:val="0"/>
        <w:widowControl w:val="0"/>
        <w:kinsoku/>
        <w:wordWrap/>
        <w:overflowPunct/>
        <w:topLinePunct w:val="0"/>
        <w:autoSpaceDE/>
        <w:autoSpaceDN/>
        <w:bidi w:val="0"/>
        <w:snapToGrid w:val="0"/>
        <w:spacing w:line="360" w:lineRule="auto"/>
        <w:ind w:firstLine="560"/>
        <w:jc w:val="both"/>
        <w:textAlignment w:val="auto"/>
        <w:rPr>
          <w:rFonts w:cs="Times New Roman"/>
          <w:spacing w:val="-2"/>
          <w:sz w:val="24"/>
          <w:szCs w:val="24"/>
        </w:rPr>
      </w:pPr>
      <w:r>
        <w:rPr>
          <w:rFonts w:hint="eastAsia" w:cs="Times New Roman"/>
          <w:spacing w:val="-2"/>
          <w:sz w:val="24"/>
          <w:szCs w:val="24"/>
        </w:rPr>
        <w:t>对照《企业突发环境事件风险分级方法》</w:t>
      </w:r>
      <w:r>
        <w:rPr>
          <w:rFonts w:cs="Times New Roman"/>
          <w:spacing w:val="-2"/>
          <w:sz w:val="24"/>
          <w:szCs w:val="24"/>
        </w:rPr>
        <w:t>（2018.3.1）附录 A 中涉水风险物质，企业涉</w:t>
      </w:r>
      <w:r>
        <w:rPr>
          <w:rFonts w:hint="eastAsia" w:cs="Times New Roman"/>
          <w:spacing w:val="-2"/>
          <w:sz w:val="24"/>
          <w:szCs w:val="24"/>
        </w:rPr>
        <w:t>水</w:t>
      </w:r>
      <w:r>
        <w:rPr>
          <w:rFonts w:cs="Times New Roman"/>
          <w:spacing w:val="-2"/>
          <w:sz w:val="24"/>
          <w:szCs w:val="24"/>
        </w:rPr>
        <w:t>环境风险物质与临界量比值保守计算结果见</w:t>
      </w:r>
      <w:r>
        <w:rPr>
          <w:sz w:val="24"/>
          <w:szCs w:val="24"/>
        </w:rPr>
        <w:fldChar w:fldCharType="begin"/>
      </w:r>
      <w:r>
        <w:rPr>
          <w:sz w:val="24"/>
          <w:szCs w:val="24"/>
        </w:rPr>
        <w:instrText xml:space="preserve"> REF _Ref95230279 \h  \* MERGEFORMAT </w:instrText>
      </w:r>
      <w:r>
        <w:rPr>
          <w:sz w:val="24"/>
          <w:szCs w:val="24"/>
        </w:rPr>
        <w:fldChar w:fldCharType="separate"/>
      </w:r>
      <w:r>
        <w:rPr>
          <w:sz w:val="24"/>
          <w:szCs w:val="24"/>
        </w:rPr>
        <w:t>表 7.2</w:t>
      </w:r>
      <w:r>
        <w:rPr>
          <w:sz w:val="24"/>
          <w:szCs w:val="24"/>
        </w:rPr>
        <w:noBreakHyphen/>
      </w:r>
      <w:r>
        <w:rPr>
          <w:sz w:val="24"/>
          <w:szCs w:val="24"/>
        </w:rPr>
        <w:t>1</w:t>
      </w:r>
      <w:r>
        <w:rPr>
          <w:sz w:val="24"/>
          <w:szCs w:val="24"/>
        </w:rPr>
        <w:fldChar w:fldCharType="end"/>
      </w:r>
      <w:r>
        <w:rPr>
          <w:rFonts w:cs="Times New Roman"/>
          <w:spacing w:val="-2"/>
          <w:sz w:val="24"/>
          <w:szCs w:val="24"/>
        </w:rPr>
        <w:t>。</w:t>
      </w:r>
    </w:p>
    <w:p w14:paraId="7BF5739E">
      <w:pPr>
        <w:pStyle w:val="128"/>
        <w:spacing w:before="72" w:after="48"/>
      </w:pPr>
      <w:bookmarkStart w:id="116" w:name="_Ref95230279"/>
      <w:r>
        <w:t xml:space="preserve">表 </w:t>
      </w:r>
      <w:r>
        <w:fldChar w:fldCharType="begin"/>
      </w:r>
      <w:r>
        <w:instrText xml:space="preserve"> STYLEREF 2 \s </w:instrText>
      </w:r>
      <w:r>
        <w:fldChar w:fldCharType="separate"/>
      </w:r>
      <w:r>
        <w:t>7.2</w:t>
      </w:r>
      <w:r>
        <w:fldChar w:fldCharType="end"/>
      </w:r>
      <w:r>
        <w:noBreakHyphen/>
      </w:r>
      <w:r>
        <w:fldChar w:fldCharType="begin"/>
      </w:r>
      <w:r>
        <w:instrText xml:space="preserve"> SEQ 表格 \* ARABIC \s 2 </w:instrText>
      </w:r>
      <w:r>
        <w:fldChar w:fldCharType="separate"/>
      </w:r>
      <w:r>
        <w:t>1</w:t>
      </w:r>
      <w:r>
        <w:fldChar w:fldCharType="end"/>
      </w:r>
      <w:bookmarkEnd w:id="116"/>
      <w:r>
        <w:t xml:space="preserve"> </w:t>
      </w:r>
      <w:r>
        <w:rPr>
          <w:rFonts w:hint="eastAsia"/>
          <w:lang w:bidi="en-US"/>
        </w:rPr>
        <w:t>涉水</w:t>
      </w:r>
      <w:r>
        <w:t>环境风险物质与临界量的比值结果</w:t>
      </w:r>
    </w:p>
    <w:tbl>
      <w:tblPr>
        <w:tblStyle w:val="34"/>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431"/>
        <w:gridCol w:w="2160"/>
        <w:gridCol w:w="1950"/>
        <w:gridCol w:w="1554"/>
      </w:tblGrid>
      <w:tr w14:paraId="1D64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AFBE79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431" w:type="dxa"/>
            <w:vAlign w:val="center"/>
          </w:tcPr>
          <w:p w14:paraId="2D2EA62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w:t>
            </w:r>
          </w:p>
        </w:tc>
        <w:tc>
          <w:tcPr>
            <w:tcW w:w="2160" w:type="dxa"/>
            <w:vAlign w:val="center"/>
          </w:tcPr>
          <w:p w14:paraId="512F20D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临界量（t）</w:t>
            </w:r>
          </w:p>
        </w:tc>
        <w:tc>
          <w:tcPr>
            <w:tcW w:w="1950" w:type="dxa"/>
            <w:vAlign w:val="center"/>
          </w:tcPr>
          <w:p w14:paraId="1BBAAF7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最大储量（t）</w:t>
            </w:r>
          </w:p>
        </w:tc>
        <w:tc>
          <w:tcPr>
            <w:tcW w:w="1554" w:type="dxa"/>
            <w:vAlign w:val="center"/>
          </w:tcPr>
          <w:p w14:paraId="7204AD9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r>
              <w:rPr>
                <w:rFonts w:hint="default" w:ascii="Times New Roman" w:hAnsi="Times New Roman" w:cs="Times New Roman"/>
                <w:b/>
                <w:bCs/>
                <w:color w:val="auto"/>
                <w:szCs w:val="21"/>
                <w:highlight w:val="none"/>
              </w:rPr>
              <w:t>/</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p>
        </w:tc>
      </w:tr>
      <w:tr w14:paraId="2869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72C2E5B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431" w:type="dxa"/>
            <w:vAlign w:val="center"/>
          </w:tcPr>
          <w:p w14:paraId="297B55D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甲苯</w:t>
            </w:r>
          </w:p>
        </w:tc>
        <w:tc>
          <w:tcPr>
            <w:tcW w:w="2160" w:type="dxa"/>
            <w:vAlign w:val="center"/>
          </w:tcPr>
          <w:p w14:paraId="1986E38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1950" w:type="dxa"/>
            <w:vAlign w:val="center"/>
          </w:tcPr>
          <w:p w14:paraId="1D00FE5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74</w:t>
            </w:r>
          </w:p>
        </w:tc>
        <w:tc>
          <w:tcPr>
            <w:tcW w:w="1554" w:type="dxa"/>
            <w:vAlign w:val="center"/>
          </w:tcPr>
          <w:p w14:paraId="7DF44C9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7.4</w:t>
            </w:r>
          </w:p>
        </w:tc>
      </w:tr>
      <w:tr w14:paraId="3878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5BBBC30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2431" w:type="dxa"/>
            <w:vAlign w:val="center"/>
          </w:tcPr>
          <w:p w14:paraId="2061327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eastAsia="zh-CN"/>
              </w:rPr>
              <w:t>盐酸</w:t>
            </w:r>
          </w:p>
        </w:tc>
        <w:tc>
          <w:tcPr>
            <w:tcW w:w="2160" w:type="dxa"/>
            <w:vAlign w:val="center"/>
          </w:tcPr>
          <w:p w14:paraId="29B080A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w:t>
            </w:r>
            <w:r>
              <w:rPr>
                <w:rFonts w:hint="default" w:ascii="Times New Roman" w:hAnsi="Times New Roman" w:cs="Times New Roman"/>
                <w:color w:val="auto"/>
                <w:szCs w:val="21"/>
                <w:highlight w:val="none"/>
                <w:lang w:val="en-US" w:eastAsia="zh-CN"/>
              </w:rPr>
              <w:t>.5</w:t>
            </w:r>
          </w:p>
        </w:tc>
        <w:tc>
          <w:tcPr>
            <w:tcW w:w="1950" w:type="dxa"/>
            <w:vAlign w:val="center"/>
          </w:tcPr>
          <w:p w14:paraId="4745942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374</w:t>
            </w:r>
          </w:p>
        </w:tc>
        <w:tc>
          <w:tcPr>
            <w:tcW w:w="1554" w:type="dxa"/>
            <w:vAlign w:val="center"/>
          </w:tcPr>
          <w:p w14:paraId="74E255F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49.867</w:t>
            </w:r>
          </w:p>
        </w:tc>
      </w:tr>
      <w:tr w14:paraId="5DE6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0484611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3</w:t>
            </w:r>
          </w:p>
        </w:tc>
        <w:tc>
          <w:tcPr>
            <w:tcW w:w="2431" w:type="dxa"/>
            <w:vAlign w:val="center"/>
          </w:tcPr>
          <w:p w14:paraId="0187F799">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Cs w:val="21"/>
                <w:highlight w:val="none"/>
                <w:lang w:eastAsia="zh-CN"/>
              </w:rPr>
            </w:pPr>
            <w:r>
              <w:rPr>
                <w:rFonts w:hint="eastAsia" w:cs="Times New Roman"/>
                <w:color w:val="auto"/>
                <w:szCs w:val="21"/>
                <w:highlight w:val="none"/>
                <w:lang w:eastAsia="zh-CN"/>
              </w:rPr>
              <w:t>液碱</w:t>
            </w:r>
          </w:p>
        </w:tc>
        <w:tc>
          <w:tcPr>
            <w:tcW w:w="2160" w:type="dxa"/>
            <w:vAlign w:val="center"/>
          </w:tcPr>
          <w:p w14:paraId="22B2CBF0">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50</w:t>
            </w:r>
          </w:p>
        </w:tc>
        <w:tc>
          <w:tcPr>
            <w:tcW w:w="1950" w:type="dxa"/>
            <w:vAlign w:val="center"/>
          </w:tcPr>
          <w:p w14:paraId="480F0A72">
            <w:pPr>
              <w:keepNext w:val="0"/>
              <w:keepLines w:val="0"/>
              <w:suppressLineNumbers w:val="0"/>
              <w:spacing w:before="0" w:beforeAutospacing="0" w:after="0" w:afterAutospacing="0" w:line="320" w:lineRule="exact"/>
              <w:ind w:left="0" w:leftChars="0" w:right="0" w:rightChars="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341.7</w:t>
            </w:r>
          </w:p>
        </w:tc>
        <w:tc>
          <w:tcPr>
            <w:tcW w:w="1554" w:type="dxa"/>
            <w:vAlign w:val="center"/>
          </w:tcPr>
          <w:p w14:paraId="438C9D2B">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6.834</w:t>
            </w:r>
          </w:p>
        </w:tc>
      </w:tr>
      <w:tr w14:paraId="134B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4B5631B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w:t>
            </w:r>
          </w:p>
        </w:tc>
        <w:tc>
          <w:tcPr>
            <w:tcW w:w="2431" w:type="dxa"/>
            <w:vAlign w:val="center"/>
          </w:tcPr>
          <w:p w14:paraId="79ED3E28">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邻氯硝基苯</w:t>
            </w:r>
          </w:p>
        </w:tc>
        <w:tc>
          <w:tcPr>
            <w:tcW w:w="2160" w:type="dxa"/>
            <w:vAlign w:val="center"/>
          </w:tcPr>
          <w:p w14:paraId="6227ED1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10</w:t>
            </w:r>
          </w:p>
        </w:tc>
        <w:tc>
          <w:tcPr>
            <w:tcW w:w="1950" w:type="dxa"/>
            <w:shd w:val="clear" w:color="auto" w:fill="auto"/>
            <w:vAlign w:val="center"/>
          </w:tcPr>
          <w:p w14:paraId="3B90558E">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2121.6</w:t>
            </w:r>
          </w:p>
        </w:tc>
        <w:tc>
          <w:tcPr>
            <w:tcW w:w="1554" w:type="dxa"/>
            <w:shd w:val="clear" w:color="auto" w:fill="auto"/>
            <w:vAlign w:val="center"/>
          </w:tcPr>
          <w:p w14:paraId="11CA8F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212.16</w:t>
            </w:r>
          </w:p>
        </w:tc>
      </w:tr>
      <w:tr w14:paraId="571B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374" w:type="dxa"/>
            <w:vAlign w:val="center"/>
          </w:tcPr>
          <w:p w14:paraId="78D00AFE">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2431" w:type="dxa"/>
            <w:vAlign w:val="center"/>
          </w:tcPr>
          <w:p w14:paraId="5CB46660">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蒸馏残渣</w:t>
            </w:r>
          </w:p>
        </w:tc>
        <w:tc>
          <w:tcPr>
            <w:tcW w:w="2160" w:type="dxa"/>
            <w:vAlign w:val="center"/>
          </w:tcPr>
          <w:p w14:paraId="29FE63F1">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1950" w:type="dxa"/>
            <w:shd w:val="clear" w:color="auto" w:fill="auto"/>
            <w:vAlign w:val="center"/>
          </w:tcPr>
          <w:p w14:paraId="631E00A3">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80</w:t>
            </w:r>
          </w:p>
        </w:tc>
        <w:tc>
          <w:tcPr>
            <w:tcW w:w="1554" w:type="dxa"/>
            <w:shd w:val="clear" w:color="auto" w:fill="auto"/>
            <w:vAlign w:val="center"/>
          </w:tcPr>
          <w:p w14:paraId="68C375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62DE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DDDA7A2">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6</w:t>
            </w:r>
          </w:p>
        </w:tc>
        <w:tc>
          <w:tcPr>
            <w:tcW w:w="2431" w:type="dxa"/>
            <w:vAlign w:val="center"/>
          </w:tcPr>
          <w:p w14:paraId="01F5EC86">
            <w:pPr>
              <w:keepNext w:val="0"/>
              <w:keepLines w:val="0"/>
              <w:suppressLineNumbers w:val="0"/>
              <w:spacing w:before="0" w:beforeAutospacing="0" w:after="0" w:afterAutospacing="0" w:line="320" w:lineRule="exact"/>
              <w:ind w:left="0" w:leftChars="0" w:right="0" w:right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3.3-二氯联苯胺盐酸盐</w:t>
            </w:r>
          </w:p>
        </w:tc>
        <w:tc>
          <w:tcPr>
            <w:tcW w:w="2160" w:type="dxa"/>
            <w:vAlign w:val="center"/>
          </w:tcPr>
          <w:p w14:paraId="4D695139">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100</w:t>
            </w:r>
          </w:p>
        </w:tc>
        <w:tc>
          <w:tcPr>
            <w:tcW w:w="1950" w:type="dxa"/>
            <w:shd w:val="clear" w:color="auto" w:fill="auto"/>
            <w:vAlign w:val="center"/>
          </w:tcPr>
          <w:p w14:paraId="44B4968B">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500</w:t>
            </w:r>
          </w:p>
        </w:tc>
        <w:tc>
          <w:tcPr>
            <w:tcW w:w="1554" w:type="dxa"/>
            <w:shd w:val="clear" w:color="auto" w:fill="auto"/>
            <w:vAlign w:val="center"/>
          </w:tcPr>
          <w:p w14:paraId="1DB325A1">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r>
      <w:tr w14:paraId="2BEA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8" w:hRule="atLeast"/>
          <w:jc w:val="center"/>
        </w:trPr>
        <w:tc>
          <w:tcPr>
            <w:tcW w:w="1374" w:type="dxa"/>
            <w:vAlign w:val="center"/>
          </w:tcPr>
          <w:p w14:paraId="10945DB1">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7</w:t>
            </w:r>
          </w:p>
        </w:tc>
        <w:tc>
          <w:tcPr>
            <w:tcW w:w="2431" w:type="dxa"/>
            <w:vAlign w:val="center"/>
          </w:tcPr>
          <w:p w14:paraId="60FF1384">
            <w:pPr>
              <w:keepNext w:val="0"/>
              <w:keepLines w:val="0"/>
              <w:suppressLineNumbers w:val="0"/>
              <w:spacing w:before="0" w:beforeAutospacing="0" w:after="0" w:afterAutospacing="0" w:line="320" w:lineRule="exact"/>
              <w:ind w:left="0" w:leftChars="0" w:right="0" w:rightChars="0"/>
              <w:jc w:val="center"/>
              <w:rPr>
                <w:rFonts w:hint="eastAsia" w:cs="Times New Roman"/>
                <w:color w:val="auto"/>
                <w:sz w:val="21"/>
                <w:szCs w:val="21"/>
                <w:highlight w:val="none"/>
                <w:lang w:val="en-US" w:eastAsia="zh-CN"/>
              </w:rPr>
            </w:pPr>
            <w:r>
              <w:rPr>
                <w:rStyle w:val="36"/>
                <w:rFonts w:hint="eastAsia" w:cs="Times New Roman"/>
                <w:color w:val="000000"/>
                <w:kern w:val="2"/>
                <w:sz w:val="21"/>
                <w:szCs w:val="20"/>
                <w:lang w:val="en-US" w:eastAsia="zh-CN" w:bidi="ar-SA"/>
              </w:rPr>
              <w:t>邻氯苯胺</w:t>
            </w:r>
          </w:p>
        </w:tc>
        <w:tc>
          <w:tcPr>
            <w:tcW w:w="2160" w:type="dxa"/>
            <w:vAlign w:val="center"/>
          </w:tcPr>
          <w:p w14:paraId="6C0DA48B">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w:t>
            </w:r>
          </w:p>
        </w:tc>
        <w:tc>
          <w:tcPr>
            <w:tcW w:w="1950" w:type="dxa"/>
            <w:shd w:val="clear" w:color="auto" w:fill="auto"/>
            <w:vAlign w:val="center"/>
          </w:tcPr>
          <w:p w14:paraId="46722CA8">
            <w:pPr>
              <w:keepNext w:val="0"/>
              <w:keepLines w:val="0"/>
              <w:suppressLineNumbers w:val="0"/>
              <w:spacing w:before="0" w:beforeAutospacing="0" w:after="0" w:afterAutospacing="0" w:line="320" w:lineRule="exact"/>
              <w:ind w:left="0" w:leftChars="0" w:right="0" w:rightChars="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35</w:t>
            </w:r>
          </w:p>
        </w:tc>
        <w:tc>
          <w:tcPr>
            <w:tcW w:w="1554" w:type="dxa"/>
            <w:shd w:val="clear" w:color="auto" w:fill="auto"/>
            <w:vAlign w:val="center"/>
          </w:tcPr>
          <w:p w14:paraId="40121B47">
            <w:pPr>
              <w:keepNext w:val="0"/>
              <w:keepLines w:val="0"/>
              <w:widowControl/>
              <w:suppressLineNumbers w:val="0"/>
              <w:spacing w:before="0" w:beforeAutospacing="0" w:after="0" w:afterAutospacing="0"/>
              <w:ind w:left="0" w:leftChars="0" w:right="0" w:rightChars="0"/>
              <w:jc w:val="center"/>
              <w:textAlignment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7</w:t>
            </w:r>
          </w:p>
        </w:tc>
      </w:tr>
      <w:tr w14:paraId="6128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09F3629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合计</w:t>
            </w:r>
          </w:p>
        </w:tc>
        <w:tc>
          <w:tcPr>
            <w:tcW w:w="2431" w:type="dxa"/>
            <w:vAlign w:val="center"/>
          </w:tcPr>
          <w:p w14:paraId="0554D01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2160" w:type="dxa"/>
            <w:vAlign w:val="center"/>
          </w:tcPr>
          <w:p w14:paraId="4177A52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950" w:type="dxa"/>
            <w:vAlign w:val="center"/>
          </w:tcPr>
          <w:p w14:paraId="65CD804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554" w:type="dxa"/>
            <w:vAlign w:val="center"/>
          </w:tcPr>
          <w:p w14:paraId="1F86DA1E">
            <w:pPr>
              <w:keepNext w:val="0"/>
              <w:keepLines w:val="0"/>
              <w:suppressLineNumbers w:val="0"/>
              <w:spacing w:before="0" w:beforeAutospacing="0" w:after="0" w:afterAutospacing="0" w:line="320" w:lineRule="exact"/>
              <w:ind w:left="0" w:right="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293.261</w:t>
            </w:r>
          </w:p>
        </w:tc>
      </w:tr>
    </w:tbl>
    <w:p w14:paraId="156CB3BF"/>
    <w:p w14:paraId="061D8D59">
      <w:pPr>
        <w:pageBreakBefore w:val="0"/>
        <w:kinsoku/>
        <w:wordWrap/>
        <w:overflowPunct/>
        <w:topLinePunct w:val="0"/>
        <w:autoSpaceDE/>
        <w:autoSpaceDN/>
        <w:bidi w:val="0"/>
        <w:spacing w:line="360" w:lineRule="auto"/>
        <w:ind w:firstLine="554"/>
        <w:jc w:val="both"/>
        <w:textAlignment w:val="auto"/>
        <w:rPr>
          <w:sz w:val="24"/>
          <w:szCs w:val="24"/>
        </w:rPr>
      </w:pPr>
      <w:r>
        <w:rPr>
          <w:rFonts w:cs="Times New Roman"/>
          <w:sz w:val="24"/>
          <w:szCs w:val="24"/>
        </w:rPr>
        <w:t>由</w:t>
      </w:r>
      <w:r>
        <w:rPr>
          <w:sz w:val="24"/>
          <w:szCs w:val="24"/>
        </w:rPr>
        <w:fldChar w:fldCharType="begin"/>
      </w:r>
      <w:r>
        <w:rPr>
          <w:sz w:val="24"/>
          <w:szCs w:val="24"/>
        </w:rPr>
        <w:instrText xml:space="preserve"> REF _Ref95230279 \h  \* MERGEFORMAT </w:instrText>
      </w:r>
      <w:r>
        <w:rPr>
          <w:sz w:val="24"/>
          <w:szCs w:val="24"/>
        </w:rPr>
        <w:fldChar w:fldCharType="separate"/>
      </w:r>
      <w:r>
        <w:rPr>
          <w:sz w:val="24"/>
          <w:szCs w:val="24"/>
        </w:rPr>
        <w:t>表 7.2</w:t>
      </w:r>
      <w:r>
        <w:rPr>
          <w:sz w:val="24"/>
          <w:szCs w:val="24"/>
        </w:rPr>
        <w:noBreakHyphen/>
      </w:r>
      <w:r>
        <w:rPr>
          <w:sz w:val="24"/>
          <w:szCs w:val="24"/>
        </w:rPr>
        <w:t>1</w:t>
      </w:r>
      <w:r>
        <w:rPr>
          <w:sz w:val="24"/>
          <w:szCs w:val="24"/>
        </w:rPr>
        <w:fldChar w:fldCharType="end"/>
      </w:r>
      <w:r>
        <w:rPr>
          <w:rFonts w:cs="Times New Roman"/>
          <w:sz w:val="24"/>
          <w:szCs w:val="24"/>
        </w:rPr>
        <w:t>可以看出，该公司涉水环境风险物质与临界量的比值（Q）属于第</w:t>
      </w:r>
      <w:r>
        <w:rPr>
          <w:rFonts w:hint="eastAsia" w:cs="Times New Roman"/>
          <w:sz w:val="24"/>
          <w:szCs w:val="24"/>
          <w:lang w:val="en-US" w:eastAsia="zh-CN"/>
        </w:rPr>
        <w:t>4</w:t>
      </w:r>
      <w:r>
        <w:rPr>
          <w:rFonts w:cs="Times New Roman"/>
          <w:sz w:val="24"/>
          <w:szCs w:val="24"/>
        </w:rPr>
        <w:t>类，用Q</w:t>
      </w:r>
      <w:r>
        <w:rPr>
          <w:rFonts w:hint="eastAsia" w:cs="Times New Roman"/>
          <w:sz w:val="24"/>
          <w:szCs w:val="24"/>
          <w:lang w:val="en-US" w:eastAsia="zh-CN"/>
        </w:rPr>
        <w:t>3</w:t>
      </w:r>
      <w:r>
        <w:rPr>
          <w:rFonts w:cs="Times New Roman"/>
          <w:spacing w:val="-4"/>
          <w:sz w:val="24"/>
          <w:szCs w:val="24"/>
        </w:rPr>
        <w:t>表示。</w:t>
      </w:r>
    </w:p>
    <w:p w14:paraId="62909074">
      <w:pPr>
        <w:pStyle w:val="8"/>
        <w:pageBreakBefore w:val="0"/>
        <w:kinsoku/>
        <w:wordWrap/>
        <w:overflowPunct/>
        <w:topLinePunct w:val="0"/>
        <w:autoSpaceDE/>
        <w:autoSpaceDN/>
        <w:bidi w:val="0"/>
        <w:spacing w:before="0" w:after="0"/>
        <w:textAlignment w:val="auto"/>
        <w:rPr>
          <w:sz w:val="24"/>
          <w:szCs w:val="24"/>
        </w:rPr>
      </w:pPr>
      <w:r>
        <w:rPr>
          <w:rFonts w:hint="eastAsia"/>
          <w:sz w:val="24"/>
          <w:szCs w:val="24"/>
          <w:lang w:val="en-US" w:eastAsia="zh-CN"/>
        </w:rPr>
        <w:t>7.2.2</w:t>
      </w:r>
      <w:r>
        <w:rPr>
          <w:rFonts w:hint="eastAsia"/>
          <w:sz w:val="24"/>
          <w:szCs w:val="24"/>
        </w:rPr>
        <w:t>生产工艺过程与水环境风险控制水平（M）评估</w:t>
      </w:r>
    </w:p>
    <w:p w14:paraId="2F5B68EE">
      <w:pPr>
        <w:pageBreakBefore w:val="0"/>
        <w:widowControl/>
        <w:kinsoku/>
        <w:wordWrap/>
        <w:overflowPunct/>
        <w:topLinePunct w:val="0"/>
        <w:autoSpaceDE/>
        <w:autoSpaceDN/>
        <w:bidi w:val="0"/>
        <w:adjustRightInd w:val="0"/>
        <w:snapToGrid w:val="0"/>
        <w:spacing w:line="360" w:lineRule="auto"/>
        <w:ind w:firstLine="360"/>
        <w:textAlignment w:val="auto"/>
        <w:rPr>
          <w:rFonts w:hint="default" w:ascii="Times New Roman" w:hAnsi="Times New Roman" w:cs="Times New Roman"/>
          <w:bCs/>
          <w:color w:val="auto"/>
          <w:kern w:val="36"/>
          <w:sz w:val="24"/>
          <w:szCs w:val="24"/>
          <w:highlight w:val="none"/>
        </w:rPr>
      </w:pPr>
      <w:r>
        <w:rPr>
          <w:rFonts w:hint="default" w:ascii="Times New Roman" w:hAnsi="Times New Roman" w:cs="Times New Roman"/>
          <w:bCs/>
          <w:color w:val="auto"/>
          <w:kern w:val="36"/>
          <w:sz w:val="24"/>
          <w:szCs w:val="24"/>
          <w:highlight w:val="none"/>
        </w:rPr>
        <w:t>采用评分法</w:t>
      </w:r>
      <w:r>
        <w:rPr>
          <w:rFonts w:hint="eastAsia" w:cs="Times New Roman"/>
          <w:bCs/>
          <w:color w:val="auto"/>
          <w:kern w:val="36"/>
          <w:sz w:val="24"/>
          <w:szCs w:val="24"/>
          <w:highlight w:val="none"/>
          <w:lang w:eastAsia="zh-CN"/>
        </w:rPr>
        <w:t>对</w:t>
      </w:r>
      <w:r>
        <w:rPr>
          <w:rFonts w:hint="default" w:ascii="Times New Roman" w:hAnsi="Times New Roman" w:cs="Times New Roman"/>
          <w:bCs/>
          <w:color w:val="auto"/>
          <w:kern w:val="36"/>
          <w:sz w:val="24"/>
          <w:szCs w:val="24"/>
          <w:highlight w:val="none"/>
        </w:rPr>
        <w:t>生产工艺过程、水环境风险防控措施及突发大气环境事件发生情况进行评估，将各项指标分值累加，确定企业生产工艺过程与水环境风险控制水平（M）。</w:t>
      </w:r>
    </w:p>
    <w:p w14:paraId="3E50B53C">
      <w:pPr>
        <w:keepNext/>
        <w:keepLines/>
        <w:pageBreakBefore w:val="0"/>
        <w:widowControl w:val="0"/>
        <w:kinsoku/>
        <w:wordWrap/>
        <w:overflowPunct/>
        <w:topLinePunct w:val="0"/>
        <w:autoSpaceDE/>
        <w:autoSpaceDN/>
        <w:bidi w:val="0"/>
        <w:adjustRightInd/>
        <w:snapToGrid/>
        <w:spacing w:line="360" w:lineRule="auto"/>
        <w:textAlignment w:val="auto"/>
        <w:outlineLvl w:val="9"/>
        <w:rPr>
          <w:b/>
          <w:bCs/>
          <w:sz w:val="24"/>
          <w:szCs w:val="24"/>
        </w:rPr>
      </w:pPr>
      <w:r>
        <w:rPr>
          <w:rFonts w:hint="eastAsia"/>
          <w:b/>
          <w:bCs/>
          <w:sz w:val="24"/>
          <w:szCs w:val="24"/>
          <w:lang w:val="en-US" w:eastAsia="zh-CN"/>
        </w:rPr>
        <w:t>7.2.2.1</w:t>
      </w:r>
      <w:r>
        <w:rPr>
          <w:rFonts w:hint="eastAsia"/>
          <w:b/>
          <w:bCs/>
          <w:sz w:val="24"/>
          <w:szCs w:val="24"/>
        </w:rPr>
        <w:t>生产工艺过程含有风险工艺和设备情况</w:t>
      </w:r>
    </w:p>
    <w:p w14:paraId="088A413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kern w:val="2"/>
          <w:sz w:val="24"/>
          <w:szCs w:val="24"/>
        </w:rPr>
      </w:pPr>
      <w:r>
        <w:rPr>
          <w:rFonts w:hint="eastAsia" w:ascii="Times New Roman" w:hAnsi="Times New Roman" w:cs="Times New Roman"/>
          <w:kern w:val="2"/>
          <w:sz w:val="24"/>
          <w:szCs w:val="24"/>
        </w:rPr>
        <w:t>对生产工艺过程含有风险工艺和设备情况的评估按照工艺单元进行，具有多套工艺单元的企业，对每套工艺单元分别评分并求和，该指标分值最高为30分。</w:t>
      </w:r>
    </w:p>
    <w:p w14:paraId="17137980">
      <w:pPr>
        <w:pStyle w:val="70"/>
        <w:spacing w:line="360" w:lineRule="auto"/>
        <w:ind w:firstLine="482"/>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表</w:t>
      </w:r>
      <w:r>
        <w:rPr>
          <w:rFonts w:hint="default" w:ascii="Times New Roman" w:hAnsi="Times New Roman" w:cs="Times New Roman"/>
          <w:b w:val="0"/>
          <w:bCs/>
          <w:color w:val="auto"/>
          <w:highlight w:val="none"/>
          <w:lang w:val="en-US" w:eastAsia="zh-CN"/>
        </w:rPr>
        <w:t>7.2-</w:t>
      </w:r>
      <w:r>
        <w:rPr>
          <w:rFonts w:hint="eastAsia" w:ascii="Times New Roman" w:hAnsi="Times New Roman" w:cs="Times New Roman"/>
          <w:b w:val="0"/>
          <w:bCs/>
          <w:color w:val="auto"/>
          <w:highlight w:val="none"/>
          <w:lang w:val="en-US" w:eastAsia="zh-CN"/>
        </w:rPr>
        <w:t>1</w:t>
      </w:r>
      <w:r>
        <w:rPr>
          <w:rFonts w:hint="default" w:ascii="Times New Roman" w:hAnsi="Times New Roman" w:cs="Times New Roman"/>
          <w:b w:val="0"/>
          <w:bCs/>
          <w:color w:val="auto"/>
          <w:highlight w:val="none"/>
        </w:rPr>
        <w:t xml:space="preserve">  企业生产工艺评分依据</w:t>
      </w:r>
    </w:p>
    <w:tbl>
      <w:tblPr>
        <w:tblStyle w:val="3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0ADF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1D7523E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75E7F0B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3474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3E11676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6554429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10/每套</w:t>
            </w:r>
          </w:p>
        </w:tc>
      </w:tr>
      <w:tr w14:paraId="494D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5BFA6E7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1B207CF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7CBD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744F3DC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1F37576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66E7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5DC8169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4D79A61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4DAB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9628" w:type="dxa"/>
            <w:gridSpan w:val="2"/>
            <w:vAlign w:val="center"/>
          </w:tcPr>
          <w:p w14:paraId="2EE9B91A">
            <w:pPr>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注：a高温指工艺温度≥300℃，高压指压力容器的设计压力（p）≥10.0MPa，易燃易爆物质是指按照GB30000.2至GB30000.13所确定的化学物质；b指《产业结构调整指导目录》中有淘汰期限的淘汰类落后生产工艺装备</w:t>
            </w:r>
          </w:p>
        </w:tc>
      </w:tr>
    </w:tbl>
    <w:p w14:paraId="4806A66D">
      <w:pPr>
        <w:pStyle w:val="70"/>
        <w:spacing w:line="360" w:lineRule="auto"/>
        <w:ind w:firstLine="482"/>
        <w:rPr>
          <w:rFonts w:hint="default" w:ascii="Times New Roman" w:hAnsi="Times New Roman" w:eastAsia="宋体" w:cs="Times New Roman"/>
          <w:b w:val="0"/>
          <w:bCs/>
          <w:color w:val="auto"/>
          <w:highlight w:val="none"/>
        </w:rPr>
      </w:pPr>
    </w:p>
    <w:p w14:paraId="0238B120">
      <w:pPr>
        <w:pStyle w:val="70"/>
        <w:spacing w:line="360" w:lineRule="auto"/>
        <w:ind w:firstLine="482"/>
        <w:rPr>
          <w:rFonts w:hint="default" w:ascii="Times New Roman" w:hAnsi="Times New Roman" w:eastAsia="宋体" w:cs="Times New Roman"/>
          <w:b w:val="0"/>
          <w:bCs/>
          <w:color w:val="auto"/>
          <w:highlight w:val="none"/>
        </w:rPr>
      </w:pPr>
      <w:bookmarkStart w:id="117" w:name="_Ref95230428"/>
      <w:r>
        <w:rPr>
          <w:rFonts w:hint="default" w:ascii="Times New Roman" w:hAnsi="Times New Roman" w:eastAsia="宋体" w:cs="Times New Roman"/>
          <w:b w:val="0"/>
          <w:bCs/>
          <w:color w:val="auto"/>
          <w:highlight w:val="none"/>
        </w:rPr>
        <w:t xml:space="preserve">表 </w:t>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STYLEREF 2 \s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7.2</w:t>
      </w:r>
      <w:r>
        <w:rPr>
          <w:rFonts w:hint="default" w:ascii="Times New Roman" w:hAnsi="Times New Roman" w:eastAsia="宋体" w:cs="Times New Roman"/>
          <w:b w:val="0"/>
          <w:bCs/>
          <w:color w:val="auto"/>
          <w:highlight w:val="none"/>
        </w:rPr>
        <w:fldChar w:fldCharType="end"/>
      </w:r>
      <w:r>
        <w:rPr>
          <w:rFonts w:hint="default" w:ascii="Times New Roman" w:hAnsi="Times New Roman" w:eastAsia="宋体" w:cs="Times New Roman"/>
          <w:b w:val="0"/>
          <w:bCs/>
          <w:color w:val="auto"/>
          <w:highlight w:val="none"/>
        </w:rPr>
        <w:noBreakHyphen/>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SEQ 表格 \* ARABIC \s 2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2</w:t>
      </w:r>
      <w:r>
        <w:rPr>
          <w:rFonts w:hint="default" w:ascii="Times New Roman" w:hAnsi="Times New Roman" w:eastAsia="宋体" w:cs="Times New Roman"/>
          <w:b w:val="0"/>
          <w:bCs/>
          <w:color w:val="auto"/>
          <w:highlight w:val="none"/>
        </w:rPr>
        <w:fldChar w:fldCharType="end"/>
      </w:r>
      <w:bookmarkEnd w:id="117"/>
      <w:r>
        <w:rPr>
          <w:rFonts w:hint="default" w:ascii="Times New Roman" w:hAnsi="Times New Roman" w:eastAsia="宋体" w:cs="Times New Roman"/>
          <w:b w:val="0"/>
          <w:bCs/>
          <w:color w:val="auto"/>
          <w:highlight w:val="none"/>
        </w:rPr>
        <w:t xml:space="preserve">  企业环境风险及其控制水平得分表</w:t>
      </w:r>
    </w:p>
    <w:tbl>
      <w:tblPr>
        <w:tblStyle w:val="3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9"/>
        <w:gridCol w:w="1409"/>
      </w:tblGrid>
      <w:tr w14:paraId="36EB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219" w:type="dxa"/>
            <w:vAlign w:val="center"/>
          </w:tcPr>
          <w:p w14:paraId="41F2EBB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409" w:type="dxa"/>
            <w:vAlign w:val="center"/>
          </w:tcPr>
          <w:p w14:paraId="3CFB614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20A3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19" w:type="dxa"/>
            <w:vAlign w:val="center"/>
          </w:tcPr>
          <w:p w14:paraId="5520203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409" w:type="dxa"/>
            <w:vAlign w:val="center"/>
          </w:tcPr>
          <w:p w14:paraId="558F5798">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加氢工艺得10</w:t>
            </w:r>
          </w:p>
        </w:tc>
      </w:tr>
      <w:tr w14:paraId="3F65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19" w:type="dxa"/>
            <w:vAlign w:val="center"/>
          </w:tcPr>
          <w:p w14:paraId="7DCC8A7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409" w:type="dxa"/>
            <w:vAlign w:val="center"/>
          </w:tcPr>
          <w:p w14:paraId="20B2A1FC">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甲苯得5分，氢气得10分</w:t>
            </w:r>
          </w:p>
        </w:tc>
      </w:tr>
      <w:tr w14:paraId="0F47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19" w:type="dxa"/>
            <w:vAlign w:val="center"/>
          </w:tcPr>
          <w:p w14:paraId="2571A1B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409" w:type="dxa"/>
            <w:vAlign w:val="center"/>
          </w:tcPr>
          <w:p w14:paraId="6DDA74D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054F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19" w:type="dxa"/>
            <w:vAlign w:val="center"/>
          </w:tcPr>
          <w:p w14:paraId="030E2BC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409" w:type="dxa"/>
            <w:vAlign w:val="center"/>
          </w:tcPr>
          <w:p w14:paraId="62BE564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45C9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219" w:type="dxa"/>
            <w:vAlign w:val="center"/>
          </w:tcPr>
          <w:p w14:paraId="2AF1DF5D">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合计</w:t>
            </w:r>
          </w:p>
        </w:tc>
        <w:tc>
          <w:tcPr>
            <w:tcW w:w="1409" w:type="dxa"/>
            <w:vAlign w:val="center"/>
          </w:tcPr>
          <w:p w14:paraId="259ADE6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25</w:t>
            </w:r>
          </w:p>
        </w:tc>
      </w:tr>
    </w:tbl>
    <w:p w14:paraId="5718299A">
      <w:pPr>
        <w:keepNext/>
        <w:keepLines/>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7.2.2.2</w:t>
      </w:r>
      <w:r>
        <w:rPr>
          <w:rFonts w:hint="eastAsia" w:ascii="宋体" w:hAnsi="宋体" w:eastAsia="宋体" w:cs="宋体"/>
          <w:b/>
          <w:bCs/>
          <w:sz w:val="24"/>
          <w:szCs w:val="24"/>
        </w:rPr>
        <w:t>水环境风险防控措施及突发水环境事件发生情况</w:t>
      </w:r>
    </w:p>
    <w:p w14:paraId="2E6820AF">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kern w:val="2"/>
          <w:sz w:val="24"/>
          <w:szCs w:val="24"/>
        </w:rPr>
      </w:pPr>
      <w:r>
        <w:rPr>
          <w:rFonts w:hint="eastAsia" w:ascii="Times New Roman" w:hAnsi="Times New Roman" w:cs="Times New Roman"/>
          <w:kern w:val="2"/>
          <w:sz w:val="24"/>
          <w:szCs w:val="24"/>
        </w:rPr>
        <w:t>水环境风险防控措施及突发水环境事件发生情况评估指标见</w:t>
      </w:r>
      <w:r>
        <w:rPr>
          <w:rFonts w:ascii="Times New Roman" w:hAnsi="Times New Roman" w:cs="Times New Roman"/>
          <w:kern w:val="2"/>
          <w:sz w:val="24"/>
          <w:szCs w:val="24"/>
        </w:rPr>
        <w:fldChar w:fldCharType="begin"/>
      </w:r>
      <w:r>
        <w:rPr>
          <w:rFonts w:ascii="Times New Roman" w:hAnsi="Times New Roman" w:cs="Times New Roman"/>
          <w:kern w:val="2"/>
          <w:sz w:val="24"/>
          <w:szCs w:val="24"/>
        </w:rPr>
        <w:instrText xml:space="preserve"> </w:instrText>
      </w:r>
      <w:r>
        <w:rPr>
          <w:rFonts w:hint="eastAsia" w:ascii="Times New Roman" w:hAnsi="Times New Roman" w:cs="Times New Roman"/>
          <w:kern w:val="2"/>
          <w:sz w:val="24"/>
          <w:szCs w:val="24"/>
        </w:rPr>
        <w:instrText xml:space="preserve">REF _Ref95230378 \h</w:instrText>
      </w:r>
      <w:r>
        <w:rPr>
          <w:rFonts w:ascii="Times New Roman" w:hAnsi="Times New Roman" w:cs="Times New Roman"/>
          <w:kern w:val="2"/>
          <w:sz w:val="24"/>
          <w:szCs w:val="24"/>
        </w:rPr>
        <w:instrText xml:space="preserve">  \* MERGEFORMAT </w:instrText>
      </w:r>
      <w:r>
        <w:rPr>
          <w:rFonts w:ascii="Times New Roman" w:hAnsi="Times New Roman" w:cs="Times New Roman"/>
          <w:kern w:val="2"/>
          <w:sz w:val="24"/>
          <w:szCs w:val="24"/>
        </w:rPr>
        <w:fldChar w:fldCharType="separate"/>
      </w:r>
      <w:r>
        <w:rPr>
          <w:sz w:val="24"/>
          <w:szCs w:val="24"/>
        </w:rPr>
        <w:t>表 7.2</w:t>
      </w:r>
      <w:r>
        <w:rPr>
          <w:sz w:val="24"/>
          <w:szCs w:val="24"/>
        </w:rPr>
        <w:noBreakHyphen/>
      </w:r>
      <w:r>
        <w:rPr>
          <w:sz w:val="24"/>
          <w:szCs w:val="24"/>
        </w:rPr>
        <w:t>3</w:t>
      </w:r>
      <w:r>
        <w:rPr>
          <w:rFonts w:ascii="Times New Roman" w:hAnsi="Times New Roman" w:cs="Times New Roman"/>
          <w:kern w:val="2"/>
          <w:sz w:val="24"/>
          <w:szCs w:val="24"/>
        </w:rPr>
        <w:fldChar w:fldCharType="end"/>
      </w:r>
      <w:r>
        <w:rPr>
          <w:rFonts w:hint="eastAsia" w:ascii="Times New Roman" w:hAnsi="Times New Roman" w:cs="Times New Roman"/>
          <w:kern w:val="2"/>
          <w:sz w:val="24"/>
          <w:szCs w:val="24"/>
        </w:rPr>
        <w:t>。对各项评估指标分别评分、计算总和，各项指标分值合计最高为70分。</w:t>
      </w:r>
    </w:p>
    <w:p w14:paraId="3D8D77E1">
      <w:pPr>
        <w:pStyle w:val="70"/>
        <w:spacing w:line="360" w:lineRule="auto"/>
        <w:ind w:firstLine="482"/>
        <w:rPr>
          <w:rFonts w:hint="eastAsia" w:ascii="Times New Roman" w:hAnsi="Times New Roman" w:eastAsia="宋体" w:cs="Times New Roman"/>
          <w:b w:val="0"/>
          <w:bCs/>
          <w:color w:val="auto"/>
          <w:highlight w:val="none"/>
        </w:rPr>
      </w:pPr>
      <w:bookmarkStart w:id="118" w:name="_Ref95230378"/>
      <w:r>
        <w:rPr>
          <w:rFonts w:hint="default" w:ascii="Times New Roman" w:hAnsi="Times New Roman" w:eastAsia="宋体" w:cs="Times New Roman"/>
          <w:b w:val="0"/>
          <w:bCs/>
          <w:color w:val="auto"/>
          <w:highlight w:val="none"/>
        </w:rPr>
        <w:t xml:space="preserve">表 </w:t>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STYLEREF 2 \s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7.2</w:t>
      </w:r>
      <w:r>
        <w:rPr>
          <w:rFonts w:hint="default" w:ascii="Times New Roman" w:hAnsi="Times New Roman" w:eastAsia="宋体" w:cs="Times New Roman"/>
          <w:b w:val="0"/>
          <w:bCs/>
          <w:color w:val="auto"/>
          <w:highlight w:val="none"/>
        </w:rPr>
        <w:fldChar w:fldCharType="end"/>
      </w:r>
      <w:r>
        <w:rPr>
          <w:rFonts w:hint="default" w:ascii="Times New Roman" w:hAnsi="Times New Roman" w:eastAsia="宋体" w:cs="Times New Roman"/>
          <w:b w:val="0"/>
          <w:bCs/>
          <w:color w:val="auto"/>
          <w:highlight w:val="none"/>
        </w:rPr>
        <w:noBreakHyphen/>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SEQ 表格 \* ARABIC \s 2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3</w:t>
      </w:r>
      <w:r>
        <w:rPr>
          <w:rFonts w:hint="default" w:ascii="Times New Roman" w:hAnsi="Times New Roman" w:eastAsia="宋体" w:cs="Times New Roman"/>
          <w:b w:val="0"/>
          <w:bCs/>
          <w:color w:val="auto"/>
          <w:highlight w:val="none"/>
        </w:rPr>
        <w:fldChar w:fldCharType="end"/>
      </w:r>
      <w:bookmarkEnd w:id="118"/>
      <w:r>
        <w:rPr>
          <w:rFonts w:hint="default" w:ascii="Times New Roman" w:hAnsi="Times New Roman" w:eastAsia="宋体" w:cs="Times New Roman"/>
          <w:b w:val="0"/>
          <w:bCs/>
          <w:color w:val="auto"/>
          <w:highlight w:val="none"/>
        </w:rPr>
        <w:t xml:space="preserve"> </w:t>
      </w:r>
      <w:r>
        <w:rPr>
          <w:rFonts w:hint="eastAsia" w:ascii="Times New Roman" w:hAnsi="Times New Roman" w:eastAsia="宋体" w:cs="Times New Roman"/>
          <w:b w:val="0"/>
          <w:bCs/>
          <w:color w:val="auto"/>
          <w:highlight w:val="none"/>
        </w:rPr>
        <w:t>企业水环境风险防控措施与突发水环境事件发生情况评估</w:t>
      </w:r>
    </w:p>
    <w:tbl>
      <w:tblPr>
        <w:tblStyle w:val="35"/>
        <w:tblW w:w="957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3"/>
        <w:gridCol w:w="4619"/>
        <w:gridCol w:w="511"/>
        <w:gridCol w:w="2685"/>
        <w:gridCol w:w="683"/>
      </w:tblGrid>
      <w:tr w14:paraId="37F486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Align w:val="center"/>
          </w:tcPr>
          <w:p w14:paraId="78F047A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评估指标</w:t>
            </w:r>
          </w:p>
        </w:tc>
        <w:tc>
          <w:tcPr>
            <w:tcW w:w="4619" w:type="dxa"/>
            <w:vAlign w:val="center"/>
          </w:tcPr>
          <w:p w14:paraId="1363871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评估依据</w:t>
            </w:r>
          </w:p>
        </w:tc>
        <w:tc>
          <w:tcPr>
            <w:tcW w:w="511" w:type="dxa"/>
            <w:vAlign w:val="center"/>
          </w:tcPr>
          <w:p w14:paraId="5091475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分值</w:t>
            </w:r>
          </w:p>
        </w:tc>
        <w:tc>
          <w:tcPr>
            <w:tcW w:w="2685" w:type="dxa"/>
            <w:vAlign w:val="center"/>
          </w:tcPr>
          <w:p w14:paraId="051FDF2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企业情况</w:t>
            </w:r>
          </w:p>
        </w:tc>
        <w:tc>
          <w:tcPr>
            <w:tcW w:w="683" w:type="dxa"/>
            <w:vAlign w:val="center"/>
          </w:tcPr>
          <w:p w14:paraId="26CC21A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评估分值</w:t>
            </w:r>
          </w:p>
        </w:tc>
      </w:tr>
      <w:tr w14:paraId="0ED388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3C54C7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截流措施</w:t>
            </w:r>
          </w:p>
        </w:tc>
        <w:tc>
          <w:tcPr>
            <w:tcW w:w="4619" w:type="dxa"/>
            <w:vAlign w:val="center"/>
          </w:tcPr>
          <w:p w14:paraId="10DAC32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（1）环境风险单元设防渗漏、防腐蚀、防淋溶、防流失措施；且</w:t>
            </w:r>
          </w:p>
          <w:p w14:paraId="1DE4EA3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（2）装置围堰与罐区防火堤（围堰）外设排水切换阀，正常情况下通向雨水系统的阀门关闭，通向事故存液池、应急事故水池、清净废水排放缓冲池或污水处理系统的阀门打开；且</w:t>
            </w:r>
          </w:p>
          <w:p w14:paraId="4A8BAC8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（3）前述措施日常管理及维护良好，有专人负责阀门切换或设置自动切换设施，保证初期雨水、泄漏物和受污染的消防水排入污水系统</w:t>
            </w:r>
          </w:p>
        </w:tc>
        <w:tc>
          <w:tcPr>
            <w:tcW w:w="511" w:type="dxa"/>
            <w:vAlign w:val="center"/>
          </w:tcPr>
          <w:p w14:paraId="4B9FC21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08F597F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生产车间设有防渗漏、防腐蚀、防淋溶、防流失措施；围堰外设排水切换阀；设置有事故水池、</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等对</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泄漏物、受污染的消防水进行收集措施；</w:t>
            </w:r>
            <w:r>
              <w:rPr>
                <w:rFonts w:hint="default" w:ascii="Times New Roman" w:hAnsi="Times New Roman" w:cs="Times New Roman"/>
                <w:color w:val="auto"/>
                <w:szCs w:val="21"/>
                <w:highlight w:val="none"/>
                <w:lang w:eastAsia="zh-CN"/>
              </w:rPr>
              <w:t>加强罐区管理，及时进行雨污切换，确保非降雨期阀门关闭</w:t>
            </w:r>
          </w:p>
          <w:p w14:paraId="2B6C6AA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83" w:type="dxa"/>
            <w:vMerge w:val="restart"/>
            <w:vAlign w:val="center"/>
          </w:tcPr>
          <w:p w14:paraId="7EB87EB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5D363A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3804378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3CEAD2B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有任意一个环境风险单元（包括可能发生液体泄漏或产生液体泄漏物的危险废物贮存场所）的截流措施不符合上述任意一条要求的</w:t>
            </w:r>
          </w:p>
        </w:tc>
        <w:tc>
          <w:tcPr>
            <w:tcW w:w="511" w:type="dxa"/>
            <w:vAlign w:val="center"/>
          </w:tcPr>
          <w:p w14:paraId="786EB0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8</w:t>
            </w:r>
          </w:p>
        </w:tc>
        <w:tc>
          <w:tcPr>
            <w:tcW w:w="2685" w:type="dxa"/>
            <w:vMerge w:val="continue"/>
            <w:vAlign w:val="center"/>
          </w:tcPr>
          <w:p w14:paraId="533E8F3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5777F97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6F9F0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0824E1C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事故废水收集措施</w:t>
            </w:r>
          </w:p>
        </w:tc>
        <w:tc>
          <w:tcPr>
            <w:tcW w:w="4619" w:type="dxa"/>
            <w:vAlign w:val="center"/>
          </w:tcPr>
          <w:p w14:paraId="61D99C8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（1）按相关设计规范设置应急事故水池、事故存液池或清净废水排放缓冲池等事故排水收集设施，并根据相关设计规范、下游环境风险受体敏感程度和易发生极端天气情况，设计事故排水收集设施的容量；且</w:t>
            </w:r>
          </w:p>
          <w:p w14:paraId="0F3C459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（2）确保事故排水收集设施在事故状态下能顺利收集泄漏物和消防水，日常保持足够的事故排水缓冲容量；且</w:t>
            </w:r>
          </w:p>
          <w:p w14:paraId="6300A46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（3）通过协议单位或自建管线，能将所收集废水送至厂区内污水处理设施处理</w:t>
            </w:r>
          </w:p>
        </w:tc>
        <w:tc>
          <w:tcPr>
            <w:tcW w:w="511" w:type="dxa"/>
            <w:vAlign w:val="center"/>
          </w:tcPr>
          <w:p w14:paraId="4CE9003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5509E47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按相关设计规范设置了事故水池和</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，并根据下游环境风险受体敏感程度和易发生极端天气情况，设置了</w:t>
            </w:r>
            <w:r>
              <w:rPr>
                <w:rFonts w:hint="default" w:ascii="Times New Roman" w:hAnsi="Times New Roman" w:cs="Times New Roman"/>
                <w:color w:val="auto"/>
                <w:kern w:val="0"/>
                <w:sz w:val="21"/>
                <w:szCs w:val="21"/>
                <w:highlight w:val="none"/>
              </w:rPr>
              <w:t>事故水池</w:t>
            </w:r>
            <w:r>
              <w:rPr>
                <w:rFonts w:hint="default" w:ascii="Times New Roman" w:hAnsi="Times New Roman" w:cs="Times New Roman"/>
                <w:color w:val="auto"/>
                <w:kern w:val="0"/>
                <w:sz w:val="21"/>
                <w:szCs w:val="21"/>
                <w:highlight w:val="none"/>
                <w:lang w:val="en-US" w:eastAsia="zh-CN"/>
              </w:rPr>
              <w:t>2</w:t>
            </w:r>
            <w:r>
              <w:rPr>
                <w:rFonts w:hint="default" w:ascii="Times New Roman" w:hAnsi="Times New Roman" w:cs="Times New Roman"/>
                <w:color w:val="auto"/>
                <w:kern w:val="0"/>
                <w:sz w:val="21"/>
                <w:szCs w:val="21"/>
                <w:highlight w:val="none"/>
              </w:rPr>
              <w:t>个（有效</w:t>
            </w:r>
            <w:r>
              <w:rPr>
                <w:rFonts w:hint="default" w:ascii="Times New Roman" w:hAnsi="Times New Roman" w:cs="Times New Roman"/>
                <w:color w:val="auto"/>
                <w:sz w:val="21"/>
                <w:szCs w:val="21"/>
                <w:highlight w:val="none"/>
              </w:rPr>
              <w:t>容积</w:t>
            </w:r>
            <w:r>
              <w:rPr>
                <w:rFonts w:hint="eastAsia" w:cs="Times New Roman"/>
                <w:color w:val="auto"/>
                <w:sz w:val="21"/>
                <w:szCs w:val="21"/>
                <w:highlight w:val="none"/>
                <w:lang w:eastAsia="zh-CN"/>
              </w:rPr>
              <w:t>分别为</w:t>
            </w:r>
            <w:r>
              <w:rPr>
                <w:rFonts w:hint="default" w:ascii="Times New Roman" w:hAnsi="Times New Roman" w:cs="Times New Roman"/>
                <w:color w:val="auto"/>
                <w:sz w:val="21"/>
                <w:szCs w:val="21"/>
                <w:highlight w:val="none"/>
                <w:lang w:val="en-US" w:eastAsia="zh-CN"/>
              </w:rPr>
              <w:t>50</w:t>
            </w:r>
            <w:r>
              <w:rPr>
                <w:rFonts w:hint="default" w:ascii="Times New Roman" w:hAnsi="Times New Roman" w:cs="Times New Roman"/>
                <w:color w:val="auto"/>
                <w:sz w:val="21"/>
                <w:szCs w:val="21"/>
                <w:highlight w:val="none"/>
              </w:rPr>
              <w:t>0m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240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；事故水池位置合理，能确保事故状态下顺利收集</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泄漏事故水，其余车间消防废水进入</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，日常保持足够的事故排水缓冲容量；由</w:t>
            </w:r>
            <w:r>
              <w:rPr>
                <w:rFonts w:hint="default" w:ascii="Times New Roman" w:hAnsi="Times New Roman" w:cs="Times New Roman"/>
                <w:color w:val="auto"/>
                <w:szCs w:val="21"/>
                <w:highlight w:val="none"/>
                <w:lang w:eastAsia="zh-CN"/>
              </w:rPr>
              <w:t>物料泄漏</w:t>
            </w:r>
            <w:r>
              <w:rPr>
                <w:rFonts w:hint="default" w:ascii="Times New Roman" w:hAnsi="Times New Roman" w:cs="Times New Roman"/>
                <w:color w:val="auto"/>
                <w:szCs w:val="21"/>
                <w:highlight w:val="none"/>
              </w:rPr>
              <w:t>产生的存放于事故水池的事故水由罐车外运处理，收纳在</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中的其余消防废水</w:t>
            </w:r>
            <w:r>
              <w:rPr>
                <w:rFonts w:hint="default" w:ascii="Times New Roman" w:hAnsi="Times New Roman" w:cs="Times New Roman"/>
                <w:color w:val="auto"/>
                <w:szCs w:val="21"/>
                <w:highlight w:val="none"/>
                <w:lang w:eastAsia="zh-CN"/>
              </w:rPr>
              <w:t>经厂内污水处理装置预处理后通过管网排入齐鲁石化供排水厂深度处理，处理达标后经排海管线排海</w:t>
            </w:r>
          </w:p>
          <w:p w14:paraId="0BA7B84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83" w:type="dxa"/>
            <w:vMerge w:val="restart"/>
            <w:vAlign w:val="center"/>
          </w:tcPr>
          <w:p w14:paraId="30E1B86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763E06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6541F69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0FD516A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有任意一个环境风险单元（包括可能发生液体泄漏或产生液体泄漏物的危险废物贮存场所）的事故排水收集措施不符合上述任意一条要求的</w:t>
            </w:r>
          </w:p>
        </w:tc>
        <w:tc>
          <w:tcPr>
            <w:tcW w:w="511" w:type="dxa"/>
            <w:vAlign w:val="center"/>
          </w:tcPr>
          <w:p w14:paraId="49BE7DE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685" w:type="dxa"/>
            <w:vMerge w:val="continue"/>
            <w:vAlign w:val="center"/>
          </w:tcPr>
          <w:p w14:paraId="1DE1F9F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29949A3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26202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117BAB5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清净废水系统风险防控措施</w:t>
            </w:r>
          </w:p>
        </w:tc>
        <w:tc>
          <w:tcPr>
            <w:tcW w:w="4619" w:type="dxa"/>
            <w:vAlign w:val="center"/>
          </w:tcPr>
          <w:p w14:paraId="096E6C3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（1）不涉及清净废水；或</w:t>
            </w:r>
          </w:p>
          <w:p w14:paraId="4728F28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（2）厂区内清净废水均可排入废水处理系统；或清污分流，且清净废水系统具有下述所有措施：</w:t>
            </w:r>
          </w:p>
          <w:p w14:paraId="3FA4662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①具有收集受污染的清净废水的缓冲池（或收集池），池内日常保持足够的</w:t>
            </w:r>
          </w:p>
          <w:p w14:paraId="73FA190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事故排水缓冲容量；池内设有提升设施或通过自流，能将所收集物送至厂区</w:t>
            </w:r>
          </w:p>
          <w:p w14:paraId="59E058D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内污水处理设施处理；且</w:t>
            </w:r>
          </w:p>
          <w:p w14:paraId="486EEF5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②具有清净废水系统的总排口监视及关闭设施，有专人负责在紧急情况下关</w:t>
            </w:r>
          </w:p>
          <w:p w14:paraId="7FEEBD3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闭清净废水总排口，防止受污染的清净废水和泄漏物进入外环境</w:t>
            </w:r>
          </w:p>
        </w:tc>
        <w:tc>
          <w:tcPr>
            <w:tcW w:w="511" w:type="dxa"/>
            <w:vAlign w:val="center"/>
          </w:tcPr>
          <w:p w14:paraId="7EB5A7E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6A15886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采用雨污分流制，初期雨水通过导排系统排入2个初期雨水收集池，然后分批泵送至</w:t>
            </w:r>
            <w:r>
              <w:rPr>
                <w:rFonts w:hint="default" w:ascii="Times New Roman" w:hAnsi="Times New Roman" w:cs="Times New Roman"/>
                <w:color w:val="auto"/>
                <w:szCs w:val="21"/>
                <w:highlight w:val="none"/>
                <w:lang w:eastAsia="zh-CN"/>
              </w:rPr>
              <w:t>山东隆盛和助剂有限公司</w:t>
            </w:r>
            <w:r>
              <w:rPr>
                <w:rFonts w:hint="default" w:ascii="Times New Roman" w:hAnsi="Times New Roman" w:eastAsia="宋体" w:cs="Times New Roman"/>
                <w:color w:val="auto"/>
                <w:szCs w:val="21"/>
                <w:highlight w:val="none"/>
                <w:lang w:eastAsia="zh-CN"/>
              </w:rPr>
              <w:t>污水处理站处理，处理达标后排入齐鲁石化供排水厂进行深度处理。</w:t>
            </w:r>
          </w:p>
          <w:p w14:paraId="5C05E10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厂区生活污水经化粪池暂存后与厂内产生的生产废水经厂内污水处理装置预处理后通过管网排入齐鲁石化供排水厂深度处理，处理达标后经排海管线排海</w:t>
            </w:r>
          </w:p>
          <w:p w14:paraId="3B675A5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p>
          <w:p w14:paraId="42F7F1D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83" w:type="dxa"/>
            <w:vMerge w:val="restart"/>
            <w:vAlign w:val="center"/>
          </w:tcPr>
          <w:p w14:paraId="42F7446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1E7882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8" w:hRule="atLeast"/>
        </w:trPr>
        <w:tc>
          <w:tcPr>
            <w:tcW w:w="1073" w:type="dxa"/>
            <w:vMerge w:val="continue"/>
            <w:vAlign w:val="center"/>
          </w:tcPr>
          <w:p w14:paraId="0E461E2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3F8FEB4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涉及清净废水，有任意一个环境风险单元的清净废水系统风险防控措施不符合上述（2）要求的</w:t>
            </w:r>
          </w:p>
        </w:tc>
        <w:tc>
          <w:tcPr>
            <w:tcW w:w="511" w:type="dxa"/>
            <w:vAlign w:val="center"/>
          </w:tcPr>
          <w:p w14:paraId="25CD4F9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685" w:type="dxa"/>
            <w:vMerge w:val="continue"/>
            <w:vAlign w:val="center"/>
          </w:tcPr>
          <w:p w14:paraId="01A15F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0A6CB0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4F70A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3003353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雨水排水系统风险防控措施</w:t>
            </w:r>
          </w:p>
        </w:tc>
        <w:tc>
          <w:tcPr>
            <w:tcW w:w="4619" w:type="dxa"/>
            <w:vAlign w:val="center"/>
          </w:tcPr>
          <w:p w14:paraId="6CAD38A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（1）厂区内雨水均进入废水处理系统；或雨污分流，且雨水排水系统具有下述所有措施：</w:t>
            </w:r>
          </w:p>
          <w:p w14:paraId="293482D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①具有收集初期雨水的收集池或雨水监控池；池出水管上设置切断阀，正常情况下阀门关闭，防止受污染的雨水外排；池内设有提升设施或通过自流，能将所收集物送至厂区内污水处理设施处理；</w:t>
            </w:r>
          </w:p>
          <w:p w14:paraId="6800BE3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②具有雨水系统总排口（含泄洪渠）监视及关闭设施，在紧急情况下有专人负责关闭雨水系统总排口（含与清净废水共用一套排水系统情况），防止雨水、消防水和泄漏物进入外环境</w:t>
            </w:r>
          </w:p>
          <w:p w14:paraId="1C4FE19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（2）如果有排洪沟，排洪沟不得通过生产区和罐区，或具有防止泄漏物和受污染的消防水等流入区域排洪沟的措施</w:t>
            </w:r>
          </w:p>
        </w:tc>
        <w:tc>
          <w:tcPr>
            <w:tcW w:w="511" w:type="dxa"/>
            <w:vAlign w:val="center"/>
          </w:tcPr>
          <w:p w14:paraId="466C560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68BB0AA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雨污分流；</w:t>
            </w:r>
            <w:r>
              <w:rPr>
                <w:rFonts w:hint="default" w:ascii="Times New Roman" w:hAnsi="Times New Roman" w:eastAsia="宋体" w:cs="Times New Roman"/>
                <w:color w:val="auto"/>
                <w:szCs w:val="21"/>
                <w:highlight w:val="none"/>
                <w:lang w:eastAsia="zh-CN"/>
              </w:rPr>
              <w:t>企业</w:t>
            </w:r>
            <w:r>
              <w:rPr>
                <w:rFonts w:hint="default" w:ascii="Times New Roman" w:hAnsi="Times New Roman" w:cs="Times New Roman"/>
                <w:color w:val="auto"/>
                <w:szCs w:val="21"/>
                <w:highlight w:val="none"/>
                <w:lang w:eastAsia="zh-CN"/>
              </w:rPr>
              <w:t>已</w:t>
            </w:r>
            <w:r>
              <w:rPr>
                <w:rFonts w:hint="default" w:ascii="Times New Roman" w:hAnsi="Times New Roman" w:eastAsia="宋体" w:cs="Times New Roman"/>
                <w:color w:val="auto"/>
                <w:szCs w:val="21"/>
                <w:highlight w:val="none"/>
                <w:lang w:eastAsia="zh-CN"/>
              </w:rPr>
              <w:t>设置初期雨水收集池</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lang w:eastAsia="zh-CN"/>
              </w:rPr>
              <w:t>水池</w:t>
            </w:r>
            <w:r>
              <w:rPr>
                <w:rFonts w:hint="default" w:ascii="Times New Roman" w:hAnsi="Times New Roman" w:eastAsia="宋体" w:cs="Times New Roman"/>
                <w:color w:val="auto"/>
                <w:szCs w:val="21"/>
                <w:highlight w:val="none"/>
              </w:rPr>
              <w:t>出水管</w:t>
            </w:r>
            <w:r>
              <w:rPr>
                <w:rFonts w:hint="default" w:ascii="Times New Roman" w:hAnsi="Times New Roman" w:eastAsia="宋体" w:cs="Times New Roman"/>
                <w:color w:val="auto"/>
                <w:szCs w:val="21"/>
                <w:highlight w:val="none"/>
                <w:lang w:eastAsia="zh-CN"/>
              </w:rPr>
              <w:t>及</w:t>
            </w:r>
            <w:r>
              <w:rPr>
                <w:rFonts w:hint="default" w:ascii="Times New Roman" w:hAnsi="Times New Roman" w:eastAsia="宋体" w:cs="Times New Roman"/>
                <w:color w:val="auto"/>
                <w:szCs w:val="21"/>
                <w:highlight w:val="none"/>
              </w:rPr>
              <w:t>雨水系统外排总排口（含泄洪渠）监视及关闭设施</w:t>
            </w: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r>
              <w:rPr>
                <w:rFonts w:hint="eastAsia" w:cs="Times New Roman"/>
                <w:color w:val="auto"/>
                <w:szCs w:val="21"/>
                <w:highlight w:val="none"/>
                <w:lang w:eastAsia="zh-CN"/>
              </w:rPr>
              <w:t>收集的初期雨水排入污水处理装置预处理后，经管网排入齐鲁石化供排水厂</w:t>
            </w:r>
            <w:r>
              <w:rPr>
                <w:rFonts w:hint="default" w:ascii="Times New Roman" w:hAnsi="Times New Roman" w:cs="Times New Roman"/>
                <w:color w:val="auto"/>
                <w:szCs w:val="21"/>
                <w:highlight w:val="none"/>
                <w:lang w:eastAsia="zh-CN"/>
              </w:rPr>
              <w:t>深度处理，处理达标后经排海管线排海</w:t>
            </w:r>
          </w:p>
          <w:p w14:paraId="38322C3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p>
          <w:p w14:paraId="452E069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p>
          <w:p w14:paraId="5B159F7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p w14:paraId="3FA8A84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83" w:type="dxa"/>
            <w:vMerge w:val="restart"/>
            <w:vAlign w:val="center"/>
          </w:tcPr>
          <w:p w14:paraId="32CF94D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2C36413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1C9D1BD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5458833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不符合上述要求的</w:t>
            </w:r>
          </w:p>
        </w:tc>
        <w:tc>
          <w:tcPr>
            <w:tcW w:w="511" w:type="dxa"/>
            <w:vAlign w:val="center"/>
          </w:tcPr>
          <w:p w14:paraId="5F5AFD3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685" w:type="dxa"/>
            <w:vMerge w:val="continue"/>
            <w:vAlign w:val="center"/>
          </w:tcPr>
          <w:p w14:paraId="0EFF120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7B68B60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381B5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0BC26C5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生产废水处理系统风险防控措施</w:t>
            </w:r>
          </w:p>
        </w:tc>
        <w:tc>
          <w:tcPr>
            <w:tcW w:w="4619" w:type="dxa"/>
            <w:vAlign w:val="center"/>
          </w:tcPr>
          <w:p w14:paraId="664B159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（1）无生产废水产生或外排；或</w:t>
            </w:r>
          </w:p>
          <w:p w14:paraId="3321646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（2）有废水外排时：</w:t>
            </w:r>
          </w:p>
          <w:p w14:paraId="0A90059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①受污染的循环冷却水、雨水、消防水等排入生产废水系统或独立处理系统；</w:t>
            </w:r>
          </w:p>
          <w:p w14:paraId="25276E3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②生产废水排放前设监控池，能够将不合格废水送废水处理设施处理；</w:t>
            </w:r>
          </w:p>
          <w:p w14:paraId="238B728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③如企业受污染的清净废水或雨水进入废水处理系统处理，则废水处理系统应设置事故水缓冲设施；</w:t>
            </w:r>
          </w:p>
          <w:p w14:paraId="1909518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④具有生产废水总排口监视及关闭设施，有专人负责启闭，确保泄漏物、受污染的消防水、不合格废水不排出厂外</w:t>
            </w:r>
          </w:p>
        </w:tc>
        <w:tc>
          <w:tcPr>
            <w:tcW w:w="511" w:type="dxa"/>
            <w:vAlign w:val="center"/>
          </w:tcPr>
          <w:p w14:paraId="740F38C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50019BC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32DA17F6">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p>
        </w:tc>
        <w:tc>
          <w:tcPr>
            <w:tcW w:w="683" w:type="dxa"/>
            <w:vMerge w:val="restart"/>
            <w:vAlign w:val="center"/>
          </w:tcPr>
          <w:p w14:paraId="067961B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5A05A3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153609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78644B6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涉及废水外排，且不符合上述（2）中任意一条要求的</w:t>
            </w:r>
          </w:p>
        </w:tc>
        <w:tc>
          <w:tcPr>
            <w:tcW w:w="511" w:type="dxa"/>
            <w:vAlign w:val="center"/>
          </w:tcPr>
          <w:p w14:paraId="608F719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685" w:type="dxa"/>
            <w:vMerge w:val="continue"/>
            <w:vAlign w:val="center"/>
          </w:tcPr>
          <w:p w14:paraId="79112D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229C09A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81D8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09E8B6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废水排放去向</w:t>
            </w:r>
          </w:p>
        </w:tc>
        <w:tc>
          <w:tcPr>
            <w:tcW w:w="4619" w:type="dxa"/>
            <w:vAlign w:val="center"/>
          </w:tcPr>
          <w:p w14:paraId="519F5F6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无生产废水产生或外排</w:t>
            </w:r>
          </w:p>
        </w:tc>
        <w:tc>
          <w:tcPr>
            <w:tcW w:w="511" w:type="dxa"/>
            <w:vAlign w:val="center"/>
          </w:tcPr>
          <w:p w14:paraId="015391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43E1800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tc>
        <w:tc>
          <w:tcPr>
            <w:tcW w:w="683" w:type="dxa"/>
            <w:vMerge w:val="restart"/>
            <w:vAlign w:val="center"/>
          </w:tcPr>
          <w:p w14:paraId="23F5967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6</w:t>
            </w:r>
          </w:p>
        </w:tc>
      </w:tr>
      <w:tr w14:paraId="6D1F6D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0C2F0CD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5ADA913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（1）依法获取污水排入排水管网许可，进入城镇污水处理厂；或</w:t>
            </w:r>
          </w:p>
          <w:p w14:paraId="7CBF128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（2）进入工业废水集中处理厂；或</w:t>
            </w:r>
          </w:p>
          <w:p w14:paraId="2C03C1E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（3）进入其他单位</w:t>
            </w:r>
          </w:p>
        </w:tc>
        <w:tc>
          <w:tcPr>
            <w:tcW w:w="511" w:type="dxa"/>
            <w:vAlign w:val="center"/>
          </w:tcPr>
          <w:p w14:paraId="0E04646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685" w:type="dxa"/>
            <w:vMerge w:val="continue"/>
            <w:vAlign w:val="center"/>
          </w:tcPr>
          <w:p w14:paraId="68DA813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31CFB0C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CA511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60250E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61D638F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（1）直接进入海域或进入江、河、湖、库等水环境；或</w:t>
            </w:r>
          </w:p>
          <w:p w14:paraId="48AB4D7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（2）进入城市下水道再入江、河、湖、库或再进入海域；或</w:t>
            </w:r>
          </w:p>
          <w:p w14:paraId="04E0010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（3）未依法取得污水排入排水管网许可，进入城镇污水处理厂；或</w:t>
            </w:r>
          </w:p>
          <w:p w14:paraId="65C1104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（4）直接进入污灌农田或蒸发地</w:t>
            </w:r>
          </w:p>
        </w:tc>
        <w:tc>
          <w:tcPr>
            <w:tcW w:w="511" w:type="dxa"/>
            <w:vAlign w:val="center"/>
          </w:tcPr>
          <w:p w14:paraId="578810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2685" w:type="dxa"/>
            <w:vMerge w:val="continue"/>
            <w:vAlign w:val="center"/>
          </w:tcPr>
          <w:p w14:paraId="40C548E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448751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844EC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41D039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厂内危险废物</w:t>
            </w:r>
          </w:p>
          <w:p w14:paraId="3DA6AD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环境管理</w:t>
            </w:r>
          </w:p>
        </w:tc>
        <w:tc>
          <w:tcPr>
            <w:tcW w:w="4619" w:type="dxa"/>
            <w:vAlign w:val="center"/>
          </w:tcPr>
          <w:p w14:paraId="6DA951A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（1）不涉及危险废物的；或</w:t>
            </w:r>
          </w:p>
          <w:p w14:paraId="190FE34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（2）针对危险废物分区贮存、运输、利用、处置具有完善的专业设施和风险防控措施</w:t>
            </w:r>
          </w:p>
        </w:tc>
        <w:tc>
          <w:tcPr>
            <w:tcW w:w="511" w:type="dxa"/>
            <w:vAlign w:val="center"/>
          </w:tcPr>
          <w:p w14:paraId="59619E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restart"/>
            <w:vAlign w:val="center"/>
          </w:tcPr>
          <w:p w14:paraId="2F1911A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危险废物</w:t>
            </w:r>
            <w:r>
              <w:rPr>
                <w:rFonts w:hint="default" w:ascii="Times New Roman" w:hAnsi="Times New Roman" w:cs="Times New Roman"/>
                <w:color w:val="auto"/>
                <w:szCs w:val="21"/>
                <w:highlight w:val="none"/>
                <w:lang w:eastAsia="zh-CN"/>
              </w:rPr>
              <w:t>定期由有资质危废单位回收处理</w:t>
            </w:r>
          </w:p>
        </w:tc>
        <w:tc>
          <w:tcPr>
            <w:tcW w:w="683" w:type="dxa"/>
            <w:vMerge w:val="restart"/>
            <w:vAlign w:val="center"/>
          </w:tcPr>
          <w:p w14:paraId="4A28850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36F720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1FB0424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7B22B3F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不具备完善的危险废物贮存、运输、利用、处置设施和风险防控措施</w:t>
            </w:r>
          </w:p>
        </w:tc>
        <w:tc>
          <w:tcPr>
            <w:tcW w:w="511" w:type="dxa"/>
            <w:vAlign w:val="center"/>
          </w:tcPr>
          <w:p w14:paraId="72A0A5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2685" w:type="dxa"/>
            <w:vMerge w:val="continue"/>
            <w:vAlign w:val="center"/>
          </w:tcPr>
          <w:p w14:paraId="2DA9A0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32BB0DF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50635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restart"/>
            <w:vAlign w:val="center"/>
          </w:tcPr>
          <w:p w14:paraId="3D0D2BA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近3年内突发水环境事件发生情况</w:t>
            </w:r>
          </w:p>
        </w:tc>
        <w:tc>
          <w:tcPr>
            <w:tcW w:w="4619" w:type="dxa"/>
            <w:vAlign w:val="center"/>
          </w:tcPr>
          <w:p w14:paraId="674A174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发生过特别重大及重大等级突发水环境事件的</w:t>
            </w:r>
          </w:p>
        </w:tc>
        <w:tc>
          <w:tcPr>
            <w:tcW w:w="511" w:type="dxa"/>
            <w:vAlign w:val="center"/>
          </w:tcPr>
          <w:p w14:paraId="7697A8E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685" w:type="dxa"/>
            <w:vMerge w:val="restart"/>
            <w:vAlign w:val="center"/>
          </w:tcPr>
          <w:p w14:paraId="31232BC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近3年内未发生突发水环境事件</w:t>
            </w:r>
          </w:p>
        </w:tc>
        <w:tc>
          <w:tcPr>
            <w:tcW w:w="683" w:type="dxa"/>
            <w:vMerge w:val="restart"/>
            <w:vAlign w:val="center"/>
          </w:tcPr>
          <w:p w14:paraId="5D5494B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4A8B75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0E4A665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121FE8E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发生过较大等级突发水环境事件的</w:t>
            </w:r>
          </w:p>
        </w:tc>
        <w:tc>
          <w:tcPr>
            <w:tcW w:w="511" w:type="dxa"/>
            <w:vAlign w:val="center"/>
          </w:tcPr>
          <w:p w14:paraId="3DB1F0C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685" w:type="dxa"/>
            <w:vMerge w:val="continue"/>
            <w:vAlign w:val="center"/>
          </w:tcPr>
          <w:p w14:paraId="57581F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28B85D0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F1A6B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053D08C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6F25A99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发生过一般等级突发水环境事件的</w:t>
            </w:r>
          </w:p>
        </w:tc>
        <w:tc>
          <w:tcPr>
            <w:tcW w:w="511" w:type="dxa"/>
            <w:vAlign w:val="center"/>
          </w:tcPr>
          <w:p w14:paraId="08DB0C9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685" w:type="dxa"/>
            <w:vMerge w:val="continue"/>
            <w:vAlign w:val="center"/>
          </w:tcPr>
          <w:p w14:paraId="776C050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17401C0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C633A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073" w:type="dxa"/>
            <w:vMerge w:val="continue"/>
            <w:vAlign w:val="center"/>
          </w:tcPr>
          <w:p w14:paraId="4A8336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4619" w:type="dxa"/>
            <w:vAlign w:val="center"/>
          </w:tcPr>
          <w:p w14:paraId="7C49707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未发生突发水环境事件的</w:t>
            </w:r>
          </w:p>
        </w:tc>
        <w:tc>
          <w:tcPr>
            <w:tcW w:w="511" w:type="dxa"/>
            <w:vAlign w:val="center"/>
          </w:tcPr>
          <w:p w14:paraId="1F25A38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2685" w:type="dxa"/>
            <w:vMerge w:val="continue"/>
            <w:vAlign w:val="center"/>
          </w:tcPr>
          <w:p w14:paraId="2044FE6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83" w:type="dxa"/>
            <w:vMerge w:val="continue"/>
            <w:vAlign w:val="center"/>
          </w:tcPr>
          <w:p w14:paraId="0B097A4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D014B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888" w:type="dxa"/>
            <w:gridSpan w:val="4"/>
            <w:vAlign w:val="center"/>
          </w:tcPr>
          <w:p w14:paraId="4BA4ECD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683" w:type="dxa"/>
            <w:vAlign w:val="center"/>
          </w:tcPr>
          <w:p w14:paraId="290FF06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6</w:t>
            </w:r>
          </w:p>
        </w:tc>
      </w:tr>
      <w:tr w14:paraId="3C0915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571" w:type="dxa"/>
            <w:gridSpan w:val="5"/>
            <w:vAlign w:val="center"/>
          </w:tcPr>
          <w:p w14:paraId="59AB71B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注：本表中相关规范具体指GB 50483、GB 50160、GB 50351、GB 50747、SH 3015</w:t>
            </w:r>
          </w:p>
        </w:tc>
      </w:tr>
    </w:tbl>
    <w:p w14:paraId="6D5091A1"/>
    <w:p w14:paraId="73E256D3">
      <w:pPr>
        <w:keepNext/>
        <w:keepLines/>
        <w:pageBreakBefore w:val="0"/>
        <w:widowControl w:val="0"/>
        <w:kinsoku/>
        <w:wordWrap/>
        <w:overflowPunct/>
        <w:topLinePunct w:val="0"/>
        <w:autoSpaceDE/>
        <w:autoSpaceDN/>
        <w:bidi w:val="0"/>
        <w:adjustRightInd/>
        <w:snapToGrid/>
        <w:spacing w:line="360" w:lineRule="auto"/>
        <w:textAlignment w:val="auto"/>
        <w:outlineLvl w:val="9"/>
        <w:rPr>
          <w:b/>
          <w:bCs/>
          <w:sz w:val="24"/>
          <w:szCs w:val="24"/>
        </w:rPr>
      </w:pPr>
      <w:r>
        <w:rPr>
          <w:rFonts w:hint="eastAsia"/>
          <w:b/>
          <w:bCs/>
          <w:sz w:val="24"/>
          <w:szCs w:val="24"/>
          <w:lang w:val="en-US" w:eastAsia="zh-CN"/>
        </w:rPr>
        <w:t>7.2.2.3</w:t>
      </w:r>
      <w:r>
        <w:rPr>
          <w:rFonts w:hint="eastAsia"/>
          <w:b/>
          <w:bCs/>
          <w:sz w:val="24"/>
          <w:szCs w:val="24"/>
        </w:rPr>
        <w:t>企业生产工艺过程与水环境风险控制水平</w:t>
      </w:r>
    </w:p>
    <w:p w14:paraId="718D5CFD">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kern w:val="2"/>
          <w:sz w:val="24"/>
          <w:szCs w:val="24"/>
        </w:rPr>
      </w:pPr>
      <w:r>
        <w:rPr>
          <w:rFonts w:hint="eastAsia" w:ascii="Times New Roman" w:hAnsi="Times New Roman" w:cs="Times New Roman"/>
          <w:kern w:val="2"/>
          <w:sz w:val="24"/>
          <w:szCs w:val="24"/>
        </w:rPr>
        <w:t>将生产工艺过程、水环境风险防控措施及突发水环境事件发生情况各项指标评估分值累加，得出生产工艺过程与水环境风险控制水平值，按照</w:t>
      </w:r>
      <w:r>
        <w:rPr>
          <w:rFonts w:ascii="Times New Roman" w:hAnsi="Times New Roman" w:cs="Times New Roman"/>
          <w:kern w:val="2"/>
          <w:sz w:val="24"/>
          <w:szCs w:val="24"/>
        </w:rPr>
        <w:fldChar w:fldCharType="begin"/>
      </w:r>
      <w:r>
        <w:rPr>
          <w:rFonts w:ascii="Times New Roman" w:hAnsi="Times New Roman" w:cs="Times New Roman"/>
          <w:kern w:val="2"/>
          <w:sz w:val="24"/>
          <w:szCs w:val="24"/>
        </w:rPr>
        <w:instrText xml:space="preserve"> </w:instrText>
      </w:r>
      <w:r>
        <w:rPr>
          <w:rFonts w:hint="eastAsia" w:ascii="Times New Roman" w:hAnsi="Times New Roman" w:cs="Times New Roman"/>
          <w:kern w:val="2"/>
          <w:sz w:val="24"/>
          <w:szCs w:val="24"/>
        </w:rPr>
        <w:instrText xml:space="preserve">REF _Ref95230405 \h</w:instrText>
      </w:r>
      <w:r>
        <w:rPr>
          <w:rFonts w:ascii="Times New Roman" w:hAnsi="Times New Roman" w:cs="Times New Roman"/>
          <w:kern w:val="2"/>
          <w:sz w:val="24"/>
          <w:szCs w:val="24"/>
        </w:rPr>
        <w:instrText xml:space="preserve">  \* MERGEFORMAT </w:instrText>
      </w:r>
      <w:r>
        <w:rPr>
          <w:rFonts w:ascii="Times New Roman" w:hAnsi="Times New Roman" w:cs="Times New Roman"/>
          <w:kern w:val="2"/>
          <w:sz w:val="24"/>
          <w:szCs w:val="24"/>
        </w:rPr>
        <w:fldChar w:fldCharType="separate"/>
      </w:r>
      <w:r>
        <w:rPr>
          <w:sz w:val="24"/>
          <w:szCs w:val="24"/>
        </w:rPr>
        <w:t>表 7.2</w:t>
      </w:r>
      <w:r>
        <w:rPr>
          <w:sz w:val="24"/>
          <w:szCs w:val="24"/>
        </w:rPr>
        <w:noBreakHyphen/>
      </w:r>
      <w:r>
        <w:rPr>
          <w:sz w:val="24"/>
          <w:szCs w:val="24"/>
        </w:rPr>
        <w:t>4</w:t>
      </w:r>
      <w:r>
        <w:rPr>
          <w:rFonts w:ascii="Times New Roman" w:hAnsi="Times New Roman" w:cs="Times New Roman"/>
          <w:kern w:val="2"/>
          <w:sz w:val="24"/>
          <w:szCs w:val="24"/>
        </w:rPr>
        <w:fldChar w:fldCharType="end"/>
      </w:r>
      <w:r>
        <w:rPr>
          <w:rFonts w:hint="eastAsia" w:ascii="Times New Roman" w:hAnsi="Times New Roman" w:cs="Times New Roman"/>
          <w:kern w:val="2"/>
          <w:sz w:val="24"/>
          <w:szCs w:val="24"/>
        </w:rPr>
        <w:t>划分为4个类型。</w:t>
      </w:r>
    </w:p>
    <w:p w14:paraId="3333688F">
      <w:pPr>
        <w:pStyle w:val="70"/>
        <w:spacing w:line="360" w:lineRule="auto"/>
        <w:ind w:firstLine="482"/>
        <w:rPr>
          <w:rFonts w:hint="default" w:ascii="Times New Roman" w:hAnsi="Times New Roman" w:eastAsia="宋体" w:cs="Times New Roman"/>
          <w:b w:val="0"/>
          <w:bCs/>
          <w:color w:val="auto"/>
          <w:highlight w:val="none"/>
        </w:rPr>
      </w:pPr>
      <w:bookmarkStart w:id="119" w:name="_Ref95230405"/>
      <w:r>
        <w:rPr>
          <w:rFonts w:hint="default" w:ascii="Times New Roman" w:hAnsi="Times New Roman" w:eastAsia="宋体" w:cs="Times New Roman"/>
          <w:b w:val="0"/>
          <w:bCs/>
          <w:color w:val="auto"/>
          <w:highlight w:val="none"/>
        </w:rPr>
        <w:t xml:space="preserve">表 </w:t>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STYLEREF 2 \s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7.2</w:t>
      </w:r>
      <w:r>
        <w:rPr>
          <w:rFonts w:hint="default" w:ascii="Times New Roman" w:hAnsi="Times New Roman" w:eastAsia="宋体" w:cs="Times New Roman"/>
          <w:b w:val="0"/>
          <w:bCs/>
          <w:color w:val="auto"/>
          <w:highlight w:val="none"/>
        </w:rPr>
        <w:fldChar w:fldCharType="end"/>
      </w:r>
      <w:r>
        <w:rPr>
          <w:rFonts w:hint="default" w:ascii="Times New Roman" w:hAnsi="Times New Roman" w:eastAsia="宋体" w:cs="Times New Roman"/>
          <w:b w:val="0"/>
          <w:bCs/>
          <w:color w:val="auto"/>
          <w:highlight w:val="none"/>
        </w:rPr>
        <w:noBreakHyphen/>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SEQ 表格 \* ARABIC \s 2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4</w:t>
      </w:r>
      <w:r>
        <w:rPr>
          <w:rFonts w:hint="default" w:ascii="Times New Roman" w:hAnsi="Times New Roman" w:eastAsia="宋体" w:cs="Times New Roman"/>
          <w:b w:val="0"/>
          <w:bCs/>
          <w:color w:val="auto"/>
          <w:highlight w:val="none"/>
        </w:rPr>
        <w:fldChar w:fldCharType="end"/>
      </w:r>
      <w:bookmarkEnd w:id="119"/>
      <w:r>
        <w:rPr>
          <w:rFonts w:hint="default" w:ascii="Times New Roman" w:hAnsi="Times New Roman" w:eastAsia="宋体" w:cs="Times New Roman"/>
          <w:b w:val="0"/>
          <w:bCs/>
          <w:color w:val="auto"/>
          <w:highlight w:val="none"/>
        </w:rPr>
        <w:t xml:space="preserve"> </w:t>
      </w:r>
      <w:r>
        <w:rPr>
          <w:rFonts w:hint="eastAsia" w:ascii="Times New Roman" w:hAnsi="Times New Roman" w:eastAsia="宋体" w:cs="Times New Roman"/>
          <w:b w:val="0"/>
          <w:bCs/>
          <w:color w:val="auto"/>
          <w:highlight w:val="none"/>
        </w:rPr>
        <w:t>企业生产工艺过程与环境风险控制水平类型划分</w:t>
      </w:r>
    </w:p>
    <w:tbl>
      <w:tblPr>
        <w:tblStyle w:val="1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359C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1AF2B0CB">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生产工艺过程与环境风险控制水平值</w:t>
            </w:r>
          </w:p>
        </w:tc>
        <w:tc>
          <w:tcPr>
            <w:tcW w:w="2500" w:type="pct"/>
            <w:vAlign w:val="center"/>
          </w:tcPr>
          <w:p w14:paraId="6399120B">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生产工艺过程与环境风险控制水平类型</w:t>
            </w:r>
          </w:p>
        </w:tc>
      </w:tr>
      <w:tr w14:paraId="40C8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093D7B7B">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M＜25</w:t>
            </w:r>
          </w:p>
        </w:tc>
        <w:tc>
          <w:tcPr>
            <w:tcW w:w="2500" w:type="pct"/>
            <w:vAlign w:val="center"/>
          </w:tcPr>
          <w:p w14:paraId="5F4561B1">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M1</w:t>
            </w:r>
          </w:p>
        </w:tc>
      </w:tr>
      <w:tr w14:paraId="65F3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3D655D00">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25≤M＜45</w:t>
            </w:r>
          </w:p>
        </w:tc>
        <w:tc>
          <w:tcPr>
            <w:tcW w:w="2500" w:type="pct"/>
            <w:vAlign w:val="center"/>
          </w:tcPr>
          <w:p w14:paraId="79DDDE4C">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M2</w:t>
            </w:r>
          </w:p>
        </w:tc>
      </w:tr>
      <w:tr w14:paraId="71A7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502BC38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45≤M＜65</w:t>
            </w:r>
          </w:p>
        </w:tc>
        <w:tc>
          <w:tcPr>
            <w:tcW w:w="2500" w:type="pct"/>
            <w:vAlign w:val="center"/>
          </w:tcPr>
          <w:p w14:paraId="1AE303BE">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M3</w:t>
            </w:r>
          </w:p>
        </w:tc>
      </w:tr>
      <w:tr w14:paraId="030A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00" w:type="pct"/>
            <w:vAlign w:val="center"/>
          </w:tcPr>
          <w:p w14:paraId="11382BF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M≥65</w:t>
            </w:r>
          </w:p>
        </w:tc>
        <w:tc>
          <w:tcPr>
            <w:tcW w:w="2500" w:type="pct"/>
            <w:vAlign w:val="center"/>
          </w:tcPr>
          <w:p w14:paraId="6E860498">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M4</w:t>
            </w:r>
          </w:p>
        </w:tc>
      </w:tr>
    </w:tbl>
    <w:p w14:paraId="024F28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kern w:val="2"/>
          <w:sz w:val="24"/>
          <w:szCs w:val="24"/>
        </w:rPr>
      </w:pPr>
      <w:r>
        <w:rPr>
          <w:rFonts w:ascii="Times New Roman" w:hAnsi="Times New Roman" w:cs="Times New Roman"/>
          <w:kern w:val="2"/>
          <w:sz w:val="24"/>
          <w:szCs w:val="24"/>
        </w:rPr>
        <w:t>对照</w:t>
      </w:r>
      <w:r>
        <w:rPr>
          <w:sz w:val="24"/>
          <w:szCs w:val="24"/>
        </w:rPr>
        <w:fldChar w:fldCharType="begin"/>
      </w:r>
      <w:r>
        <w:rPr>
          <w:sz w:val="24"/>
          <w:szCs w:val="24"/>
        </w:rPr>
        <w:instrText xml:space="preserve"> REF _Ref95230428 \h  \* MERGEFORMAT </w:instrText>
      </w:r>
      <w:r>
        <w:rPr>
          <w:sz w:val="24"/>
          <w:szCs w:val="24"/>
        </w:rPr>
        <w:fldChar w:fldCharType="separate"/>
      </w:r>
      <w:r>
        <w:rPr>
          <w:sz w:val="24"/>
          <w:szCs w:val="24"/>
        </w:rPr>
        <w:t>表 7.2</w:t>
      </w:r>
      <w:r>
        <w:rPr>
          <w:sz w:val="24"/>
          <w:szCs w:val="24"/>
        </w:rPr>
        <w:noBreakHyphen/>
      </w:r>
      <w:r>
        <w:rPr>
          <w:sz w:val="24"/>
          <w:szCs w:val="24"/>
        </w:rPr>
        <w:t>2</w:t>
      </w:r>
      <w:r>
        <w:rPr>
          <w:sz w:val="24"/>
          <w:szCs w:val="24"/>
        </w:rPr>
        <w:fldChar w:fldCharType="end"/>
      </w:r>
      <w:r>
        <w:rPr>
          <w:rFonts w:hint="eastAsia" w:ascii="Times New Roman" w:hAnsi="Times New Roman" w:cs="Times New Roman"/>
          <w:kern w:val="2"/>
          <w:sz w:val="24"/>
          <w:szCs w:val="24"/>
        </w:rPr>
        <w:t>、</w:t>
      </w:r>
      <w:r>
        <w:rPr>
          <w:sz w:val="24"/>
          <w:szCs w:val="24"/>
        </w:rPr>
        <w:fldChar w:fldCharType="begin"/>
      </w:r>
      <w:r>
        <w:rPr>
          <w:sz w:val="24"/>
          <w:szCs w:val="24"/>
        </w:rPr>
        <w:instrText xml:space="preserve"> REF _Ref95230378 \h  \* MERGEFORMAT </w:instrText>
      </w:r>
      <w:r>
        <w:rPr>
          <w:sz w:val="24"/>
          <w:szCs w:val="24"/>
        </w:rPr>
        <w:fldChar w:fldCharType="separate"/>
      </w:r>
      <w:r>
        <w:rPr>
          <w:sz w:val="24"/>
          <w:szCs w:val="24"/>
        </w:rPr>
        <w:t>表 7.2</w:t>
      </w:r>
      <w:r>
        <w:rPr>
          <w:sz w:val="24"/>
          <w:szCs w:val="24"/>
        </w:rPr>
        <w:noBreakHyphen/>
      </w:r>
      <w:r>
        <w:rPr>
          <w:sz w:val="24"/>
          <w:szCs w:val="24"/>
        </w:rPr>
        <w:t>3</w:t>
      </w:r>
      <w:r>
        <w:rPr>
          <w:sz w:val="24"/>
          <w:szCs w:val="24"/>
        </w:rPr>
        <w:fldChar w:fldCharType="end"/>
      </w:r>
      <w:r>
        <w:rPr>
          <w:rFonts w:ascii="Times New Roman" w:hAnsi="Times New Roman" w:cs="Times New Roman"/>
          <w:kern w:val="2"/>
          <w:sz w:val="24"/>
          <w:szCs w:val="24"/>
        </w:rPr>
        <w:t>得</w:t>
      </w:r>
      <w:r>
        <w:rPr>
          <w:rFonts w:hint="eastAsia" w:ascii="Times New Roman" w:hAnsi="Times New Roman" w:cs="Times New Roman"/>
          <w:kern w:val="2"/>
          <w:sz w:val="24"/>
          <w:szCs w:val="24"/>
        </w:rPr>
        <w:t>到M值为</w:t>
      </w:r>
      <w:r>
        <w:rPr>
          <w:rFonts w:hint="eastAsia" w:cs="Times New Roman"/>
          <w:kern w:val="2"/>
          <w:sz w:val="24"/>
          <w:szCs w:val="24"/>
          <w:lang w:val="en-US" w:eastAsia="zh-CN"/>
        </w:rPr>
        <w:t>31</w:t>
      </w:r>
      <w:r>
        <w:rPr>
          <w:rFonts w:hint="eastAsia" w:ascii="Times New Roman" w:hAnsi="Times New Roman" w:cs="Times New Roman"/>
          <w:kern w:val="2"/>
          <w:sz w:val="24"/>
          <w:szCs w:val="24"/>
        </w:rPr>
        <w:t>。依据</w:t>
      </w:r>
      <w:r>
        <w:rPr>
          <w:sz w:val="24"/>
          <w:szCs w:val="24"/>
        </w:rPr>
        <w:fldChar w:fldCharType="begin"/>
      </w:r>
      <w:r>
        <w:rPr>
          <w:sz w:val="24"/>
          <w:szCs w:val="24"/>
        </w:rPr>
        <w:instrText xml:space="preserve"> REF _Ref95230405 \h  \* MERGEFORMAT </w:instrText>
      </w:r>
      <w:r>
        <w:rPr>
          <w:sz w:val="24"/>
          <w:szCs w:val="24"/>
        </w:rPr>
        <w:fldChar w:fldCharType="separate"/>
      </w:r>
      <w:r>
        <w:rPr>
          <w:sz w:val="24"/>
          <w:szCs w:val="24"/>
        </w:rPr>
        <w:t>表 7.2</w:t>
      </w:r>
      <w:r>
        <w:rPr>
          <w:sz w:val="24"/>
          <w:szCs w:val="24"/>
        </w:rPr>
        <w:noBreakHyphen/>
      </w:r>
      <w:r>
        <w:rPr>
          <w:sz w:val="24"/>
          <w:szCs w:val="24"/>
        </w:rPr>
        <w:t>4</w:t>
      </w:r>
      <w:r>
        <w:rPr>
          <w:sz w:val="24"/>
          <w:szCs w:val="24"/>
        </w:rPr>
        <w:fldChar w:fldCharType="end"/>
      </w:r>
      <w:r>
        <w:rPr>
          <w:rFonts w:ascii="Times New Roman" w:hAnsi="Times New Roman" w:cs="Times New Roman"/>
          <w:kern w:val="2"/>
          <w:sz w:val="24"/>
          <w:szCs w:val="24"/>
        </w:rPr>
        <w:t>，确定</w:t>
      </w:r>
      <w:r>
        <w:rPr>
          <w:rFonts w:hint="eastAsia" w:cs="Times New Roman"/>
          <w:kern w:val="2"/>
          <w:sz w:val="24"/>
          <w:szCs w:val="24"/>
          <w:lang w:eastAsia="zh-CN"/>
        </w:rPr>
        <w:t>公司</w:t>
      </w:r>
      <w:r>
        <w:rPr>
          <w:rFonts w:ascii="Times New Roman" w:hAnsi="Times New Roman" w:cs="Times New Roman"/>
          <w:kern w:val="2"/>
          <w:sz w:val="24"/>
          <w:szCs w:val="24"/>
        </w:rPr>
        <w:t>生产工艺过程与水环境风险控制水平为M</w:t>
      </w:r>
      <w:r>
        <w:rPr>
          <w:rFonts w:hint="eastAsia" w:cs="Times New Roman"/>
          <w:kern w:val="2"/>
          <w:sz w:val="24"/>
          <w:szCs w:val="24"/>
          <w:lang w:val="en-US" w:eastAsia="zh-CN"/>
        </w:rPr>
        <w:t>2</w:t>
      </w:r>
      <w:r>
        <w:rPr>
          <w:rFonts w:ascii="Times New Roman" w:hAnsi="Times New Roman" w:cs="Times New Roman"/>
          <w:kern w:val="2"/>
          <w:sz w:val="24"/>
          <w:szCs w:val="24"/>
        </w:rPr>
        <w:t>类水平</w:t>
      </w:r>
      <w:r>
        <w:rPr>
          <w:rFonts w:hint="eastAsia" w:ascii="Times New Roman" w:hAnsi="Times New Roman" w:cs="Times New Roman"/>
          <w:kern w:val="2"/>
          <w:sz w:val="24"/>
          <w:szCs w:val="24"/>
        </w:rPr>
        <w:t>。</w:t>
      </w:r>
    </w:p>
    <w:p w14:paraId="24DBB1AF">
      <w:pPr>
        <w:pStyle w:val="8"/>
        <w:rPr>
          <w:sz w:val="24"/>
          <w:szCs w:val="24"/>
        </w:rPr>
      </w:pPr>
      <w:r>
        <w:rPr>
          <w:rFonts w:hint="eastAsia"/>
          <w:sz w:val="24"/>
          <w:szCs w:val="24"/>
          <w:lang w:val="en-US" w:eastAsia="zh-CN"/>
        </w:rPr>
        <w:t>7.2.3</w:t>
      </w:r>
      <w:r>
        <w:rPr>
          <w:sz w:val="24"/>
          <w:szCs w:val="24"/>
        </w:rPr>
        <w:t>水环境风险受体类型（E）评估</w:t>
      </w:r>
    </w:p>
    <w:p w14:paraId="255C2A29">
      <w:pPr>
        <w:spacing w:line="360" w:lineRule="auto"/>
        <w:ind w:firstLine="480" w:firstLineChars="200"/>
        <w:rPr>
          <w:rFonts w:ascii="Times New Roman" w:hAnsi="Times New Roman" w:cs="Times New Roman"/>
          <w:kern w:val="2"/>
          <w:sz w:val="24"/>
          <w:szCs w:val="24"/>
        </w:rPr>
      </w:pPr>
      <w:r>
        <w:rPr>
          <w:rFonts w:hint="eastAsia" w:ascii="Times New Roman" w:hAnsi="Times New Roman" w:cs="Times New Roman"/>
          <w:kern w:val="2"/>
          <w:sz w:val="24"/>
          <w:szCs w:val="24"/>
        </w:rPr>
        <w:t>按照水环境风险受体敏感程度，同时考虑河流跨界的情况和可能造成土壤污染的情况，将水环境风险受体敏感程度类型划分为类型 1、类型 2 和类型 3，分别以 E1、E2 和 E3 表示，见</w:t>
      </w:r>
      <w:r>
        <w:rPr>
          <w:rFonts w:ascii="Times New Roman" w:hAnsi="Times New Roman" w:cs="Times New Roman"/>
          <w:kern w:val="2"/>
          <w:sz w:val="24"/>
          <w:szCs w:val="24"/>
        </w:rPr>
        <w:fldChar w:fldCharType="begin"/>
      </w:r>
      <w:r>
        <w:rPr>
          <w:rFonts w:ascii="Times New Roman" w:hAnsi="Times New Roman" w:cs="Times New Roman"/>
          <w:kern w:val="2"/>
          <w:sz w:val="24"/>
          <w:szCs w:val="24"/>
        </w:rPr>
        <w:instrText xml:space="preserve"> </w:instrText>
      </w:r>
      <w:r>
        <w:rPr>
          <w:rFonts w:hint="eastAsia" w:ascii="Times New Roman" w:hAnsi="Times New Roman" w:cs="Times New Roman"/>
          <w:kern w:val="2"/>
          <w:sz w:val="24"/>
          <w:szCs w:val="24"/>
        </w:rPr>
        <w:instrText xml:space="preserve">REF _Ref95230465 \h</w:instrText>
      </w:r>
      <w:r>
        <w:rPr>
          <w:rFonts w:ascii="Times New Roman" w:hAnsi="Times New Roman" w:cs="Times New Roman"/>
          <w:kern w:val="2"/>
          <w:sz w:val="24"/>
          <w:szCs w:val="24"/>
        </w:rPr>
        <w:instrText xml:space="preserve">  \* MERGEFORMAT </w:instrText>
      </w:r>
      <w:r>
        <w:rPr>
          <w:rFonts w:ascii="Times New Roman" w:hAnsi="Times New Roman" w:cs="Times New Roman"/>
          <w:kern w:val="2"/>
          <w:sz w:val="24"/>
          <w:szCs w:val="24"/>
        </w:rPr>
        <w:fldChar w:fldCharType="separate"/>
      </w:r>
      <w:r>
        <w:rPr>
          <w:rFonts w:ascii="Times New Roman" w:hAnsi="Times New Roman" w:eastAsia="黑体" w:cs="Times New Roman"/>
          <w:kern w:val="2"/>
          <w:sz w:val="24"/>
          <w:szCs w:val="24"/>
        </w:rPr>
        <w:t>表 7.2</w:t>
      </w:r>
      <w:r>
        <w:rPr>
          <w:rFonts w:ascii="Times New Roman" w:hAnsi="Times New Roman" w:eastAsia="黑体" w:cs="Times New Roman"/>
          <w:kern w:val="2"/>
          <w:sz w:val="24"/>
          <w:szCs w:val="24"/>
        </w:rPr>
        <w:noBreakHyphen/>
      </w:r>
      <w:r>
        <w:rPr>
          <w:rFonts w:ascii="Times New Roman" w:hAnsi="Times New Roman" w:eastAsia="黑体" w:cs="Times New Roman"/>
          <w:kern w:val="2"/>
          <w:sz w:val="24"/>
          <w:szCs w:val="24"/>
        </w:rPr>
        <w:t>5</w:t>
      </w:r>
      <w:r>
        <w:rPr>
          <w:rFonts w:ascii="Times New Roman" w:hAnsi="Times New Roman" w:cs="Times New Roman"/>
          <w:kern w:val="2"/>
          <w:sz w:val="24"/>
          <w:szCs w:val="24"/>
        </w:rPr>
        <w:fldChar w:fldCharType="end"/>
      </w:r>
      <w:r>
        <w:rPr>
          <w:rFonts w:hint="eastAsia" w:ascii="Times New Roman" w:hAnsi="Times New Roman" w:cs="Times New Roman"/>
          <w:kern w:val="2"/>
          <w:sz w:val="24"/>
          <w:szCs w:val="24"/>
        </w:rPr>
        <w:t>。</w:t>
      </w:r>
    </w:p>
    <w:p w14:paraId="0FC71365">
      <w:pPr>
        <w:spacing w:line="360" w:lineRule="auto"/>
        <w:ind w:firstLine="480" w:firstLineChars="200"/>
        <w:rPr>
          <w:rFonts w:ascii="Times New Roman" w:hAnsi="Times New Roman" w:cs="Times New Roman"/>
          <w:kern w:val="2"/>
          <w:sz w:val="24"/>
          <w:szCs w:val="24"/>
        </w:rPr>
      </w:pPr>
      <w:r>
        <w:rPr>
          <w:rFonts w:hint="eastAsia" w:ascii="Times New Roman" w:hAnsi="Times New Roman" w:cs="Times New Roman"/>
          <w:kern w:val="2"/>
          <w:sz w:val="24"/>
          <w:szCs w:val="24"/>
        </w:rPr>
        <w:t>水环境风险受体敏感程度按类型 1、类型 2 和类型 3 顺序依次降低。若企业周边存在多种敏感程度类型的水环境风险受体，则按敏感程度高者确定企业水环境风险受体敏感程度类型。</w:t>
      </w:r>
    </w:p>
    <w:p w14:paraId="24D1BF91">
      <w:pPr>
        <w:pStyle w:val="70"/>
        <w:spacing w:line="360" w:lineRule="auto"/>
        <w:ind w:firstLine="482"/>
        <w:rPr>
          <w:rFonts w:hint="eastAsia" w:ascii="Times New Roman" w:hAnsi="Times New Roman" w:eastAsia="宋体" w:cs="Times New Roman"/>
          <w:b w:val="0"/>
          <w:bCs/>
          <w:color w:val="auto"/>
          <w:highlight w:val="none"/>
        </w:rPr>
      </w:pPr>
      <w:bookmarkStart w:id="120" w:name="_Ref95230465"/>
      <w:r>
        <w:rPr>
          <w:rFonts w:hint="default" w:ascii="Times New Roman" w:hAnsi="Times New Roman" w:eastAsia="宋体" w:cs="Times New Roman"/>
          <w:b w:val="0"/>
          <w:bCs/>
          <w:color w:val="auto"/>
          <w:highlight w:val="none"/>
        </w:rPr>
        <w:t xml:space="preserve">表 </w:t>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STYLEREF 2 \s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7.2</w:t>
      </w:r>
      <w:r>
        <w:rPr>
          <w:rFonts w:hint="default" w:ascii="Times New Roman" w:hAnsi="Times New Roman" w:eastAsia="宋体" w:cs="Times New Roman"/>
          <w:b w:val="0"/>
          <w:bCs/>
          <w:color w:val="auto"/>
          <w:highlight w:val="none"/>
        </w:rPr>
        <w:fldChar w:fldCharType="end"/>
      </w:r>
      <w:r>
        <w:rPr>
          <w:rFonts w:hint="default" w:ascii="Times New Roman" w:hAnsi="Times New Roman" w:eastAsia="宋体" w:cs="Times New Roman"/>
          <w:b w:val="0"/>
          <w:bCs/>
          <w:color w:val="auto"/>
          <w:highlight w:val="none"/>
        </w:rPr>
        <w:noBreakHyphen/>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SEQ 表格 \* ARABIC \s 2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5</w:t>
      </w:r>
      <w:r>
        <w:rPr>
          <w:rFonts w:hint="default" w:ascii="Times New Roman" w:hAnsi="Times New Roman" w:eastAsia="宋体" w:cs="Times New Roman"/>
          <w:b w:val="0"/>
          <w:bCs/>
          <w:color w:val="auto"/>
          <w:highlight w:val="none"/>
        </w:rPr>
        <w:fldChar w:fldCharType="end"/>
      </w:r>
      <w:bookmarkEnd w:id="120"/>
      <w:r>
        <w:rPr>
          <w:rFonts w:hint="default" w:ascii="Times New Roman" w:hAnsi="Times New Roman" w:eastAsia="宋体" w:cs="Times New Roman"/>
          <w:b w:val="0"/>
          <w:bCs/>
          <w:color w:val="auto"/>
          <w:highlight w:val="none"/>
        </w:rPr>
        <w:t xml:space="preserve">  水</w:t>
      </w:r>
      <w:r>
        <w:rPr>
          <w:rFonts w:hint="eastAsia" w:ascii="Times New Roman" w:hAnsi="Times New Roman" w:eastAsia="宋体" w:cs="Times New Roman"/>
          <w:b w:val="0"/>
          <w:bCs/>
          <w:color w:val="auto"/>
          <w:highlight w:val="none"/>
        </w:rPr>
        <w:t>环境风险受体敏感程度类型划分</w:t>
      </w:r>
    </w:p>
    <w:tbl>
      <w:tblPr>
        <w:tblStyle w:val="137"/>
        <w:tblpPr w:leftFromText="180" w:rightFromText="180" w:vertAnchor="text" w:horzAnchor="page" w:tblpX="1076" w:tblpY="129"/>
        <w:tblOverlap w:val="never"/>
        <w:tblW w:w="940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Layout w:type="fixed"/>
        <w:tblCellMar>
          <w:top w:w="0" w:type="dxa"/>
          <w:left w:w="28" w:type="dxa"/>
          <w:bottom w:w="0" w:type="dxa"/>
          <w:right w:w="28" w:type="dxa"/>
        </w:tblCellMar>
      </w:tblPr>
      <w:tblGrid>
        <w:gridCol w:w="1716"/>
        <w:gridCol w:w="7690"/>
      </w:tblGrid>
      <w:tr w14:paraId="2CE7C6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CellMar>
            <w:top w:w="0" w:type="dxa"/>
            <w:left w:w="28" w:type="dxa"/>
            <w:bottom w:w="0" w:type="dxa"/>
            <w:right w:w="28" w:type="dxa"/>
          </w:tblCellMar>
        </w:tblPrEx>
        <w:trPr>
          <w:trHeight w:val="457" w:hRule="atLeast"/>
        </w:trPr>
        <w:tc>
          <w:tcPr>
            <w:tcW w:w="1716" w:type="dxa"/>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05BE4C5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敏感程度类型</w:t>
            </w:r>
          </w:p>
        </w:tc>
        <w:tc>
          <w:tcPr>
            <w:tcW w:w="7690" w:type="dxa"/>
            <w:tcBorders>
              <w:top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0F30B31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水环境风险受体</w:t>
            </w:r>
          </w:p>
        </w:tc>
      </w:tr>
      <w:tr w14:paraId="0D1F21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447" w:hRule="atLeast"/>
        </w:trPr>
        <w:tc>
          <w:tcPr>
            <w:tcW w:w="1716" w:type="dxa"/>
            <w:shd w:val="clear" w:color="auto" w:fill="FFFFFF" w:themeFill="background1"/>
            <w:vAlign w:val="center"/>
          </w:tcPr>
          <w:p w14:paraId="3DA7842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类型1（E1）</w:t>
            </w:r>
          </w:p>
        </w:tc>
        <w:tc>
          <w:tcPr>
            <w:tcW w:w="7690" w:type="dxa"/>
            <w:shd w:val="clear" w:color="auto" w:fill="FFFFFF" w:themeFill="background1"/>
            <w:vAlign w:val="center"/>
          </w:tcPr>
          <w:p w14:paraId="15783A31">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rPr>
            </w:pPr>
            <w:r>
              <w:rPr>
                <w:rFonts w:hint="eastAsia" w:ascii="Times New Roman" w:hAnsi="Times New Roman" w:cs="Times New Roman"/>
                <w:kern w:val="2"/>
                <w:sz w:val="21"/>
                <w:szCs w:val="21"/>
              </w:rPr>
              <w:t>（1）企业雨水排口、清净废水排口、污水排口下游10公里流经范围内有如下一类或多类环境风险受体：集中式地表水、地下水饮用水水源保护区（包括一级保护区、二级保护区及准保护区）；农村及分散式饮用水水源保护区；</w:t>
            </w:r>
          </w:p>
          <w:p w14:paraId="5006B672">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rPr>
            </w:pPr>
            <w:r>
              <w:rPr>
                <w:rFonts w:hint="eastAsia" w:ascii="Times New Roman" w:hAnsi="Times New Roman" w:cs="Times New Roman"/>
                <w:kern w:val="2"/>
                <w:sz w:val="21"/>
                <w:szCs w:val="21"/>
              </w:rPr>
              <w:t>（2）废水排入受纳水体后24小时流经范围（按受纳河流最大日均流速计算）内涉及跨国界的</w:t>
            </w:r>
          </w:p>
        </w:tc>
      </w:tr>
      <w:tr w14:paraId="22E056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935" w:hRule="atLeast"/>
        </w:trPr>
        <w:tc>
          <w:tcPr>
            <w:tcW w:w="1716" w:type="dxa"/>
            <w:shd w:val="clear" w:color="auto" w:fill="FFFFFF" w:themeFill="background1"/>
            <w:vAlign w:val="center"/>
          </w:tcPr>
          <w:p w14:paraId="4CB596C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类型2（E2）</w:t>
            </w:r>
          </w:p>
        </w:tc>
        <w:tc>
          <w:tcPr>
            <w:tcW w:w="7690" w:type="dxa"/>
            <w:shd w:val="clear" w:color="auto" w:fill="FFFFFF" w:themeFill="background1"/>
            <w:vAlign w:val="center"/>
          </w:tcPr>
          <w:p w14:paraId="711A2E73">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rPr>
            </w:pPr>
            <w:r>
              <w:rPr>
                <w:rFonts w:hint="eastAsia" w:ascii="Times New Roman" w:hAnsi="Times New Roman" w:cs="Times New Roman"/>
                <w:kern w:val="2"/>
                <w:sz w:val="21"/>
                <w:szCs w:val="21"/>
              </w:rPr>
              <w:t>（1）企业雨水排口、清净废水排口、污水排口下游10公里流经范围内有生态保护红线划定的或具有水生态服务功能的其他水生态环境敏感区和脆弱区，如国家公园，国家级和省级水产种质资源保护区，水产养殖区，天然渔场，海水浴场，盐场保护区，国家重要湿地，国家级和地方级海洋特别保护区，国家级和地方级海洋自然保护区，生物多样性保护优先区域，国家级和地方级自然保护区，国家级和省级风景名胜区，世界文化和自然遗产地，国家级和省级森林公园，世界、国家和省级地质公园，基本农田保护区，基本草原；</w:t>
            </w:r>
          </w:p>
          <w:p w14:paraId="008276D6">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rPr>
            </w:pPr>
            <w:r>
              <w:rPr>
                <w:rFonts w:hint="eastAsia" w:ascii="Times New Roman" w:hAnsi="Times New Roman" w:cs="Times New Roman"/>
                <w:kern w:val="2"/>
                <w:sz w:val="21"/>
                <w:szCs w:val="21"/>
              </w:rPr>
              <w:t>（2）企业雨水排口、清净废水排口、污水排口下游10公里流经范围内涉及跨省界的；</w:t>
            </w:r>
          </w:p>
          <w:p w14:paraId="6E820F45">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rPr>
            </w:pPr>
            <w:r>
              <w:rPr>
                <w:rFonts w:hint="eastAsia" w:ascii="Times New Roman" w:hAnsi="Times New Roman" w:cs="Times New Roman"/>
                <w:kern w:val="2"/>
                <w:sz w:val="21"/>
                <w:szCs w:val="21"/>
              </w:rPr>
              <w:t>（3）企业位于溶岩地貌、泄洪区、泥石流多发等地区</w:t>
            </w:r>
          </w:p>
        </w:tc>
      </w:tr>
      <w:tr w14:paraId="787D8D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20" w:hRule="atLeast"/>
        </w:trPr>
        <w:tc>
          <w:tcPr>
            <w:tcW w:w="1716" w:type="dxa"/>
            <w:shd w:val="clear" w:color="auto" w:fill="FFFFFF" w:themeFill="background1"/>
            <w:vAlign w:val="center"/>
          </w:tcPr>
          <w:p w14:paraId="7318F62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类型3（E3）</w:t>
            </w:r>
          </w:p>
        </w:tc>
        <w:tc>
          <w:tcPr>
            <w:tcW w:w="7690" w:type="dxa"/>
            <w:shd w:val="clear" w:color="auto" w:fill="FFFFFF" w:themeFill="background1"/>
            <w:vAlign w:val="center"/>
          </w:tcPr>
          <w:p w14:paraId="5474C84F">
            <w:pPr>
              <w:keepNext w:val="0"/>
              <w:keepLines w:val="0"/>
              <w:suppressLineNumbers w:val="0"/>
              <w:spacing w:before="0" w:beforeAutospacing="0" w:after="0" w:afterAutospacing="0" w:line="245" w:lineRule="auto"/>
              <w:ind w:left="0" w:right="0"/>
              <w:jc w:val="both"/>
              <w:rPr>
                <w:rFonts w:hint="default" w:ascii="Times New Roman" w:hAnsi="Times New Roman" w:cs="Times New Roman"/>
                <w:kern w:val="2"/>
                <w:sz w:val="21"/>
                <w:szCs w:val="21"/>
              </w:rPr>
            </w:pPr>
            <w:r>
              <w:rPr>
                <w:rFonts w:hint="eastAsia" w:ascii="Times New Roman" w:hAnsi="Times New Roman" w:cs="Times New Roman"/>
                <w:kern w:val="2"/>
                <w:sz w:val="21"/>
                <w:szCs w:val="21"/>
              </w:rPr>
              <w:t>不涉及类型1和类型2情况的</w:t>
            </w:r>
          </w:p>
        </w:tc>
      </w:tr>
      <w:tr w14:paraId="63A371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9406" w:type="dxa"/>
            <w:gridSpan w:val="2"/>
            <w:shd w:val="clear" w:color="auto" w:fill="FFFFFF" w:themeFill="background1"/>
            <w:vAlign w:val="center"/>
          </w:tcPr>
          <w:p w14:paraId="04263B1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注</w:t>
            </w:r>
            <w:r>
              <w:rPr>
                <w:rFonts w:hint="eastAsia" w:ascii="Times New Roman" w:hAnsi="Times New Roman" w:cs="Times New Roman"/>
                <w:kern w:val="2"/>
                <w:sz w:val="21"/>
                <w:szCs w:val="21"/>
              </w:rPr>
              <w:t>：本表中规定的距离范围以到各类水环境保护目标或保护区域的边界为准</w:t>
            </w:r>
          </w:p>
        </w:tc>
      </w:tr>
    </w:tbl>
    <w:p w14:paraId="3145BE46">
      <w:pPr>
        <w:keepNext w:val="0"/>
        <w:keepLines w:val="0"/>
        <w:pageBreakBefore w:val="0"/>
        <w:tabs>
          <w:tab w:val="left" w:pos="371"/>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判断</w:t>
      </w:r>
      <w:r>
        <w:rPr>
          <w:rFonts w:hint="default" w:ascii="Times New Roman" w:hAnsi="Times New Roman" w:cs="Times New Roman"/>
          <w:bCs/>
          <w:color w:val="auto"/>
          <w:sz w:val="24"/>
          <w:highlight w:val="none"/>
          <w:lang w:eastAsia="zh-CN"/>
        </w:rPr>
        <w:t>山东隆盛和助剂有限公司</w:t>
      </w:r>
      <w:r>
        <w:rPr>
          <w:rFonts w:hint="default" w:ascii="Times New Roman" w:hAnsi="Times New Roman" w:cs="Times New Roman"/>
          <w:color w:val="auto"/>
          <w:sz w:val="24"/>
          <w:highlight w:val="none"/>
        </w:rPr>
        <w:t>环境风险受体类型为：类型</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（E</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7031362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根据企业周边水环境风险敏感程度（E）、涉水风险物质数量与临界量比值（Q）和生产工艺过程与水环境风险控制水平（M），按照表7.2-</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确定企业突发水环境事件风险等级。</w:t>
      </w:r>
    </w:p>
    <w:p w14:paraId="75F38A39">
      <w:pPr>
        <w:pStyle w:val="8"/>
        <w:pageBreakBefore w:val="0"/>
        <w:widowControl w:val="0"/>
        <w:kinsoku/>
        <w:wordWrap/>
        <w:overflowPunct/>
        <w:topLinePunct w:val="0"/>
        <w:autoSpaceDE/>
        <w:autoSpaceDN/>
        <w:bidi w:val="0"/>
        <w:spacing w:before="0" w:after="0"/>
        <w:textAlignment w:val="auto"/>
        <w:rPr>
          <w:sz w:val="24"/>
          <w:szCs w:val="24"/>
        </w:rPr>
      </w:pPr>
      <w:r>
        <w:rPr>
          <w:rFonts w:hint="eastAsia"/>
          <w:sz w:val="24"/>
          <w:szCs w:val="24"/>
          <w:lang w:val="en-US" w:eastAsia="zh-CN"/>
        </w:rPr>
        <w:t>7.2.4</w:t>
      </w:r>
      <w:r>
        <w:rPr>
          <w:rFonts w:hint="eastAsia"/>
          <w:sz w:val="24"/>
          <w:szCs w:val="24"/>
        </w:rPr>
        <w:t>突发水环境事件风险等级确定</w:t>
      </w:r>
    </w:p>
    <w:p w14:paraId="68AAEDB5">
      <w:pPr>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cs="Times New Roman"/>
          <w:kern w:val="2"/>
          <w:sz w:val="24"/>
          <w:szCs w:val="24"/>
        </w:rPr>
      </w:pPr>
      <w:r>
        <w:rPr>
          <w:rFonts w:hint="eastAsia" w:ascii="Times New Roman" w:hAnsi="Times New Roman" w:cs="Times New Roman"/>
          <w:kern w:val="2"/>
          <w:sz w:val="24"/>
          <w:szCs w:val="24"/>
        </w:rPr>
        <w:t>根据周边水环境风险受体敏感程度（E）、涉水风险物质数量与临界量比值（Q）和生产工艺过程与水环境风险控制水平（M），按照</w:t>
      </w:r>
      <w:r>
        <w:rPr>
          <w:rFonts w:ascii="Times New Roman" w:hAnsi="Times New Roman" w:cs="Times New Roman"/>
          <w:kern w:val="2"/>
          <w:sz w:val="24"/>
          <w:szCs w:val="24"/>
        </w:rPr>
        <w:fldChar w:fldCharType="begin"/>
      </w:r>
      <w:r>
        <w:rPr>
          <w:rFonts w:ascii="Times New Roman" w:hAnsi="Times New Roman" w:cs="Times New Roman"/>
          <w:kern w:val="2"/>
          <w:sz w:val="24"/>
          <w:szCs w:val="24"/>
        </w:rPr>
        <w:instrText xml:space="preserve"> </w:instrText>
      </w:r>
      <w:r>
        <w:rPr>
          <w:rFonts w:hint="eastAsia" w:ascii="Times New Roman" w:hAnsi="Times New Roman" w:cs="Times New Roman"/>
          <w:kern w:val="2"/>
          <w:sz w:val="24"/>
          <w:szCs w:val="24"/>
        </w:rPr>
        <w:instrText xml:space="preserve">REF _Ref95230465 \h</w:instrText>
      </w:r>
      <w:r>
        <w:rPr>
          <w:rFonts w:ascii="Times New Roman" w:hAnsi="Times New Roman" w:cs="Times New Roman"/>
          <w:kern w:val="2"/>
          <w:sz w:val="24"/>
          <w:szCs w:val="24"/>
        </w:rPr>
        <w:instrText xml:space="preserve">  \* MERGEFORMAT </w:instrText>
      </w:r>
      <w:r>
        <w:rPr>
          <w:rFonts w:ascii="Times New Roman" w:hAnsi="Times New Roman" w:cs="Times New Roman"/>
          <w:kern w:val="2"/>
          <w:sz w:val="24"/>
          <w:szCs w:val="24"/>
        </w:rPr>
        <w:fldChar w:fldCharType="separate"/>
      </w:r>
      <w:r>
        <w:rPr>
          <w:rFonts w:ascii="Times New Roman" w:hAnsi="Times New Roman" w:eastAsia="黑体" w:cs="Times New Roman"/>
          <w:kern w:val="2"/>
          <w:sz w:val="24"/>
          <w:szCs w:val="24"/>
        </w:rPr>
        <w:t>表 7.2</w:t>
      </w:r>
      <w:r>
        <w:rPr>
          <w:rFonts w:ascii="Times New Roman" w:hAnsi="Times New Roman" w:eastAsia="黑体" w:cs="Times New Roman"/>
          <w:kern w:val="2"/>
          <w:sz w:val="24"/>
          <w:szCs w:val="24"/>
        </w:rPr>
        <w:noBreakHyphen/>
      </w:r>
      <w:r>
        <w:rPr>
          <w:rFonts w:ascii="Times New Roman" w:hAnsi="Times New Roman" w:eastAsia="黑体" w:cs="Times New Roman"/>
          <w:kern w:val="2"/>
          <w:sz w:val="24"/>
          <w:szCs w:val="24"/>
        </w:rPr>
        <w:t>5</w:t>
      </w:r>
      <w:r>
        <w:rPr>
          <w:rFonts w:ascii="Times New Roman" w:hAnsi="Times New Roman" w:cs="Times New Roman"/>
          <w:kern w:val="2"/>
          <w:sz w:val="24"/>
          <w:szCs w:val="24"/>
        </w:rPr>
        <w:fldChar w:fldCharType="end"/>
      </w:r>
      <w:r>
        <w:rPr>
          <w:rFonts w:hint="eastAsia" w:ascii="Times New Roman" w:hAnsi="Times New Roman" w:cs="Times New Roman"/>
          <w:kern w:val="2"/>
          <w:sz w:val="24"/>
          <w:szCs w:val="24"/>
        </w:rPr>
        <w:t>确定</w:t>
      </w:r>
      <w:r>
        <w:rPr>
          <w:rFonts w:hint="eastAsia" w:cs="Times New Roman"/>
          <w:kern w:val="2"/>
          <w:sz w:val="24"/>
          <w:szCs w:val="24"/>
          <w:lang w:eastAsia="zh-CN"/>
        </w:rPr>
        <w:t>公司</w:t>
      </w:r>
      <w:r>
        <w:rPr>
          <w:rFonts w:hint="eastAsia" w:ascii="Times New Roman" w:hAnsi="Times New Roman" w:cs="Times New Roman"/>
          <w:kern w:val="2"/>
          <w:sz w:val="24"/>
          <w:szCs w:val="24"/>
        </w:rPr>
        <w:t>突发水环境事件风险等级为“</w:t>
      </w:r>
      <w:r>
        <w:rPr>
          <w:rFonts w:hint="eastAsia" w:cs="Times New Roman"/>
          <w:kern w:val="2"/>
          <w:sz w:val="24"/>
          <w:szCs w:val="24"/>
          <w:lang w:eastAsia="zh-CN"/>
        </w:rPr>
        <w:t>重</w:t>
      </w:r>
      <w:r>
        <w:rPr>
          <w:rFonts w:hint="eastAsia" w:ascii="Times New Roman" w:hAnsi="Times New Roman" w:cs="Times New Roman"/>
          <w:kern w:val="2"/>
          <w:sz w:val="24"/>
          <w:szCs w:val="24"/>
        </w:rPr>
        <w:t>大-水（Q</w:t>
      </w:r>
      <w:r>
        <w:rPr>
          <w:rFonts w:hint="eastAsia" w:cs="Times New Roman"/>
          <w:kern w:val="2"/>
          <w:sz w:val="24"/>
          <w:szCs w:val="24"/>
          <w:lang w:val="en-US" w:eastAsia="zh-CN"/>
        </w:rPr>
        <w:t>3</w:t>
      </w:r>
      <w:r>
        <w:rPr>
          <w:rFonts w:ascii="Times New Roman" w:hAnsi="Times New Roman" w:cs="Times New Roman"/>
          <w:kern w:val="2"/>
          <w:sz w:val="24"/>
          <w:szCs w:val="24"/>
        </w:rPr>
        <w:t>-M</w:t>
      </w:r>
      <w:r>
        <w:rPr>
          <w:rFonts w:hint="eastAsia" w:cs="Times New Roman"/>
          <w:kern w:val="2"/>
          <w:sz w:val="24"/>
          <w:szCs w:val="24"/>
          <w:lang w:val="en-US" w:eastAsia="zh-CN"/>
        </w:rPr>
        <w:t>2</w:t>
      </w:r>
      <w:r>
        <w:rPr>
          <w:rFonts w:ascii="Times New Roman" w:hAnsi="Times New Roman" w:cs="Times New Roman"/>
          <w:kern w:val="2"/>
          <w:sz w:val="24"/>
          <w:szCs w:val="24"/>
        </w:rPr>
        <w:t>-E2</w:t>
      </w:r>
      <w:r>
        <w:rPr>
          <w:rFonts w:hint="eastAsia" w:ascii="Times New Roman" w:hAnsi="Times New Roman" w:cs="Times New Roman"/>
          <w:kern w:val="2"/>
          <w:sz w:val="24"/>
          <w:szCs w:val="24"/>
        </w:rPr>
        <w:t>）”。</w:t>
      </w:r>
    </w:p>
    <w:p w14:paraId="299C8727">
      <w:pPr>
        <w:pStyle w:val="70"/>
        <w:spacing w:line="360" w:lineRule="auto"/>
        <w:ind w:firstLine="482"/>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 xml:space="preserve">表 </w:t>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STYLEREF 2 \s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7.2</w:t>
      </w:r>
      <w:r>
        <w:rPr>
          <w:rFonts w:hint="default" w:ascii="Times New Roman" w:hAnsi="Times New Roman" w:eastAsia="宋体" w:cs="Times New Roman"/>
          <w:b w:val="0"/>
          <w:bCs/>
          <w:color w:val="auto"/>
          <w:highlight w:val="none"/>
        </w:rPr>
        <w:fldChar w:fldCharType="end"/>
      </w:r>
      <w:r>
        <w:rPr>
          <w:rFonts w:hint="default" w:ascii="Times New Roman" w:hAnsi="Times New Roman" w:eastAsia="宋体" w:cs="Times New Roman"/>
          <w:b w:val="0"/>
          <w:bCs/>
          <w:color w:val="auto"/>
          <w:highlight w:val="none"/>
        </w:rPr>
        <w:noBreakHyphen/>
      </w:r>
      <w:r>
        <w:rPr>
          <w:rFonts w:hint="default" w:ascii="Times New Roman" w:hAnsi="Times New Roman" w:eastAsia="宋体" w:cs="Times New Roman"/>
          <w:b w:val="0"/>
          <w:bCs/>
          <w:color w:val="auto"/>
          <w:highlight w:val="none"/>
        </w:rPr>
        <w:fldChar w:fldCharType="begin"/>
      </w:r>
      <w:r>
        <w:rPr>
          <w:rFonts w:hint="default" w:ascii="Times New Roman" w:hAnsi="Times New Roman" w:eastAsia="宋体" w:cs="Times New Roman"/>
          <w:b w:val="0"/>
          <w:bCs/>
          <w:color w:val="auto"/>
          <w:highlight w:val="none"/>
        </w:rPr>
        <w:instrText xml:space="preserve"> SEQ 表格 \* ARABIC \s 2 </w:instrText>
      </w:r>
      <w:r>
        <w:rPr>
          <w:rFonts w:hint="default" w:ascii="Times New Roman" w:hAnsi="Times New Roman" w:eastAsia="宋体" w:cs="Times New Roman"/>
          <w:b w:val="0"/>
          <w:bCs/>
          <w:color w:val="auto"/>
          <w:highlight w:val="none"/>
        </w:rPr>
        <w:fldChar w:fldCharType="separate"/>
      </w:r>
      <w:r>
        <w:rPr>
          <w:rFonts w:hint="default" w:ascii="Times New Roman" w:hAnsi="Times New Roman" w:eastAsia="宋体" w:cs="Times New Roman"/>
          <w:b w:val="0"/>
          <w:bCs/>
          <w:color w:val="auto"/>
          <w:highlight w:val="none"/>
        </w:rPr>
        <w:t>6</w:t>
      </w:r>
      <w:r>
        <w:rPr>
          <w:rFonts w:hint="default" w:ascii="Times New Roman" w:hAnsi="Times New Roman" w:eastAsia="宋体" w:cs="Times New Roman"/>
          <w:b w:val="0"/>
          <w:bCs/>
          <w:color w:val="auto"/>
          <w:highlight w:val="none"/>
        </w:rPr>
        <w:fldChar w:fldCharType="end"/>
      </w:r>
      <w:r>
        <w:rPr>
          <w:rFonts w:hint="default" w:ascii="Times New Roman" w:hAnsi="Times New Roman" w:eastAsia="宋体" w:cs="Times New Roman"/>
          <w:b w:val="0"/>
          <w:bCs/>
          <w:color w:val="auto"/>
          <w:highlight w:val="none"/>
        </w:rPr>
        <w:t xml:space="preserve"> </w:t>
      </w:r>
      <w:r>
        <w:rPr>
          <w:rFonts w:hint="eastAsia" w:ascii="Times New Roman" w:hAnsi="Times New Roman" w:eastAsia="宋体" w:cs="Times New Roman"/>
          <w:b w:val="0"/>
          <w:bCs/>
          <w:color w:val="auto"/>
          <w:highlight w:val="none"/>
        </w:rPr>
        <w:t>企业突发环境事件风险分级矩阵表</w:t>
      </w:r>
    </w:p>
    <w:tbl>
      <w:tblPr>
        <w:tblStyle w:val="137"/>
        <w:tblW w:w="940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Layout w:type="fixed"/>
        <w:tblCellMar>
          <w:top w:w="0" w:type="dxa"/>
          <w:left w:w="28" w:type="dxa"/>
          <w:bottom w:w="0" w:type="dxa"/>
          <w:right w:w="28" w:type="dxa"/>
        </w:tblCellMar>
      </w:tblPr>
      <w:tblGrid>
        <w:gridCol w:w="1921"/>
        <w:gridCol w:w="2409"/>
        <w:gridCol w:w="1267"/>
        <w:gridCol w:w="1267"/>
        <w:gridCol w:w="1267"/>
        <w:gridCol w:w="1271"/>
      </w:tblGrid>
      <w:tr w14:paraId="10AA9A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FFFFFF" w:themeFill="background1"/>
          <w:tblCellMar>
            <w:top w:w="0" w:type="dxa"/>
            <w:left w:w="28" w:type="dxa"/>
            <w:bottom w:w="0" w:type="dxa"/>
            <w:right w:w="28" w:type="dxa"/>
          </w:tblCellMar>
        </w:tblPrEx>
        <w:trPr>
          <w:trHeight w:val="374" w:hRule="atLeast"/>
        </w:trPr>
        <w:tc>
          <w:tcPr>
            <w:tcW w:w="1921" w:type="dxa"/>
            <w:vMerge w:val="restart"/>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5E8D379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环境风险受体</w:t>
            </w:r>
          </w:p>
          <w:p w14:paraId="34F9A1D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敏感程度（E）</w:t>
            </w:r>
          </w:p>
        </w:tc>
        <w:tc>
          <w:tcPr>
            <w:tcW w:w="2409" w:type="dxa"/>
            <w:vMerge w:val="restart"/>
            <w:tcBorders>
              <w:top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12AB1A8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风险物质数量与临界量比值（Q）</w:t>
            </w:r>
          </w:p>
        </w:tc>
        <w:tc>
          <w:tcPr>
            <w:tcW w:w="5072" w:type="dxa"/>
            <w:gridSpan w:val="4"/>
            <w:tcBorders>
              <w:top w:val="single" w:color="auto" w:sz="4" w:space="0"/>
              <w:bottom w:val="single" w:color="auto" w:sz="4" w:space="0"/>
              <w:right w:val="single" w:color="auto" w:sz="4" w:space="0"/>
              <w:insideH w:val="single" w:sz="4" w:space="0"/>
              <w:insideV w:val="single" w:sz="4" w:space="0"/>
              <w:tl2br w:val="nil"/>
              <w:tr2bl w:val="nil"/>
            </w:tcBorders>
            <w:shd w:val="clear" w:color="auto" w:fill="FFFFFF" w:themeFill="background1"/>
            <w:vAlign w:val="center"/>
          </w:tcPr>
          <w:p w14:paraId="341A0BA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生产工艺过程与环境风险控制水平（M）</w:t>
            </w:r>
          </w:p>
        </w:tc>
      </w:tr>
      <w:tr w14:paraId="5140DA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6D18A5D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vMerge w:val="continue"/>
            <w:shd w:val="clear" w:color="auto" w:fill="FFFFFF" w:themeFill="background1"/>
            <w:vAlign w:val="center"/>
          </w:tcPr>
          <w:p w14:paraId="10C5F62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1267" w:type="dxa"/>
            <w:shd w:val="clear" w:color="auto" w:fill="FFFFFF" w:themeFill="background1"/>
            <w:vAlign w:val="center"/>
          </w:tcPr>
          <w:p w14:paraId="07524AF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M1类水平</w:t>
            </w:r>
          </w:p>
        </w:tc>
        <w:tc>
          <w:tcPr>
            <w:tcW w:w="1267" w:type="dxa"/>
            <w:shd w:val="clear" w:color="auto" w:fill="FFFFFF" w:themeFill="background1"/>
            <w:vAlign w:val="center"/>
          </w:tcPr>
          <w:p w14:paraId="1150718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M2类水平</w:t>
            </w:r>
          </w:p>
        </w:tc>
        <w:tc>
          <w:tcPr>
            <w:tcW w:w="1267" w:type="dxa"/>
            <w:shd w:val="clear" w:color="auto" w:fill="FFFFFF" w:themeFill="background1"/>
            <w:vAlign w:val="center"/>
          </w:tcPr>
          <w:p w14:paraId="4534DD3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M3类水平</w:t>
            </w:r>
          </w:p>
        </w:tc>
        <w:tc>
          <w:tcPr>
            <w:tcW w:w="1271" w:type="dxa"/>
            <w:shd w:val="clear" w:color="auto" w:fill="FFFFFF" w:themeFill="background1"/>
            <w:vAlign w:val="center"/>
          </w:tcPr>
          <w:p w14:paraId="41B6CC4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M4类水平</w:t>
            </w:r>
          </w:p>
        </w:tc>
      </w:tr>
      <w:tr w14:paraId="2ADDFF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restart"/>
            <w:shd w:val="clear" w:color="auto" w:fill="FFFFFF" w:themeFill="background1"/>
            <w:vAlign w:val="center"/>
          </w:tcPr>
          <w:p w14:paraId="3C631D7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类型1</w:t>
            </w:r>
          </w:p>
          <w:p w14:paraId="1E270A2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（E1）</w:t>
            </w:r>
          </w:p>
        </w:tc>
        <w:tc>
          <w:tcPr>
            <w:tcW w:w="2409" w:type="dxa"/>
            <w:shd w:val="clear" w:color="auto" w:fill="FFFFFF" w:themeFill="background1"/>
            <w:vAlign w:val="center"/>
          </w:tcPr>
          <w:p w14:paraId="1989F40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1≤ Q＜10（Q1）</w:t>
            </w:r>
          </w:p>
        </w:tc>
        <w:tc>
          <w:tcPr>
            <w:tcW w:w="1267" w:type="dxa"/>
            <w:shd w:val="clear" w:color="auto" w:fill="FFFFFF" w:themeFill="background1"/>
            <w:vAlign w:val="center"/>
          </w:tcPr>
          <w:p w14:paraId="03C318D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64783F5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00321F1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71" w:type="dxa"/>
            <w:shd w:val="clear" w:color="auto" w:fill="FFFFFF" w:themeFill="background1"/>
            <w:vAlign w:val="center"/>
          </w:tcPr>
          <w:p w14:paraId="42528AE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5C5DE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3599CE1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shd w:val="clear" w:color="auto" w:fill="FFFFFF" w:themeFill="background1"/>
            <w:vAlign w:val="center"/>
          </w:tcPr>
          <w:p w14:paraId="7BB870D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10≤ Q＜100（Q2）</w:t>
            </w:r>
          </w:p>
        </w:tc>
        <w:tc>
          <w:tcPr>
            <w:tcW w:w="1267" w:type="dxa"/>
            <w:shd w:val="clear" w:color="auto" w:fill="FFFFFF" w:themeFill="background1"/>
            <w:vAlign w:val="center"/>
          </w:tcPr>
          <w:p w14:paraId="0AFB435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23456D8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67" w:type="dxa"/>
            <w:shd w:val="clear" w:color="auto" w:fill="FFFFFF" w:themeFill="background1"/>
            <w:vAlign w:val="center"/>
          </w:tcPr>
          <w:p w14:paraId="4F3C42C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71" w:type="dxa"/>
            <w:shd w:val="clear" w:color="auto" w:fill="FFFFFF" w:themeFill="background1"/>
            <w:vAlign w:val="center"/>
          </w:tcPr>
          <w:p w14:paraId="28DAF99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0280CF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4977407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shd w:val="clear" w:color="auto" w:fill="FFFFFF" w:themeFill="background1"/>
            <w:vAlign w:val="center"/>
          </w:tcPr>
          <w:p w14:paraId="218643E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Q≥ 100（Q3）</w:t>
            </w:r>
          </w:p>
        </w:tc>
        <w:tc>
          <w:tcPr>
            <w:tcW w:w="1267" w:type="dxa"/>
            <w:shd w:val="clear" w:color="auto" w:fill="FFFFFF" w:themeFill="background1"/>
            <w:vAlign w:val="center"/>
          </w:tcPr>
          <w:p w14:paraId="4E69658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67" w:type="dxa"/>
            <w:shd w:val="clear" w:color="auto" w:fill="FFFFFF" w:themeFill="background1"/>
            <w:vAlign w:val="center"/>
          </w:tcPr>
          <w:p w14:paraId="0B3CABD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67" w:type="dxa"/>
            <w:shd w:val="clear" w:color="auto" w:fill="FFFFFF" w:themeFill="background1"/>
            <w:vAlign w:val="center"/>
          </w:tcPr>
          <w:p w14:paraId="5F02104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71" w:type="dxa"/>
            <w:shd w:val="clear" w:color="auto" w:fill="FFFFFF" w:themeFill="background1"/>
            <w:vAlign w:val="center"/>
          </w:tcPr>
          <w:p w14:paraId="58DCCC9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38A044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restart"/>
            <w:shd w:val="clear" w:color="auto" w:fill="FFFFFF" w:themeFill="background1"/>
            <w:vAlign w:val="center"/>
          </w:tcPr>
          <w:p w14:paraId="7C31576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类型2</w:t>
            </w:r>
          </w:p>
          <w:p w14:paraId="52E7DF9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（E2）</w:t>
            </w:r>
          </w:p>
        </w:tc>
        <w:tc>
          <w:tcPr>
            <w:tcW w:w="2409" w:type="dxa"/>
            <w:shd w:val="clear" w:color="auto" w:fill="FFFFFF" w:themeFill="background1"/>
            <w:vAlign w:val="center"/>
          </w:tcPr>
          <w:p w14:paraId="329C772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1≤ Q＜10（Q1）</w:t>
            </w:r>
          </w:p>
        </w:tc>
        <w:tc>
          <w:tcPr>
            <w:tcW w:w="1267" w:type="dxa"/>
            <w:shd w:val="clear" w:color="auto" w:fill="FFFFFF" w:themeFill="background1"/>
            <w:vAlign w:val="center"/>
          </w:tcPr>
          <w:p w14:paraId="74662E7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一般</w:t>
            </w:r>
          </w:p>
        </w:tc>
        <w:tc>
          <w:tcPr>
            <w:tcW w:w="1267" w:type="dxa"/>
            <w:shd w:val="clear" w:color="auto" w:fill="FFFFFF" w:themeFill="background1"/>
            <w:vAlign w:val="center"/>
          </w:tcPr>
          <w:p w14:paraId="4CB584F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4E73DB0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71" w:type="dxa"/>
            <w:shd w:val="clear" w:color="auto" w:fill="FFFFFF" w:themeFill="background1"/>
            <w:vAlign w:val="center"/>
          </w:tcPr>
          <w:p w14:paraId="2332304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46F83A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2FF29DA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shd w:val="clear" w:color="auto" w:fill="FFFFFF" w:themeFill="background1"/>
            <w:vAlign w:val="center"/>
          </w:tcPr>
          <w:p w14:paraId="58988FE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10≤ Q＜100（Q2）</w:t>
            </w:r>
          </w:p>
        </w:tc>
        <w:tc>
          <w:tcPr>
            <w:tcW w:w="1267" w:type="dxa"/>
            <w:shd w:val="clear" w:color="auto" w:fill="FFFFFF" w:themeFill="background1"/>
            <w:vAlign w:val="center"/>
          </w:tcPr>
          <w:p w14:paraId="1BE05CA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422ABCE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549C648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71" w:type="dxa"/>
            <w:shd w:val="clear" w:color="auto" w:fill="FFFFFF" w:themeFill="background1"/>
            <w:vAlign w:val="center"/>
          </w:tcPr>
          <w:p w14:paraId="21494AA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237BC1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3F37926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shd w:val="clear" w:color="auto" w:fill="FFFFFF" w:themeFill="background1"/>
            <w:vAlign w:val="center"/>
          </w:tcPr>
          <w:p w14:paraId="6D137C4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Q≥ 100（Q3）</w:t>
            </w:r>
          </w:p>
        </w:tc>
        <w:tc>
          <w:tcPr>
            <w:tcW w:w="1267" w:type="dxa"/>
            <w:shd w:val="clear" w:color="auto" w:fill="FFFFFF" w:themeFill="background1"/>
            <w:vAlign w:val="center"/>
          </w:tcPr>
          <w:p w14:paraId="6469E202">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cs="Times New Roman"/>
                <w:kern w:val="2"/>
                <w:sz w:val="21"/>
                <w:szCs w:val="21"/>
                <w:lang w:eastAsia="zh-CN"/>
              </w:rPr>
              <w:t>较大</w:t>
            </w:r>
          </w:p>
        </w:tc>
        <w:tc>
          <w:tcPr>
            <w:tcW w:w="1267" w:type="dxa"/>
            <w:shd w:val="clear" w:color="auto" w:fill="FFFFFF" w:themeFill="background1"/>
            <w:vAlign w:val="center"/>
          </w:tcPr>
          <w:p w14:paraId="23C2E65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67" w:type="dxa"/>
            <w:shd w:val="clear" w:color="auto" w:fill="FFFFFF" w:themeFill="background1"/>
            <w:vAlign w:val="center"/>
          </w:tcPr>
          <w:p w14:paraId="7F7791D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71" w:type="dxa"/>
            <w:shd w:val="clear" w:color="auto" w:fill="FFFFFF" w:themeFill="background1"/>
            <w:vAlign w:val="center"/>
          </w:tcPr>
          <w:p w14:paraId="7B350FE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56730B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restart"/>
            <w:shd w:val="clear" w:color="auto" w:fill="FFFFFF" w:themeFill="background1"/>
            <w:vAlign w:val="center"/>
          </w:tcPr>
          <w:p w14:paraId="1996BE5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类型3</w:t>
            </w:r>
          </w:p>
          <w:p w14:paraId="30066CB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（E3）</w:t>
            </w:r>
          </w:p>
        </w:tc>
        <w:tc>
          <w:tcPr>
            <w:tcW w:w="2409" w:type="dxa"/>
            <w:shd w:val="clear" w:color="auto" w:fill="FFFFFF" w:themeFill="background1"/>
            <w:vAlign w:val="center"/>
          </w:tcPr>
          <w:p w14:paraId="4D4EEE9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1≤ Q＜10（Q1）</w:t>
            </w:r>
          </w:p>
        </w:tc>
        <w:tc>
          <w:tcPr>
            <w:tcW w:w="1267" w:type="dxa"/>
            <w:shd w:val="clear" w:color="auto" w:fill="FFFFFF" w:themeFill="background1"/>
            <w:vAlign w:val="center"/>
          </w:tcPr>
          <w:p w14:paraId="4565A68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一般</w:t>
            </w:r>
          </w:p>
        </w:tc>
        <w:tc>
          <w:tcPr>
            <w:tcW w:w="1267" w:type="dxa"/>
            <w:shd w:val="clear" w:color="auto" w:fill="FFFFFF" w:themeFill="background1"/>
            <w:vAlign w:val="center"/>
          </w:tcPr>
          <w:p w14:paraId="47591EF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一般</w:t>
            </w:r>
          </w:p>
        </w:tc>
        <w:tc>
          <w:tcPr>
            <w:tcW w:w="1267" w:type="dxa"/>
            <w:shd w:val="clear" w:color="auto" w:fill="FFFFFF" w:themeFill="background1"/>
            <w:vAlign w:val="center"/>
          </w:tcPr>
          <w:p w14:paraId="0CEB2AF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71" w:type="dxa"/>
            <w:shd w:val="clear" w:color="auto" w:fill="FFFFFF" w:themeFill="background1"/>
            <w:vAlign w:val="center"/>
          </w:tcPr>
          <w:p w14:paraId="35DED82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r>
      <w:tr w14:paraId="1B8DB4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28707A9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shd w:val="clear" w:color="auto" w:fill="FFFFFF" w:themeFill="background1"/>
            <w:vAlign w:val="center"/>
          </w:tcPr>
          <w:p w14:paraId="5BA11D2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10≤ Q＜100（Q2）</w:t>
            </w:r>
          </w:p>
        </w:tc>
        <w:tc>
          <w:tcPr>
            <w:tcW w:w="1267" w:type="dxa"/>
            <w:shd w:val="clear" w:color="auto" w:fill="FFFFFF" w:themeFill="background1"/>
            <w:vAlign w:val="center"/>
          </w:tcPr>
          <w:p w14:paraId="2104E7D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一般</w:t>
            </w:r>
          </w:p>
        </w:tc>
        <w:tc>
          <w:tcPr>
            <w:tcW w:w="1267" w:type="dxa"/>
            <w:tcBorders>
              <w:bottom w:val="single" w:color="auto" w:sz="2" w:space="0"/>
            </w:tcBorders>
            <w:shd w:val="clear" w:color="auto" w:fill="FFFFFF" w:themeFill="background1"/>
            <w:vAlign w:val="center"/>
          </w:tcPr>
          <w:p w14:paraId="6A999A3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0F00009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71" w:type="dxa"/>
            <w:shd w:val="clear" w:color="auto" w:fill="FFFFFF" w:themeFill="background1"/>
            <w:vAlign w:val="center"/>
          </w:tcPr>
          <w:p w14:paraId="2F5994B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r w14:paraId="403EE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4" w:hRule="atLeast"/>
        </w:trPr>
        <w:tc>
          <w:tcPr>
            <w:tcW w:w="1921" w:type="dxa"/>
            <w:vMerge w:val="continue"/>
            <w:shd w:val="clear" w:color="auto" w:fill="FFFFFF" w:themeFill="background1"/>
            <w:vAlign w:val="center"/>
          </w:tcPr>
          <w:p w14:paraId="0C64142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p>
        </w:tc>
        <w:tc>
          <w:tcPr>
            <w:tcW w:w="2409" w:type="dxa"/>
            <w:shd w:val="clear" w:color="auto" w:fill="FFFFFF" w:themeFill="background1"/>
            <w:vAlign w:val="center"/>
          </w:tcPr>
          <w:p w14:paraId="53DE9B5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Q≥ 100（Q3）</w:t>
            </w:r>
          </w:p>
        </w:tc>
        <w:tc>
          <w:tcPr>
            <w:tcW w:w="1267" w:type="dxa"/>
            <w:shd w:val="clear" w:color="auto" w:fill="FFFFFF" w:themeFill="background1"/>
            <w:vAlign w:val="center"/>
          </w:tcPr>
          <w:p w14:paraId="1AE2323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464B8C8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较大</w:t>
            </w:r>
          </w:p>
        </w:tc>
        <w:tc>
          <w:tcPr>
            <w:tcW w:w="1267" w:type="dxa"/>
            <w:shd w:val="clear" w:color="auto" w:fill="FFFFFF" w:themeFill="background1"/>
            <w:vAlign w:val="center"/>
          </w:tcPr>
          <w:p w14:paraId="76A86FD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c>
          <w:tcPr>
            <w:tcW w:w="1271" w:type="dxa"/>
            <w:shd w:val="clear" w:color="auto" w:fill="FFFFFF" w:themeFill="background1"/>
            <w:vAlign w:val="center"/>
          </w:tcPr>
          <w:p w14:paraId="128E740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重大</w:t>
            </w:r>
          </w:p>
        </w:tc>
      </w:tr>
    </w:tbl>
    <w:p w14:paraId="76295C35">
      <w:pPr>
        <w:pStyle w:val="7"/>
        <w:spacing w:before="120"/>
      </w:pPr>
      <w:bookmarkStart w:id="121" w:name="_Toc127256794"/>
      <w:bookmarkStart w:id="122" w:name="_Toc10596"/>
      <w:bookmarkStart w:id="123" w:name="_Toc71712268"/>
      <w:r>
        <w:rPr>
          <w:rFonts w:hint="eastAsia"/>
          <w:lang w:val="en-US" w:eastAsia="zh-CN"/>
        </w:rPr>
        <w:t>7.3</w:t>
      </w:r>
      <w:r>
        <w:rPr>
          <w:rFonts w:hint="eastAsia"/>
        </w:rPr>
        <w:t>企业突发环境事件风险等级确定</w:t>
      </w:r>
      <w:bookmarkEnd w:id="121"/>
      <w:bookmarkEnd w:id="122"/>
      <w:bookmarkEnd w:id="123"/>
    </w:p>
    <w:p w14:paraId="096B020C">
      <w:pPr>
        <w:adjustRightInd w:val="0"/>
        <w:snapToGrid w:val="0"/>
        <w:spacing w:line="360" w:lineRule="auto"/>
        <w:ind w:firstLine="480" w:firstLineChars="200"/>
        <w:rPr>
          <w:rStyle w:val="122"/>
          <w:rFonts w:hint="default" w:ascii="Times New Roman" w:hAnsi="Times New Roman" w:cs="Times New Roman"/>
          <w:color w:val="auto"/>
          <w:sz w:val="11"/>
          <w:szCs w:val="11"/>
          <w:highlight w:val="none"/>
        </w:rPr>
      </w:pPr>
      <w:r>
        <w:rPr>
          <w:rFonts w:hint="default" w:ascii="Times New Roman" w:hAnsi="Times New Roman" w:cs="Times New Roman"/>
          <w:color w:val="auto"/>
          <w:sz w:val="24"/>
        </w:rPr>
        <w:t>因此根据建设项目涉及的物质和工艺系统的危险性及其所在地的环境敏感程度，结合</w:t>
      </w:r>
      <w:r>
        <w:rPr>
          <w:rFonts w:hint="default" w:ascii="Times New Roman" w:hAnsi="Times New Roman" w:cs="Times New Roman"/>
          <w:color w:val="auto"/>
          <w:sz w:val="24"/>
          <w:highlight w:val="none"/>
        </w:rPr>
        <w:t>事故情形下环境影响途径，可知</w:t>
      </w:r>
      <w:r>
        <w:rPr>
          <w:rFonts w:hint="default" w:ascii="Times New Roman" w:hAnsi="Times New Roman" w:cs="Times New Roman"/>
          <w:color w:val="auto"/>
          <w:sz w:val="24"/>
          <w:highlight w:val="none"/>
          <w:lang w:eastAsia="zh-CN"/>
        </w:rPr>
        <w:t>山东隆盛和助剂有限公司</w:t>
      </w:r>
      <w:r>
        <w:rPr>
          <w:rFonts w:hint="default" w:ascii="Times New Roman" w:hAnsi="Times New Roman" w:cs="Times New Roman"/>
          <w:color w:val="auto"/>
          <w:sz w:val="24"/>
          <w:highlight w:val="none"/>
        </w:rPr>
        <w:t>属于</w:t>
      </w:r>
      <w:r>
        <w:rPr>
          <w:rFonts w:hint="eastAsia" w:cs="Times New Roman"/>
          <w:color w:val="auto"/>
          <w:sz w:val="24"/>
          <w:szCs w:val="24"/>
          <w:highlight w:val="none"/>
          <w:lang w:val="en-US" w:eastAsia="zh-CN"/>
        </w:rPr>
        <w:t>重</w:t>
      </w:r>
      <w:r>
        <w:rPr>
          <w:rFonts w:hint="default" w:ascii="Times New Roman" w:hAnsi="Times New Roman" w:cs="Times New Roman"/>
          <w:color w:val="auto"/>
          <w:sz w:val="24"/>
          <w:szCs w:val="24"/>
          <w:highlight w:val="none"/>
          <w:lang w:val="en-US" w:eastAsia="zh-CN"/>
        </w:rPr>
        <w:t>大</w:t>
      </w:r>
      <w:r>
        <w:rPr>
          <w:rFonts w:hint="default" w:ascii="Times New Roman" w:hAnsi="Times New Roman" w:cs="Times New Roman"/>
          <w:color w:val="auto"/>
          <w:sz w:val="24"/>
          <w:highlight w:val="none"/>
        </w:rPr>
        <w:t>环境风险等级。</w:t>
      </w:r>
    </w:p>
    <w:p w14:paraId="6E389FC9">
      <w:pPr>
        <w:pStyle w:val="124"/>
        <w:spacing w:before="120" w:after="120"/>
        <w:rPr>
          <w:color w:val="000000" w:themeColor="text1"/>
          <w:lang w:eastAsia="zh-CN"/>
          <w14:textFill>
            <w14:solidFill>
              <w14:schemeClr w14:val="tx1"/>
            </w14:solidFill>
          </w14:textFill>
        </w:rPr>
      </w:pPr>
      <w:r>
        <w:rPr>
          <w:rFonts w:hint="eastAsia" w:cs="Times New Roman"/>
          <w:color w:val="auto"/>
          <w:sz w:val="24"/>
          <w:szCs w:val="20"/>
          <w:highlight w:val="none"/>
          <w:lang w:eastAsia="zh-CN"/>
        </w:rPr>
        <w:t>公司</w:t>
      </w:r>
      <w:r>
        <w:rPr>
          <w:rFonts w:hint="default" w:ascii="Times New Roman" w:hAnsi="Times New Roman" w:cs="Times New Roman"/>
          <w:color w:val="auto"/>
          <w:sz w:val="24"/>
          <w:szCs w:val="20"/>
          <w:highlight w:val="none"/>
          <w:lang w:eastAsia="zh-CN"/>
        </w:rPr>
        <w:t>为涉气和涉水环境风险物质</w:t>
      </w:r>
      <w:r>
        <w:rPr>
          <w:rFonts w:hint="default" w:ascii="Times New Roman" w:hAnsi="Times New Roman" w:cs="Times New Roman"/>
          <w:color w:val="auto"/>
          <w:sz w:val="24"/>
          <w:szCs w:val="20"/>
          <w:highlight w:val="none"/>
        </w:rPr>
        <w:t>的企业，风险等级为</w:t>
      </w:r>
      <w:r>
        <w:rPr>
          <w:rFonts w:hint="eastAsia" w:cs="Times New Roman"/>
          <w:color w:val="auto"/>
          <w:sz w:val="24"/>
          <w:szCs w:val="24"/>
          <w:highlight w:val="none"/>
          <w:lang w:val="en-US" w:eastAsia="zh-CN"/>
        </w:rPr>
        <w:t>重大</w:t>
      </w:r>
      <w:r>
        <w:rPr>
          <w:rFonts w:hint="default" w:ascii="Times New Roman" w:hAnsi="Times New Roman" w:cs="Times New Roman"/>
          <w:color w:val="auto"/>
          <w:sz w:val="24"/>
          <w:highlight w:val="none"/>
        </w:rPr>
        <w:t>[</w:t>
      </w:r>
      <w:r>
        <w:rPr>
          <w:rFonts w:hint="eastAsia" w:cs="Times New Roman"/>
          <w:color w:val="auto"/>
          <w:sz w:val="24"/>
          <w:szCs w:val="24"/>
          <w:highlight w:val="none"/>
          <w:lang w:val="en-US" w:eastAsia="zh-CN"/>
        </w:rPr>
        <w:t>重</w:t>
      </w:r>
      <w:r>
        <w:rPr>
          <w:rFonts w:hint="default" w:ascii="Times New Roman" w:hAnsi="Times New Roman" w:cs="Times New Roman"/>
          <w:color w:val="auto"/>
          <w:sz w:val="24"/>
          <w:szCs w:val="24"/>
          <w:highlight w:val="none"/>
          <w:lang w:val="en-US" w:eastAsia="zh-CN"/>
        </w:rPr>
        <w:t>大</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szCs w:val="24"/>
          <w:highlight w:val="none"/>
          <w:lang w:val="en-US" w:eastAsia="zh-CN"/>
        </w:rPr>
        <w:t>大气（Q</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-M</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-E2）+</w:t>
      </w:r>
      <w:r>
        <w:rPr>
          <w:rFonts w:hint="eastAsia" w:cs="Times New Roman"/>
          <w:color w:val="auto"/>
          <w:sz w:val="24"/>
          <w:szCs w:val="24"/>
          <w:highlight w:val="none"/>
          <w:lang w:val="en-US" w:eastAsia="zh-CN"/>
        </w:rPr>
        <w:t>重</w:t>
      </w:r>
      <w:r>
        <w:rPr>
          <w:rFonts w:hint="default" w:ascii="Times New Roman" w:hAnsi="Times New Roman" w:cs="Times New Roman"/>
          <w:color w:val="auto"/>
          <w:sz w:val="24"/>
          <w:szCs w:val="24"/>
          <w:highlight w:val="none"/>
          <w:lang w:val="en-US" w:eastAsia="zh-CN"/>
        </w:rPr>
        <w:t>大-水（Q</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-M</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-E2）</w:t>
      </w:r>
      <w:r>
        <w:rPr>
          <w:rFonts w:hint="default" w:ascii="Times New Roman" w:hAnsi="Times New Roman" w:cs="Times New Roman"/>
          <w:color w:val="auto"/>
          <w:sz w:val="24"/>
          <w:highlight w:val="none"/>
        </w:rPr>
        <w:t>]。</w:t>
      </w:r>
    </w:p>
    <w:p w14:paraId="709F6238">
      <w:pPr>
        <w:pStyle w:val="124"/>
        <w:spacing w:before="120" w:after="120"/>
        <w:rPr>
          <w:color w:val="000000" w:themeColor="text1"/>
          <w:lang w:eastAsia="zh-CN"/>
          <w14:textFill>
            <w14:solidFill>
              <w14:schemeClr w14:val="tx1"/>
            </w14:solidFill>
          </w14:textFill>
        </w:rPr>
        <w:sectPr>
          <w:footerReference r:id="rId5" w:type="default"/>
          <w:pgSz w:w="11906" w:h="16838"/>
          <w:pgMar w:top="1417" w:right="1247" w:bottom="1417" w:left="1247" w:header="794" w:footer="850" w:gutter="0"/>
          <w:cols w:space="0" w:num="1"/>
          <w:rtlGutter w:val="0"/>
          <w:docGrid w:linePitch="326" w:charSpace="0"/>
        </w:sectPr>
      </w:pPr>
    </w:p>
    <w:p w14:paraId="247441DE">
      <w:pPr>
        <w:pStyle w:val="6"/>
        <w:rPr>
          <w:color w:val="000000" w:themeColor="text1"/>
          <w:lang w:eastAsia="zh-CN"/>
          <w14:textFill>
            <w14:solidFill>
              <w14:schemeClr w14:val="tx1"/>
            </w14:solidFill>
          </w14:textFill>
        </w:rPr>
      </w:pPr>
      <w:bookmarkStart w:id="124" w:name="_Toc30823"/>
      <w:bookmarkStart w:id="125" w:name="_Toc127256795"/>
      <w:bookmarkStart w:id="126" w:name="_Toc515387330"/>
      <w:bookmarkStart w:id="127" w:name="_Toc73285609"/>
      <w:bookmarkStart w:id="128" w:name="_Toc73285836"/>
      <w:bookmarkStart w:id="129" w:name="_Toc78062900"/>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附图</w:t>
      </w:r>
      <w:bookmarkEnd w:id="124"/>
      <w:bookmarkEnd w:id="125"/>
      <w:bookmarkEnd w:id="126"/>
      <w:bookmarkEnd w:id="127"/>
      <w:bookmarkEnd w:id="128"/>
      <w:bookmarkEnd w:id="129"/>
    </w:p>
    <w:p w14:paraId="6A20482E">
      <w:pPr>
        <w:outlineLvl w:val="1"/>
        <w:rPr>
          <w:b/>
          <w:bCs/>
          <w:color w:val="000000" w:themeColor="text1"/>
          <w:sz w:val="24"/>
          <w:szCs w:val="24"/>
          <w14:textFill>
            <w14:solidFill>
              <w14:schemeClr w14:val="tx1"/>
            </w14:solidFill>
          </w14:textFill>
        </w:rPr>
      </w:pPr>
      <w:bookmarkStart w:id="130" w:name="_Toc5452"/>
      <w:r>
        <w:rPr>
          <w:rFonts w:hint="default" w:ascii="Times New Roman" w:hAnsi="Times New Roman" w:cs="Times New Roman"/>
          <w:color w:val="FF0000"/>
          <w:highlight w:val="none"/>
        </w:rPr>
        <w:drawing>
          <wp:anchor distT="0" distB="0" distL="114300" distR="114300" simplePos="0" relativeHeight="251667456" behindDoc="0" locked="0" layoutInCell="1" allowOverlap="1">
            <wp:simplePos x="0" y="0"/>
            <wp:positionH relativeFrom="column">
              <wp:posOffset>362585</wp:posOffset>
            </wp:positionH>
            <wp:positionV relativeFrom="paragraph">
              <wp:posOffset>459105</wp:posOffset>
            </wp:positionV>
            <wp:extent cx="8131175" cy="4786630"/>
            <wp:effectExtent l="0" t="0" r="3175" b="13970"/>
            <wp:wrapSquare wrapText="bothSides"/>
            <wp:docPr id="73" name="图片 73" descr="D:\win7我的文档-桌面-收藏夹\Desktop\地理位置图.jpg地理位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D:\win7我的文档-桌面-收藏夹\Desktop\地理位置图.jpg地理位置图"/>
                    <pic:cNvPicPr>
                      <a:picLocks noChangeAspect="1" noChangeArrowheads="1"/>
                    </pic:cNvPicPr>
                  </pic:nvPicPr>
                  <pic:blipFill>
                    <a:blip r:embed="rId26"/>
                    <a:srcRect/>
                    <a:stretch>
                      <a:fillRect/>
                    </a:stretch>
                  </pic:blipFill>
                  <pic:spPr>
                    <a:xfrm>
                      <a:off x="0" y="0"/>
                      <a:ext cx="8131175" cy="4786630"/>
                    </a:xfrm>
                    <a:prstGeom prst="rect">
                      <a:avLst/>
                    </a:prstGeom>
                    <a:solidFill>
                      <a:srgbClr val="FFFFFF"/>
                    </a:solidFill>
                    <a:ln>
                      <a:noFill/>
                    </a:ln>
                  </pic:spPr>
                </pic:pic>
              </a:graphicData>
            </a:graphic>
          </wp:anchor>
        </w:drawing>
      </w:r>
      <w:r>
        <w:rPr>
          <w:b/>
          <w:bCs/>
          <w:color w:val="000000" w:themeColor="text1"/>
          <w:sz w:val="24"/>
          <w:szCs w:val="24"/>
          <w14:textFill>
            <w14:solidFill>
              <w14:schemeClr w14:val="tx1"/>
            </w14:solidFill>
          </w14:textFill>
        </w:rPr>
        <w:t>附</w:t>
      </w:r>
      <w:r>
        <w:rPr>
          <w:rFonts w:hint="eastAsia"/>
          <w:b/>
          <w:bCs/>
          <w:color w:val="000000" w:themeColor="text1"/>
          <w:sz w:val="24"/>
          <w:szCs w:val="24"/>
          <w14:textFill>
            <w14:solidFill>
              <w14:schemeClr w14:val="tx1"/>
            </w14:solidFill>
          </w14:textFill>
        </w:rPr>
        <w:t>图</w:t>
      </w:r>
      <w:r>
        <w:rPr>
          <w:b/>
          <w:bCs/>
          <w:color w:val="000000" w:themeColor="text1"/>
          <w:sz w:val="24"/>
          <w:szCs w:val="24"/>
          <w14:textFill>
            <w14:solidFill>
              <w14:schemeClr w14:val="tx1"/>
            </w14:solidFill>
          </w14:textFill>
        </w:rPr>
        <w:fldChar w:fldCharType="begin"/>
      </w:r>
      <w:r>
        <w:rPr>
          <w:b/>
          <w:bCs/>
          <w:color w:val="000000" w:themeColor="text1"/>
          <w:sz w:val="24"/>
          <w:szCs w:val="24"/>
          <w14:textFill>
            <w14:solidFill>
              <w14:schemeClr w14:val="tx1"/>
            </w14:solidFill>
          </w14:textFill>
        </w:rPr>
        <w:instrText xml:space="preserve"> SEQ 附件3- \* ARABIC </w:instrText>
      </w:r>
      <w:r>
        <w:rPr>
          <w:b/>
          <w:bCs/>
          <w:color w:val="000000" w:themeColor="text1"/>
          <w:sz w:val="24"/>
          <w:szCs w:val="24"/>
          <w14:textFill>
            <w14:solidFill>
              <w14:schemeClr w14:val="tx1"/>
            </w14:solidFill>
          </w14:textFill>
        </w:rPr>
        <w:fldChar w:fldCharType="separate"/>
      </w:r>
      <w:r>
        <w:rPr>
          <w:b/>
          <w:bCs/>
          <w:color w:val="000000" w:themeColor="text1"/>
          <w:sz w:val="24"/>
          <w:szCs w:val="24"/>
          <w14:textFill>
            <w14:solidFill>
              <w14:schemeClr w14:val="tx1"/>
            </w14:solidFill>
          </w14:textFill>
        </w:rPr>
        <w:t>1</w:t>
      </w:r>
      <w:r>
        <w:rPr>
          <w:b/>
          <w:bCs/>
          <w:color w:val="000000" w:themeColor="text1"/>
          <w:sz w:val="24"/>
          <w:szCs w:val="24"/>
          <w14:textFill>
            <w14:solidFill>
              <w14:schemeClr w14:val="tx1"/>
            </w14:solidFill>
          </w14:textFill>
        </w:rPr>
        <w:fldChar w:fldCharType="end"/>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地理位置图</w:t>
      </w:r>
      <w:r>
        <w:rPr>
          <w:rFonts w:hint="eastAsia" w:ascii="Times New Roman" w:hAnsi="Times New Roman" w:eastAsia="宋体" w:cs="Times New Roman"/>
          <w:b/>
          <w:bCs w:val="0"/>
          <w:caps w:val="0"/>
          <w:smallCaps w:val="0"/>
          <w:color w:val="auto"/>
          <w:spacing w:val="0"/>
          <w:position w:val="0"/>
          <w:sz w:val="24"/>
          <w:szCs w:val="24"/>
          <w:highlight w:val="none"/>
          <w:lang w:eastAsia="zh-CN"/>
        </w:rPr>
        <w:t>与周边环境</w:t>
      </w:r>
      <w:bookmarkEnd w:id="130"/>
    </w:p>
    <w:p w14:paraId="760483B9">
      <w:pPr>
        <w:pStyle w:val="124"/>
        <w:spacing w:before="120" w:after="120"/>
        <w:rPr>
          <w:color w:val="000000" w:themeColor="text1"/>
          <w:lang w:eastAsia="zh-CN"/>
          <w14:textFill>
            <w14:solidFill>
              <w14:schemeClr w14:val="tx1"/>
            </w14:solidFill>
          </w14:textFill>
        </w:rPr>
        <w:sectPr>
          <w:pgSz w:w="16838" w:h="11906" w:orient="landscape"/>
          <w:pgMar w:top="1247" w:right="1418" w:bottom="1247" w:left="1418" w:header="794" w:footer="850" w:gutter="0"/>
          <w:cols w:space="720" w:num="1"/>
          <w:docGrid w:linePitch="326" w:charSpace="0"/>
        </w:sectPr>
      </w:pPr>
    </w:p>
    <w:p w14:paraId="6298E103">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1"/>
        <w:rPr>
          <w:rFonts w:hint="default" w:ascii="Times New Roman" w:hAnsi="Times New Roman" w:cs="Times New Roman"/>
          <w:b/>
          <w:bCs/>
          <w:color w:val="auto"/>
          <w:sz w:val="24"/>
          <w:highlight w:val="none"/>
        </w:rPr>
      </w:pPr>
      <w:bookmarkStart w:id="131" w:name="_Toc22080"/>
      <w:r>
        <w:rPr>
          <w:rFonts w:hint="default" w:ascii="Times New Roman" w:hAnsi="Times New Roman" w:cs="Times New Roman"/>
          <w:b/>
          <w:bCs/>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2567940</wp:posOffset>
                </wp:positionH>
                <wp:positionV relativeFrom="paragraph">
                  <wp:posOffset>7927975</wp:posOffset>
                </wp:positionV>
                <wp:extent cx="1927860" cy="18986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927860" cy="189865"/>
                        </a:xfrm>
                        <a:prstGeom prst="rect">
                          <a:avLst/>
                        </a:prstGeom>
                        <a:noFill/>
                        <a:ln w="6350">
                          <a:noFill/>
                        </a:ln>
                      </wps:spPr>
                      <wps:txbx>
                        <w:txbxContent>
                          <w:p w14:paraId="1C32DADD">
                            <w:r>
                              <w:rPr>
                                <w:rFonts w:hint="eastAsia"/>
                              </w:rPr>
                              <w:t>附图</w:t>
                            </w:r>
                            <w:r>
                              <w:t xml:space="preserve">2 </w:t>
                            </w:r>
                            <w:r>
                              <w:rPr>
                                <w:rFonts w:hint="eastAsia"/>
                              </w:rPr>
                              <w:t>企业周边风险受体图</w:t>
                            </w:r>
                          </w:p>
                        </w:txbxContent>
                      </wps:txbx>
                      <wps:bodyPr upright="1"/>
                    </wps:wsp>
                  </a:graphicData>
                </a:graphic>
              </wp:anchor>
            </w:drawing>
          </mc:Choice>
          <mc:Fallback>
            <w:pict>
              <v:shape id="文本框 6" o:spid="_x0000_s1026" o:spt="202" type="#_x0000_t202" style="position:absolute;left:0pt;margin-left:202.2pt;margin-top:624.25pt;height:14.95pt;width:151.8pt;z-index:251668480;mso-width-relative:page;mso-height-relative:page;" filled="f" stroked="f" coordsize="21600,21600" o:gfxdata="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2H0D9wAAAANAQAADwAAAAAAAAABACAAAAAiAAAAZHJzL2Rvd25yZXYueG1sUEsBAhQA&#10;FAAAAAgAh07iQFZZGyq1AQAAVwMAAA4AAAAAAAAAAQAgAAAAKwEAAGRycy9lMm9Eb2MueG1sUEsF&#10;BgAAAAAGAAYAWQEAAFIFAAAAAA==&#10;">
                <v:fill on="f" focussize="0,0"/>
                <v:stroke on="f" weight="0.5pt"/>
                <v:imagedata o:title=""/>
                <o:lock v:ext="edit" aspectratio="f"/>
                <v:textbox>
                  <w:txbxContent>
                    <w:p w14:paraId="1C32DADD">
                      <w:r>
                        <w:rPr>
                          <w:rFonts w:hint="eastAsia"/>
                        </w:rPr>
                        <w:t>附图</w:t>
                      </w:r>
                      <w:r>
                        <w:t xml:space="preserve">2 </w:t>
                      </w:r>
                      <w:r>
                        <w:rPr>
                          <w:rFonts w:hint="eastAsia"/>
                        </w:rPr>
                        <w:t>企业周边风险受体图</w:t>
                      </w:r>
                    </w:p>
                  </w:txbxContent>
                </v:textbox>
              </v:shape>
            </w:pict>
          </mc:Fallback>
        </mc:AlternateContent>
      </w:r>
      <w:bookmarkStart w:id="132" w:name="_Toc18406"/>
      <w:bookmarkStart w:id="133" w:name="_Toc2965"/>
      <w:bookmarkStart w:id="134" w:name="_Toc5256"/>
      <w:bookmarkStart w:id="135" w:name="_Toc22888"/>
      <w:bookmarkStart w:id="136" w:name="_Toc11359"/>
      <w:bookmarkStart w:id="137" w:name="_Toc1402"/>
      <w:bookmarkStart w:id="138" w:name="_Toc4354"/>
      <w:bookmarkStart w:id="139" w:name="_Toc3375"/>
      <w:r>
        <w:rPr>
          <w:rFonts w:hint="default" w:ascii="Times New Roman" w:hAnsi="Times New Roman" w:cs="Times New Roman"/>
          <w:b/>
          <w:bCs/>
          <w:color w:val="auto"/>
          <w:sz w:val="24"/>
          <w:szCs w:val="24"/>
          <w:highlight w:val="none"/>
        </w:rPr>
        <w:t>附图2  企业周边风险受体图</w:t>
      </w:r>
      <w:bookmarkEnd w:id="132"/>
      <w:bookmarkEnd w:id="133"/>
      <w:bookmarkEnd w:id="134"/>
      <w:bookmarkEnd w:id="135"/>
      <w:bookmarkEnd w:id="136"/>
      <w:r>
        <w:rPr>
          <w:rFonts w:hint="default" w:ascii="Times New Roman" w:hAnsi="Times New Roman" w:cs="Times New Roman"/>
          <w:b/>
          <w:bCs/>
          <w:color w:val="auto"/>
          <w:sz w:val="24"/>
          <w:highlight w:val="none"/>
        </w:rPr>
        <w:t>（比例尺  1：</w:t>
      </w:r>
      <w:r>
        <w:rPr>
          <w:rFonts w:hint="default" w:ascii="Times New Roman" w:hAnsi="Times New Roman" w:cs="Times New Roman"/>
          <w:b/>
          <w:bCs/>
          <w:color w:val="auto"/>
          <w:sz w:val="24"/>
          <w:highlight w:val="none"/>
          <w:lang w:val="en-US" w:eastAsia="zh-CN"/>
        </w:rPr>
        <w:t>15</w:t>
      </w:r>
      <w:r>
        <w:rPr>
          <w:rFonts w:hint="default" w:ascii="Times New Roman" w:hAnsi="Times New Roman" w:cs="Times New Roman"/>
          <w:b/>
          <w:bCs/>
          <w:color w:val="auto"/>
          <w:sz w:val="24"/>
          <w:highlight w:val="none"/>
        </w:rPr>
        <w:t>0000）</w:t>
      </w:r>
      <w:bookmarkEnd w:id="131"/>
      <w:bookmarkEnd w:id="137"/>
      <w:bookmarkEnd w:id="138"/>
      <w:bookmarkEnd w:id="139"/>
    </w:p>
    <w:p w14:paraId="0A2CD3E7">
      <w:pPr>
        <w:pStyle w:val="124"/>
        <w:spacing w:before="120" w:after="120"/>
        <w:rPr>
          <w:color w:val="000000" w:themeColor="text1"/>
          <w:lang w:eastAsia="zh-CN"/>
          <w14:textFill>
            <w14:solidFill>
              <w14:schemeClr w14:val="tx1"/>
            </w14:solidFill>
          </w14:textFill>
        </w:rPr>
      </w:pPr>
    </w:p>
    <w:p w14:paraId="5A11A722">
      <w:pPr>
        <w:pStyle w:val="124"/>
        <w:spacing w:before="120" w:after="120"/>
        <w:rPr>
          <w:color w:val="000000" w:themeColor="text1"/>
          <w:lang w:eastAsia="zh-CN"/>
          <w14:textFill>
            <w14:solidFill>
              <w14:schemeClr w14:val="tx1"/>
            </w14:solidFill>
          </w14:textFill>
        </w:rPr>
        <w:sectPr>
          <w:pgSz w:w="16838" w:h="11906" w:orient="landscape"/>
          <w:pgMar w:top="1247" w:right="1418" w:bottom="1247" w:left="1418" w:header="794" w:footer="850" w:gutter="0"/>
          <w:cols w:space="720" w:num="1"/>
          <w:docGrid w:linePitch="326" w:charSpace="0"/>
        </w:sectPr>
      </w:pPr>
      <w:r>
        <w:rPr>
          <w:color w:val="000000" w:themeColor="text1"/>
          <w:lang w:eastAsia="zh-CN"/>
          <w14:textFill>
            <w14:solidFill>
              <w14:schemeClr w14:val="tx1"/>
            </w14:solidFill>
          </w14:textFill>
        </w:rPr>
        <w:drawing>
          <wp:inline distT="0" distB="0" distL="114300" distR="114300">
            <wp:extent cx="7877175" cy="4667250"/>
            <wp:effectExtent l="0" t="0" r="9525" b="0"/>
            <wp:docPr id="7" name="图片 7" descr="ff69f7134f8d1e682cace3d8c44d9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f69f7134f8d1e682cace3d8c44d9a61"/>
                    <pic:cNvPicPr>
                      <a:picLocks noChangeAspect="1"/>
                    </pic:cNvPicPr>
                  </pic:nvPicPr>
                  <pic:blipFill>
                    <a:blip r:embed="rId27"/>
                    <a:stretch>
                      <a:fillRect/>
                    </a:stretch>
                  </pic:blipFill>
                  <pic:spPr>
                    <a:xfrm>
                      <a:off x="0" y="0"/>
                      <a:ext cx="7877175" cy="4667250"/>
                    </a:xfrm>
                    <a:prstGeom prst="rect">
                      <a:avLst/>
                    </a:prstGeom>
                  </pic:spPr>
                </pic:pic>
              </a:graphicData>
            </a:graphic>
          </wp:inline>
        </w:drawing>
      </w:r>
    </w:p>
    <w:p w14:paraId="2235264B">
      <w:pPr>
        <w:pStyle w:val="2"/>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left"/>
        <w:textAlignment w:val="auto"/>
        <w:outlineLvl w:val="1"/>
        <w:rPr>
          <w:rFonts w:hint="default" w:ascii="Times New Roman" w:hAnsi="Times New Roman" w:eastAsia="宋体" w:cs="Times New Roman"/>
          <w:color w:val="auto"/>
          <w:sz w:val="24"/>
          <w:highlight w:val="none"/>
          <w:lang w:eastAsia="zh-CN"/>
        </w:rPr>
      </w:pPr>
      <w:bookmarkStart w:id="140" w:name="_Toc27688"/>
      <w:r>
        <w:rPr>
          <w:rFonts w:hint="default" w:ascii="Times New Roman" w:hAnsi="Times New Roman" w:cs="Times New Roman"/>
          <w:b/>
          <w:bCs/>
          <w:color w:val="auto"/>
          <w:sz w:val="24"/>
          <w:highlight w:val="none"/>
        </w:rPr>
        <w:t>附图</w:t>
      </w:r>
      <w:r>
        <w:rPr>
          <w:rFonts w:hint="default" w:ascii="Times New Roman" w:hAnsi="Times New Roman" w:cs="Times New Roman"/>
          <w:b/>
          <w:bCs/>
          <w:color w:val="auto"/>
          <w:sz w:val="24"/>
          <w:highlight w:val="none"/>
          <w:lang w:val="en-US" w:eastAsia="zh-CN"/>
        </w:rPr>
        <w:t xml:space="preserve">3 </w:t>
      </w:r>
      <w:r>
        <w:rPr>
          <w:rFonts w:hint="default" w:ascii="Times New Roman" w:hAnsi="Times New Roman" w:cs="Times New Roman"/>
          <w:b/>
          <w:bCs/>
          <w:color w:val="auto"/>
          <w:sz w:val="24"/>
          <w:highlight w:val="none"/>
          <w:lang w:eastAsia="zh-CN"/>
        </w:rPr>
        <w:t>厂区平面图</w:t>
      </w:r>
      <w:bookmarkEnd w:id="140"/>
    </w:p>
    <w:p w14:paraId="0DCF5422">
      <w:pPr>
        <w:snapToGrid w:val="0"/>
        <w:spacing w:line="480" w:lineRule="exact"/>
        <w:ind w:firstLine="480" w:firstLineChars="200"/>
        <w:rPr>
          <w:rFonts w:hint="default" w:ascii="Times New Roman" w:hAnsi="Times New Roman" w:cs="Times New Roman"/>
          <w:color w:val="auto"/>
          <w:kern w:val="2"/>
          <w:sz w:val="24"/>
          <w:szCs w:val="24"/>
        </w:rPr>
      </w:pPr>
      <w:r>
        <w:rPr>
          <w:rFonts w:hint="eastAsia" w:ascii="Times New Roman" w:hAnsi="Times New Roman" w:eastAsia="宋体" w:cs="Times New Roman"/>
          <w:color w:val="auto"/>
          <w:kern w:val="2"/>
          <w:sz w:val="24"/>
          <w:szCs w:val="24"/>
          <w:lang w:eastAsia="zh-CN"/>
        </w:rPr>
        <w:drawing>
          <wp:anchor distT="0" distB="0" distL="114300" distR="114300" simplePos="0" relativeHeight="251673600" behindDoc="0" locked="0" layoutInCell="1" allowOverlap="1">
            <wp:simplePos x="0" y="0"/>
            <wp:positionH relativeFrom="column">
              <wp:posOffset>-104775</wp:posOffset>
            </wp:positionH>
            <wp:positionV relativeFrom="page">
              <wp:posOffset>1402080</wp:posOffset>
            </wp:positionV>
            <wp:extent cx="5388610" cy="7628255"/>
            <wp:effectExtent l="0" t="0" r="2540" b="10795"/>
            <wp:wrapSquare wrapText="bothSides"/>
            <wp:docPr id="8" name="图片 8" descr="厂区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厂区平面图"/>
                    <pic:cNvPicPr>
                      <a:picLocks noChangeAspect="1"/>
                    </pic:cNvPicPr>
                  </pic:nvPicPr>
                  <pic:blipFill>
                    <a:blip r:embed="rId28"/>
                    <a:stretch>
                      <a:fillRect/>
                    </a:stretch>
                  </pic:blipFill>
                  <pic:spPr>
                    <a:xfrm>
                      <a:off x="0" y="0"/>
                      <a:ext cx="5388610" cy="7628255"/>
                    </a:xfrm>
                    <a:prstGeom prst="rect">
                      <a:avLst/>
                    </a:prstGeom>
                  </pic:spPr>
                </pic:pic>
              </a:graphicData>
            </a:graphic>
          </wp:anchor>
        </w:drawing>
      </w:r>
    </w:p>
    <w:p w14:paraId="207770B7">
      <w:pPr>
        <w:pStyle w:val="2"/>
        <w:rPr>
          <w:rFonts w:hint="eastAsia" w:ascii="Times New Roman" w:hAnsi="Times New Roman" w:eastAsia="宋体" w:cs="Times New Roman"/>
          <w:color w:val="auto"/>
          <w:kern w:val="2"/>
          <w:sz w:val="24"/>
          <w:szCs w:val="24"/>
          <w:lang w:eastAsia="zh-CN"/>
        </w:rPr>
      </w:pPr>
    </w:p>
    <w:p w14:paraId="69DC867A">
      <w:pPr>
        <w:rPr>
          <w:rFonts w:hint="default"/>
        </w:rPr>
      </w:pPr>
    </w:p>
    <w:bookmarkEnd w:id="53"/>
    <w:bookmarkEnd w:id="54"/>
    <w:p w14:paraId="20A1EF14">
      <w:pPr>
        <w:pStyle w:val="2"/>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left"/>
        <w:textAlignment w:val="auto"/>
        <w:outlineLvl w:val="1"/>
        <w:rPr>
          <w:rFonts w:hint="eastAsia" w:cs="Times New Roman"/>
          <w:b/>
          <w:bCs/>
          <w:color w:val="auto"/>
          <w:sz w:val="24"/>
          <w:highlight w:val="none"/>
          <w:lang w:eastAsia="zh-CN"/>
        </w:rPr>
      </w:pPr>
    </w:p>
    <w:p w14:paraId="097536FB">
      <w:pPr>
        <w:pStyle w:val="2"/>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left"/>
        <w:textAlignment w:val="auto"/>
        <w:outlineLvl w:val="1"/>
        <w:rPr>
          <w:rFonts w:hint="default" w:ascii="Times New Roman" w:hAnsi="Times New Roman" w:cs="Times New Roman"/>
          <w:color w:val="auto"/>
          <w:sz w:val="24"/>
          <w:highlight w:val="none"/>
        </w:rPr>
      </w:pPr>
      <w:bookmarkStart w:id="141" w:name="_Toc279"/>
      <w:r>
        <w:rPr>
          <w:rFonts w:hint="eastAsia" w:cs="Times New Roman"/>
          <w:b/>
          <w:bCs/>
          <w:color w:val="auto"/>
          <w:sz w:val="24"/>
          <w:highlight w:val="none"/>
          <w:lang w:eastAsia="zh-CN"/>
        </w:rPr>
        <w:t>附图</w:t>
      </w:r>
      <w:r>
        <w:rPr>
          <w:rFonts w:hint="default"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eastAsia="zh-CN"/>
        </w:rPr>
        <w:t>应急逃生路线</w:t>
      </w:r>
      <w:bookmarkEnd w:id="141"/>
    </w:p>
    <w:p w14:paraId="1CFF6E53">
      <w:pPr>
        <w:pStyle w:val="2"/>
        <w:ind w:left="0" w:leftChars="0" w:firstLine="0" w:firstLineChars="0"/>
        <w:jc w:val="both"/>
        <w:rPr>
          <w:rFonts w:hint="default" w:ascii="Times New Roman" w:hAnsi="Times New Roman" w:cs="Times New Roman"/>
          <w:b/>
          <w:bCs/>
          <w:color w:val="FF0000"/>
          <w:sz w:val="24"/>
          <w:highlight w:val="none"/>
          <w:lang w:eastAsia="zh-CN"/>
        </w:rPr>
      </w:pPr>
    </w:p>
    <w:p w14:paraId="536631E7">
      <w:pPr>
        <w:pStyle w:val="2"/>
        <w:ind w:left="0" w:leftChars="0" w:firstLine="0" w:firstLineChars="0"/>
        <w:jc w:val="both"/>
        <w:rPr>
          <w:rFonts w:hint="default" w:ascii="Times New Roman" w:hAnsi="Times New Roman" w:cs="Times New Roman"/>
          <w:b/>
          <w:bCs/>
          <w:color w:val="FF0000"/>
          <w:sz w:val="24"/>
          <w:highlight w:val="none"/>
          <w:lang w:eastAsia="zh-CN"/>
        </w:rPr>
      </w:pPr>
    </w:p>
    <w:p w14:paraId="31BB187E">
      <w:pPr>
        <w:pStyle w:val="2"/>
        <w:ind w:left="0" w:leftChars="0" w:firstLine="0" w:firstLineChars="0"/>
        <w:jc w:val="both"/>
        <w:rPr>
          <w:rFonts w:hint="default" w:ascii="Times New Roman" w:hAnsi="Times New Roman" w:cs="Times New Roman"/>
          <w:b/>
          <w:bCs/>
          <w:color w:val="FF0000"/>
          <w:sz w:val="24"/>
          <w:highlight w:val="none"/>
          <w:lang w:eastAsia="zh-CN"/>
        </w:rPr>
      </w:pPr>
    </w:p>
    <w:p w14:paraId="4BF4FFA3">
      <w:pPr>
        <w:pStyle w:val="2"/>
        <w:ind w:left="0" w:leftChars="0" w:firstLine="0" w:firstLineChars="0"/>
        <w:jc w:val="both"/>
        <w:rPr>
          <w:rFonts w:hint="default" w:ascii="Times New Roman" w:hAnsi="Times New Roman" w:cs="Times New Roman"/>
          <w:b/>
          <w:bCs/>
          <w:color w:val="FF0000"/>
          <w:sz w:val="24"/>
          <w:highlight w:val="none"/>
          <w:lang w:eastAsia="zh-CN"/>
        </w:rPr>
      </w:pPr>
    </w:p>
    <w:p w14:paraId="33B5419A">
      <w:pPr>
        <w:pStyle w:val="2"/>
        <w:ind w:left="0" w:leftChars="0" w:firstLine="0" w:firstLineChars="0"/>
        <w:jc w:val="both"/>
        <w:rPr>
          <w:rFonts w:hint="default" w:ascii="Times New Roman" w:hAnsi="Times New Roman" w:cs="Times New Roman"/>
          <w:b/>
          <w:bCs/>
          <w:color w:val="FF0000"/>
          <w:sz w:val="24"/>
          <w:highlight w:val="none"/>
          <w:lang w:eastAsia="zh-CN"/>
        </w:rPr>
      </w:pPr>
    </w:p>
    <w:p w14:paraId="5C7CED5D">
      <w:pPr>
        <w:pStyle w:val="2"/>
        <w:ind w:left="0" w:leftChars="0" w:firstLine="0" w:firstLineChars="0"/>
        <w:jc w:val="both"/>
        <w:rPr>
          <w:rFonts w:hint="default" w:ascii="Times New Roman" w:hAnsi="Times New Roman" w:cs="Times New Roman"/>
          <w:b/>
          <w:bCs/>
          <w:color w:val="FF0000"/>
          <w:sz w:val="24"/>
          <w:highlight w:val="none"/>
          <w:lang w:eastAsia="zh-CN"/>
        </w:rPr>
      </w:pPr>
    </w:p>
    <w:p w14:paraId="5F20C82E">
      <w:pPr>
        <w:pStyle w:val="2"/>
        <w:ind w:left="0" w:leftChars="0" w:firstLine="0" w:firstLineChars="0"/>
        <w:jc w:val="both"/>
        <w:rPr>
          <w:rFonts w:hint="default" w:ascii="Times New Roman" w:hAnsi="Times New Roman" w:cs="Times New Roman"/>
          <w:b/>
          <w:bCs/>
          <w:color w:val="FF0000"/>
          <w:sz w:val="24"/>
          <w:highlight w:val="none"/>
          <w:lang w:eastAsia="zh-CN"/>
        </w:rPr>
      </w:pPr>
    </w:p>
    <w:p w14:paraId="6FD95AC3">
      <w:pPr>
        <w:pStyle w:val="2"/>
        <w:ind w:left="0" w:leftChars="0" w:firstLine="0" w:firstLineChars="0"/>
        <w:jc w:val="both"/>
        <w:rPr>
          <w:rFonts w:hint="default" w:ascii="Times New Roman" w:hAnsi="Times New Roman" w:cs="Times New Roman"/>
          <w:b/>
          <w:bCs/>
          <w:color w:val="FF0000"/>
          <w:sz w:val="24"/>
          <w:highlight w:val="none"/>
          <w:lang w:eastAsia="zh-CN"/>
        </w:rPr>
      </w:pPr>
    </w:p>
    <w:p w14:paraId="6F6535C5">
      <w:pPr>
        <w:pStyle w:val="2"/>
        <w:ind w:left="0" w:leftChars="0" w:firstLine="0" w:firstLineChars="0"/>
        <w:jc w:val="both"/>
        <w:rPr>
          <w:rFonts w:hint="default" w:ascii="Times New Roman" w:hAnsi="Times New Roman" w:cs="Times New Roman"/>
          <w:b/>
          <w:bCs/>
          <w:color w:val="FF0000"/>
          <w:sz w:val="24"/>
          <w:highlight w:val="none"/>
          <w:lang w:eastAsia="zh-CN"/>
        </w:rPr>
      </w:pPr>
      <w:r>
        <w:rPr>
          <w:rFonts w:hint="eastAsia"/>
          <w:lang w:val="en-US" w:eastAsia="zh-CN"/>
        </w:rPr>
        <w:drawing>
          <wp:anchor distT="0" distB="0" distL="114300" distR="114300" simplePos="0" relativeHeight="251674624" behindDoc="0" locked="0" layoutInCell="1" allowOverlap="1">
            <wp:simplePos x="0" y="0"/>
            <wp:positionH relativeFrom="column">
              <wp:posOffset>17780</wp:posOffset>
            </wp:positionH>
            <wp:positionV relativeFrom="page">
              <wp:posOffset>1614170</wp:posOffset>
            </wp:positionV>
            <wp:extent cx="4688840" cy="6401435"/>
            <wp:effectExtent l="0" t="0" r="16510" b="18415"/>
            <wp:wrapSquare wrapText="bothSides"/>
            <wp:docPr id="9" name="图片 2" descr="3fde128eedf4bf67c8ebf0bb0d02d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3fde128eedf4bf67c8ebf0bb0d02dd91"/>
                    <pic:cNvPicPr>
                      <a:picLocks noChangeAspect="1"/>
                    </pic:cNvPicPr>
                  </pic:nvPicPr>
                  <pic:blipFill>
                    <a:blip r:embed="rId29"/>
                    <a:stretch>
                      <a:fillRect/>
                    </a:stretch>
                  </pic:blipFill>
                  <pic:spPr>
                    <a:xfrm>
                      <a:off x="0" y="0"/>
                      <a:ext cx="4688840" cy="6401435"/>
                    </a:xfrm>
                    <a:prstGeom prst="rect">
                      <a:avLst/>
                    </a:prstGeom>
                    <a:noFill/>
                    <a:ln>
                      <a:noFill/>
                    </a:ln>
                  </pic:spPr>
                </pic:pic>
              </a:graphicData>
            </a:graphic>
          </wp:anchor>
        </w:drawing>
      </w:r>
    </w:p>
    <w:p w14:paraId="5AB8A988">
      <w:pPr>
        <w:pStyle w:val="2"/>
        <w:ind w:left="0" w:leftChars="0" w:firstLine="0" w:firstLineChars="0"/>
        <w:jc w:val="both"/>
        <w:rPr>
          <w:rFonts w:hint="default" w:ascii="Times New Roman" w:hAnsi="Times New Roman" w:cs="Times New Roman"/>
          <w:b/>
          <w:bCs/>
          <w:color w:val="FF0000"/>
          <w:sz w:val="24"/>
          <w:highlight w:val="none"/>
          <w:lang w:eastAsia="zh-CN"/>
        </w:rPr>
      </w:pPr>
    </w:p>
    <w:p w14:paraId="005F799A">
      <w:pPr>
        <w:pStyle w:val="2"/>
        <w:ind w:left="0" w:leftChars="0" w:firstLine="0" w:firstLineChars="0"/>
        <w:jc w:val="both"/>
        <w:rPr>
          <w:rFonts w:hint="default" w:ascii="Times New Roman" w:hAnsi="Times New Roman" w:cs="Times New Roman"/>
          <w:b/>
          <w:bCs/>
          <w:color w:val="FF0000"/>
          <w:sz w:val="24"/>
          <w:highlight w:val="none"/>
          <w:lang w:eastAsia="zh-CN"/>
        </w:rPr>
      </w:pPr>
    </w:p>
    <w:p w14:paraId="68D85022">
      <w:pPr>
        <w:pStyle w:val="2"/>
        <w:ind w:left="0" w:leftChars="0" w:firstLine="0" w:firstLineChars="0"/>
        <w:jc w:val="both"/>
        <w:rPr>
          <w:rFonts w:hint="default" w:ascii="Times New Roman" w:hAnsi="Times New Roman" w:cs="Times New Roman"/>
          <w:b/>
          <w:bCs/>
          <w:color w:val="FF0000"/>
          <w:sz w:val="24"/>
          <w:highlight w:val="none"/>
          <w:lang w:eastAsia="zh-CN"/>
        </w:rPr>
      </w:pPr>
    </w:p>
    <w:p w14:paraId="5CCD145D">
      <w:pPr>
        <w:pStyle w:val="2"/>
        <w:ind w:left="0" w:leftChars="0" w:firstLine="0" w:firstLineChars="0"/>
        <w:jc w:val="both"/>
        <w:rPr>
          <w:rFonts w:hint="default" w:ascii="Times New Roman" w:hAnsi="Times New Roman" w:cs="Times New Roman"/>
          <w:b/>
          <w:bCs/>
          <w:color w:val="FF0000"/>
          <w:sz w:val="24"/>
          <w:highlight w:val="none"/>
          <w:lang w:eastAsia="zh-CN"/>
        </w:rPr>
      </w:pPr>
    </w:p>
    <w:p w14:paraId="7D848890">
      <w:pPr>
        <w:pStyle w:val="2"/>
        <w:ind w:left="0" w:leftChars="0" w:firstLine="0" w:firstLineChars="0"/>
        <w:jc w:val="both"/>
        <w:rPr>
          <w:rFonts w:hint="default" w:ascii="Times New Roman" w:hAnsi="Times New Roman" w:cs="Times New Roman"/>
          <w:b/>
          <w:bCs/>
          <w:color w:val="FF0000"/>
          <w:sz w:val="24"/>
          <w:highlight w:val="none"/>
          <w:lang w:eastAsia="zh-CN"/>
        </w:rPr>
      </w:pPr>
    </w:p>
    <w:p w14:paraId="42E24A28">
      <w:pPr>
        <w:pStyle w:val="2"/>
        <w:ind w:left="0" w:leftChars="0" w:firstLine="0" w:firstLineChars="0"/>
        <w:jc w:val="both"/>
        <w:rPr>
          <w:rFonts w:hint="default" w:ascii="Times New Roman" w:hAnsi="Times New Roman" w:cs="Times New Roman"/>
          <w:b/>
          <w:bCs/>
          <w:color w:val="FF0000"/>
          <w:sz w:val="24"/>
          <w:highlight w:val="none"/>
          <w:lang w:eastAsia="zh-CN"/>
        </w:rPr>
      </w:pPr>
    </w:p>
    <w:p w14:paraId="438B386D">
      <w:pPr>
        <w:pStyle w:val="2"/>
        <w:ind w:left="0" w:leftChars="0" w:firstLine="0" w:firstLineChars="0"/>
        <w:jc w:val="both"/>
        <w:rPr>
          <w:rFonts w:hint="default" w:ascii="Times New Roman" w:hAnsi="Times New Roman" w:cs="Times New Roman"/>
          <w:b/>
          <w:bCs/>
          <w:color w:val="FF0000"/>
          <w:sz w:val="24"/>
          <w:highlight w:val="none"/>
          <w:lang w:eastAsia="zh-CN"/>
        </w:rPr>
      </w:pPr>
    </w:p>
    <w:p w14:paraId="039BFFE2">
      <w:pPr>
        <w:pStyle w:val="2"/>
        <w:ind w:left="0" w:leftChars="0" w:firstLine="0" w:firstLineChars="0"/>
        <w:jc w:val="both"/>
        <w:rPr>
          <w:rFonts w:hint="default" w:ascii="Times New Roman" w:hAnsi="Times New Roman" w:cs="Times New Roman"/>
          <w:b/>
          <w:bCs/>
          <w:color w:val="FF0000"/>
          <w:sz w:val="24"/>
          <w:highlight w:val="none"/>
          <w:lang w:eastAsia="zh-CN"/>
        </w:rPr>
      </w:pPr>
    </w:p>
    <w:p w14:paraId="50A8DCCE">
      <w:pPr>
        <w:pStyle w:val="2"/>
        <w:ind w:left="0" w:leftChars="0" w:firstLine="0" w:firstLineChars="0"/>
        <w:jc w:val="both"/>
        <w:rPr>
          <w:rFonts w:hint="default" w:ascii="Times New Roman" w:hAnsi="Times New Roman" w:cs="Times New Roman"/>
          <w:b/>
          <w:bCs/>
          <w:color w:val="FF0000"/>
          <w:sz w:val="24"/>
          <w:highlight w:val="none"/>
          <w:lang w:eastAsia="zh-CN"/>
        </w:rPr>
      </w:pPr>
    </w:p>
    <w:p w14:paraId="6A52E2B8">
      <w:pPr>
        <w:pStyle w:val="2"/>
        <w:ind w:left="0" w:leftChars="0" w:firstLine="0" w:firstLineChars="0"/>
        <w:jc w:val="both"/>
        <w:rPr>
          <w:rFonts w:hint="default" w:ascii="Times New Roman" w:hAnsi="Times New Roman" w:cs="Times New Roman"/>
          <w:b/>
          <w:bCs/>
          <w:color w:val="FF0000"/>
          <w:sz w:val="24"/>
          <w:highlight w:val="none"/>
          <w:lang w:eastAsia="zh-CN"/>
        </w:rPr>
      </w:pPr>
    </w:p>
    <w:p w14:paraId="4D90BD3B">
      <w:pPr>
        <w:pStyle w:val="2"/>
        <w:ind w:left="0" w:leftChars="0" w:firstLine="0" w:firstLineChars="0"/>
        <w:jc w:val="both"/>
        <w:rPr>
          <w:rFonts w:hint="default" w:ascii="Times New Roman" w:hAnsi="Times New Roman" w:cs="Times New Roman"/>
          <w:b/>
          <w:bCs/>
          <w:color w:val="FF0000"/>
          <w:sz w:val="24"/>
          <w:highlight w:val="none"/>
          <w:lang w:eastAsia="zh-CN"/>
        </w:rPr>
      </w:pPr>
    </w:p>
    <w:p w14:paraId="287BC1B6">
      <w:pPr>
        <w:pStyle w:val="2"/>
        <w:ind w:left="0" w:leftChars="0" w:firstLine="0" w:firstLineChars="0"/>
        <w:jc w:val="both"/>
        <w:rPr>
          <w:rFonts w:hint="default" w:ascii="Times New Roman" w:hAnsi="Times New Roman" w:cs="Times New Roman"/>
          <w:b/>
          <w:bCs/>
          <w:color w:val="FF0000"/>
          <w:sz w:val="24"/>
          <w:highlight w:val="none"/>
          <w:lang w:eastAsia="zh-CN"/>
        </w:rPr>
      </w:pPr>
    </w:p>
    <w:p w14:paraId="271D97F0">
      <w:pPr>
        <w:pStyle w:val="2"/>
        <w:ind w:left="0" w:leftChars="0" w:firstLine="0" w:firstLineChars="0"/>
        <w:jc w:val="both"/>
        <w:rPr>
          <w:rFonts w:hint="default" w:ascii="Times New Roman" w:hAnsi="Times New Roman" w:cs="Times New Roman"/>
          <w:b/>
          <w:bCs/>
          <w:color w:val="FF0000"/>
          <w:sz w:val="24"/>
          <w:highlight w:val="none"/>
          <w:lang w:eastAsia="zh-CN"/>
        </w:rPr>
      </w:pPr>
    </w:p>
    <w:p w14:paraId="5113D4F9">
      <w:pPr>
        <w:pStyle w:val="2"/>
        <w:ind w:left="0" w:leftChars="0" w:firstLine="0" w:firstLineChars="0"/>
        <w:jc w:val="both"/>
        <w:rPr>
          <w:rFonts w:hint="default" w:ascii="Times New Roman" w:hAnsi="Times New Roman" w:cs="Times New Roman"/>
          <w:b/>
          <w:bCs/>
          <w:color w:val="FF0000"/>
          <w:sz w:val="24"/>
          <w:highlight w:val="none"/>
          <w:lang w:eastAsia="zh-CN"/>
        </w:rPr>
      </w:pPr>
    </w:p>
    <w:p w14:paraId="45460A52">
      <w:pPr>
        <w:pStyle w:val="2"/>
        <w:ind w:left="0" w:leftChars="0" w:firstLine="0" w:firstLineChars="0"/>
        <w:jc w:val="both"/>
        <w:rPr>
          <w:rFonts w:hint="default" w:ascii="Times New Roman" w:hAnsi="Times New Roman" w:cs="Times New Roman"/>
          <w:b/>
          <w:bCs/>
          <w:color w:val="FF0000"/>
          <w:sz w:val="24"/>
          <w:highlight w:val="none"/>
          <w:lang w:eastAsia="zh-CN"/>
        </w:rPr>
      </w:pPr>
    </w:p>
    <w:p w14:paraId="045B7AD0">
      <w:pPr>
        <w:pStyle w:val="2"/>
        <w:ind w:left="0" w:leftChars="0" w:firstLine="0" w:firstLineChars="0"/>
        <w:jc w:val="both"/>
        <w:rPr>
          <w:rFonts w:hint="default" w:ascii="Times New Roman" w:hAnsi="Times New Roman" w:cs="Times New Roman"/>
          <w:b/>
          <w:bCs/>
          <w:color w:val="FF0000"/>
          <w:sz w:val="24"/>
          <w:highlight w:val="none"/>
          <w:lang w:eastAsia="zh-CN"/>
        </w:rPr>
      </w:pPr>
    </w:p>
    <w:p w14:paraId="10695A97">
      <w:pPr>
        <w:pStyle w:val="2"/>
        <w:ind w:left="0" w:leftChars="0" w:firstLine="0" w:firstLineChars="0"/>
        <w:jc w:val="both"/>
        <w:rPr>
          <w:rFonts w:hint="default" w:ascii="Times New Roman" w:hAnsi="Times New Roman" w:cs="Times New Roman"/>
          <w:b/>
          <w:bCs/>
          <w:color w:val="FF0000"/>
          <w:sz w:val="24"/>
          <w:highlight w:val="none"/>
          <w:lang w:eastAsia="zh-CN"/>
        </w:rPr>
      </w:pPr>
    </w:p>
    <w:p w14:paraId="209C32C9">
      <w:pPr>
        <w:pStyle w:val="2"/>
        <w:ind w:left="0" w:leftChars="0" w:firstLine="0" w:firstLineChars="0"/>
        <w:jc w:val="both"/>
        <w:rPr>
          <w:rFonts w:hint="default" w:ascii="Times New Roman" w:hAnsi="Times New Roman" w:cs="Times New Roman"/>
          <w:b/>
          <w:bCs/>
          <w:color w:val="FF0000"/>
          <w:sz w:val="24"/>
          <w:highlight w:val="none"/>
          <w:lang w:eastAsia="zh-CN"/>
        </w:rPr>
      </w:pPr>
    </w:p>
    <w:p w14:paraId="2D0050A9">
      <w:pPr>
        <w:pStyle w:val="2"/>
        <w:ind w:left="0" w:leftChars="0" w:firstLine="0" w:firstLineChars="0"/>
        <w:jc w:val="both"/>
        <w:rPr>
          <w:rFonts w:hint="default" w:ascii="Times New Roman" w:hAnsi="Times New Roman" w:cs="Times New Roman"/>
          <w:b/>
          <w:bCs/>
          <w:color w:val="FF0000"/>
          <w:sz w:val="24"/>
          <w:highlight w:val="none"/>
          <w:lang w:eastAsia="zh-CN"/>
        </w:rPr>
      </w:pPr>
    </w:p>
    <w:p w14:paraId="134B4AB7">
      <w:pPr>
        <w:pStyle w:val="2"/>
        <w:ind w:left="0" w:leftChars="0" w:firstLine="0" w:firstLineChars="0"/>
        <w:jc w:val="both"/>
        <w:rPr>
          <w:rFonts w:hint="default" w:ascii="Times New Roman" w:hAnsi="Times New Roman" w:cs="Times New Roman"/>
          <w:b/>
          <w:bCs/>
          <w:color w:val="FF0000"/>
          <w:sz w:val="24"/>
          <w:highlight w:val="none"/>
          <w:lang w:eastAsia="zh-CN"/>
        </w:rPr>
      </w:pPr>
    </w:p>
    <w:p w14:paraId="712BCEB1">
      <w:pPr>
        <w:pStyle w:val="2"/>
        <w:ind w:left="0" w:leftChars="0" w:firstLine="0" w:firstLineChars="0"/>
        <w:jc w:val="both"/>
        <w:rPr>
          <w:rFonts w:hint="default" w:ascii="Times New Roman" w:hAnsi="Times New Roman" w:cs="Times New Roman"/>
          <w:b/>
          <w:bCs/>
          <w:color w:val="FF0000"/>
          <w:sz w:val="24"/>
          <w:highlight w:val="none"/>
          <w:lang w:eastAsia="zh-CN"/>
        </w:rPr>
      </w:pPr>
    </w:p>
    <w:p w14:paraId="725AFE83">
      <w:pPr>
        <w:pStyle w:val="2"/>
        <w:ind w:left="0" w:leftChars="0" w:firstLine="0" w:firstLineChars="0"/>
        <w:jc w:val="both"/>
        <w:rPr>
          <w:rFonts w:hint="default" w:ascii="Times New Roman" w:hAnsi="Times New Roman" w:cs="Times New Roman"/>
          <w:b/>
          <w:bCs/>
          <w:color w:val="FF0000"/>
          <w:sz w:val="24"/>
          <w:highlight w:val="none"/>
          <w:lang w:eastAsia="zh-CN"/>
        </w:rPr>
      </w:pPr>
    </w:p>
    <w:p w14:paraId="743B7A73">
      <w:pPr>
        <w:pStyle w:val="2"/>
        <w:ind w:left="0" w:leftChars="0" w:firstLine="0" w:firstLineChars="0"/>
        <w:jc w:val="both"/>
        <w:rPr>
          <w:rFonts w:hint="default" w:ascii="Times New Roman" w:hAnsi="Times New Roman" w:cs="Times New Roman"/>
          <w:b/>
          <w:bCs/>
          <w:color w:val="FF0000"/>
          <w:sz w:val="24"/>
          <w:highlight w:val="none"/>
          <w:lang w:eastAsia="zh-CN"/>
        </w:rPr>
      </w:pPr>
    </w:p>
    <w:p w14:paraId="139B04D8">
      <w:pPr>
        <w:pStyle w:val="2"/>
        <w:ind w:left="0" w:leftChars="0" w:firstLine="0" w:firstLineChars="0"/>
        <w:jc w:val="both"/>
        <w:rPr>
          <w:rFonts w:hint="default" w:ascii="Times New Roman" w:hAnsi="Times New Roman" w:cs="Times New Roman"/>
          <w:b/>
          <w:bCs/>
          <w:color w:val="FF0000"/>
          <w:sz w:val="24"/>
          <w:highlight w:val="none"/>
          <w:lang w:eastAsia="zh-CN"/>
        </w:rPr>
      </w:pPr>
    </w:p>
    <w:p w14:paraId="36E28F03">
      <w:pPr>
        <w:pStyle w:val="2"/>
        <w:ind w:left="0" w:leftChars="0" w:firstLine="0" w:firstLineChars="0"/>
        <w:jc w:val="both"/>
        <w:rPr>
          <w:rFonts w:hint="default" w:ascii="Times New Roman" w:hAnsi="Times New Roman" w:cs="Times New Roman"/>
          <w:b/>
          <w:bCs/>
          <w:color w:val="FF0000"/>
          <w:sz w:val="24"/>
          <w:highlight w:val="none"/>
          <w:lang w:eastAsia="zh-CN"/>
        </w:rPr>
      </w:pPr>
    </w:p>
    <w:p w14:paraId="413F3AFF">
      <w:pPr>
        <w:pStyle w:val="2"/>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left"/>
        <w:textAlignment w:val="auto"/>
        <w:outlineLvl w:val="1"/>
        <w:rPr>
          <w:rFonts w:hint="eastAsia" w:ascii="Times New Roman" w:hAnsi="Times New Roman" w:eastAsia="宋体" w:cs="Times New Roman"/>
          <w:b/>
          <w:bCs/>
          <w:color w:val="auto"/>
          <w:sz w:val="24"/>
          <w:highlight w:val="none"/>
          <w:lang w:val="en-US" w:eastAsia="zh-CN"/>
        </w:rPr>
      </w:pPr>
      <w:bookmarkStart w:id="142" w:name="_Toc23433"/>
      <w:r>
        <w:rPr>
          <w:rFonts w:hint="eastAsia" w:ascii="Times New Roman" w:hAnsi="Times New Roman" w:eastAsia="宋体" w:cs="Times New Roman"/>
          <w:b/>
          <w:bCs/>
          <w:color w:val="auto"/>
          <w:sz w:val="24"/>
          <w:highlight w:val="none"/>
          <w:lang w:eastAsia="zh-CN"/>
        </w:rPr>
        <w:t>附图</w:t>
      </w:r>
      <w:r>
        <w:rPr>
          <w:rFonts w:hint="eastAsia" w:ascii="Times New Roman" w:hAnsi="Times New Roman" w:eastAsia="宋体" w:cs="Times New Roman"/>
          <w:b/>
          <w:bCs/>
          <w:color w:val="auto"/>
          <w:sz w:val="24"/>
          <w:highlight w:val="none"/>
          <w:lang w:val="en-US" w:eastAsia="zh-CN"/>
        </w:rPr>
        <w:t>5 应急检测协议</w:t>
      </w:r>
      <w:bookmarkEnd w:id="142"/>
    </w:p>
    <w:p w14:paraId="1030CEE0">
      <w:pPr>
        <w:pStyle w:val="2"/>
        <w:ind w:left="0" w:leftChars="0" w:firstLine="0" w:firstLineChars="0"/>
        <w:jc w:val="both"/>
        <w:rPr>
          <w:rFonts w:hint="default" w:ascii="Times New Roman" w:hAnsi="Times New Roman" w:cs="Times New Roman"/>
          <w:b/>
          <w:bCs/>
          <w:color w:val="FF0000"/>
          <w:sz w:val="24"/>
          <w:highlight w:val="none"/>
          <w:lang w:eastAsia="zh-CN"/>
        </w:rPr>
      </w:pPr>
    </w:p>
    <w:p w14:paraId="4030E9ED">
      <w:pPr>
        <w:rPr>
          <w:rFonts w:hint="default"/>
          <w:lang w:eastAsia="zh-CN"/>
        </w:rPr>
      </w:pPr>
    </w:p>
    <w:p w14:paraId="71AA429E">
      <w:pPr>
        <w:rPr>
          <w:rFonts w:hint="default"/>
          <w:lang w:eastAsia="zh-CN"/>
        </w:rPr>
      </w:pPr>
    </w:p>
    <w:p w14:paraId="042B1A1B">
      <w:pPr>
        <w:rPr>
          <w:rFonts w:hint="default"/>
          <w:lang w:eastAsia="zh-CN"/>
        </w:rPr>
      </w:pPr>
    </w:p>
    <w:p w14:paraId="0927AAC8">
      <w:pPr>
        <w:rPr>
          <w:rFonts w:hint="default"/>
          <w:lang w:eastAsia="zh-CN"/>
        </w:rPr>
      </w:pPr>
    </w:p>
    <w:p w14:paraId="1A83AE58">
      <w:pPr>
        <w:rPr>
          <w:rFonts w:hint="default"/>
          <w:lang w:eastAsia="zh-CN"/>
        </w:rPr>
      </w:pPr>
    </w:p>
    <w:p w14:paraId="0470FE04">
      <w:pPr>
        <w:rPr>
          <w:rFonts w:hint="default"/>
          <w:lang w:eastAsia="zh-CN"/>
        </w:rPr>
      </w:pPr>
    </w:p>
    <w:p w14:paraId="05E0BBC6">
      <w:pPr>
        <w:rPr>
          <w:rFonts w:hint="default"/>
          <w:lang w:eastAsia="zh-CN"/>
        </w:rPr>
      </w:pPr>
    </w:p>
    <w:p w14:paraId="7202A759">
      <w:pPr>
        <w:rPr>
          <w:rFonts w:hint="default"/>
          <w:lang w:eastAsia="zh-CN"/>
        </w:rPr>
      </w:pPr>
    </w:p>
    <w:p w14:paraId="498A0652">
      <w:pPr>
        <w:rPr>
          <w:rFonts w:hint="default"/>
          <w:lang w:eastAsia="zh-CN"/>
        </w:rPr>
      </w:pPr>
    </w:p>
    <w:p w14:paraId="1D331923">
      <w:pPr>
        <w:rPr>
          <w:rFonts w:hint="default"/>
          <w:lang w:eastAsia="zh-CN"/>
        </w:rPr>
      </w:pPr>
    </w:p>
    <w:p w14:paraId="0FEC3700">
      <w:pPr>
        <w:rPr>
          <w:rFonts w:hint="default"/>
          <w:lang w:eastAsia="zh-CN"/>
        </w:rPr>
      </w:pPr>
      <w:r>
        <w:drawing>
          <wp:anchor distT="0" distB="0" distL="114300" distR="114300" simplePos="0" relativeHeight="251675648" behindDoc="0" locked="0" layoutInCell="1" allowOverlap="1">
            <wp:simplePos x="0" y="0"/>
            <wp:positionH relativeFrom="column">
              <wp:posOffset>-38100</wp:posOffset>
            </wp:positionH>
            <wp:positionV relativeFrom="page">
              <wp:posOffset>1551305</wp:posOffset>
            </wp:positionV>
            <wp:extent cx="5122545" cy="6478270"/>
            <wp:effectExtent l="0" t="0" r="1905" b="17780"/>
            <wp:wrapSquare wrapText="bothSides"/>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0"/>
                    <a:stretch>
                      <a:fillRect/>
                    </a:stretch>
                  </pic:blipFill>
                  <pic:spPr>
                    <a:xfrm>
                      <a:off x="0" y="0"/>
                      <a:ext cx="5122545" cy="6478270"/>
                    </a:xfrm>
                    <a:prstGeom prst="rect">
                      <a:avLst/>
                    </a:prstGeom>
                    <a:noFill/>
                    <a:ln>
                      <a:noFill/>
                    </a:ln>
                  </pic:spPr>
                </pic:pic>
              </a:graphicData>
            </a:graphic>
          </wp:anchor>
        </w:drawing>
      </w:r>
    </w:p>
    <w:p w14:paraId="592B667B">
      <w:pPr>
        <w:rPr>
          <w:rFonts w:hint="default"/>
          <w:lang w:eastAsia="zh-CN"/>
        </w:rPr>
      </w:pPr>
    </w:p>
    <w:p w14:paraId="42706643">
      <w:pPr>
        <w:pStyle w:val="126"/>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b/>
          <w:bCs w:val="0"/>
          <w:lang w:val="en-US" w:eastAsia="zh-CN"/>
        </w:rPr>
      </w:pPr>
      <w:bookmarkStart w:id="143" w:name="_Toc25288"/>
      <w:bookmarkStart w:id="144" w:name="_Toc26853"/>
      <w:r>
        <w:rPr>
          <w:rFonts w:hint="eastAsia"/>
          <w:b/>
          <w:bCs w:val="0"/>
          <w:lang w:eastAsia="zh-CN"/>
        </w:rPr>
        <w:t>附件</w:t>
      </w:r>
      <w:r>
        <w:rPr>
          <w:rFonts w:hint="eastAsia"/>
          <w:b/>
          <w:bCs w:val="0"/>
          <w:lang w:val="en-US" w:eastAsia="zh-CN"/>
        </w:rPr>
        <w:t>6应急互救协议</w:t>
      </w:r>
      <w:bookmarkEnd w:id="143"/>
      <w:bookmarkEnd w:id="144"/>
    </w:p>
    <w:p w14:paraId="31E704C4">
      <w:pPr>
        <w:rPr>
          <w:rFonts w:hint="default"/>
          <w:lang w:eastAsia="zh-CN"/>
        </w:rPr>
      </w:pPr>
    </w:p>
    <w:p w14:paraId="5EA095EC">
      <w:pPr>
        <w:rPr>
          <w:rFonts w:hint="default"/>
          <w:lang w:eastAsia="zh-CN"/>
        </w:rPr>
      </w:pPr>
    </w:p>
    <w:p w14:paraId="512D5FFC">
      <w:pPr>
        <w:rPr>
          <w:rFonts w:hint="default"/>
          <w:lang w:eastAsia="zh-CN"/>
        </w:rPr>
      </w:pPr>
      <w:r>
        <w:drawing>
          <wp:anchor distT="0" distB="0" distL="114300" distR="114300" simplePos="0" relativeHeight="251676672" behindDoc="0" locked="0" layoutInCell="1" allowOverlap="1">
            <wp:simplePos x="0" y="0"/>
            <wp:positionH relativeFrom="column">
              <wp:posOffset>135255</wp:posOffset>
            </wp:positionH>
            <wp:positionV relativeFrom="page">
              <wp:posOffset>1633220</wp:posOffset>
            </wp:positionV>
            <wp:extent cx="5302885" cy="6359525"/>
            <wp:effectExtent l="0" t="0" r="12065" b="3175"/>
            <wp:wrapSquare wrapText="bothSides"/>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31"/>
                    <a:stretch>
                      <a:fillRect/>
                    </a:stretch>
                  </pic:blipFill>
                  <pic:spPr>
                    <a:xfrm>
                      <a:off x="0" y="0"/>
                      <a:ext cx="5302885" cy="6359525"/>
                    </a:xfrm>
                    <a:prstGeom prst="rect">
                      <a:avLst/>
                    </a:prstGeom>
                    <a:noFill/>
                    <a:ln>
                      <a:noFill/>
                    </a:ln>
                  </pic:spPr>
                </pic:pic>
              </a:graphicData>
            </a:graphic>
          </wp:anchor>
        </w:drawing>
      </w:r>
    </w:p>
    <w:p w14:paraId="5A7F0316">
      <w:pPr>
        <w:rPr>
          <w:rFonts w:hint="default"/>
          <w:lang w:eastAsia="zh-CN"/>
        </w:rPr>
      </w:pPr>
    </w:p>
    <w:p w14:paraId="65D9FA1C">
      <w:pPr>
        <w:rPr>
          <w:rFonts w:hint="default"/>
          <w:lang w:eastAsia="zh-CN"/>
        </w:rPr>
      </w:pPr>
    </w:p>
    <w:p w14:paraId="602F0C4A">
      <w:pPr>
        <w:rPr>
          <w:rFonts w:hint="default"/>
          <w:lang w:eastAsia="zh-CN"/>
        </w:rPr>
      </w:pPr>
    </w:p>
    <w:p w14:paraId="26C69575">
      <w:pPr>
        <w:rPr>
          <w:rFonts w:hint="default"/>
          <w:lang w:eastAsia="zh-CN"/>
        </w:rPr>
      </w:pPr>
    </w:p>
    <w:p w14:paraId="4B8B4A3E">
      <w:pPr>
        <w:rPr>
          <w:rFonts w:hint="default"/>
          <w:lang w:eastAsia="zh-CN"/>
        </w:rPr>
      </w:pPr>
    </w:p>
    <w:p w14:paraId="716B8514">
      <w:pPr>
        <w:rPr>
          <w:rFonts w:hint="default"/>
          <w:lang w:eastAsia="zh-CN"/>
        </w:rPr>
      </w:pPr>
    </w:p>
    <w:p w14:paraId="79B6B671">
      <w:pPr>
        <w:rPr>
          <w:rFonts w:hint="default"/>
          <w:lang w:eastAsia="zh-CN"/>
        </w:rPr>
      </w:pPr>
    </w:p>
    <w:p w14:paraId="0AAB61C2">
      <w:pPr>
        <w:rPr>
          <w:rFonts w:hint="default"/>
          <w:lang w:eastAsia="zh-CN"/>
        </w:rPr>
      </w:pPr>
    </w:p>
    <w:p w14:paraId="1560726F">
      <w:pPr>
        <w:rPr>
          <w:rFonts w:hint="default"/>
          <w:lang w:eastAsia="zh-CN"/>
        </w:rPr>
      </w:pPr>
    </w:p>
    <w:p w14:paraId="3304A43F">
      <w:pPr>
        <w:rPr>
          <w:rFonts w:hint="default"/>
          <w:lang w:eastAsia="zh-CN"/>
        </w:rPr>
      </w:pPr>
    </w:p>
    <w:p w14:paraId="059B4922">
      <w:pPr>
        <w:pStyle w:val="126"/>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eastAsia="宋体"/>
          <w:b/>
          <w:bCs w:val="0"/>
          <w:lang w:val="en-US" w:eastAsia="zh-CN"/>
        </w:rPr>
      </w:pPr>
      <w:bookmarkStart w:id="145" w:name="_Toc29034"/>
      <w:r>
        <w:rPr>
          <w:rFonts w:hint="eastAsia" w:eastAsia="宋体"/>
          <w:b/>
          <w:bCs w:val="0"/>
          <w:lang w:val="en-US" w:eastAsia="zh-CN"/>
        </w:rPr>
        <w:t>附图7 互救单位应急物资</w:t>
      </w:r>
      <w:bookmarkEnd w:id="145"/>
    </w:p>
    <w:p w14:paraId="2A2A27C3">
      <w:pPr>
        <w:pStyle w:val="124"/>
        <w:ind w:firstLine="3062" w:firstLineChars="1271"/>
        <w:rPr>
          <w:rFonts w:hint="eastAsia" w:eastAsia="宋体"/>
          <w:b/>
          <w:bCs w:val="0"/>
          <w:lang w:val="en-US" w:eastAsia="zh-CN"/>
        </w:rPr>
      </w:pPr>
      <w:r>
        <w:rPr>
          <w:b/>
          <w:bCs/>
        </w:rPr>
        <w:t>应急物资</w:t>
      </w:r>
      <w:r>
        <w:rPr>
          <w:rFonts w:hint="eastAsia"/>
          <w:b/>
          <w:bCs/>
        </w:rPr>
        <w:t>一览表</w:t>
      </w:r>
    </w:p>
    <w:tbl>
      <w:tblPr>
        <w:tblStyle w:val="34"/>
        <w:tblpPr w:leftFromText="180" w:rightFromText="180" w:vertAnchor="text" w:horzAnchor="page" w:tblpX="1141" w:tblpY="488"/>
        <w:tblOverlap w:val="never"/>
        <w:tblW w:w="9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745"/>
        <w:gridCol w:w="750"/>
        <w:gridCol w:w="2127"/>
        <w:gridCol w:w="1869"/>
        <w:gridCol w:w="1869"/>
      </w:tblGrid>
      <w:tr w14:paraId="702B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2009" w:type="dxa"/>
            <w:tcBorders>
              <w:top w:val="single" w:color="auto" w:sz="4" w:space="0"/>
              <w:left w:val="single" w:color="auto" w:sz="4" w:space="0"/>
              <w:bottom w:val="single" w:color="auto" w:sz="4" w:space="0"/>
              <w:right w:val="single" w:color="auto" w:sz="4" w:space="0"/>
            </w:tcBorders>
            <w:noWrap w:val="0"/>
            <w:vAlign w:val="center"/>
          </w:tcPr>
          <w:p w14:paraId="14226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10939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单位</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ED58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91D1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D7FB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58BE2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lang w:eastAsia="zh-CN"/>
              </w:rPr>
              <w:t>电话</w:t>
            </w:r>
          </w:p>
        </w:tc>
      </w:tr>
      <w:tr w14:paraId="0C0A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6F1C709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空气呼吸器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8118E3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套</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9DAB82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8CC032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器材室</w:t>
            </w:r>
          </w:p>
        </w:tc>
        <w:tc>
          <w:tcPr>
            <w:tcW w:w="1869" w:type="dxa"/>
            <w:tcBorders>
              <w:top w:val="single" w:color="auto" w:sz="4" w:space="0"/>
              <w:left w:val="single" w:color="auto" w:sz="4" w:space="0"/>
              <w:right w:val="single" w:color="auto" w:sz="4" w:space="0"/>
            </w:tcBorders>
            <w:noWrap w:val="0"/>
            <w:vAlign w:val="center"/>
          </w:tcPr>
          <w:p w14:paraId="0A0219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right w:val="single" w:color="auto" w:sz="4" w:space="0"/>
            </w:tcBorders>
            <w:noWrap w:val="0"/>
            <w:vAlign w:val="center"/>
          </w:tcPr>
          <w:p w14:paraId="4B7A29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5067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557DC24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防毒面具</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0953B0B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具</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303307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9EF7F5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器材室</w:t>
            </w:r>
          </w:p>
        </w:tc>
        <w:tc>
          <w:tcPr>
            <w:tcW w:w="1869" w:type="dxa"/>
            <w:tcBorders>
              <w:left w:val="single" w:color="auto" w:sz="4" w:space="0"/>
              <w:right w:val="single" w:color="auto" w:sz="4" w:space="0"/>
            </w:tcBorders>
            <w:noWrap w:val="0"/>
            <w:vAlign w:val="center"/>
          </w:tcPr>
          <w:p w14:paraId="3523FD7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28967D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13280689988</w:t>
            </w:r>
          </w:p>
        </w:tc>
      </w:tr>
      <w:tr w14:paraId="76C4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22815AA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防毒口罩</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67A8960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141415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若干</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6C4C0E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仓库</w:t>
            </w:r>
          </w:p>
        </w:tc>
        <w:tc>
          <w:tcPr>
            <w:tcW w:w="1869" w:type="dxa"/>
            <w:tcBorders>
              <w:left w:val="single" w:color="auto" w:sz="4" w:space="0"/>
              <w:right w:val="single" w:color="auto" w:sz="4" w:space="0"/>
            </w:tcBorders>
            <w:noWrap w:val="0"/>
            <w:vAlign w:val="center"/>
          </w:tcPr>
          <w:p w14:paraId="2DAA13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6135A3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lang w:val="en-US" w:eastAsia="zh-CN"/>
              </w:rPr>
              <w:t>13280689988</w:t>
            </w:r>
          </w:p>
        </w:tc>
      </w:tr>
      <w:tr w14:paraId="57A9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F6E960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胶手套</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3AA7E30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付</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3534D5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若干</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7DE555A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仓库</w:t>
            </w:r>
          </w:p>
        </w:tc>
        <w:tc>
          <w:tcPr>
            <w:tcW w:w="1869" w:type="dxa"/>
            <w:tcBorders>
              <w:top w:val="single" w:color="auto" w:sz="4" w:space="0"/>
              <w:left w:val="single" w:color="auto" w:sz="4" w:space="0"/>
              <w:right w:val="single" w:color="auto" w:sz="4" w:space="0"/>
            </w:tcBorders>
            <w:noWrap w:val="0"/>
            <w:vAlign w:val="center"/>
          </w:tcPr>
          <w:p w14:paraId="7DBBC3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right w:val="single" w:color="auto" w:sz="4" w:space="0"/>
            </w:tcBorders>
            <w:noWrap w:val="0"/>
            <w:vAlign w:val="center"/>
          </w:tcPr>
          <w:p w14:paraId="669C88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lang w:val="en-US" w:eastAsia="zh-CN"/>
              </w:rPr>
              <w:t>13280689988</w:t>
            </w:r>
          </w:p>
        </w:tc>
      </w:tr>
      <w:tr w14:paraId="036D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578F78B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消防栓</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6A831E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CB2D5E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30</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FE388B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厂区</w:t>
            </w:r>
          </w:p>
        </w:tc>
        <w:tc>
          <w:tcPr>
            <w:tcW w:w="1869" w:type="dxa"/>
            <w:tcBorders>
              <w:left w:val="single" w:color="auto" w:sz="4" w:space="0"/>
              <w:right w:val="single" w:color="auto" w:sz="4" w:space="0"/>
            </w:tcBorders>
            <w:noWrap w:val="0"/>
            <w:vAlign w:val="center"/>
          </w:tcPr>
          <w:p w14:paraId="1A1EFF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0EC309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5C87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5C1DF84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消防泵</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307596E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E10C5B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C5558E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升华循环水池</w:t>
            </w:r>
          </w:p>
        </w:tc>
        <w:tc>
          <w:tcPr>
            <w:tcW w:w="1869" w:type="dxa"/>
            <w:tcBorders>
              <w:left w:val="single" w:color="auto" w:sz="4" w:space="0"/>
              <w:right w:val="single" w:color="auto" w:sz="4" w:space="0"/>
            </w:tcBorders>
            <w:noWrap w:val="0"/>
            <w:vAlign w:val="center"/>
          </w:tcPr>
          <w:p w14:paraId="52EB19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1DE292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6AC3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2978E4C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干粉灭火器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F5AB60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473C97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72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FF8C0A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w:t>
            </w:r>
          </w:p>
        </w:tc>
        <w:tc>
          <w:tcPr>
            <w:tcW w:w="1869" w:type="dxa"/>
            <w:tcBorders>
              <w:left w:val="single" w:color="auto" w:sz="4" w:space="0"/>
              <w:right w:val="single" w:color="auto" w:sz="4" w:space="0"/>
            </w:tcBorders>
            <w:noWrap w:val="0"/>
            <w:vAlign w:val="center"/>
          </w:tcPr>
          <w:p w14:paraId="72B7DA9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2BDF1E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39D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2398F2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推车式干粉灭火器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4B62CA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D44A27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713007D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成品仓库仓库</w:t>
            </w:r>
          </w:p>
        </w:tc>
        <w:tc>
          <w:tcPr>
            <w:tcW w:w="1869" w:type="dxa"/>
            <w:tcBorders>
              <w:left w:val="single" w:color="auto" w:sz="4" w:space="0"/>
              <w:right w:val="single" w:color="auto" w:sz="4" w:space="0"/>
            </w:tcBorders>
            <w:noWrap w:val="0"/>
            <w:vAlign w:val="center"/>
          </w:tcPr>
          <w:p w14:paraId="2FC6CA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2624EF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72AF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0DA7779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二氧化碳灭火器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A072D5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4A1916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379191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化验室、配电室</w:t>
            </w:r>
          </w:p>
        </w:tc>
        <w:tc>
          <w:tcPr>
            <w:tcW w:w="1869" w:type="dxa"/>
            <w:tcBorders>
              <w:left w:val="single" w:color="auto" w:sz="4" w:space="0"/>
              <w:right w:val="single" w:color="auto" w:sz="4" w:space="0"/>
            </w:tcBorders>
            <w:noWrap w:val="0"/>
            <w:vAlign w:val="center"/>
          </w:tcPr>
          <w:p w14:paraId="788876B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6E225F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C83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6A46955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消防沙</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0178079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7A05F12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A9D3A1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罐区</w:t>
            </w:r>
          </w:p>
        </w:tc>
        <w:tc>
          <w:tcPr>
            <w:tcW w:w="1869" w:type="dxa"/>
            <w:tcBorders>
              <w:left w:val="single" w:color="auto" w:sz="4" w:space="0"/>
              <w:right w:val="single" w:color="auto" w:sz="4" w:space="0"/>
            </w:tcBorders>
            <w:noWrap w:val="0"/>
            <w:vAlign w:val="center"/>
          </w:tcPr>
          <w:p w14:paraId="5971C8C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工段长</w:t>
            </w:r>
          </w:p>
        </w:tc>
        <w:tc>
          <w:tcPr>
            <w:tcW w:w="1869" w:type="dxa"/>
            <w:tcBorders>
              <w:left w:val="single" w:color="auto" w:sz="4" w:space="0"/>
              <w:right w:val="single" w:color="auto" w:sz="4" w:space="0"/>
            </w:tcBorders>
            <w:noWrap w:val="0"/>
            <w:vAlign w:val="center"/>
          </w:tcPr>
          <w:p w14:paraId="457675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5507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5CD391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洗眼器、淋洗器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011E653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套</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1FAE31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F3DD83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各工段、罐区</w:t>
            </w:r>
          </w:p>
        </w:tc>
        <w:tc>
          <w:tcPr>
            <w:tcW w:w="1869" w:type="dxa"/>
            <w:tcBorders>
              <w:left w:val="single" w:color="auto" w:sz="4" w:space="0"/>
              <w:right w:val="single" w:color="auto" w:sz="4" w:space="0"/>
            </w:tcBorders>
            <w:noWrap w:val="0"/>
            <w:vAlign w:val="center"/>
          </w:tcPr>
          <w:p w14:paraId="303E7D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08A72C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740E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5914DEE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可燃气体报警仪</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501D58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D09F6C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6F9419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甲酯车间</w:t>
            </w:r>
          </w:p>
        </w:tc>
        <w:tc>
          <w:tcPr>
            <w:tcW w:w="1869" w:type="dxa"/>
            <w:tcBorders>
              <w:left w:val="single" w:color="auto" w:sz="4" w:space="0"/>
              <w:bottom w:val="single" w:color="auto" w:sz="4" w:space="0"/>
              <w:right w:val="single" w:color="auto" w:sz="4" w:space="0"/>
            </w:tcBorders>
            <w:noWrap w:val="0"/>
            <w:vAlign w:val="center"/>
          </w:tcPr>
          <w:p w14:paraId="183329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石根元</w:t>
            </w:r>
          </w:p>
        </w:tc>
        <w:tc>
          <w:tcPr>
            <w:tcW w:w="1869" w:type="dxa"/>
            <w:tcBorders>
              <w:left w:val="single" w:color="auto" w:sz="4" w:space="0"/>
              <w:bottom w:val="single" w:color="auto" w:sz="4" w:space="0"/>
              <w:right w:val="single" w:color="auto" w:sz="4" w:space="0"/>
            </w:tcBorders>
            <w:noWrap w:val="0"/>
            <w:vAlign w:val="center"/>
          </w:tcPr>
          <w:p w14:paraId="26630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18615123159</w:t>
            </w:r>
          </w:p>
        </w:tc>
      </w:tr>
      <w:tr w14:paraId="63F6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6AB96A7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围堰</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60903FF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368479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3D9271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罐区</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25CDE4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075BA8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00A9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0D94685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事故水池</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617AB9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71418B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3F9D82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厂区东北侧</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021D004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0488D1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4501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3826A73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应急药箱</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00D9F6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3628F3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CFF117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器材室</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6463B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0C4090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C18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13E93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应急灯</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F863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9E146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5FD2A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车间、办公室</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210715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A2AD1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A83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0B9DA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沙袋</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1895A5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CEEE4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200条</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45F595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3464D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02031E7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4528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8E4AD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吸油毡</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63FE06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DBCBE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455D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E5158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271ED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4E3D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02AC92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塑料布</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3703BD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54A7E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10m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AB8E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BB2B0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681C1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C61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C1854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粘合剂</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C7AC2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E6179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2盒</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7F1BF3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3E42768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450A7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2C1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0F49B3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堵漏胶泥</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40795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253F5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20块</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F8BE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79DF3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B0DC5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4F99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1C9996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堵漏工具</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4E394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400EF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1套</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AF87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CF9EA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5F815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146F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7BA11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消防</w:t>
            </w:r>
            <w:r>
              <w:rPr>
                <w:rFonts w:hint="eastAsia" w:cs="Times New Roman"/>
                <w:color w:val="auto"/>
                <w:sz w:val="21"/>
                <w:szCs w:val="21"/>
                <w:lang w:eastAsia="zh-CN"/>
              </w:rPr>
              <w:t>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867B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E5A31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10把</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37D4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712994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6212F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105E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09" w:type="dxa"/>
            <w:tcBorders>
              <w:top w:val="single" w:color="auto" w:sz="4" w:space="0"/>
              <w:left w:val="single" w:color="auto" w:sz="4" w:space="0"/>
              <w:bottom w:val="single" w:color="auto" w:sz="4" w:space="0"/>
              <w:right w:val="single" w:color="auto" w:sz="4" w:space="0"/>
            </w:tcBorders>
            <w:noWrap w:val="0"/>
            <w:vAlign w:val="center"/>
          </w:tcPr>
          <w:p w14:paraId="5179A7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沙袋</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BB29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B4CD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40</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4895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2B595E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1046D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13280689988</w:t>
            </w:r>
          </w:p>
        </w:tc>
      </w:tr>
    </w:tbl>
    <w:p w14:paraId="5DAB8D87">
      <w:pPr>
        <w:rPr>
          <w:rFonts w:hint="default"/>
          <w:lang w:eastAsia="zh-CN"/>
        </w:rPr>
      </w:pPr>
    </w:p>
    <w:p w14:paraId="3EA9A817">
      <w:pPr>
        <w:rPr>
          <w:rFonts w:hint="default"/>
          <w:lang w:eastAsia="zh-CN"/>
        </w:rPr>
      </w:pPr>
    </w:p>
    <w:p w14:paraId="3EA5ED20">
      <w:pPr>
        <w:rPr>
          <w:rFonts w:hint="default"/>
          <w:lang w:eastAsia="zh-CN"/>
        </w:rPr>
      </w:pPr>
    </w:p>
    <w:p w14:paraId="32E7812E">
      <w:pPr>
        <w:rPr>
          <w:rFonts w:hint="default"/>
          <w:lang w:eastAsia="zh-CN"/>
        </w:rPr>
      </w:pPr>
    </w:p>
    <w:p w14:paraId="6B7448BB">
      <w:pPr>
        <w:rPr>
          <w:rFonts w:hint="default"/>
          <w:lang w:eastAsia="zh-CN"/>
        </w:rPr>
      </w:pPr>
    </w:p>
    <w:p w14:paraId="46E937D3">
      <w:pPr>
        <w:rPr>
          <w:rFonts w:hint="default"/>
          <w:lang w:eastAsia="zh-CN"/>
        </w:rPr>
      </w:pPr>
    </w:p>
    <w:p w14:paraId="6EF327F6">
      <w:pPr>
        <w:rPr>
          <w:rFonts w:hint="default"/>
          <w:lang w:eastAsia="zh-CN"/>
        </w:rPr>
      </w:pPr>
    </w:p>
    <w:p w14:paraId="29A360A4">
      <w:pPr>
        <w:rPr>
          <w:rFonts w:hint="default"/>
          <w:lang w:eastAsia="zh-CN"/>
        </w:rPr>
      </w:pPr>
    </w:p>
    <w:p w14:paraId="44657162">
      <w:pPr>
        <w:rPr>
          <w:rFonts w:hint="default"/>
          <w:lang w:eastAsia="zh-CN"/>
        </w:rPr>
      </w:pPr>
    </w:p>
    <w:p w14:paraId="775CDE8F">
      <w:pPr>
        <w:rPr>
          <w:rFonts w:hint="default"/>
          <w:lang w:eastAsia="zh-CN"/>
        </w:rPr>
      </w:pPr>
    </w:p>
    <w:p w14:paraId="04923A9E">
      <w:pPr>
        <w:rPr>
          <w:rFonts w:hint="default"/>
          <w:lang w:eastAsia="zh-CN"/>
        </w:rPr>
      </w:pPr>
    </w:p>
    <w:p w14:paraId="1689C24F">
      <w:pPr>
        <w:rPr>
          <w:rFonts w:hint="default"/>
          <w:lang w:eastAsia="zh-CN"/>
        </w:rPr>
      </w:pPr>
    </w:p>
    <w:p w14:paraId="07685363">
      <w:pPr>
        <w:rPr>
          <w:rFonts w:hint="default"/>
          <w:lang w:eastAsia="zh-CN"/>
        </w:rPr>
      </w:pPr>
    </w:p>
    <w:p w14:paraId="3DD2FE6F">
      <w:pPr>
        <w:rPr>
          <w:rFonts w:hint="default"/>
          <w:lang w:eastAsia="zh-CN"/>
        </w:rPr>
      </w:pPr>
    </w:p>
    <w:p w14:paraId="4A2DB034">
      <w:pPr>
        <w:rPr>
          <w:rFonts w:hint="default"/>
          <w:lang w:eastAsia="zh-CN"/>
        </w:rPr>
      </w:pPr>
    </w:p>
    <w:p w14:paraId="59FCCB54">
      <w:pPr>
        <w:rPr>
          <w:rFonts w:hint="default"/>
          <w:lang w:eastAsia="zh-CN"/>
        </w:rPr>
      </w:pPr>
    </w:p>
    <w:p w14:paraId="519920A4">
      <w:pPr>
        <w:rPr>
          <w:rFonts w:hint="default"/>
          <w:lang w:eastAsia="zh-CN"/>
        </w:rPr>
      </w:pPr>
    </w:p>
    <w:sectPr>
      <w:headerReference r:id="rId6" w:type="default"/>
      <w:footerReference r:id="rId7" w:type="default"/>
      <w:pgSz w:w="11906" w:h="16838"/>
      <w:pgMar w:top="1417" w:right="1701" w:bottom="1417" w:left="1701" w:header="850" w:footer="992" w:gutter="0"/>
      <w:pgNumType w:fmt="decimal"/>
      <w:cols w:space="0" w:num="1"/>
      <w:rtlGutter w:val="0"/>
      <w:docGrid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黑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GB Pinyinok-A">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2FF" w:usb1="420024FF" w:usb2="00000000" w:usb3="00000000" w:csb0="2000019F" w:csb1="00000000"/>
  </w:font>
  <w:font w:name="新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5B84D">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2D2A">
    <w:pPr>
      <w:pStyle w:val="23"/>
      <w:ind w:firstLine="360"/>
      <w:jc w:val="center"/>
      <w:rPr>
        <w:color w:val="4F81BD" w:themeColor="accent1"/>
        <w14:textFill>
          <w14:solidFill>
            <w14:schemeClr w14:val="accent1"/>
          </w14:solidFill>
        </w14:textFill>
      </w:rPr>
    </w:pPr>
    <w:r>
      <w:rPr>
        <w:color w:val="4F81BD" w:themeColor="accent1"/>
        <w14:textFill>
          <w14:solidFill>
            <w14:schemeClr w14:val="accent1"/>
          </w14:solidFill>
        </w14:textFill>
      </w:rPr>
      <w:fldChar w:fldCharType="begin"/>
    </w:r>
    <w:r>
      <w:rPr>
        <w:color w:val="4F81BD" w:themeColor="accent1"/>
        <w14:textFill>
          <w14:solidFill>
            <w14:schemeClr w14:val="accent1"/>
          </w14:solidFill>
        </w14:textFill>
      </w:rPr>
      <w:instrText xml:space="preserve">PAGE  \* Arabic  \* MERGEFORMAT</w:instrText>
    </w:r>
    <w:r>
      <w:rPr>
        <w:color w:val="4F81BD" w:themeColor="accent1"/>
        <w14:textFill>
          <w14:solidFill>
            <w14:schemeClr w14:val="accent1"/>
          </w14:solidFill>
        </w14:textFill>
      </w:rPr>
      <w:fldChar w:fldCharType="separate"/>
    </w:r>
    <w:r>
      <w:rPr>
        <w:color w:val="4F81BD" w:themeColor="accent1"/>
        <w:lang w:val="zh-CN"/>
        <w14:textFill>
          <w14:solidFill>
            <w14:schemeClr w14:val="accent1"/>
          </w14:solidFill>
        </w14:textFill>
      </w:rPr>
      <w:t>70</w:t>
    </w:r>
    <w:r>
      <w:rPr>
        <w:color w:val="4F81BD" w:themeColor="accent1"/>
        <w14:textFill>
          <w14:solidFill>
            <w14:schemeClr w14:val="accent1"/>
          </w14:solidFill>
        </w14:textFil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1E5F2">
    <w:pPr>
      <w:pStyle w:val="2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DA59E8">
                          <w:pPr>
                            <w:pStyle w:val="2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53</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LfAckBAACaAwAADgAAAGRycy9lMm9Eb2MueG1srVPNjtMwEL4j8Q6W&#10;79TZSqA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dvKXHc4sTPP3+cf/05//5O&#10;ll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4It8ByQEAAJoDAAAOAAAAAAAAAAEAIAAAAB4BAABkcnMvZTJvRG9j&#10;LnhtbFBLBQYAAAAABgAGAFkBAABZBQAAAAA=&#10;">
              <v:fill on="f" focussize="0,0"/>
              <v:stroke on="f"/>
              <v:imagedata o:title=""/>
              <o:lock v:ext="edit" aspectratio="f"/>
              <v:textbox inset="0mm,0mm,0mm,0mm" style="mso-fit-shape-to-text:t;">
                <w:txbxContent>
                  <w:p w14:paraId="24DA59E8">
                    <w:pPr>
                      <w:pStyle w:val="2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259A9">
    <w:pPr>
      <w:pStyle w:val="24"/>
      <w:pBdr>
        <w:bottom w:val="thinThickSmallGap" w:color="auto" w:sz="24" w:space="1"/>
      </w:pBdr>
      <w:jc w:val="left"/>
    </w:pPr>
    <w:r>
      <w:rPr>
        <w:rFonts w:hint="eastAsia"/>
        <w:lang w:eastAsia="zh-CN"/>
      </w:rPr>
      <w:t>山东隆盛和助剂有限公司</w:t>
    </w:r>
    <w:r>
      <w:rPr>
        <w:rFonts w:hint="eastAsia"/>
      </w:rPr>
      <w:t>突发环境事件风险评估报告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5A3E1">
    <w:pPr>
      <w:pStyle w:val="24"/>
      <w:pBdr>
        <w:bottom w:val="thinThickSmallGap" w:color="auto" w:sz="24" w:space="1"/>
      </w:pBdr>
      <w:jc w:val="left"/>
    </w:pPr>
    <w:r>
      <w:rPr>
        <w:rFonts w:hint="eastAsia"/>
        <w:lang w:eastAsia="zh-CN"/>
      </w:rPr>
      <w:t>山东隆盛和助剂有限公司</w:t>
    </w:r>
    <w:r>
      <w:rPr>
        <w:rFonts w:hint="eastAsia"/>
      </w:rPr>
      <w:t>突发环境事件风险评估报告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D1668"/>
    <w:multiLevelType w:val="singleLevel"/>
    <w:tmpl w:val="897D1668"/>
    <w:lvl w:ilvl="0" w:tentative="0">
      <w:start w:val="1"/>
      <w:numFmt w:val="decimal"/>
      <w:suff w:val="nothing"/>
      <w:lvlText w:val="%1、"/>
      <w:lvlJc w:val="left"/>
    </w:lvl>
  </w:abstractNum>
  <w:abstractNum w:abstractNumId="1">
    <w:nsid w:val="9FA5A190"/>
    <w:multiLevelType w:val="singleLevel"/>
    <w:tmpl w:val="9FA5A190"/>
    <w:lvl w:ilvl="0" w:tentative="0">
      <w:start w:val="1"/>
      <w:numFmt w:val="decimal"/>
      <w:lvlText w:val="%1."/>
      <w:lvlJc w:val="left"/>
      <w:pPr>
        <w:tabs>
          <w:tab w:val="left" w:pos="312"/>
        </w:tabs>
      </w:pPr>
    </w:lvl>
  </w:abstractNum>
  <w:abstractNum w:abstractNumId="2">
    <w:nsid w:val="B179CF19"/>
    <w:multiLevelType w:val="singleLevel"/>
    <w:tmpl w:val="B179CF19"/>
    <w:lvl w:ilvl="0" w:tentative="0">
      <w:start w:val="9"/>
      <w:numFmt w:val="decimal"/>
      <w:suff w:val="nothing"/>
      <w:lvlText w:val="（%1）"/>
      <w:lvlJc w:val="left"/>
    </w:lvl>
  </w:abstractNum>
  <w:abstractNum w:abstractNumId="3">
    <w:nsid w:val="BD90ED0B"/>
    <w:multiLevelType w:val="singleLevel"/>
    <w:tmpl w:val="BD90ED0B"/>
    <w:lvl w:ilvl="0" w:tentative="0">
      <w:start w:val="1"/>
      <w:numFmt w:val="decimal"/>
      <w:lvlText w:val="%1."/>
      <w:lvlJc w:val="left"/>
      <w:pPr>
        <w:tabs>
          <w:tab w:val="left" w:pos="312"/>
        </w:tabs>
      </w:pPr>
    </w:lvl>
  </w:abstractNum>
  <w:abstractNum w:abstractNumId="4">
    <w:nsid w:val="CA08A7E9"/>
    <w:multiLevelType w:val="singleLevel"/>
    <w:tmpl w:val="CA08A7E9"/>
    <w:lvl w:ilvl="0" w:tentative="0">
      <w:start w:val="1"/>
      <w:numFmt w:val="decimal"/>
      <w:suff w:val="nothing"/>
      <w:lvlText w:val="%1、"/>
      <w:lvlJc w:val="left"/>
    </w:lvl>
  </w:abstractNum>
  <w:abstractNum w:abstractNumId="5">
    <w:nsid w:val="15F21A2C"/>
    <w:multiLevelType w:val="multilevel"/>
    <w:tmpl w:val="15F21A2C"/>
    <w:lvl w:ilvl="0" w:tentative="0">
      <w:start w:val="1"/>
      <w:numFmt w:val="decimal"/>
      <w:suff w:val="nothing"/>
      <w:lvlText w:val="%1"/>
      <w:lvlJc w:val="left"/>
      <w:pPr>
        <w:ind w:left="1985" w:hanging="1985"/>
      </w:pPr>
      <w:rPr>
        <w:rFonts w:hint="eastAsia" w:cs="Times New Roman"/>
      </w:rPr>
    </w:lvl>
    <w:lvl w:ilvl="1" w:tentative="0">
      <w:start w:val="1"/>
      <w:numFmt w:val="decimal"/>
      <w:suff w:val="nothing"/>
      <w:lvlText w:val="%1.%2 "/>
      <w:lvlJc w:val="left"/>
      <w:pPr>
        <w:ind w:left="1985" w:hanging="1985"/>
      </w:pPr>
      <w:rPr>
        <w:rFonts w:hint="default" w:ascii="Times New Roman" w:hAnsi="Times New Roman" w:eastAsia="黑体" w:cs="Times New Roman"/>
        <w:sz w:val="30"/>
        <w:szCs w:val="30"/>
      </w:rPr>
    </w:lvl>
    <w:lvl w:ilvl="2" w:tentative="0">
      <w:start w:val="1"/>
      <w:numFmt w:val="decimal"/>
      <w:suff w:val="nothing"/>
      <w:lvlText w:val="%1.%2.%3 "/>
      <w:lvlJc w:val="left"/>
      <w:pPr>
        <w:ind w:left="1985" w:hanging="1985"/>
      </w:pPr>
      <w:rPr>
        <w:rFonts w:hint="default" w:ascii="Times New Roman" w:hAnsi="Times New Roman" w:eastAsia="黑体" w:cs="Times New Roman"/>
        <w:color w:val="auto"/>
        <w:sz w:val="28"/>
        <w:szCs w:val="28"/>
      </w:rPr>
    </w:lvl>
    <w:lvl w:ilvl="3" w:tentative="0">
      <w:start w:val="1"/>
      <w:numFmt w:val="decimal"/>
      <w:pStyle w:val="9"/>
      <w:suff w:val="nothing"/>
      <w:lvlText w:val="%1.%2.%3.%4 "/>
      <w:lvlJc w:val="left"/>
      <w:pPr>
        <w:ind w:left="1984" w:hanging="1984"/>
      </w:pPr>
      <w:rPr>
        <w:rFonts w:hint="default" w:ascii="Times New Roman" w:hAnsi="Times New Roman" w:cs="Times New Roman"/>
      </w:rPr>
    </w:lvl>
    <w:lvl w:ilvl="4" w:tentative="0">
      <w:start w:val="1"/>
      <w:numFmt w:val="decimal"/>
      <w:lvlText w:val="%1.%2.%3.%4.%5"/>
      <w:lvlJc w:val="left"/>
      <w:pPr>
        <w:tabs>
          <w:tab w:val="left" w:pos="2551"/>
        </w:tabs>
        <w:ind w:left="2551" w:hanging="2551"/>
      </w:pPr>
      <w:rPr>
        <w:rFonts w:hint="eastAsia" w:cs="Times New Roman"/>
      </w:rPr>
    </w:lvl>
    <w:lvl w:ilvl="5" w:tentative="0">
      <w:start w:val="1"/>
      <w:numFmt w:val="decimal"/>
      <w:lvlText w:val="%1.%2.%3.%4.%5.%6"/>
      <w:lvlJc w:val="left"/>
      <w:pPr>
        <w:tabs>
          <w:tab w:val="left" w:pos="3260"/>
        </w:tabs>
        <w:ind w:left="3260" w:hanging="3260"/>
      </w:pPr>
      <w:rPr>
        <w:rFonts w:hint="eastAsia" w:cs="Times New Roman"/>
      </w:rPr>
    </w:lvl>
    <w:lvl w:ilvl="6" w:tentative="0">
      <w:start w:val="1"/>
      <w:numFmt w:val="decimal"/>
      <w:lvlText w:val="%1.%2.%3.%4.%5.%6.%7"/>
      <w:lvlJc w:val="left"/>
      <w:pPr>
        <w:tabs>
          <w:tab w:val="left" w:pos="3827"/>
        </w:tabs>
        <w:ind w:left="3827" w:hanging="3827"/>
      </w:pPr>
      <w:rPr>
        <w:rFonts w:hint="eastAsia" w:cs="Times New Roman"/>
      </w:rPr>
    </w:lvl>
    <w:lvl w:ilvl="7" w:tentative="0">
      <w:start w:val="1"/>
      <w:numFmt w:val="decimal"/>
      <w:lvlText w:val="%1.%2.%3.%4.%5.%6.%7.%8"/>
      <w:lvlJc w:val="left"/>
      <w:pPr>
        <w:tabs>
          <w:tab w:val="left" w:pos="4394"/>
        </w:tabs>
        <w:ind w:left="4394" w:hanging="4394"/>
      </w:pPr>
      <w:rPr>
        <w:rFonts w:hint="eastAsia" w:cs="Times New Roman"/>
      </w:rPr>
    </w:lvl>
    <w:lvl w:ilvl="8" w:tentative="0">
      <w:start w:val="1"/>
      <w:numFmt w:val="decimal"/>
      <w:lvlText w:val="%1.%2.%3.%4.%5.%6.%7.%8.%9"/>
      <w:lvlJc w:val="left"/>
      <w:pPr>
        <w:tabs>
          <w:tab w:val="left" w:pos="5102"/>
        </w:tabs>
        <w:ind w:left="5102" w:hanging="5102"/>
      </w:pPr>
      <w:rPr>
        <w:rFonts w:hint="eastAsia" w:cs="Times New Roman"/>
      </w:rPr>
    </w:lvl>
  </w:abstractNum>
  <w:abstractNum w:abstractNumId="6">
    <w:nsid w:val="3BF441ED"/>
    <w:multiLevelType w:val="multilevel"/>
    <w:tmpl w:val="3BF441ED"/>
    <w:lvl w:ilvl="0" w:tentative="0">
      <w:start w:val="1"/>
      <w:numFmt w:val="decimal"/>
      <w:suff w:val="nothing"/>
      <w:lvlText w:val="%1)"/>
      <w:lvlJc w:val="left"/>
      <w:pPr>
        <w:ind w:left="0" w:firstLine="454"/>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3F68AD53"/>
    <w:multiLevelType w:val="singleLevel"/>
    <w:tmpl w:val="3F68AD53"/>
    <w:lvl w:ilvl="0" w:tentative="0">
      <w:start w:val="4"/>
      <w:numFmt w:val="chineseCounting"/>
      <w:suff w:val="nothing"/>
      <w:lvlText w:val="（%1）"/>
      <w:lvlJc w:val="left"/>
      <w:rPr>
        <w:rFonts w:hint="eastAsia"/>
      </w:rPr>
    </w:lvl>
  </w:abstractNum>
  <w:abstractNum w:abstractNumId="8">
    <w:nsid w:val="4BEC438A"/>
    <w:multiLevelType w:val="singleLevel"/>
    <w:tmpl w:val="4BEC438A"/>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9">
    <w:nsid w:val="797C52EE"/>
    <w:multiLevelType w:val="multilevel"/>
    <w:tmpl w:val="797C52EE"/>
    <w:lvl w:ilvl="0" w:tentative="0">
      <w:start w:val="1"/>
      <w:numFmt w:val="decimal"/>
      <w:suff w:val="nothing"/>
      <w:lvlText w:val="（%1）"/>
      <w:lvlJc w:val="left"/>
      <w:pPr>
        <w:ind w:left="0" w:firstLine="482"/>
      </w:pPr>
      <w:rPr>
        <w:rFonts w:hint="eastAsia"/>
        <w:lang w:val="en-US"/>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7E30A1BA"/>
    <w:multiLevelType w:val="singleLevel"/>
    <w:tmpl w:val="7E30A1BA"/>
    <w:lvl w:ilvl="0" w:tentative="0">
      <w:start w:val="1"/>
      <w:numFmt w:val="decimal"/>
      <w:suff w:val="nothing"/>
      <w:lvlText w:val="%1、"/>
      <w:lvlJc w:val="left"/>
    </w:lvl>
  </w:abstractNum>
  <w:num w:numId="1">
    <w:abstractNumId w:val="5"/>
  </w:num>
  <w:num w:numId="2">
    <w:abstractNumId w:val="8"/>
  </w:num>
  <w:num w:numId="3">
    <w:abstractNumId w:val="9"/>
  </w:num>
  <w:num w:numId="4">
    <w:abstractNumId w:val="7"/>
  </w:num>
  <w:num w:numId="5">
    <w:abstractNumId w:val="2"/>
  </w:num>
  <w:num w:numId="6">
    <w:abstractNumId w:val="1"/>
  </w:num>
  <w:num w:numId="7">
    <w:abstractNumId w:val="3"/>
  </w:num>
  <w:num w:numId="8">
    <w:abstractNumId w:val="6"/>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MDNiZGVlNDBiNTY3OTg0ZDFkMWYyOWYxYjFmZGQifQ=="/>
  </w:docVars>
  <w:rsids>
    <w:rsidRoot w:val="000F79E9"/>
    <w:rsid w:val="000101E8"/>
    <w:rsid w:val="0001613C"/>
    <w:rsid w:val="00021023"/>
    <w:rsid w:val="00021904"/>
    <w:rsid w:val="00022A53"/>
    <w:rsid w:val="00022FD0"/>
    <w:rsid w:val="00030E7F"/>
    <w:rsid w:val="0003158C"/>
    <w:rsid w:val="0003228E"/>
    <w:rsid w:val="00033BA4"/>
    <w:rsid w:val="00035AD4"/>
    <w:rsid w:val="00035E31"/>
    <w:rsid w:val="00036B34"/>
    <w:rsid w:val="00041C70"/>
    <w:rsid w:val="000466D5"/>
    <w:rsid w:val="00047489"/>
    <w:rsid w:val="0005186F"/>
    <w:rsid w:val="00051C30"/>
    <w:rsid w:val="00051F00"/>
    <w:rsid w:val="00052B77"/>
    <w:rsid w:val="000568FB"/>
    <w:rsid w:val="00056A49"/>
    <w:rsid w:val="00063A61"/>
    <w:rsid w:val="000728B2"/>
    <w:rsid w:val="00072ED3"/>
    <w:rsid w:val="0007329D"/>
    <w:rsid w:val="0007589C"/>
    <w:rsid w:val="00081978"/>
    <w:rsid w:val="00081D58"/>
    <w:rsid w:val="00082800"/>
    <w:rsid w:val="00082F55"/>
    <w:rsid w:val="0008389F"/>
    <w:rsid w:val="00085AFE"/>
    <w:rsid w:val="00087B92"/>
    <w:rsid w:val="00090500"/>
    <w:rsid w:val="0009139A"/>
    <w:rsid w:val="0009192F"/>
    <w:rsid w:val="00092CC9"/>
    <w:rsid w:val="00093315"/>
    <w:rsid w:val="00097F7E"/>
    <w:rsid w:val="000B0090"/>
    <w:rsid w:val="000B06CD"/>
    <w:rsid w:val="000B4717"/>
    <w:rsid w:val="000B51D9"/>
    <w:rsid w:val="000B7F76"/>
    <w:rsid w:val="000C248B"/>
    <w:rsid w:val="000C5BF5"/>
    <w:rsid w:val="000C6760"/>
    <w:rsid w:val="000C7009"/>
    <w:rsid w:val="000C7E70"/>
    <w:rsid w:val="000D1E03"/>
    <w:rsid w:val="000D2C8C"/>
    <w:rsid w:val="000D3802"/>
    <w:rsid w:val="000D5A1B"/>
    <w:rsid w:val="000E2D67"/>
    <w:rsid w:val="000E2EBC"/>
    <w:rsid w:val="000F79E9"/>
    <w:rsid w:val="00100B1B"/>
    <w:rsid w:val="00103B1D"/>
    <w:rsid w:val="00104F1D"/>
    <w:rsid w:val="001056EC"/>
    <w:rsid w:val="00107BC4"/>
    <w:rsid w:val="00110DED"/>
    <w:rsid w:val="00114670"/>
    <w:rsid w:val="001147F2"/>
    <w:rsid w:val="00117E98"/>
    <w:rsid w:val="00120100"/>
    <w:rsid w:val="00121067"/>
    <w:rsid w:val="00125010"/>
    <w:rsid w:val="00132FDD"/>
    <w:rsid w:val="00137125"/>
    <w:rsid w:val="00137BF4"/>
    <w:rsid w:val="0014098F"/>
    <w:rsid w:val="00142268"/>
    <w:rsid w:val="00147187"/>
    <w:rsid w:val="00147320"/>
    <w:rsid w:val="00152953"/>
    <w:rsid w:val="00153AEF"/>
    <w:rsid w:val="00155F25"/>
    <w:rsid w:val="00157692"/>
    <w:rsid w:val="00161FE4"/>
    <w:rsid w:val="00165C7C"/>
    <w:rsid w:val="0016640A"/>
    <w:rsid w:val="00170176"/>
    <w:rsid w:val="00174439"/>
    <w:rsid w:val="00174E8A"/>
    <w:rsid w:val="001753D8"/>
    <w:rsid w:val="0018174C"/>
    <w:rsid w:val="00190B3F"/>
    <w:rsid w:val="00192D96"/>
    <w:rsid w:val="0019579D"/>
    <w:rsid w:val="00195CFA"/>
    <w:rsid w:val="00196759"/>
    <w:rsid w:val="001A109E"/>
    <w:rsid w:val="001A18E7"/>
    <w:rsid w:val="001A75C2"/>
    <w:rsid w:val="001A7D4E"/>
    <w:rsid w:val="001B1914"/>
    <w:rsid w:val="001B1A04"/>
    <w:rsid w:val="001B2EC8"/>
    <w:rsid w:val="001C0247"/>
    <w:rsid w:val="001C10C2"/>
    <w:rsid w:val="001D60A5"/>
    <w:rsid w:val="001D6855"/>
    <w:rsid w:val="001E17A4"/>
    <w:rsid w:val="001E42D2"/>
    <w:rsid w:val="001E47A6"/>
    <w:rsid w:val="001E5F1E"/>
    <w:rsid w:val="001E7885"/>
    <w:rsid w:val="001F0FFD"/>
    <w:rsid w:val="001F4B63"/>
    <w:rsid w:val="001F7E29"/>
    <w:rsid w:val="00200444"/>
    <w:rsid w:val="002055D3"/>
    <w:rsid w:val="002064A6"/>
    <w:rsid w:val="0020705E"/>
    <w:rsid w:val="0021130B"/>
    <w:rsid w:val="002117E2"/>
    <w:rsid w:val="00212B2C"/>
    <w:rsid w:val="00212D67"/>
    <w:rsid w:val="00215CA0"/>
    <w:rsid w:val="0021698D"/>
    <w:rsid w:val="00222329"/>
    <w:rsid w:val="002232C1"/>
    <w:rsid w:val="00231426"/>
    <w:rsid w:val="002402CB"/>
    <w:rsid w:val="0024040D"/>
    <w:rsid w:val="002449D1"/>
    <w:rsid w:val="002449ED"/>
    <w:rsid w:val="0025143F"/>
    <w:rsid w:val="00252174"/>
    <w:rsid w:val="00254FE9"/>
    <w:rsid w:val="002605B2"/>
    <w:rsid w:val="00260D53"/>
    <w:rsid w:val="002619E8"/>
    <w:rsid w:val="00263BDF"/>
    <w:rsid w:val="00264EC4"/>
    <w:rsid w:val="00265516"/>
    <w:rsid w:val="002700E7"/>
    <w:rsid w:val="0027752E"/>
    <w:rsid w:val="0028059C"/>
    <w:rsid w:val="00282EDC"/>
    <w:rsid w:val="002848C9"/>
    <w:rsid w:val="00291D08"/>
    <w:rsid w:val="00293635"/>
    <w:rsid w:val="002944E3"/>
    <w:rsid w:val="00296008"/>
    <w:rsid w:val="002A26DC"/>
    <w:rsid w:val="002B3A6E"/>
    <w:rsid w:val="002B59EE"/>
    <w:rsid w:val="002B7EA5"/>
    <w:rsid w:val="002B7EF9"/>
    <w:rsid w:val="002C12F0"/>
    <w:rsid w:val="002C4FB5"/>
    <w:rsid w:val="002D1408"/>
    <w:rsid w:val="002D2ED6"/>
    <w:rsid w:val="002D4A4E"/>
    <w:rsid w:val="002E1A4C"/>
    <w:rsid w:val="002E265D"/>
    <w:rsid w:val="002E4F95"/>
    <w:rsid w:val="002E5597"/>
    <w:rsid w:val="002E6096"/>
    <w:rsid w:val="002E79FA"/>
    <w:rsid w:val="002F1588"/>
    <w:rsid w:val="002F736D"/>
    <w:rsid w:val="00315581"/>
    <w:rsid w:val="00315E1E"/>
    <w:rsid w:val="003206CB"/>
    <w:rsid w:val="00323D15"/>
    <w:rsid w:val="00324105"/>
    <w:rsid w:val="00325309"/>
    <w:rsid w:val="00327F66"/>
    <w:rsid w:val="00331114"/>
    <w:rsid w:val="003315BE"/>
    <w:rsid w:val="003322DB"/>
    <w:rsid w:val="003349A8"/>
    <w:rsid w:val="00341892"/>
    <w:rsid w:val="00361382"/>
    <w:rsid w:val="00361463"/>
    <w:rsid w:val="003639A1"/>
    <w:rsid w:val="00364CAE"/>
    <w:rsid w:val="00372524"/>
    <w:rsid w:val="0037301C"/>
    <w:rsid w:val="00374320"/>
    <w:rsid w:val="003754BB"/>
    <w:rsid w:val="00380703"/>
    <w:rsid w:val="003824E5"/>
    <w:rsid w:val="003915D8"/>
    <w:rsid w:val="00391B17"/>
    <w:rsid w:val="00392BB4"/>
    <w:rsid w:val="00393529"/>
    <w:rsid w:val="003A6CE2"/>
    <w:rsid w:val="003B0436"/>
    <w:rsid w:val="003B06B1"/>
    <w:rsid w:val="003B22CE"/>
    <w:rsid w:val="003B4935"/>
    <w:rsid w:val="003C312C"/>
    <w:rsid w:val="003C470B"/>
    <w:rsid w:val="003C502D"/>
    <w:rsid w:val="003C6DCB"/>
    <w:rsid w:val="003D42F1"/>
    <w:rsid w:val="003D6F7D"/>
    <w:rsid w:val="003D7215"/>
    <w:rsid w:val="003E2830"/>
    <w:rsid w:val="003E68DA"/>
    <w:rsid w:val="003E6960"/>
    <w:rsid w:val="003F2FEC"/>
    <w:rsid w:val="003F613F"/>
    <w:rsid w:val="003F77E7"/>
    <w:rsid w:val="004013BB"/>
    <w:rsid w:val="00403B54"/>
    <w:rsid w:val="004113C1"/>
    <w:rsid w:val="004225FA"/>
    <w:rsid w:val="00423A0A"/>
    <w:rsid w:val="00424687"/>
    <w:rsid w:val="00424770"/>
    <w:rsid w:val="00426B13"/>
    <w:rsid w:val="004319B3"/>
    <w:rsid w:val="004332B9"/>
    <w:rsid w:val="00433C5E"/>
    <w:rsid w:val="00434D3A"/>
    <w:rsid w:val="00434D74"/>
    <w:rsid w:val="00444E36"/>
    <w:rsid w:val="00450A2D"/>
    <w:rsid w:val="0045235E"/>
    <w:rsid w:val="004524EA"/>
    <w:rsid w:val="00454A86"/>
    <w:rsid w:val="00454E16"/>
    <w:rsid w:val="0046325C"/>
    <w:rsid w:val="00481C1D"/>
    <w:rsid w:val="00486018"/>
    <w:rsid w:val="004876C9"/>
    <w:rsid w:val="004A2885"/>
    <w:rsid w:val="004A2B22"/>
    <w:rsid w:val="004A567D"/>
    <w:rsid w:val="004A5D09"/>
    <w:rsid w:val="004B0180"/>
    <w:rsid w:val="004B0255"/>
    <w:rsid w:val="004B22F3"/>
    <w:rsid w:val="004B2960"/>
    <w:rsid w:val="004B7463"/>
    <w:rsid w:val="004C1C5F"/>
    <w:rsid w:val="004C24C7"/>
    <w:rsid w:val="004C6D23"/>
    <w:rsid w:val="004D269F"/>
    <w:rsid w:val="004D39A8"/>
    <w:rsid w:val="004D4A5E"/>
    <w:rsid w:val="004D5C84"/>
    <w:rsid w:val="004E1A59"/>
    <w:rsid w:val="004E1CE7"/>
    <w:rsid w:val="004E7C92"/>
    <w:rsid w:val="004F265A"/>
    <w:rsid w:val="004F7B90"/>
    <w:rsid w:val="005028DE"/>
    <w:rsid w:val="005054F0"/>
    <w:rsid w:val="00506189"/>
    <w:rsid w:val="00507008"/>
    <w:rsid w:val="005109B8"/>
    <w:rsid w:val="00515054"/>
    <w:rsid w:val="005162E2"/>
    <w:rsid w:val="005205AF"/>
    <w:rsid w:val="0052482E"/>
    <w:rsid w:val="00524BEE"/>
    <w:rsid w:val="005307FE"/>
    <w:rsid w:val="00533532"/>
    <w:rsid w:val="00536B07"/>
    <w:rsid w:val="00541088"/>
    <w:rsid w:val="00546625"/>
    <w:rsid w:val="0055620E"/>
    <w:rsid w:val="005571E2"/>
    <w:rsid w:val="0055757F"/>
    <w:rsid w:val="005644AE"/>
    <w:rsid w:val="00565BF5"/>
    <w:rsid w:val="00571DF3"/>
    <w:rsid w:val="00572299"/>
    <w:rsid w:val="00574169"/>
    <w:rsid w:val="00575752"/>
    <w:rsid w:val="00582246"/>
    <w:rsid w:val="00582A31"/>
    <w:rsid w:val="00583020"/>
    <w:rsid w:val="0058337B"/>
    <w:rsid w:val="005B4D5E"/>
    <w:rsid w:val="005B6EAA"/>
    <w:rsid w:val="005C14F8"/>
    <w:rsid w:val="005C7D7A"/>
    <w:rsid w:val="005D04AD"/>
    <w:rsid w:val="005D2570"/>
    <w:rsid w:val="005D3737"/>
    <w:rsid w:val="005D6806"/>
    <w:rsid w:val="005E1B0F"/>
    <w:rsid w:val="005E4A28"/>
    <w:rsid w:val="005F0279"/>
    <w:rsid w:val="005F2159"/>
    <w:rsid w:val="005F29C6"/>
    <w:rsid w:val="005F3D89"/>
    <w:rsid w:val="00604FCA"/>
    <w:rsid w:val="006053CF"/>
    <w:rsid w:val="00610598"/>
    <w:rsid w:val="00612641"/>
    <w:rsid w:val="006142F7"/>
    <w:rsid w:val="00617D96"/>
    <w:rsid w:val="00621794"/>
    <w:rsid w:val="00621C75"/>
    <w:rsid w:val="006228F8"/>
    <w:rsid w:val="00623EC7"/>
    <w:rsid w:val="006279DD"/>
    <w:rsid w:val="006301A9"/>
    <w:rsid w:val="00630249"/>
    <w:rsid w:val="006302EB"/>
    <w:rsid w:val="00631935"/>
    <w:rsid w:val="0063297F"/>
    <w:rsid w:val="00632FFC"/>
    <w:rsid w:val="00633BCC"/>
    <w:rsid w:val="00635194"/>
    <w:rsid w:val="00640895"/>
    <w:rsid w:val="00642289"/>
    <w:rsid w:val="006451ED"/>
    <w:rsid w:val="006533A2"/>
    <w:rsid w:val="00653989"/>
    <w:rsid w:val="00654EAB"/>
    <w:rsid w:val="006571BC"/>
    <w:rsid w:val="006573E3"/>
    <w:rsid w:val="00660877"/>
    <w:rsid w:val="006637B9"/>
    <w:rsid w:val="00667015"/>
    <w:rsid w:val="0067711C"/>
    <w:rsid w:val="00683FA0"/>
    <w:rsid w:val="00684D7F"/>
    <w:rsid w:val="006872D3"/>
    <w:rsid w:val="006902CD"/>
    <w:rsid w:val="00690AF5"/>
    <w:rsid w:val="0069270B"/>
    <w:rsid w:val="006935C9"/>
    <w:rsid w:val="00695365"/>
    <w:rsid w:val="00695EC9"/>
    <w:rsid w:val="006A0D31"/>
    <w:rsid w:val="006A1E33"/>
    <w:rsid w:val="006A667E"/>
    <w:rsid w:val="006B0E6C"/>
    <w:rsid w:val="006B129E"/>
    <w:rsid w:val="006B3581"/>
    <w:rsid w:val="006B5703"/>
    <w:rsid w:val="006C1C06"/>
    <w:rsid w:val="006C2D67"/>
    <w:rsid w:val="006C4A8E"/>
    <w:rsid w:val="006D4150"/>
    <w:rsid w:val="006D4CCF"/>
    <w:rsid w:val="006E08B6"/>
    <w:rsid w:val="006E5DFA"/>
    <w:rsid w:val="006E6A40"/>
    <w:rsid w:val="006F1C1E"/>
    <w:rsid w:val="006F7DE7"/>
    <w:rsid w:val="00710532"/>
    <w:rsid w:val="00712645"/>
    <w:rsid w:val="007237F1"/>
    <w:rsid w:val="00734F15"/>
    <w:rsid w:val="0073526F"/>
    <w:rsid w:val="00735387"/>
    <w:rsid w:val="00736901"/>
    <w:rsid w:val="0074158E"/>
    <w:rsid w:val="00743127"/>
    <w:rsid w:val="00743763"/>
    <w:rsid w:val="00752F09"/>
    <w:rsid w:val="007537F7"/>
    <w:rsid w:val="00755967"/>
    <w:rsid w:val="00762080"/>
    <w:rsid w:val="00764CC7"/>
    <w:rsid w:val="007703CB"/>
    <w:rsid w:val="0077092D"/>
    <w:rsid w:val="00770B35"/>
    <w:rsid w:val="007715B6"/>
    <w:rsid w:val="00774AA2"/>
    <w:rsid w:val="00775FC2"/>
    <w:rsid w:val="00777AC5"/>
    <w:rsid w:val="007801A3"/>
    <w:rsid w:val="0078798B"/>
    <w:rsid w:val="0079085B"/>
    <w:rsid w:val="00791D67"/>
    <w:rsid w:val="00795B86"/>
    <w:rsid w:val="0079746C"/>
    <w:rsid w:val="007A1E83"/>
    <w:rsid w:val="007A4948"/>
    <w:rsid w:val="007A54C3"/>
    <w:rsid w:val="007A5918"/>
    <w:rsid w:val="007B1166"/>
    <w:rsid w:val="007C1701"/>
    <w:rsid w:val="007C2981"/>
    <w:rsid w:val="007C2D94"/>
    <w:rsid w:val="007C6C83"/>
    <w:rsid w:val="007D0018"/>
    <w:rsid w:val="007D65E6"/>
    <w:rsid w:val="007E0CD8"/>
    <w:rsid w:val="007E27C6"/>
    <w:rsid w:val="007E5013"/>
    <w:rsid w:val="007E7018"/>
    <w:rsid w:val="007F05ED"/>
    <w:rsid w:val="007F0900"/>
    <w:rsid w:val="007F3E27"/>
    <w:rsid w:val="007F679C"/>
    <w:rsid w:val="007F7E71"/>
    <w:rsid w:val="00804873"/>
    <w:rsid w:val="00805FAB"/>
    <w:rsid w:val="00813142"/>
    <w:rsid w:val="0081444C"/>
    <w:rsid w:val="00815F11"/>
    <w:rsid w:val="00816579"/>
    <w:rsid w:val="008268E6"/>
    <w:rsid w:val="008323B8"/>
    <w:rsid w:val="00832F4B"/>
    <w:rsid w:val="00840BB8"/>
    <w:rsid w:val="008461B8"/>
    <w:rsid w:val="00846F59"/>
    <w:rsid w:val="00847F22"/>
    <w:rsid w:val="008516B2"/>
    <w:rsid w:val="00851C2A"/>
    <w:rsid w:val="008532D5"/>
    <w:rsid w:val="008557C3"/>
    <w:rsid w:val="00856255"/>
    <w:rsid w:val="008579A4"/>
    <w:rsid w:val="00863985"/>
    <w:rsid w:val="00863EAE"/>
    <w:rsid w:val="00871BE6"/>
    <w:rsid w:val="00877C98"/>
    <w:rsid w:val="0088078C"/>
    <w:rsid w:val="00881D1A"/>
    <w:rsid w:val="008929F6"/>
    <w:rsid w:val="00892D55"/>
    <w:rsid w:val="0089368B"/>
    <w:rsid w:val="00896392"/>
    <w:rsid w:val="00897C71"/>
    <w:rsid w:val="008A240E"/>
    <w:rsid w:val="008A648E"/>
    <w:rsid w:val="008A7989"/>
    <w:rsid w:val="008A79BA"/>
    <w:rsid w:val="008B18BF"/>
    <w:rsid w:val="008B211C"/>
    <w:rsid w:val="008B3BCC"/>
    <w:rsid w:val="008B4F6D"/>
    <w:rsid w:val="008C1A15"/>
    <w:rsid w:val="008C457E"/>
    <w:rsid w:val="008C6EF1"/>
    <w:rsid w:val="008D4C47"/>
    <w:rsid w:val="008D5383"/>
    <w:rsid w:val="008D67D5"/>
    <w:rsid w:val="008E66E9"/>
    <w:rsid w:val="008F1A9C"/>
    <w:rsid w:val="008F1CDE"/>
    <w:rsid w:val="009027FE"/>
    <w:rsid w:val="00904234"/>
    <w:rsid w:val="0090603D"/>
    <w:rsid w:val="00906160"/>
    <w:rsid w:val="0091170D"/>
    <w:rsid w:val="00912435"/>
    <w:rsid w:val="00912989"/>
    <w:rsid w:val="00912D42"/>
    <w:rsid w:val="00917C37"/>
    <w:rsid w:val="00917D4A"/>
    <w:rsid w:val="009316FB"/>
    <w:rsid w:val="009348B6"/>
    <w:rsid w:val="00935657"/>
    <w:rsid w:val="00937BFC"/>
    <w:rsid w:val="00944DFB"/>
    <w:rsid w:val="00945B18"/>
    <w:rsid w:val="00947411"/>
    <w:rsid w:val="00951DBA"/>
    <w:rsid w:val="00954F0A"/>
    <w:rsid w:val="009553C9"/>
    <w:rsid w:val="009645E2"/>
    <w:rsid w:val="00964A9D"/>
    <w:rsid w:val="00973A7C"/>
    <w:rsid w:val="0097559D"/>
    <w:rsid w:val="00976F15"/>
    <w:rsid w:val="0097788C"/>
    <w:rsid w:val="00982025"/>
    <w:rsid w:val="00983705"/>
    <w:rsid w:val="00983DF9"/>
    <w:rsid w:val="00985ECF"/>
    <w:rsid w:val="009864DB"/>
    <w:rsid w:val="0099049B"/>
    <w:rsid w:val="00991444"/>
    <w:rsid w:val="00993EB8"/>
    <w:rsid w:val="00995B87"/>
    <w:rsid w:val="009A233E"/>
    <w:rsid w:val="009A5682"/>
    <w:rsid w:val="009B2ADC"/>
    <w:rsid w:val="009B2FAE"/>
    <w:rsid w:val="009B6FB1"/>
    <w:rsid w:val="009C157F"/>
    <w:rsid w:val="009C34E1"/>
    <w:rsid w:val="009C500E"/>
    <w:rsid w:val="009D12F4"/>
    <w:rsid w:val="009D1388"/>
    <w:rsid w:val="009D2BD9"/>
    <w:rsid w:val="009D3E21"/>
    <w:rsid w:val="009E0684"/>
    <w:rsid w:val="009E2084"/>
    <w:rsid w:val="009E6A99"/>
    <w:rsid w:val="009F4D95"/>
    <w:rsid w:val="009F4DC1"/>
    <w:rsid w:val="009F5673"/>
    <w:rsid w:val="00A001C0"/>
    <w:rsid w:val="00A101FF"/>
    <w:rsid w:val="00A10B7F"/>
    <w:rsid w:val="00A11F9A"/>
    <w:rsid w:val="00A12D9B"/>
    <w:rsid w:val="00A14A94"/>
    <w:rsid w:val="00A15F26"/>
    <w:rsid w:val="00A17D1F"/>
    <w:rsid w:val="00A21A7C"/>
    <w:rsid w:val="00A221F3"/>
    <w:rsid w:val="00A23E36"/>
    <w:rsid w:val="00A244F3"/>
    <w:rsid w:val="00A25008"/>
    <w:rsid w:val="00A262E3"/>
    <w:rsid w:val="00A32501"/>
    <w:rsid w:val="00A33716"/>
    <w:rsid w:val="00A3410F"/>
    <w:rsid w:val="00A36721"/>
    <w:rsid w:val="00A404EE"/>
    <w:rsid w:val="00A45836"/>
    <w:rsid w:val="00A557B7"/>
    <w:rsid w:val="00A579DA"/>
    <w:rsid w:val="00A61A4E"/>
    <w:rsid w:val="00A621AC"/>
    <w:rsid w:val="00A63F0A"/>
    <w:rsid w:val="00A644AB"/>
    <w:rsid w:val="00A65328"/>
    <w:rsid w:val="00A6545E"/>
    <w:rsid w:val="00A654B4"/>
    <w:rsid w:val="00A671E3"/>
    <w:rsid w:val="00A67D23"/>
    <w:rsid w:val="00A71E0E"/>
    <w:rsid w:val="00A81A5B"/>
    <w:rsid w:val="00A81DD4"/>
    <w:rsid w:val="00A83E05"/>
    <w:rsid w:val="00A848F6"/>
    <w:rsid w:val="00A9081D"/>
    <w:rsid w:val="00A965D0"/>
    <w:rsid w:val="00A97F71"/>
    <w:rsid w:val="00AA03EB"/>
    <w:rsid w:val="00AA6602"/>
    <w:rsid w:val="00AB1538"/>
    <w:rsid w:val="00AB337D"/>
    <w:rsid w:val="00AB371E"/>
    <w:rsid w:val="00AB4596"/>
    <w:rsid w:val="00AB54DE"/>
    <w:rsid w:val="00AB5ACB"/>
    <w:rsid w:val="00AB7EBF"/>
    <w:rsid w:val="00AD530B"/>
    <w:rsid w:val="00AE1AE8"/>
    <w:rsid w:val="00AE41A0"/>
    <w:rsid w:val="00AE64CA"/>
    <w:rsid w:val="00AF3F00"/>
    <w:rsid w:val="00AF54CE"/>
    <w:rsid w:val="00AF70D3"/>
    <w:rsid w:val="00B103D5"/>
    <w:rsid w:val="00B13C86"/>
    <w:rsid w:val="00B16894"/>
    <w:rsid w:val="00B26119"/>
    <w:rsid w:val="00B26B99"/>
    <w:rsid w:val="00B27E61"/>
    <w:rsid w:val="00B41C4F"/>
    <w:rsid w:val="00B505A7"/>
    <w:rsid w:val="00B5225A"/>
    <w:rsid w:val="00B5370F"/>
    <w:rsid w:val="00B543CC"/>
    <w:rsid w:val="00B60E67"/>
    <w:rsid w:val="00B620DC"/>
    <w:rsid w:val="00B622D8"/>
    <w:rsid w:val="00B666BB"/>
    <w:rsid w:val="00B81FBE"/>
    <w:rsid w:val="00B84C19"/>
    <w:rsid w:val="00B87D63"/>
    <w:rsid w:val="00B921C8"/>
    <w:rsid w:val="00BA0641"/>
    <w:rsid w:val="00BA0B70"/>
    <w:rsid w:val="00BA0C60"/>
    <w:rsid w:val="00BB0D2B"/>
    <w:rsid w:val="00BB2195"/>
    <w:rsid w:val="00BB3217"/>
    <w:rsid w:val="00BB459D"/>
    <w:rsid w:val="00BC11DE"/>
    <w:rsid w:val="00BC4CDD"/>
    <w:rsid w:val="00BC7F14"/>
    <w:rsid w:val="00BD0822"/>
    <w:rsid w:val="00BD1E9E"/>
    <w:rsid w:val="00BE14C6"/>
    <w:rsid w:val="00BE676A"/>
    <w:rsid w:val="00C016CC"/>
    <w:rsid w:val="00C01B77"/>
    <w:rsid w:val="00C13D42"/>
    <w:rsid w:val="00C23284"/>
    <w:rsid w:val="00C24EE0"/>
    <w:rsid w:val="00C30D6B"/>
    <w:rsid w:val="00C3410A"/>
    <w:rsid w:val="00C3486E"/>
    <w:rsid w:val="00C34EA4"/>
    <w:rsid w:val="00C34FC6"/>
    <w:rsid w:val="00C450DB"/>
    <w:rsid w:val="00C46730"/>
    <w:rsid w:val="00C51153"/>
    <w:rsid w:val="00C5139F"/>
    <w:rsid w:val="00C5689C"/>
    <w:rsid w:val="00C63FDF"/>
    <w:rsid w:val="00C6592E"/>
    <w:rsid w:val="00C740E6"/>
    <w:rsid w:val="00C8082E"/>
    <w:rsid w:val="00C811C8"/>
    <w:rsid w:val="00C9008D"/>
    <w:rsid w:val="00C90E33"/>
    <w:rsid w:val="00C91C0A"/>
    <w:rsid w:val="00C91E01"/>
    <w:rsid w:val="00C92F01"/>
    <w:rsid w:val="00C956E7"/>
    <w:rsid w:val="00C96B0E"/>
    <w:rsid w:val="00CA208B"/>
    <w:rsid w:val="00CA3D13"/>
    <w:rsid w:val="00CB245B"/>
    <w:rsid w:val="00CB641C"/>
    <w:rsid w:val="00CB66FA"/>
    <w:rsid w:val="00CB69CE"/>
    <w:rsid w:val="00CC1C6E"/>
    <w:rsid w:val="00CC477E"/>
    <w:rsid w:val="00CD3393"/>
    <w:rsid w:val="00CD4FE3"/>
    <w:rsid w:val="00CD5583"/>
    <w:rsid w:val="00CD5D19"/>
    <w:rsid w:val="00CD6FF3"/>
    <w:rsid w:val="00CE15E5"/>
    <w:rsid w:val="00D020CB"/>
    <w:rsid w:val="00D02BF1"/>
    <w:rsid w:val="00D06766"/>
    <w:rsid w:val="00D0683B"/>
    <w:rsid w:val="00D112E5"/>
    <w:rsid w:val="00D12C4A"/>
    <w:rsid w:val="00D14E85"/>
    <w:rsid w:val="00D166FB"/>
    <w:rsid w:val="00D16A02"/>
    <w:rsid w:val="00D219FE"/>
    <w:rsid w:val="00D2485A"/>
    <w:rsid w:val="00D3135A"/>
    <w:rsid w:val="00D31E7A"/>
    <w:rsid w:val="00D403B8"/>
    <w:rsid w:val="00D420FA"/>
    <w:rsid w:val="00D43393"/>
    <w:rsid w:val="00D460C5"/>
    <w:rsid w:val="00D5081D"/>
    <w:rsid w:val="00D515A3"/>
    <w:rsid w:val="00D51D5E"/>
    <w:rsid w:val="00D53A2F"/>
    <w:rsid w:val="00D5773D"/>
    <w:rsid w:val="00D61692"/>
    <w:rsid w:val="00D61F51"/>
    <w:rsid w:val="00D621FB"/>
    <w:rsid w:val="00D656AB"/>
    <w:rsid w:val="00D7316A"/>
    <w:rsid w:val="00D76E78"/>
    <w:rsid w:val="00D838B0"/>
    <w:rsid w:val="00D84F07"/>
    <w:rsid w:val="00D860A7"/>
    <w:rsid w:val="00D90BA5"/>
    <w:rsid w:val="00D9303A"/>
    <w:rsid w:val="00D95B43"/>
    <w:rsid w:val="00DA110A"/>
    <w:rsid w:val="00DA609F"/>
    <w:rsid w:val="00DB7276"/>
    <w:rsid w:val="00DC0D99"/>
    <w:rsid w:val="00DC28F5"/>
    <w:rsid w:val="00DC3877"/>
    <w:rsid w:val="00DC39AC"/>
    <w:rsid w:val="00DC3BD0"/>
    <w:rsid w:val="00DC3CA3"/>
    <w:rsid w:val="00DC76CA"/>
    <w:rsid w:val="00DD08CF"/>
    <w:rsid w:val="00DD0D4F"/>
    <w:rsid w:val="00DD4096"/>
    <w:rsid w:val="00DD54AF"/>
    <w:rsid w:val="00DD5553"/>
    <w:rsid w:val="00DD5755"/>
    <w:rsid w:val="00DD64BB"/>
    <w:rsid w:val="00DE02D9"/>
    <w:rsid w:val="00DE03BF"/>
    <w:rsid w:val="00DE0DA2"/>
    <w:rsid w:val="00DE1592"/>
    <w:rsid w:val="00DE19D2"/>
    <w:rsid w:val="00DE7040"/>
    <w:rsid w:val="00DF2B9F"/>
    <w:rsid w:val="00DF6900"/>
    <w:rsid w:val="00E04577"/>
    <w:rsid w:val="00E04ACA"/>
    <w:rsid w:val="00E064BC"/>
    <w:rsid w:val="00E10031"/>
    <w:rsid w:val="00E1080A"/>
    <w:rsid w:val="00E11E91"/>
    <w:rsid w:val="00E11FDF"/>
    <w:rsid w:val="00E123B2"/>
    <w:rsid w:val="00E14476"/>
    <w:rsid w:val="00E22884"/>
    <w:rsid w:val="00E25864"/>
    <w:rsid w:val="00E26AFD"/>
    <w:rsid w:val="00E27D54"/>
    <w:rsid w:val="00E27E57"/>
    <w:rsid w:val="00E303C9"/>
    <w:rsid w:val="00E32F99"/>
    <w:rsid w:val="00E35E0B"/>
    <w:rsid w:val="00E42B2A"/>
    <w:rsid w:val="00E42F25"/>
    <w:rsid w:val="00E45235"/>
    <w:rsid w:val="00E5094A"/>
    <w:rsid w:val="00E5368B"/>
    <w:rsid w:val="00E56375"/>
    <w:rsid w:val="00E573C3"/>
    <w:rsid w:val="00E60B14"/>
    <w:rsid w:val="00E65121"/>
    <w:rsid w:val="00E726C7"/>
    <w:rsid w:val="00E72F84"/>
    <w:rsid w:val="00E73F31"/>
    <w:rsid w:val="00E767D7"/>
    <w:rsid w:val="00E824A2"/>
    <w:rsid w:val="00E85277"/>
    <w:rsid w:val="00E854FB"/>
    <w:rsid w:val="00E90235"/>
    <w:rsid w:val="00E9075C"/>
    <w:rsid w:val="00E92954"/>
    <w:rsid w:val="00E946E6"/>
    <w:rsid w:val="00E94A29"/>
    <w:rsid w:val="00E9668F"/>
    <w:rsid w:val="00E96D5D"/>
    <w:rsid w:val="00EA028C"/>
    <w:rsid w:val="00EA3E75"/>
    <w:rsid w:val="00EA52BF"/>
    <w:rsid w:val="00EA793E"/>
    <w:rsid w:val="00EB1A18"/>
    <w:rsid w:val="00EB25AE"/>
    <w:rsid w:val="00EC124A"/>
    <w:rsid w:val="00EC3AEE"/>
    <w:rsid w:val="00EC53A3"/>
    <w:rsid w:val="00EC7912"/>
    <w:rsid w:val="00ED07B8"/>
    <w:rsid w:val="00ED15C7"/>
    <w:rsid w:val="00ED29AF"/>
    <w:rsid w:val="00ED351A"/>
    <w:rsid w:val="00ED4DEB"/>
    <w:rsid w:val="00ED50E1"/>
    <w:rsid w:val="00EE66AE"/>
    <w:rsid w:val="00EE7035"/>
    <w:rsid w:val="00EF5BAD"/>
    <w:rsid w:val="00F005C0"/>
    <w:rsid w:val="00F015D7"/>
    <w:rsid w:val="00F0251B"/>
    <w:rsid w:val="00F0264D"/>
    <w:rsid w:val="00F0546F"/>
    <w:rsid w:val="00F057F2"/>
    <w:rsid w:val="00F07730"/>
    <w:rsid w:val="00F07904"/>
    <w:rsid w:val="00F0796B"/>
    <w:rsid w:val="00F12303"/>
    <w:rsid w:val="00F20281"/>
    <w:rsid w:val="00F21124"/>
    <w:rsid w:val="00F233EF"/>
    <w:rsid w:val="00F268A8"/>
    <w:rsid w:val="00F33B4A"/>
    <w:rsid w:val="00F35E4E"/>
    <w:rsid w:val="00F372A2"/>
    <w:rsid w:val="00F45470"/>
    <w:rsid w:val="00F46708"/>
    <w:rsid w:val="00F509D9"/>
    <w:rsid w:val="00F51B98"/>
    <w:rsid w:val="00F52515"/>
    <w:rsid w:val="00F55068"/>
    <w:rsid w:val="00F55349"/>
    <w:rsid w:val="00F56583"/>
    <w:rsid w:val="00F578AD"/>
    <w:rsid w:val="00F60B34"/>
    <w:rsid w:val="00F610E0"/>
    <w:rsid w:val="00F6224C"/>
    <w:rsid w:val="00F67DB3"/>
    <w:rsid w:val="00F726CA"/>
    <w:rsid w:val="00F750BE"/>
    <w:rsid w:val="00F8220F"/>
    <w:rsid w:val="00F90C6C"/>
    <w:rsid w:val="00F920C5"/>
    <w:rsid w:val="00F941B6"/>
    <w:rsid w:val="00FA2BCF"/>
    <w:rsid w:val="00FA2F1E"/>
    <w:rsid w:val="00FB21E1"/>
    <w:rsid w:val="00FB3969"/>
    <w:rsid w:val="00FB40B3"/>
    <w:rsid w:val="00FD2883"/>
    <w:rsid w:val="00FD3ACB"/>
    <w:rsid w:val="00FD4FBE"/>
    <w:rsid w:val="00FD7E54"/>
    <w:rsid w:val="00FE1708"/>
    <w:rsid w:val="00FE384F"/>
    <w:rsid w:val="00FE4366"/>
    <w:rsid w:val="00FE4A73"/>
    <w:rsid w:val="00FE7AAB"/>
    <w:rsid w:val="00FF2AD9"/>
    <w:rsid w:val="00FF2EDA"/>
    <w:rsid w:val="00FF4A9A"/>
    <w:rsid w:val="010966D1"/>
    <w:rsid w:val="010A5041"/>
    <w:rsid w:val="0112390B"/>
    <w:rsid w:val="011B3C08"/>
    <w:rsid w:val="01281765"/>
    <w:rsid w:val="012B64AF"/>
    <w:rsid w:val="0136194F"/>
    <w:rsid w:val="013C6133"/>
    <w:rsid w:val="01462755"/>
    <w:rsid w:val="015E5D92"/>
    <w:rsid w:val="01614895"/>
    <w:rsid w:val="017B6A90"/>
    <w:rsid w:val="01824F45"/>
    <w:rsid w:val="0183136E"/>
    <w:rsid w:val="018333B4"/>
    <w:rsid w:val="0186197C"/>
    <w:rsid w:val="018B09D9"/>
    <w:rsid w:val="01933CA1"/>
    <w:rsid w:val="01B23FD5"/>
    <w:rsid w:val="01B7368B"/>
    <w:rsid w:val="01E07700"/>
    <w:rsid w:val="01E865EC"/>
    <w:rsid w:val="01F27CBC"/>
    <w:rsid w:val="01F42E70"/>
    <w:rsid w:val="01FB42FD"/>
    <w:rsid w:val="01FB7095"/>
    <w:rsid w:val="0201217A"/>
    <w:rsid w:val="02061406"/>
    <w:rsid w:val="02097E8B"/>
    <w:rsid w:val="020A11D5"/>
    <w:rsid w:val="020F594B"/>
    <w:rsid w:val="02247ACE"/>
    <w:rsid w:val="0229430D"/>
    <w:rsid w:val="024E7C57"/>
    <w:rsid w:val="0266765B"/>
    <w:rsid w:val="026E4777"/>
    <w:rsid w:val="02711219"/>
    <w:rsid w:val="027E39FC"/>
    <w:rsid w:val="028B3CE6"/>
    <w:rsid w:val="02941126"/>
    <w:rsid w:val="029C3DB5"/>
    <w:rsid w:val="029D7DF9"/>
    <w:rsid w:val="02AA24FE"/>
    <w:rsid w:val="02B26DBD"/>
    <w:rsid w:val="02B6775B"/>
    <w:rsid w:val="02C21A04"/>
    <w:rsid w:val="02C22EC6"/>
    <w:rsid w:val="02C37817"/>
    <w:rsid w:val="02CD47AD"/>
    <w:rsid w:val="02D56825"/>
    <w:rsid w:val="02E72B3C"/>
    <w:rsid w:val="02EF6CAE"/>
    <w:rsid w:val="02F1249A"/>
    <w:rsid w:val="02F477A6"/>
    <w:rsid w:val="03145252"/>
    <w:rsid w:val="03151A94"/>
    <w:rsid w:val="031550ED"/>
    <w:rsid w:val="033D0DB8"/>
    <w:rsid w:val="034070B5"/>
    <w:rsid w:val="036B1FA7"/>
    <w:rsid w:val="03792C07"/>
    <w:rsid w:val="038057B0"/>
    <w:rsid w:val="038E0DDA"/>
    <w:rsid w:val="03AA7B5F"/>
    <w:rsid w:val="03CA6444"/>
    <w:rsid w:val="03CE7A7F"/>
    <w:rsid w:val="03DB1078"/>
    <w:rsid w:val="03F22D14"/>
    <w:rsid w:val="03FA5D6A"/>
    <w:rsid w:val="04021749"/>
    <w:rsid w:val="040A684F"/>
    <w:rsid w:val="040F6EAA"/>
    <w:rsid w:val="04347A16"/>
    <w:rsid w:val="043851F9"/>
    <w:rsid w:val="04406715"/>
    <w:rsid w:val="04476C93"/>
    <w:rsid w:val="045521C0"/>
    <w:rsid w:val="0457591A"/>
    <w:rsid w:val="045B70AB"/>
    <w:rsid w:val="04704740"/>
    <w:rsid w:val="047401BD"/>
    <w:rsid w:val="047C4F44"/>
    <w:rsid w:val="04820ADC"/>
    <w:rsid w:val="04932582"/>
    <w:rsid w:val="04AA6042"/>
    <w:rsid w:val="04AD078F"/>
    <w:rsid w:val="04AF6BEF"/>
    <w:rsid w:val="04B85884"/>
    <w:rsid w:val="04C7369F"/>
    <w:rsid w:val="04CE401F"/>
    <w:rsid w:val="04DD4359"/>
    <w:rsid w:val="04E21A0E"/>
    <w:rsid w:val="04ED0B4B"/>
    <w:rsid w:val="05107B8A"/>
    <w:rsid w:val="05193D99"/>
    <w:rsid w:val="05322502"/>
    <w:rsid w:val="05340118"/>
    <w:rsid w:val="05472AD4"/>
    <w:rsid w:val="054B0AE8"/>
    <w:rsid w:val="056435FD"/>
    <w:rsid w:val="056F3E2A"/>
    <w:rsid w:val="057160A0"/>
    <w:rsid w:val="057D34E8"/>
    <w:rsid w:val="05A43401"/>
    <w:rsid w:val="05AC7578"/>
    <w:rsid w:val="05B527E6"/>
    <w:rsid w:val="05C71ED5"/>
    <w:rsid w:val="05C76481"/>
    <w:rsid w:val="05CA5BFC"/>
    <w:rsid w:val="05CC0260"/>
    <w:rsid w:val="05DD748E"/>
    <w:rsid w:val="05FF25BB"/>
    <w:rsid w:val="061E0BC8"/>
    <w:rsid w:val="062478AE"/>
    <w:rsid w:val="062A0287"/>
    <w:rsid w:val="062C178D"/>
    <w:rsid w:val="06330C81"/>
    <w:rsid w:val="06351BFD"/>
    <w:rsid w:val="063D4D35"/>
    <w:rsid w:val="06433298"/>
    <w:rsid w:val="06460764"/>
    <w:rsid w:val="064F2365"/>
    <w:rsid w:val="06546127"/>
    <w:rsid w:val="065E6637"/>
    <w:rsid w:val="06702A1A"/>
    <w:rsid w:val="06830300"/>
    <w:rsid w:val="068D49A2"/>
    <w:rsid w:val="068F0BD1"/>
    <w:rsid w:val="06970944"/>
    <w:rsid w:val="06977373"/>
    <w:rsid w:val="069C2465"/>
    <w:rsid w:val="06A64F55"/>
    <w:rsid w:val="06AA2D14"/>
    <w:rsid w:val="06AB27ED"/>
    <w:rsid w:val="06AD302F"/>
    <w:rsid w:val="06CC0A35"/>
    <w:rsid w:val="06F46FED"/>
    <w:rsid w:val="06F74755"/>
    <w:rsid w:val="06FA2355"/>
    <w:rsid w:val="07066773"/>
    <w:rsid w:val="070F2D95"/>
    <w:rsid w:val="071463DE"/>
    <w:rsid w:val="071D148B"/>
    <w:rsid w:val="0722247E"/>
    <w:rsid w:val="072579B6"/>
    <w:rsid w:val="073249A8"/>
    <w:rsid w:val="07385563"/>
    <w:rsid w:val="07470FC0"/>
    <w:rsid w:val="07531671"/>
    <w:rsid w:val="07624BF2"/>
    <w:rsid w:val="076A1EA2"/>
    <w:rsid w:val="078C64E3"/>
    <w:rsid w:val="07934CEE"/>
    <w:rsid w:val="079500D7"/>
    <w:rsid w:val="079707C0"/>
    <w:rsid w:val="07990E2B"/>
    <w:rsid w:val="07A353E2"/>
    <w:rsid w:val="07A62D33"/>
    <w:rsid w:val="07A62D73"/>
    <w:rsid w:val="07BB6659"/>
    <w:rsid w:val="07DC662F"/>
    <w:rsid w:val="07E31B36"/>
    <w:rsid w:val="07E74A05"/>
    <w:rsid w:val="07F13457"/>
    <w:rsid w:val="07F20818"/>
    <w:rsid w:val="07F7092F"/>
    <w:rsid w:val="08063FB1"/>
    <w:rsid w:val="081355A8"/>
    <w:rsid w:val="08236767"/>
    <w:rsid w:val="08237ADC"/>
    <w:rsid w:val="083D0F82"/>
    <w:rsid w:val="08623EE3"/>
    <w:rsid w:val="086560D6"/>
    <w:rsid w:val="08670714"/>
    <w:rsid w:val="08734A01"/>
    <w:rsid w:val="0873562D"/>
    <w:rsid w:val="087626E4"/>
    <w:rsid w:val="087859C9"/>
    <w:rsid w:val="087B7477"/>
    <w:rsid w:val="087F52B7"/>
    <w:rsid w:val="088170BD"/>
    <w:rsid w:val="0886464D"/>
    <w:rsid w:val="08892212"/>
    <w:rsid w:val="088C62F8"/>
    <w:rsid w:val="08907C6B"/>
    <w:rsid w:val="089E1E1C"/>
    <w:rsid w:val="089F6C29"/>
    <w:rsid w:val="08B84D5E"/>
    <w:rsid w:val="08CA0D5B"/>
    <w:rsid w:val="08D67F79"/>
    <w:rsid w:val="08F74842"/>
    <w:rsid w:val="09031506"/>
    <w:rsid w:val="09083111"/>
    <w:rsid w:val="09150A8B"/>
    <w:rsid w:val="091F1371"/>
    <w:rsid w:val="09350040"/>
    <w:rsid w:val="093733C9"/>
    <w:rsid w:val="093940C3"/>
    <w:rsid w:val="094318BF"/>
    <w:rsid w:val="094D74B8"/>
    <w:rsid w:val="095E4DEC"/>
    <w:rsid w:val="096302A6"/>
    <w:rsid w:val="09642D75"/>
    <w:rsid w:val="0970224E"/>
    <w:rsid w:val="0987613D"/>
    <w:rsid w:val="09943800"/>
    <w:rsid w:val="099C7F83"/>
    <w:rsid w:val="09AF39E4"/>
    <w:rsid w:val="09B3627A"/>
    <w:rsid w:val="09C2376D"/>
    <w:rsid w:val="09C35C9C"/>
    <w:rsid w:val="09D63FC9"/>
    <w:rsid w:val="09DA083E"/>
    <w:rsid w:val="09E5454F"/>
    <w:rsid w:val="09FC4115"/>
    <w:rsid w:val="09FC71E3"/>
    <w:rsid w:val="09FD66D9"/>
    <w:rsid w:val="09FF404A"/>
    <w:rsid w:val="0A056F7E"/>
    <w:rsid w:val="0A2D5FC2"/>
    <w:rsid w:val="0A3778B8"/>
    <w:rsid w:val="0A393F55"/>
    <w:rsid w:val="0A521154"/>
    <w:rsid w:val="0A5C0004"/>
    <w:rsid w:val="0A7C22F1"/>
    <w:rsid w:val="0A7E32A7"/>
    <w:rsid w:val="0A930EEE"/>
    <w:rsid w:val="0A9358E8"/>
    <w:rsid w:val="0A9D3C79"/>
    <w:rsid w:val="0AA118A8"/>
    <w:rsid w:val="0AA25A34"/>
    <w:rsid w:val="0AA80318"/>
    <w:rsid w:val="0AA91C8A"/>
    <w:rsid w:val="0ABF6EEC"/>
    <w:rsid w:val="0AD15F1B"/>
    <w:rsid w:val="0AD30BC1"/>
    <w:rsid w:val="0AD9448B"/>
    <w:rsid w:val="0B087AF8"/>
    <w:rsid w:val="0B3079B7"/>
    <w:rsid w:val="0B3B15F7"/>
    <w:rsid w:val="0B596DA4"/>
    <w:rsid w:val="0B5B276C"/>
    <w:rsid w:val="0B5D1D49"/>
    <w:rsid w:val="0B61769D"/>
    <w:rsid w:val="0B797885"/>
    <w:rsid w:val="0B803C81"/>
    <w:rsid w:val="0B883877"/>
    <w:rsid w:val="0BA03AE8"/>
    <w:rsid w:val="0BCD7239"/>
    <w:rsid w:val="0BE247B9"/>
    <w:rsid w:val="0BE55F94"/>
    <w:rsid w:val="0BF122A6"/>
    <w:rsid w:val="0C0C09C7"/>
    <w:rsid w:val="0C0E436B"/>
    <w:rsid w:val="0C1937A5"/>
    <w:rsid w:val="0C22645B"/>
    <w:rsid w:val="0C235884"/>
    <w:rsid w:val="0C2A1352"/>
    <w:rsid w:val="0C38149C"/>
    <w:rsid w:val="0C3B7E76"/>
    <w:rsid w:val="0C451F57"/>
    <w:rsid w:val="0C4A27B9"/>
    <w:rsid w:val="0C7055A4"/>
    <w:rsid w:val="0C771FC7"/>
    <w:rsid w:val="0C7A297C"/>
    <w:rsid w:val="0C7A725D"/>
    <w:rsid w:val="0C7F5089"/>
    <w:rsid w:val="0C89172C"/>
    <w:rsid w:val="0C977640"/>
    <w:rsid w:val="0C9B4173"/>
    <w:rsid w:val="0CA710DF"/>
    <w:rsid w:val="0CE07D28"/>
    <w:rsid w:val="0CEE141B"/>
    <w:rsid w:val="0CF22D43"/>
    <w:rsid w:val="0D087D82"/>
    <w:rsid w:val="0D26618E"/>
    <w:rsid w:val="0D391EFA"/>
    <w:rsid w:val="0D587038"/>
    <w:rsid w:val="0D5D0579"/>
    <w:rsid w:val="0D5D37FD"/>
    <w:rsid w:val="0D600EFE"/>
    <w:rsid w:val="0D680B40"/>
    <w:rsid w:val="0D705241"/>
    <w:rsid w:val="0D76303D"/>
    <w:rsid w:val="0D907DC5"/>
    <w:rsid w:val="0D9C32E2"/>
    <w:rsid w:val="0DA32C6D"/>
    <w:rsid w:val="0DB96B42"/>
    <w:rsid w:val="0DD3660C"/>
    <w:rsid w:val="0DDC4507"/>
    <w:rsid w:val="0E040150"/>
    <w:rsid w:val="0E184DB8"/>
    <w:rsid w:val="0E2A0958"/>
    <w:rsid w:val="0E327A62"/>
    <w:rsid w:val="0E3F1F36"/>
    <w:rsid w:val="0E410EDE"/>
    <w:rsid w:val="0E417B2F"/>
    <w:rsid w:val="0E4A00DD"/>
    <w:rsid w:val="0E53359F"/>
    <w:rsid w:val="0E554C8F"/>
    <w:rsid w:val="0E6065F1"/>
    <w:rsid w:val="0E6B273C"/>
    <w:rsid w:val="0E726630"/>
    <w:rsid w:val="0EAB1E15"/>
    <w:rsid w:val="0EBD4D8F"/>
    <w:rsid w:val="0EC14BC9"/>
    <w:rsid w:val="0ED1336A"/>
    <w:rsid w:val="0EDD6097"/>
    <w:rsid w:val="0EDF2E28"/>
    <w:rsid w:val="0EE0368B"/>
    <w:rsid w:val="0EF2171F"/>
    <w:rsid w:val="0EF9321E"/>
    <w:rsid w:val="0EF9444B"/>
    <w:rsid w:val="0F15657E"/>
    <w:rsid w:val="0F19784D"/>
    <w:rsid w:val="0F2B4C10"/>
    <w:rsid w:val="0F3F10E2"/>
    <w:rsid w:val="0F4978B1"/>
    <w:rsid w:val="0F5A0A4F"/>
    <w:rsid w:val="0F661726"/>
    <w:rsid w:val="0F7A23DC"/>
    <w:rsid w:val="0F917E25"/>
    <w:rsid w:val="0FC772CA"/>
    <w:rsid w:val="0FC87E78"/>
    <w:rsid w:val="0FCE4B96"/>
    <w:rsid w:val="0FD313B7"/>
    <w:rsid w:val="0FE92B27"/>
    <w:rsid w:val="0FF07157"/>
    <w:rsid w:val="0FF30D84"/>
    <w:rsid w:val="0FF5770F"/>
    <w:rsid w:val="10124BB3"/>
    <w:rsid w:val="10254E4D"/>
    <w:rsid w:val="10320BFE"/>
    <w:rsid w:val="10406C2E"/>
    <w:rsid w:val="104117A5"/>
    <w:rsid w:val="10692F56"/>
    <w:rsid w:val="106D57E3"/>
    <w:rsid w:val="1083598C"/>
    <w:rsid w:val="109306A8"/>
    <w:rsid w:val="10A867E1"/>
    <w:rsid w:val="10CA1115"/>
    <w:rsid w:val="10CF1DDF"/>
    <w:rsid w:val="10E25C5D"/>
    <w:rsid w:val="10F677E1"/>
    <w:rsid w:val="10F93B3F"/>
    <w:rsid w:val="11140D0D"/>
    <w:rsid w:val="112847EE"/>
    <w:rsid w:val="112C4BEA"/>
    <w:rsid w:val="11330A07"/>
    <w:rsid w:val="11384881"/>
    <w:rsid w:val="11415D3F"/>
    <w:rsid w:val="11464066"/>
    <w:rsid w:val="114A726B"/>
    <w:rsid w:val="11520C4F"/>
    <w:rsid w:val="115C6A94"/>
    <w:rsid w:val="11652679"/>
    <w:rsid w:val="11722019"/>
    <w:rsid w:val="11792880"/>
    <w:rsid w:val="117C04E8"/>
    <w:rsid w:val="117D0C67"/>
    <w:rsid w:val="118A7F8B"/>
    <w:rsid w:val="118B5473"/>
    <w:rsid w:val="119601B7"/>
    <w:rsid w:val="119718CD"/>
    <w:rsid w:val="119B2E5E"/>
    <w:rsid w:val="11B36C9A"/>
    <w:rsid w:val="11B8134B"/>
    <w:rsid w:val="11BE35AB"/>
    <w:rsid w:val="11C76EB4"/>
    <w:rsid w:val="11D24F46"/>
    <w:rsid w:val="11D8097A"/>
    <w:rsid w:val="11DB6FAC"/>
    <w:rsid w:val="11DE7EEF"/>
    <w:rsid w:val="11E01002"/>
    <w:rsid w:val="11E626AA"/>
    <w:rsid w:val="11FC7B64"/>
    <w:rsid w:val="120150EC"/>
    <w:rsid w:val="1207307A"/>
    <w:rsid w:val="120D1382"/>
    <w:rsid w:val="12115E4B"/>
    <w:rsid w:val="121B0C96"/>
    <w:rsid w:val="124B7F3C"/>
    <w:rsid w:val="12500F93"/>
    <w:rsid w:val="12685DA5"/>
    <w:rsid w:val="128A41B2"/>
    <w:rsid w:val="128E4AC3"/>
    <w:rsid w:val="129B2772"/>
    <w:rsid w:val="12C96CDB"/>
    <w:rsid w:val="12DF007E"/>
    <w:rsid w:val="12E0359D"/>
    <w:rsid w:val="12E03E13"/>
    <w:rsid w:val="12EB6997"/>
    <w:rsid w:val="12FA6F28"/>
    <w:rsid w:val="130143BE"/>
    <w:rsid w:val="130B4CCD"/>
    <w:rsid w:val="130F5557"/>
    <w:rsid w:val="131961E1"/>
    <w:rsid w:val="1320518F"/>
    <w:rsid w:val="1326488F"/>
    <w:rsid w:val="133800FB"/>
    <w:rsid w:val="13524611"/>
    <w:rsid w:val="13575B22"/>
    <w:rsid w:val="13586C9D"/>
    <w:rsid w:val="13601957"/>
    <w:rsid w:val="13702438"/>
    <w:rsid w:val="1384445B"/>
    <w:rsid w:val="13853B3C"/>
    <w:rsid w:val="13855EF2"/>
    <w:rsid w:val="138819FA"/>
    <w:rsid w:val="13B913B3"/>
    <w:rsid w:val="13BF4356"/>
    <w:rsid w:val="13C82AF7"/>
    <w:rsid w:val="13C94A30"/>
    <w:rsid w:val="13E7484E"/>
    <w:rsid w:val="13EC1B63"/>
    <w:rsid w:val="141C1BB1"/>
    <w:rsid w:val="14243135"/>
    <w:rsid w:val="142D2826"/>
    <w:rsid w:val="142D6C33"/>
    <w:rsid w:val="146A44E5"/>
    <w:rsid w:val="146A6A43"/>
    <w:rsid w:val="146F4594"/>
    <w:rsid w:val="14700526"/>
    <w:rsid w:val="147A4E18"/>
    <w:rsid w:val="14800389"/>
    <w:rsid w:val="14806418"/>
    <w:rsid w:val="14835165"/>
    <w:rsid w:val="148F18B7"/>
    <w:rsid w:val="1497530F"/>
    <w:rsid w:val="14AD74AF"/>
    <w:rsid w:val="14D15DE9"/>
    <w:rsid w:val="14DB6CA9"/>
    <w:rsid w:val="14DF1906"/>
    <w:rsid w:val="14EC0CE9"/>
    <w:rsid w:val="15004F11"/>
    <w:rsid w:val="15102309"/>
    <w:rsid w:val="15162A87"/>
    <w:rsid w:val="15171E3E"/>
    <w:rsid w:val="15363948"/>
    <w:rsid w:val="153D3B62"/>
    <w:rsid w:val="15493E59"/>
    <w:rsid w:val="156D558F"/>
    <w:rsid w:val="15701914"/>
    <w:rsid w:val="157250BC"/>
    <w:rsid w:val="15760E8E"/>
    <w:rsid w:val="158017B8"/>
    <w:rsid w:val="158B01E4"/>
    <w:rsid w:val="158B5312"/>
    <w:rsid w:val="159D0F8F"/>
    <w:rsid w:val="15A2120D"/>
    <w:rsid w:val="15A66F99"/>
    <w:rsid w:val="15AA2F57"/>
    <w:rsid w:val="15AB651B"/>
    <w:rsid w:val="15B22D36"/>
    <w:rsid w:val="15B864A2"/>
    <w:rsid w:val="15BC23ED"/>
    <w:rsid w:val="15C14FDC"/>
    <w:rsid w:val="15C63B67"/>
    <w:rsid w:val="15CF7EF3"/>
    <w:rsid w:val="15DB7988"/>
    <w:rsid w:val="15ED2480"/>
    <w:rsid w:val="15F8630E"/>
    <w:rsid w:val="15FB202F"/>
    <w:rsid w:val="16083E54"/>
    <w:rsid w:val="160D6518"/>
    <w:rsid w:val="160F4A6E"/>
    <w:rsid w:val="161D5BDC"/>
    <w:rsid w:val="1636067D"/>
    <w:rsid w:val="163A7083"/>
    <w:rsid w:val="163C640D"/>
    <w:rsid w:val="163C7778"/>
    <w:rsid w:val="16435794"/>
    <w:rsid w:val="16526560"/>
    <w:rsid w:val="1671151B"/>
    <w:rsid w:val="168E4D28"/>
    <w:rsid w:val="169C6ACA"/>
    <w:rsid w:val="16A61AEF"/>
    <w:rsid w:val="16AC1941"/>
    <w:rsid w:val="16C45E57"/>
    <w:rsid w:val="16C920E6"/>
    <w:rsid w:val="16CC581B"/>
    <w:rsid w:val="16D31226"/>
    <w:rsid w:val="16DD7FA0"/>
    <w:rsid w:val="16F07F3F"/>
    <w:rsid w:val="16F277BF"/>
    <w:rsid w:val="16F65358"/>
    <w:rsid w:val="17015BEB"/>
    <w:rsid w:val="1703454E"/>
    <w:rsid w:val="170C2C5F"/>
    <w:rsid w:val="170D06E0"/>
    <w:rsid w:val="170D5540"/>
    <w:rsid w:val="170D64CF"/>
    <w:rsid w:val="170F7330"/>
    <w:rsid w:val="171112E5"/>
    <w:rsid w:val="171160DE"/>
    <w:rsid w:val="17142269"/>
    <w:rsid w:val="171B0C88"/>
    <w:rsid w:val="172F064F"/>
    <w:rsid w:val="173C5B0D"/>
    <w:rsid w:val="174C2321"/>
    <w:rsid w:val="17507ED0"/>
    <w:rsid w:val="177F0B91"/>
    <w:rsid w:val="17854713"/>
    <w:rsid w:val="17875466"/>
    <w:rsid w:val="178E7657"/>
    <w:rsid w:val="17A41BDA"/>
    <w:rsid w:val="17A9537D"/>
    <w:rsid w:val="17B32AED"/>
    <w:rsid w:val="17C11721"/>
    <w:rsid w:val="17D7362C"/>
    <w:rsid w:val="17E80AB3"/>
    <w:rsid w:val="17E92078"/>
    <w:rsid w:val="17F20B15"/>
    <w:rsid w:val="17F2733C"/>
    <w:rsid w:val="17FC5BA9"/>
    <w:rsid w:val="17FE5A6A"/>
    <w:rsid w:val="180B41B9"/>
    <w:rsid w:val="18150D01"/>
    <w:rsid w:val="183C0DD2"/>
    <w:rsid w:val="187A2E35"/>
    <w:rsid w:val="18811D4A"/>
    <w:rsid w:val="188D2580"/>
    <w:rsid w:val="18982B9B"/>
    <w:rsid w:val="189B729C"/>
    <w:rsid w:val="18A03075"/>
    <w:rsid w:val="18B0793E"/>
    <w:rsid w:val="18C96881"/>
    <w:rsid w:val="18CE4615"/>
    <w:rsid w:val="18CF104B"/>
    <w:rsid w:val="18DC7657"/>
    <w:rsid w:val="18E75EBB"/>
    <w:rsid w:val="18EE2203"/>
    <w:rsid w:val="18FC4D2D"/>
    <w:rsid w:val="190555BE"/>
    <w:rsid w:val="190B2724"/>
    <w:rsid w:val="191474A4"/>
    <w:rsid w:val="191875B9"/>
    <w:rsid w:val="19271346"/>
    <w:rsid w:val="192714AE"/>
    <w:rsid w:val="19360FEA"/>
    <w:rsid w:val="19373FEC"/>
    <w:rsid w:val="193B777F"/>
    <w:rsid w:val="193C41A0"/>
    <w:rsid w:val="194B7296"/>
    <w:rsid w:val="195D79D5"/>
    <w:rsid w:val="19681E38"/>
    <w:rsid w:val="196E49C7"/>
    <w:rsid w:val="19975314"/>
    <w:rsid w:val="19AA7676"/>
    <w:rsid w:val="19B4513C"/>
    <w:rsid w:val="19B66AC3"/>
    <w:rsid w:val="19B73CEF"/>
    <w:rsid w:val="19BA7045"/>
    <w:rsid w:val="19CE6FDD"/>
    <w:rsid w:val="19E52087"/>
    <w:rsid w:val="19E63AEE"/>
    <w:rsid w:val="19F62F4D"/>
    <w:rsid w:val="19F870F1"/>
    <w:rsid w:val="1A0A0EFF"/>
    <w:rsid w:val="1A23796E"/>
    <w:rsid w:val="1A2468B2"/>
    <w:rsid w:val="1A287679"/>
    <w:rsid w:val="1A2A4B5E"/>
    <w:rsid w:val="1A3675B3"/>
    <w:rsid w:val="1A3B0898"/>
    <w:rsid w:val="1A4C59BC"/>
    <w:rsid w:val="1A4E4D47"/>
    <w:rsid w:val="1A6A7451"/>
    <w:rsid w:val="1A6B1E0E"/>
    <w:rsid w:val="1A795AC1"/>
    <w:rsid w:val="1A9E0D5C"/>
    <w:rsid w:val="1AA92BE9"/>
    <w:rsid w:val="1AAE4DE1"/>
    <w:rsid w:val="1AC83366"/>
    <w:rsid w:val="1ADF5AAB"/>
    <w:rsid w:val="1AE95432"/>
    <w:rsid w:val="1B1421E2"/>
    <w:rsid w:val="1B202B5D"/>
    <w:rsid w:val="1B37326F"/>
    <w:rsid w:val="1B445520"/>
    <w:rsid w:val="1B54592A"/>
    <w:rsid w:val="1B616D2E"/>
    <w:rsid w:val="1B6C2295"/>
    <w:rsid w:val="1B6D1746"/>
    <w:rsid w:val="1B6F1B8E"/>
    <w:rsid w:val="1B7A0ED9"/>
    <w:rsid w:val="1B836E4F"/>
    <w:rsid w:val="1B867CE3"/>
    <w:rsid w:val="1B920893"/>
    <w:rsid w:val="1B9A6D2C"/>
    <w:rsid w:val="1B9D1989"/>
    <w:rsid w:val="1BA17641"/>
    <w:rsid w:val="1BBD0CBD"/>
    <w:rsid w:val="1BD64E35"/>
    <w:rsid w:val="1BD84F6E"/>
    <w:rsid w:val="1BE556B7"/>
    <w:rsid w:val="1BF2099F"/>
    <w:rsid w:val="1BF37BE9"/>
    <w:rsid w:val="1BFC2F26"/>
    <w:rsid w:val="1C000B30"/>
    <w:rsid w:val="1C0A0D9E"/>
    <w:rsid w:val="1C1338B4"/>
    <w:rsid w:val="1C2C3779"/>
    <w:rsid w:val="1C367189"/>
    <w:rsid w:val="1C5454FE"/>
    <w:rsid w:val="1C5D3626"/>
    <w:rsid w:val="1C6963B1"/>
    <w:rsid w:val="1C71047A"/>
    <w:rsid w:val="1C7779A1"/>
    <w:rsid w:val="1C787E42"/>
    <w:rsid w:val="1C7C39DB"/>
    <w:rsid w:val="1C8F440B"/>
    <w:rsid w:val="1CAC4E19"/>
    <w:rsid w:val="1CB01417"/>
    <w:rsid w:val="1CB03FE0"/>
    <w:rsid w:val="1CB57CA7"/>
    <w:rsid w:val="1CB63CEF"/>
    <w:rsid w:val="1CB91DE7"/>
    <w:rsid w:val="1CC21D03"/>
    <w:rsid w:val="1CD96EBA"/>
    <w:rsid w:val="1CE00632"/>
    <w:rsid w:val="1CE20230"/>
    <w:rsid w:val="1CED7A43"/>
    <w:rsid w:val="1CF12760"/>
    <w:rsid w:val="1D077D99"/>
    <w:rsid w:val="1D0A0B85"/>
    <w:rsid w:val="1D0F0F82"/>
    <w:rsid w:val="1D1F496F"/>
    <w:rsid w:val="1D284FAD"/>
    <w:rsid w:val="1D4A54CD"/>
    <w:rsid w:val="1D576372"/>
    <w:rsid w:val="1D5B43E3"/>
    <w:rsid w:val="1D6E4894"/>
    <w:rsid w:val="1D7F5A82"/>
    <w:rsid w:val="1D94164C"/>
    <w:rsid w:val="1DA23DF3"/>
    <w:rsid w:val="1DD46CDD"/>
    <w:rsid w:val="1DE12D15"/>
    <w:rsid w:val="1DE338AC"/>
    <w:rsid w:val="1DEC0F72"/>
    <w:rsid w:val="1E1B2A71"/>
    <w:rsid w:val="1E22392E"/>
    <w:rsid w:val="1E2F54F2"/>
    <w:rsid w:val="1E523CAA"/>
    <w:rsid w:val="1E663E3A"/>
    <w:rsid w:val="1E7A4FEC"/>
    <w:rsid w:val="1E7F3616"/>
    <w:rsid w:val="1E8038C2"/>
    <w:rsid w:val="1EA8395A"/>
    <w:rsid w:val="1EB93E6A"/>
    <w:rsid w:val="1EDB43AF"/>
    <w:rsid w:val="1EE250AF"/>
    <w:rsid w:val="1EE86D49"/>
    <w:rsid w:val="1EEA12FF"/>
    <w:rsid w:val="1EEB7280"/>
    <w:rsid w:val="1EEE7042"/>
    <w:rsid w:val="1F0762D2"/>
    <w:rsid w:val="1F3D4B11"/>
    <w:rsid w:val="1F477FE0"/>
    <w:rsid w:val="1F550742"/>
    <w:rsid w:val="1F5B0BA6"/>
    <w:rsid w:val="1F7A612C"/>
    <w:rsid w:val="1F7D207A"/>
    <w:rsid w:val="1F994601"/>
    <w:rsid w:val="1FAB6097"/>
    <w:rsid w:val="1FB81BA2"/>
    <w:rsid w:val="1FB958FC"/>
    <w:rsid w:val="1FC723B4"/>
    <w:rsid w:val="1FD7404C"/>
    <w:rsid w:val="1FD80A43"/>
    <w:rsid w:val="1FE204A6"/>
    <w:rsid w:val="1FFC5DDC"/>
    <w:rsid w:val="20007100"/>
    <w:rsid w:val="200F2865"/>
    <w:rsid w:val="20120328"/>
    <w:rsid w:val="20160F53"/>
    <w:rsid w:val="20214412"/>
    <w:rsid w:val="20467421"/>
    <w:rsid w:val="204824E0"/>
    <w:rsid w:val="20573095"/>
    <w:rsid w:val="205A5215"/>
    <w:rsid w:val="20737FF4"/>
    <w:rsid w:val="207643EA"/>
    <w:rsid w:val="207D2842"/>
    <w:rsid w:val="207E0157"/>
    <w:rsid w:val="207E5ADF"/>
    <w:rsid w:val="20875058"/>
    <w:rsid w:val="20895C69"/>
    <w:rsid w:val="208A3D1A"/>
    <w:rsid w:val="20955E3E"/>
    <w:rsid w:val="209C7343"/>
    <w:rsid w:val="20A37FCF"/>
    <w:rsid w:val="20A96320"/>
    <w:rsid w:val="20C06AD8"/>
    <w:rsid w:val="20C34429"/>
    <w:rsid w:val="20C34F4E"/>
    <w:rsid w:val="20CF0D61"/>
    <w:rsid w:val="20D32FEA"/>
    <w:rsid w:val="20DA5429"/>
    <w:rsid w:val="20E9190B"/>
    <w:rsid w:val="20F75BA9"/>
    <w:rsid w:val="20FE6EB4"/>
    <w:rsid w:val="210E62C7"/>
    <w:rsid w:val="211F0ACE"/>
    <w:rsid w:val="212401D0"/>
    <w:rsid w:val="212427DE"/>
    <w:rsid w:val="21292A0B"/>
    <w:rsid w:val="212F7492"/>
    <w:rsid w:val="213B5E92"/>
    <w:rsid w:val="21411466"/>
    <w:rsid w:val="21464D7B"/>
    <w:rsid w:val="21484171"/>
    <w:rsid w:val="214A6862"/>
    <w:rsid w:val="214F1E2C"/>
    <w:rsid w:val="215B362C"/>
    <w:rsid w:val="215C72D6"/>
    <w:rsid w:val="21687C5B"/>
    <w:rsid w:val="21771470"/>
    <w:rsid w:val="21774DC8"/>
    <w:rsid w:val="21776FB8"/>
    <w:rsid w:val="219C1AF3"/>
    <w:rsid w:val="219D07A6"/>
    <w:rsid w:val="219F709C"/>
    <w:rsid w:val="21A23042"/>
    <w:rsid w:val="21A36298"/>
    <w:rsid w:val="21B32A91"/>
    <w:rsid w:val="21BB514A"/>
    <w:rsid w:val="21D45DE6"/>
    <w:rsid w:val="21DA4716"/>
    <w:rsid w:val="21E31B47"/>
    <w:rsid w:val="220A4AA1"/>
    <w:rsid w:val="220B27D2"/>
    <w:rsid w:val="22207409"/>
    <w:rsid w:val="2246486C"/>
    <w:rsid w:val="224B0307"/>
    <w:rsid w:val="224D3A77"/>
    <w:rsid w:val="224D694E"/>
    <w:rsid w:val="226254FB"/>
    <w:rsid w:val="227318C4"/>
    <w:rsid w:val="22837CD3"/>
    <w:rsid w:val="22897463"/>
    <w:rsid w:val="228D583F"/>
    <w:rsid w:val="229E2B2D"/>
    <w:rsid w:val="22A354A5"/>
    <w:rsid w:val="22BC3692"/>
    <w:rsid w:val="22BE55CC"/>
    <w:rsid w:val="22C802FF"/>
    <w:rsid w:val="22C83487"/>
    <w:rsid w:val="22CA30D3"/>
    <w:rsid w:val="22DC77DC"/>
    <w:rsid w:val="22E97D50"/>
    <w:rsid w:val="22F6534B"/>
    <w:rsid w:val="230956CA"/>
    <w:rsid w:val="23124563"/>
    <w:rsid w:val="23167D14"/>
    <w:rsid w:val="23201BB6"/>
    <w:rsid w:val="233920CB"/>
    <w:rsid w:val="23396285"/>
    <w:rsid w:val="233F7E6C"/>
    <w:rsid w:val="234A305C"/>
    <w:rsid w:val="234E4553"/>
    <w:rsid w:val="23684534"/>
    <w:rsid w:val="236C4EAD"/>
    <w:rsid w:val="237B001C"/>
    <w:rsid w:val="238A1229"/>
    <w:rsid w:val="2396008A"/>
    <w:rsid w:val="239E4031"/>
    <w:rsid w:val="23A123A0"/>
    <w:rsid w:val="23A24268"/>
    <w:rsid w:val="23B83AA8"/>
    <w:rsid w:val="23BD5E67"/>
    <w:rsid w:val="241449C6"/>
    <w:rsid w:val="241906BD"/>
    <w:rsid w:val="241C44E3"/>
    <w:rsid w:val="241C5631"/>
    <w:rsid w:val="242444B8"/>
    <w:rsid w:val="24296BA8"/>
    <w:rsid w:val="242C7BE8"/>
    <w:rsid w:val="243C039A"/>
    <w:rsid w:val="245060A9"/>
    <w:rsid w:val="245A1BF0"/>
    <w:rsid w:val="24630C76"/>
    <w:rsid w:val="24665A18"/>
    <w:rsid w:val="24674521"/>
    <w:rsid w:val="2478472E"/>
    <w:rsid w:val="249F4748"/>
    <w:rsid w:val="24A5086B"/>
    <w:rsid w:val="24AB4534"/>
    <w:rsid w:val="24B4763E"/>
    <w:rsid w:val="24BA4BD0"/>
    <w:rsid w:val="24C572D0"/>
    <w:rsid w:val="24C65969"/>
    <w:rsid w:val="24CD5D59"/>
    <w:rsid w:val="24D9551D"/>
    <w:rsid w:val="24DA3F83"/>
    <w:rsid w:val="24E120EA"/>
    <w:rsid w:val="24F71E83"/>
    <w:rsid w:val="25125E4F"/>
    <w:rsid w:val="25184B4D"/>
    <w:rsid w:val="251D21DF"/>
    <w:rsid w:val="25211C3F"/>
    <w:rsid w:val="25287F65"/>
    <w:rsid w:val="253A7A2A"/>
    <w:rsid w:val="253E435C"/>
    <w:rsid w:val="254466DF"/>
    <w:rsid w:val="254F3588"/>
    <w:rsid w:val="254F4E90"/>
    <w:rsid w:val="25535A3E"/>
    <w:rsid w:val="25536227"/>
    <w:rsid w:val="255634E0"/>
    <w:rsid w:val="255D3C4C"/>
    <w:rsid w:val="256107E0"/>
    <w:rsid w:val="257A6F0F"/>
    <w:rsid w:val="257B46FA"/>
    <w:rsid w:val="259D19F5"/>
    <w:rsid w:val="25A15F27"/>
    <w:rsid w:val="25A40F8A"/>
    <w:rsid w:val="25BE393F"/>
    <w:rsid w:val="25BF5A55"/>
    <w:rsid w:val="25C24E9E"/>
    <w:rsid w:val="25CC695F"/>
    <w:rsid w:val="25D20868"/>
    <w:rsid w:val="25E06B30"/>
    <w:rsid w:val="25E619F6"/>
    <w:rsid w:val="25EB6D73"/>
    <w:rsid w:val="25F6673F"/>
    <w:rsid w:val="25F75CE6"/>
    <w:rsid w:val="25F91F4D"/>
    <w:rsid w:val="26007BC9"/>
    <w:rsid w:val="2616009D"/>
    <w:rsid w:val="2617030E"/>
    <w:rsid w:val="261C2A00"/>
    <w:rsid w:val="26380B13"/>
    <w:rsid w:val="26503767"/>
    <w:rsid w:val="26510A3F"/>
    <w:rsid w:val="267A01E4"/>
    <w:rsid w:val="267A4A6A"/>
    <w:rsid w:val="267B6B0E"/>
    <w:rsid w:val="268705C2"/>
    <w:rsid w:val="269C2550"/>
    <w:rsid w:val="269C5787"/>
    <w:rsid w:val="26A10CBD"/>
    <w:rsid w:val="26AF08B2"/>
    <w:rsid w:val="26B35E19"/>
    <w:rsid w:val="26C440F3"/>
    <w:rsid w:val="26CA1479"/>
    <w:rsid w:val="26CF6E03"/>
    <w:rsid w:val="26D75840"/>
    <w:rsid w:val="26DD4C5B"/>
    <w:rsid w:val="26EF2570"/>
    <w:rsid w:val="26F81B7B"/>
    <w:rsid w:val="270840C4"/>
    <w:rsid w:val="271576C8"/>
    <w:rsid w:val="271B0E87"/>
    <w:rsid w:val="271F2D5F"/>
    <w:rsid w:val="272771BF"/>
    <w:rsid w:val="27295DC4"/>
    <w:rsid w:val="272C3921"/>
    <w:rsid w:val="27421286"/>
    <w:rsid w:val="2743458E"/>
    <w:rsid w:val="27446F2C"/>
    <w:rsid w:val="274D6C25"/>
    <w:rsid w:val="27694B58"/>
    <w:rsid w:val="276C1618"/>
    <w:rsid w:val="27797F5D"/>
    <w:rsid w:val="27822EC6"/>
    <w:rsid w:val="27855B2F"/>
    <w:rsid w:val="27946FCB"/>
    <w:rsid w:val="279F5BB3"/>
    <w:rsid w:val="27A45A0F"/>
    <w:rsid w:val="27BE1166"/>
    <w:rsid w:val="27C838EE"/>
    <w:rsid w:val="27D27607"/>
    <w:rsid w:val="27D327E3"/>
    <w:rsid w:val="27DC2FBF"/>
    <w:rsid w:val="27E54A94"/>
    <w:rsid w:val="27E710A9"/>
    <w:rsid w:val="27EC624B"/>
    <w:rsid w:val="27EF2113"/>
    <w:rsid w:val="27FC58B9"/>
    <w:rsid w:val="27FD4A21"/>
    <w:rsid w:val="280023AD"/>
    <w:rsid w:val="280E2503"/>
    <w:rsid w:val="28292E99"/>
    <w:rsid w:val="28292FBC"/>
    <w:rsid w:val="282A1B6D"/>
    <w:rsid w:val="284657F9"/>
    <w:rsid w:val="28697254"/>
    <w:rsid w:val="288023F4"/>
    <w:rsid w:val="288622F0"/>
    <w:rsid w:val="288D4591"/>
    <w:rsid w:val="28A34DFC"/>
    <w:rsid w:val="28A510BF"/>
    <w:rsid w:val="28A83AC0"/>
    <w:rsid w:val="28B02EAE"/>
    <w:rsid w:val="28BB71ED"/>
    <w:rsid w:val="28BD5422"/>
    <w:rsid w:val="28C10F40"/>
    <w:rsid w:val="28C26AB8"/>
    <w:rsid w:val="28D3157A"/>
    <w:rsid w:val="28DD1419"/>
    <w:rsid w:val="28E278F9"/>
    <w:rsid w:val="28EE6801"/>
    <w:rsid w:val="28FB65E3"/>
    <w:rsid w:val="29072F3B"/>
    <w:rsid w:val="290A346E"/>
    <w:rsid w:val="29165E70"/>
    <w:rsid w:val="292607D1"/>
    <w:rsid w:val="2927283C"/>
    <w:rsid w:val="29323A24"/>
    <w:rsid w:val="29337F23"/>
    <w:rsid w:val="295A3D79"/>
    <w:rsid w:val="295D65D5"/>
    <w:rsid w:val="296576F6"/>
    <w:rsid w:val="296A1D5A"/>
    <w:rsid w:val="296A4D8D"/>
    <w:rsid w:val="296E2F78"/>
    <w:rsid w:val="298940D8"/>
    <w:rsid w:val="298E633C"/>
    <w:rsid w:val="299D4E00"/>
    <w:rsid w:val="29A14700"/>
    <w:rsid w:val="29C43926"/>
    <w:rsid w:val="29D3225F"/>
    <w:rsid w:val="29E20B5A"/>
    <w:rsid w:val="29E81E99"/>
    <w:rsid w:val="29F23F07"/>
    <w:rsid w:val="29F82648"/>
    <w:rsid w:val="2A0E1BCD"/>
    <w:rsid w:val="2A24668B"/>
    <w:rsid w:val="2A4D2BDE"/>
    <w:rsid w:val="2A4E7CE0"/>
    <w:rsid w:val="2A5724C8"/>
    <w:rsid w:val="2A5E0E0E"/>
    <w:rsid w:val="2A5E570F"/>
    <w:rsid w:val="2A774E4F"/>
    <w:rsid w:val="2A785209"/>
    <w:rsid w:val="2A792AFC"/>
    <w:rsid w:val="2A8B565F"/>
    <w:rsid w:val="2A8D5BA7"/>
    <w:rsid w:val="2A93333B"/>
    <w:rsid w:val="2A957C66"/>
    <w:rsid w:val="2AAC1C74"/>
    <w:rsid w:val="2ABB5AA9"/>
    <w:rsid w:val="2AC56749"/>
    <w:rsid w:val="2AEE444B"/>
    <w:rsid w:val="2AEE4FFE"/>
    <w:rsid w:val="2B065866"/>
    <w:rsid w:val="2B0A7047"/>
    <w:rsid w:val="2B0C1AC3"/>
    <w:rsid w:val="2B0E74C0"/>
    <w:rsid w:val="2B364400"/>
    <w:rsid w:val="2B3F3A31"/>
    <w:rsid w:val="2B43250A"/>
    <w:rsid w:val="2B4D3F14"/>
    <w:rsid w:val="2B4E174F"/>
    <w:rsid w:val="2B560435"/>
    <w:rsid w:val="2B586C2C"/>
    <w:rsid w:val="2B5F35AA"/>
    <w:rsid w:val="2B76362B"/>
    <w:rsid w:val="2B955C37"/>
    <w:rsid w:val="2B9609D1"/>
    <w:rsid w:val="2BBB55C1"/>
    <w:rsid w:val="2BC16FD7"/>
    <w:rsid w:val="2BC96A98"/>
    <w:rsid w:val="2BE1588C"/>
    <w:rsid w:val="2BF44F91"/>
    <w:rsid w:val="2C0C7F79"/>
    <w:rsid w:val="2C23027A"/>
    <w:rsid w:val="2C2B4B8F"/>
    <w:rsid w:val="2C32240E"/>
    <w:rsid w:val="2C3B4426"/>
    <w:rsid w:val="2C3D3134"/>
    <w:rsid w:val="2C3D4920"/>
    <w:rsid w:val="2C4332FB"/>
    <w:rsid w:val="2C4C5D1A"/>
    <w:rsid w:val="2C536314"/>
    <w:rsid w:val="2C65077C"/>
    <w:rsid w:val="2C6C46D0"/>
    <w:rsid w:val="2C703D66"/>
    <w:rsid w:val="2C7426BF"/>
    <w:rsid w:val="2C757A16"/>
    <w:rsid w:val="2C8A38E8"/>
    <w:rsid w:val="2CA86A82"/>
    <w:rsid w:val="2CC2454E"/>
    <w:rsid w:val="2CD7321C"/>
    <w:rsid w:val="2CDB7141"/>
    <w:rsid w:val="2CEA5B2D"/>
    <w:rsid w:val="2D200D0E"/>
    <w:rsid w:val="2D21524B"/>
    <w:rsid w:val="2D2C3196"/>
    <w:rsid w:val="2D352CC7"/>
    <w:rsid w:val="2D3D524F"/>
    <w:rsid w:val="2D453E5D"/>
    <w:rsid w:val="2D5355D5"/>
    <w:rsid w:val="2D5735E2"/>
    <w:rsid w:val="2D5C4624"/>
    <w:rsid w:val="2D661466"/>
    <w:rsid w:val="2D7C5F20"/>
    <w:rsid w:val="2D917516"/>
    <w:rsid w:val="2D9C44AA"/>
    <w:rsid w:val="2DA2079F"/>
    <w:rsid w:val="2DAF5A8E"/>
    <w:rsid w:val="2DBA337A"/>
    <w:rsid w:val="2DBE671C"/>
    <w:rsid w:val="2DC241F2"/>
    <w:rsid w:val="2DC773DC"/>
    <w:rsid w:val="2DD51DCC"/>
    <w:rsid w:val="2DD82143"/>
    <w:rsid w:val="2DE531DA"/>
    <w:rsid w:val="2DE97352"/>
    <w:rsid w:val="2DED26E2"/>
    <w:rsid w:val="2DEE2BC3"/>
    <w:rsid w:val="2E0A0B50"/>
    <w:rsid w:val="2E2F22AE"/>
    <w:rsid w:val="2E312557"/>
    <w:rsid w:val="2E33306A"/>
    <w:rsid w:val="2E3A06FC"/>
    <w:rsid w:val="2E4069D2"/>
    <w:rsid w:val="2E6D090A"/>
    <w:rsid w:val="2E8D5457"/>
    <w:rsid w:val="2E945035"/>
    <w:rsid w:val="2E951990"/>
    <w:rsid w:val="2EA74B17"/>
    <w:rsid w:val="2EC16D9F"/>
    <w:rsid w:val="2ECB781E"/>
    <w:rsid w:val="2ECE71D8"/>
    <w:rsid w:val="2ED708F9"/>
    <w:rsid w:val="2EDB6F13"/>
    <w:rsid w:val="2EDC2A13"/>
    <w:rsid w:val="2EDC76B4"/>
    <w:rsid w:val="2EE5531D"/>
    <w:rsid w:val="2EF81098"/>
    <w:rsid w:val="2EF873EF"/>
    <w:rsid w:val="2F00639B"/>
    <w:rsid w:val="2F020177"/>
    <w:rsid w:val="2F104DB2"/>
    <w:rsid w:val="2F116B0A"/>
    <w:rsid w:val="2F2A6DF6"/>
    <w:rsid w:val="2F2B62A5"/>
    <w:rsid w:val="2F2C3B30"/>
    <w:rsid w:val="2F363704"/>
    <w:rsid w:val="2F442DD7"/>
    <w:rsid w:val="2F4B2CA0"/>
    <w:rsid w:val="2F4E0DAB"/>
    <w:rsid w:val="2F507CD5"/>
    <w:rsid w:val="2F5A4236"/>
    <w:rsid w:val="2F630A41"/>
    <w:rsid w:val="2F67120C"/>
    <w:rsid w:val="2F6F34DE"/>
    <w:rsid w:val="2F700F60"/>
    <w:rsid w:val="2F783FFA"/>
    <w:rsid w:val="2F794881"/>
    <w:rsid w:val="2F9857DE"/>
    <w:rsid w:val="2F9E1B1D"/>
    <w:rsid w:val="2FA36462"/>
    <w:rsid w:val="2FA454C3"/>
    <w:rsid w:val="2FAA7E40"/>
    <w:rsid w:val="2FCF0A5E"/>
    <w:rsid w:val="2FD13557"/>
    <w:rsid w:val="2FD353A7"/>
    <w:rsid w:val="2FDE3666"/>
    <w:rsid w:val="2FE931A8"/>
    <w:rsid w:val="2FEC7D3B"/>
    <w:rsid w:val="2FED3948"/>
    <w:rsid w:val="2FF15848"/>
    <w:rsid w:val="2FFB6945"/>
    <w:rsid w:val="2FFE2E5D"/>
    <w:rsid w:val="2FFE5C89"/>
    <w:rsid w:val="30005399"/>
    <w:rsid w:val="300F1568"/>
    <w:rsid w:val="30251EBA"/>
    <w:rsid w:val="303142B1"/>
    <w:rsid w:val="30451180"/>
    <w:rsid w:val="30613A3D"/>
    <w:rsid w:val="30674328"/>
    <w:rsid w:val="306961C1"/>
    <w:rsid w:val="30745F86"/>
    <w:rsid w:val="307B3DFF"/>
    <w:rsid w:val="308F2E68"/>
    <w:rsid w:val="30A30D45"/>
    <w:rsid w:val="30A779B6"/>
    <w:rsid w:val="30C32F05"/>
    <w:rsid w:val="30DF4B93"/>
    <w:rsid w:val="30E679B2"/>
    <w:rsid w:val="30F04489"/>
    <w:rsid w:val="31132427"/>
    <w:rsid w:val="3122501F"/>
    <w:rsid w:val="31343B78"/>
    <w:rsid w:val="313D0912"/>
    <w:rsid w:val="313D33F8"/>
    <w:rsid w:val="31406FDD"/>
    <w:rsid w:val="31512052"/>
    <w:rsid w:val="31531C65"/>
    <w:rsid w:val="31585B88"/>
    <w:rsid w:val="315E381C"/>
    <w:rsid w:val="315E39DD"/>
    <w:rsid w:val="317B5B3D"/>
    <w:rsid w:val="31815409"/>
    <w:rsid w:val="3183186B"/>
    <w:rsid w:val="318A6A0B"/>
    <w:rsid w:val="318C1146"/>
    <w:rsid w:val="31AD0982"/>
    <w:rsid w:val="31B92A4B"/>
    <w:rsid w:val="31BA5AE0"/>
    <w:rsid w:val="31C439B2"/>
    <w:rsid w:val="31CF3C4B"/>
    <w:rsid w:val="31D720D1"/>
    <w:rsid w:val="31E10B15"/>
    <w:rsid w:val="31F53789"/>
    <w:rsid w:val="32186917"/>
    <w:rsid w:val="321C0E0F"/>
    <w:rsid w:val="321E2B58"/>
    <w:rsid w:val="321F5F03"/>
    <w:rsid w:val="322453E3"/>
    <w:rsid w:val="322E70D6"/>
    <w:rsid w:val="3235075B"/>
    <w:rsid w:val="324046DF"/>
    <w:rsid w:val="3240775C"/>
    <w:rsid w:val="32445586"/>
    <w:rsid w:val="32543916"/>
    <w:rsid w:val="32572F13"/>
    <w:rsid w:val="325A4124"/>
    <w:rsid w:val="326E0BDC"/>
    <w:rsid w:val="326F76CF"/>
    <w:rsid w:val="32751C28"/>
    <w:rsid w:val="32787431"/>
    <w:rsid w:val="32843096"/>
    <w:rsid w:val="328672F4"/>
    <w:rsid w:val="32923950"/>
    <w:rsid w:val="3293788C"/>
    <w:rsid w:val="32973B20"/>
    <w:rsid w:val="32AC282F"/>
    <w:rsid w:val="32D64384"/>
    <w:rsid w:val="32D912CC"/>
    <w:rsid w:val="32E760D0"/>
    <w:rsid w:val="32E9091D"/>
    <w:rsid w:val="33016E3F"/>
    <w:rsid w:val="330368FF"/>
    <w:rsid w:val="330D50B8"/>
    <w:rsid w:val="330F716E"/>
    <w:rsid w:val="33131869"/>
    <w:rsid w:val="33185CB6"/>
    <w:rsid w:val="33217739"/>
    <w:rsid w:val="33253C7E"/>
    <w:rsid w:val="33267CA5"/>
    <w:rsid w:val="33590BA9"/>
    <w:rsid w:val="3364345F"/>
    <w:rsid w:val="336B2DEA"/>
    <w:rsid w:val="337820FF"/>
    <w:rsid w:val="338053F6"/>
    <w:rsid w:val="33847294"/>
    <w:rsid w:val="33885AE1"/>
    <w:rsid w:val="339461DC"/>
    <w:rsid w:val="339616AF"/>
    <w:rsid w:val="33A04C0E"/>
    <w:rsid w:val="33A61BFC"/>
    <w:rsid w:val="33B029C4"/>
    <w:rsid w:val="33C52F88"/>
    <w:rsid w:val="33CB3AA4"/>
    <w:rsid w:val="33D17B1C"/>
    <w:rsid w:val="33D5403C"/>
    <w:rsid w:val="33FA2A7F"/>
    <w:rsid w:val="340856A5"/>
    <w:rsid w:val="34104588"/>
    <w:rsid w:val="34257C99"/>
    <w:rsid w:val="343B3CF9"/>
    <w:rsid w:val="344C40F4"/>
    <w:rsid w:val="3464626C"/>
    <w:rsid w:val="34684B19"/>
    <w:rsid w:val="3478662A"/>
    <w:rsid w:val="349F1B6B"/>
    <w:rsid w:val="34A07622"/>
    <w:rsid w:val="34A76D14"/>
    <w:rsid w:val="34B73501"/>
    <w:rsid w:val="34B961E7"/>
    <w:rsid w:val="34C21262"/>
    <w:rsid w:val="34C74165"/>
    <w:rsid w:val="34D643A8"/>
    <w:rsid w:val="34D91922"/>
    <w:rsid w:val="34DD5DDC"/>
    <w:rsid w:val="34E5036A"/>
    <w:rsid w:val="35024EF4"/>
    <w:rsid w:val="350C4572"/>
    <w:rsid w:val="350D2195"/>
    <w:rsid w:val="35124F52"/>
    <w:rsid w:val="351A7AC4"/>
    <w:rsid w:val="351D5B33"/>
    <w:rsid w:val="351F3431"/>
    <w:rsid w:val="352F0622"/>
    <w:rsid w:val="35460AE2"/>
    <w:rsid w:val="35470E02"/>
    <w:rsid w:val="35470FDA"/>
    <w:rsid w:val="355105C3"/>
    <w:rsid w:val="3562308E"/>
    <w:rsid w:val="35661CE5"/>
    <w:rsid w:val="356D5A8B"/>
    <w:rsid w:val="358344CE"/>
    <w:rsid w:val="35BA7826"/>
    <w:rsid w:val="35CB0DC5"/>
    <w:rsid w:val="35D14E46"/>
    <w:rsid w:val="35D812B2"/>
    <w:rsid w:val="35E77282"/>
    <w:rsid w:val="35FB7DFD"/>
    <w:rsid w:val="36047B5A"/>
    <w:rsid w:val="360714B4"/>
    <w:rsid w:val="360B7EBA"/>
    <w:rsid w:val="36207B3E"/>
    <w:rsid w:val="3624278B"/>
    <w:rsid w:val="3624699F"/>
    <w:rsid w:val="36280C33"/>
    <w:rsid w:val="36320E09"/>
    <w:rsid w:val="364041CF"/>
    <w:rsid w:val="36486B8E"/>
    <w:rsid w:val="36587B4A"/>
    <w:rsid w:val="367F5729"/>
    <w:rsid w:val="369A64A4"/>
    <w:rsid w:val="36C41155"/>
    <w:rsid w:val="36CF2E9B"/>
    <w:rsid w:val="36D257C1"/>
    <w:rsid w:val="36D92422"/>
    <w:rsid w:val="36E645B9"/>
    <w:rsid w:val="36F31F8F"/>
    <w:rsid w:val="371C142E"/>
    <w:rsid w:val="3730623F"/>
    <w:rsid w:val="37321FDF"/>
    <w:rsid w:val="373D472E"/>
    <w:rsid w:val="3741513F"/>
    <w:rsid w:val="374416F7"/>
    <w:rsid w:val="375D35E9"/>
    <w:rsid w:val="37613080"/>
    <w:rsid w:val="37676AF2"/>
    <w:rsid w:val="377C6467"/>
    <w:rsid w:val="378974B0"/>
    <w:rsid w:val="37B26414"/>
    <w:rsid w:val="37F007B1"/>
    <w:rsid w:val="37F540B5"/>
    <w:rsid w:val="37F54EB0"/>
    <w:rsid w:val="37F75CB4"/>
    <w:rsid w:val="37FF59C4"/>
    <w:rsid w:val="380B6A76"/>
    <w:rsid w:val="38127800"/>
    <w:rsid w:val="382562D0"/>
    <w:rsid w:val="38283789"/>
    <w:rsid w:val="383E473E"/>
    <w:rsid w:val="38576CEB"/>
    <w:rsid w:val="385F2AD8"/>
    <w:rsid w:val="38623494"/>
    <w:rsid w:val="38632701"/>
    <w:rsid w:val="388E48C3"/>
    <w:rsid w:val="38A70FC0"/>
    <w:rsid w:val="38B070DD"/>
    <w:rsid w:val="38B33D55"/>
    <w:rsid w:val="38B87172"/>
    <w:rsid w:val="38B97C78"/>
    <w:rsid w:val="38BD7BC3"/>
    <w:rsid w:val="38C44830"/>
    <w:rsid w:val="38E42B66"/>
    <w:rsid w:val="38F261FA"/>
    <w:rsid w:val="39213164"/>
    <w:rsid w:val="39274319"/>
    <w:rsid w:val="39280D76"/>
    <w:rsid w:val="393E42B9"/>
    <w:rsid w:val="393E44F9"/>
    <w:rsid w:val="39490520"/>
    <w:rsid w:val="395241E1"/>
    <w:rsid w:val="3965768A"/>
    <w:rsid w:val="396E7247"/>
    <w:rsid w:val="397855D8"/>
    <w:rsid w:val="39871BE1"/>
    <w:rsid w:val="3988503F"/>
    <w:rsid w:val="39A30E92"/>
    <w:rsid w:val="39A319BA"/>
    <w:rsid w:val="39A737B7"/>
    <w:rsid w:val="39A76DB3"/>
    <w:rsid w:val="39AB7BB1"/>
    <w:rsid w:val="39C36336"/>
    <w:rsid w:val="39CE2AE6"/>
    <w:rsid w:val="39CF2763"/>
    <w:rsid w:val="39DE09C7"/>
    <w:rsid w:val="39F93BB6"/>
    <w:rsid w:val="3A07292F"/>
    <w:rsid w:val="3A191B53"/>
    <w:rsid w:val="3A1F41AF"/>
    <w:rsid w:val="3A2562E0"/>
    <w:rsid w:val="3A2727FF"/>
    <w:rsid w:val="3A4549D4"/>
    <w:rsid w:val="3A4B3532"/>
    <w:rsid w:val="3A4D68B5"/>
    <w:rsid w:val="3A6A61E5"/>
    <w:rsid w:val="3A6E0E76"/>
    <w:rsid w:val="3A6E2AE6"/>
    <w:rsid w:val="3A755744"/>
    <w:rsid w:val="3A762812"/>
    <w:rsid w:val="3A7C26CE"/>
    <w:rsid w:val="3A7E47C2"/>
    <w:rsid w:val="3A8535D4"/>
    <w:rsid w:val="3A9320B2"/>
    <w:rsid w:val="3A9A0838"/>
    <w:rsid w:val="3A9E4591"/>
    <w:rsid w:val="3AA605EF"/>
    <w:rsid w:val="3AAE3B98"/>
    <w:rsid w:val="3ACF4F86"/>
    <w:rsid w:val="3AD34590"/>
    <w:rsid w:val="3ADD023E"/>
    <w:rsid w:val="3ADE0ED3"/>
    <w:rsid w:val="3AE04ECC"/>
    <w:rsid w:val="3AE86FEB"/>
    <w:rsid w:val="3AF0462A"/>
    <w:rsid w:val="3B041454"/>
    <w:rsid w:val="3B3A3C7B"/>
    <w:rsid w:val="3B3F3F1F"/>
    <w:rsid w:val="3B410F7A"/>
    <w:rsid w:val="3B4A2152"/>
    <w:rsid w:val="3B553864"/>
    <w:rsid w:val="3B7048CF"/>
    <w:rsid w:val="3B7201D0"/>
    <w:rsid w:val="3B881A4B"/>
    <w:rsid w:val="3BAB16D9"/>
    <w:rsid w:val="3BB5745C"/>
    <w:rsid w:val="3BB82377"/>
    <w:rsid w:val="3BBF031D"/>
    <w:rsid w:val="3BCD5F5B"/>
    <w:rsid w:val="3BDF1CA6"/>
    <w:rsid w:val="3BE23573"/>
    <w:rsid w:val="3BE600BA"/>
    <w:rsid w:val="3C146221"/>
    <w:rsid w:val="3C174661"/>
    <w:rsid w:val="3C2A2BCD"/>
    <w:rsid w:val="3C2C6A0F"/>
    <w:rsid w:val="3C3114A8"/>
    <w:rsid w:val="3C331D32"/>
    <w:rsid w:val="3C36384E"/>
    <w:rsid w:val="3C3663D5"/>
    <w:rsid w:val="3C3D4BF9"/>
    <w:rsid w:val="3C434D28"/>
    <w:rsid w:val="3C4563F6"/>
    <w:rsid w:val="3C471EB4"/>
    <w:rsid w:val="3C517860"/>
    <w:rsid w:val="3C54700A"/>
    <w:rsid w:val="3C5F49D0"/>
    <w:rsid w:val="3C6258F5"/>
    <w:rsid w:val="3C6A4001"/>
    <w:rsid w:val="3C6A43C4"/>
    <w:rsid w:val="3C706CBC"/>
    <w:rsid w:val="3C756255"/>
    <w:rsid w:val="3C765FA9"/>
    <w:rsid w:val="3C872C05"/>
    <w:rsid w:val="3C885B72"/>
    <w:rsid w:val="3CC9045E"/>
    <w:rsid w:val="3CCE0218"/>
    <w:rsid w:val="3CD01ACD"/>
    <w:rsid w:val="3CD71724"/>
    <w:rsid w:val="3CEC592E"/>
    <w:rsid w:val="3CEF33C2"/>
    <w:rsid w:val="3CF103F3"/>
    <w:rsid w:val="3CF47A8D"/>
    <w:rsid w:val="3D1D2101"/>
    <w:rsid w:val="3D250AC3"/>
    <w:rsid w:val="3D307922"/>
    <w:rsid w:val="3D3164B8"/>
    <w:rsid w:val="3D351B7B"/>
    <w:rsid w:val="3D3A3375"/>
    <w:rsid w:val="3D3B0201"/>
    <w:rsid w:val="3D534777"/>
    <w:rsid w:val="3D6010F6"/>
    <w:rsid w:val="3D61514A"/>
    <w:rsid w:val="3D6864CD"/>
    <w:rsid w:val="3D6A1AB6"/>
    <w:rsid w:val="3D770A97"/>
    <w:rsid w:val="3D9125C3"/>
    <w:rsid w:val="3D972703"/>
    <w:rsid w:val="3D9E676C"/>
    <w:rsid w:val="3DA10221"/>
    <w:rsid w:val="3DA13429"/>
    <w:rsid w:val="3DAD28F8"/>
    <w:rsid w:val="3DBA5484"/>
    <w:rsid w:val="3DC426E4"/>
    <w:rsid w:val="3DCE38DA"/>
    <w:rsid w:val="3DE113AA"/>
    <w:rsid w:val="3DFB39F0"/>
    <w:rsid w:val="3DFB4E05"/>
    <w:rsid w:val="3E023B53"/>
    <w:rsid w:val="3E20799C"/>
    <w:rsid w:val="3E2A2375"/>
    <w:rsid w:val="3E30684F"/>
    <w:rsid w:val="3E347862"/>
    <w:rsid w:val="3E3C5BB6"/>
    <w:rsid w:val="3E3F7B4F"/>
    <w:rsid w:val="3E5B6DAC"/>
    <w:rsid w:val="3E5F0364"/>
    <w:rsid w:val="3E6658A5"/>
    <w:rsid w:val="3E741175"/>
    <w:rsid w:val="3E8A1DCA"/>
    <w:rsid w:val="3E960007"/>
    <w:rsid w:val="3E9F580A"/>
    <w:rsid w:val="3EB3456B"/>
    <w:rsid w:val="3ED70E14"/>
    <w:rsid w:val="3EE37E15"/>
    <w:rsid w:val="3F116813"/>
    <w:rsid w:val="3F1E43C1"/>
    <w:rsid w:val="3F27452A"/>
    <w:rsid w:val="3F2E2097"/>
    <w:rsid w:val="3F32447F"/>
    <w:rsid w:val="3F3C735C"/>
    <w:rsid w:val="3F4E0E53"/>
    <w:rsid w:val="3F5070EA"/>
    <w:rsid w:val="3F5B5C7D"/>
    <w:rsid w:val="3F6F099C"/>
    <w:rsid w:val="3F765BF4"/>
    <w:rsid w:val="3F793D94"/>
    <w:rsid w:val="3F83623C"/>
    <w:rsid w:val="3F845593"/>
    <w:rsid w:val="3F850B3C"/>
    <w:rsid w:val="3F966C0E"/>
    <w:rsid w:val="3FB8290A"/>
    <w:rsid w:val="3FC66A3A"/>
    <w:rsid w:val="3FCC2AE9"/>
    <w:rsid w:val="3FD1113F"/>
    <w:rsid w:val="3FD16E9E"/>
    <w:rsid w:val="3FF03240"/>
    <w:rsid w:val="4007654E"/>
    <w:rsid w:val="40173E32"/>
    <w:rsid w:val="401A76EA"/>
    <w:rsid w:val="402E3A57"/>
    <w:rsid w:val="4034459A"/>
    <w:rsid w:val="403452BB"/>
    <w:rsid w:val="403C5FB5"/>
    <w:rsid w:val="40400B01"/>
    <w:rsid w:val="404037AD"/>
    <w:rsid w:val="406002B2"/>
    <w:rsid w:val="40676716"/>
    <w:rsid w:val="406B5BA4"/>
    <w:rsid w:val="406D4032"/>
    <w:rsid w:val="40824844"/>
    <w:rsid w:val="40916134"/>
    <w:rsid w:val="40A457A7"/>
    <w:rsid w:val="40A46A95"/>
    <w:rsid w:val="40A844ED"/>
    <w:rsid w:val="40B26271"/>
    <w:rsid w:val="40B80B71"/>
    <w:rsid w:val="40C37A36"/>
    <w:rsid w:val="40C46B2B"/>
    <w:rsid w:val="40D12704"/>
    <w:rsid w:val="40EB0F26"/>
    <w:rsid w:val="40EC1DFE"/>
    <w:rsid w:val="40F3109D"/>
    <w:rsid w:val="40F75C3B"/>
    <w:rsid w:val="40FD5B94"/>
    <w:rsid w:val="410201BD"/>
    <w:rsid w:val="41031F44"/>
    <w:rsid w:val="41080C89"/>
    <w:rsid w:val="411A73CB"/>
    <w:rsid w:val="412F080D"/>
    <w:rsid w:val="413E077C"/>
    <w:rsid w:val="41414D13"/>
    <w:rsid w:val="41431331"/>
    <w:rsid w:val="414D7E6F"/>
    <w:rsid w:val="416003E2"/>
    <w:rsid w:val="416E0A4F"/>
    <w:rsid w:val="41A0349B"/>
    <w:rsid w:val="41B525D9"/>
    <w:rsid w:val="41C75D77"/>
    <w:rsid w:val="41DB4F86"/>
    <w:rsid w:val="41E160FF"/>
    <w:rsid w:val="41E43129"/>
    <w:rsid w:val="41E86D31"/>
    <w:rsid w:val="41FA4601"/>
    <w:rsid w:val="41FF7556"/>
    <w:rsid w:val="421161EE"/>
    <w:rsid w:val="42215FE5"/>
    <w:rsid w:val="42265026"/>
    <w:rsid w:val="42271215"/>
    <w:rsid w:val="422827DC"/>
    <w:rsid w:val="423479AA"/>
    <w:rsid w:val="423B2D4D"/>
    <w:rsid w:val="42417DA8"/>
    <w:rsid w:val="4252375D"/>
    <w:rsid w:val="42661737"/>
    <w:rsid w:val="426623FD"/>
    <w:rsid w:val="42775C22"/>
    <w:rsid w:val="42907AB7"/>
    <w:rsid w:val="42A0619D"/>
    <w:rsid w:val="42A15FF5"/>
    <w:rsid w:val="42BC5D57"/>
    <w:rsid w:val="42BE1A1F"/>
    <w:rsid w:val="42C61D78"/>
    <w:rsid w:val="42CB0045"/>
    <w:rsid w:val="42D21748"/>
    <w:rsid w:val="42D22310"/>
    <w:rsid w:val="42D619F5"/>
    <w:rsid w:val="42E85126"/>
    <w:rsid w:val="42F21E7D"/>
    <w:rsid w:val="43085783"/>
    <w:rsid w:val="4314588A"/>
    <w:rsid w:val="43171DBB"/>
    <w:rsid w:val="43174A14"/>
    <w:rsid w:val="43185AD2"/>
    <w:rsid w:val="431F199F"/>
    <w:rsid w:val="431F6040"/>
    <w:rsid w:val="43314560"/>
    <w:rsid w:val="43345A01"/>
    <w:rsid w:val="43425EDA"/>
    <w:rsid w:val="43510322"/>
    <w:rsid w:val="435814B5"/>
    <w:rsid w:val="435D62E7"/>
    <w:rsid w:val="435E7F8F"/>
    <w:rsid w:val="435F34D3"/>
    <w:rsid w:val="436A24EF"/>
    <w:rsid w:val="436B1B8C"/>
    <w:rsid w:val="436F7EA2"/>
    <w:rsid w:val="438E2284"/>
    <w:rsid w:val="438F3DDE"/>
    <w:rsid w:val="43960513"/>
    <w:rsid w:val="439F4A0C"/>
    <w:rsid w:val="43CD497D"/>
    <w:rsid w:val="43D21CA5"/>
    <w:rsid w:val="43D22F37"/>
    <w:rsid w:val="43DA3728"/>
    <w:rsid w:val="43DF1C60"/>
    <w:rsid w:val="43EE32A7"/>
    <w:rsid w:val="43EF2400"/>
    <w:rsid w:val="43F7188F"/>
    <w:rsid w:val="441D6760"/>
    <w:rsid w:val="441E0974"/>
    <w:rsid w:val="4422048F"/>
    <w:rsid w:val="442B45AA"/>
    <w:rsid w:val="444842A6"/>
    <w:rsid w:val="446C7CDE"/>
    <w:rsid w:val="44863EF6"/>
    <w:rsid w:val="44960B84"/>
    <w:rsid w:val="44C879E9"/>
    <w:rsid w:val="44C9660E"/>
    <w:rsid w:val="44D91E82"/>
    <w:rsid w:val="44DE54E3"/>
    <w:rsid w:val="44FF683E"/>
    <w:rsid w:val="45062140"/>
    <w:rsid w:val="451B25D9"/>
    <w:rsid w:val="45295CB7"/>
    <w:rsid w:val="454432E8"/>
    <w:rsid w:val="454C333B"/>
    <w:rsid w:val="45513717"/>
    <w:rsid w:val="45606AFD"/>
    <w:rsid w:val="45714ECB"/>
    <w:rsid w:val="458E44FE"/>
    <w:rsid w:val="45904AEA"/>
    <w:rsid w:val="45A6216E"/>
    <w:rsid w:val="45AC4DBE"/>
    <w:rsid w:val="45B4385C"/>
    <w:rsid w:val="45CD3A13"/>
    <w:rsid w:val="45D902C6"/>
    <w:rsid w:val="45DB4DAE"/>
    <w:rsid w:val="45E44E55"/>
    <w:rsid w:val="45E523F9"/>
    <w:rsid w:val="45EB2796"/>
    <w:rsid w:val="45ED00D2"/>
    <w:rsid w:val="45F34DBA"/>
    <w:rsid w:val="461A74D8"/>
    <w:rsid w:val="461E05C0"/>
    <w:rsid w:val="46226563"/>
    <w:rsid w:val="462E312C"/>
    <w:rsid w:val="46431EF0"/>
    <w:rsid w:val="465602CF"/>
    <w:rsid w:val="466E6E93"/>
    <w:rsid w:val="467D5D0D"/>
    <w:rsid w:val="467E6C9D"/>
    <w:rsid w:val="46986925"/>
    <w:rsid w:val="46B771C2"/>
    <w:rsid w:val="46C446E3"/>
    <w:rsid w:val="46CD22F1"/>
    <w:rsid w:val="46E12576"/>
    <w:rsid w:val="46E54BFA"/>
    <w:rsid w:val="46F129BD"/>
    <w:rsid w:val="470C1B02"/>
    <w:rsid w:val="47346CE1"/>
    <w:rsid w:val="474F593B"/>
    <w:rsid w:val="47562FF9"/>
    <w:rsid w:val="475D7214"/>
    <w:rsid w:val="476262F0"/>
    <w:rsid w:val="47665732"/>
    <w:rsid w:val="4779309D"/>
    <w:rsid w:val="47823A67"/>
    <w:rsid w:val="4786091C"/>
    <w:rsid w:val="47977DDE"/>
    <w:rsid w:val="479C591D"/>
    <w:rsid w:val="47A210E7"/>
    <w:rsid w:val="47A741D2"/>
    <w:rsid w:val="47B840FC"/>
    <w:rsid w:val="47B9074B"/>
    <w:rsid w:val="47E56887"/>
    <w:rsid w:val="47EE163B"/>
    <w:rsid w:val="47FF5949"/>
    <w:rsid w:val="480A1B30"/>
    <w:rsid w:val="48104EC7"/>
    <w:rsid w:val="482E4477"/>
    <w:rsid w:val="483C0918"/>
    <w:rsid w:val="484C6A03"/>
    <w:rsid w:val="48603582"/>
    <w:rsid w:val="487C084B"/>
    <w:rsid w:val="487F1A3B"/>
    <w:rsid w:val="48896EB8"/>
    <w:rsid w:val="48925A9D"/>
    <w:rsid w:val="48A82AC4"/>
    <w:rsid w:val="48A96CF2"/>
    <w:rsid w:val="48CA33FC"/>
    <w:rsid w:val="48CA4EBA"/>
    <w:rsid w:val="48DB0037"/>
    <w:rsid w:val="48E0145B"/>
    <w:rsid w:val="48E47864"/>
    <w:rsid w:val="48E51A27"/>
    <w:rsid w:val="48E80ECD"/>
    <w:rsid w:val="48F254BA"/>
    <w:rsid w:val="48F820C2"/>
    <w:rsid w:val="48FD2562"/>
    <w:rsid w:val="48FF2C16"/>
    <w:rsid w:val="490D4E59"/>
    <w:rsid w:val="490E5A67"/>
    <w:rsid w:val="493A4506"/>
    <w:rsid w:val="493B6901"/>
    <w:rsid w:val="493D3892"/>
    <w:rsid w:val="49532C77"/>
    <w:rsid w:val="496E1075"/>
    <w:rsid w:val="497A185C"/>
    <w:rsid w:val="497E161C"/>
    <w:rsid w:val="49883C95"/>
    <w:rsid w:val="498D4DA2"/>
    <w:rsid w:val="498F00F1"/>
    <w:rsid w:val="49A36093"/>
    <w:rsid w:val="49A42173"/>
    <w:rsid w:val="49A53041"/>
    <w:rsid w:val="49A6186C"/>
    <w:rsid w:val="49BA6A07"/>
    <w:rsid w:val="49C61E4B"/>
    <w:rsid w:val="49C90911"/>
    <w:rsid w:val="49F354A6"/>
    <w:rsid w:val="4A02511C"/>
    <w:rsid w:val="4A0544A7"/>
    <w:rsid w:val="4A1273FE"/>
    <w:rsid w:val="4A13006F"/>
    <w:rsid w:val="4A133393"/>
    <w:rsid w:val="4A1456A9"/>
    <w:rsid w:val="4A235520"/>
    <w:rsid w:val="4A245F1F"/>
    <w:rsid w:val="4A285963"/>
    <w:rsid w:val="4A2F1464"/>
    <w:rsid w:val="4A330B35"/>
    <w:rsid w:val="4A3378C0"/>
    <w:rsid w:val="4A386D3E"/>
    <w:rsid w:val="4A531A36"/>
    <w:rsid w:val="4A606051"/>
    <w:rsid w:val="4A6228D4"/>
    <w:rsid w:val="4A643733"/>
    <w:rsid w:val="4A6C5457"/>
    <w:rsid w:val="4A701E62"/>
    <w:rsid w:val="4A705F1D"/>
    <w:rsid w:val="4A715312"/>
    <w:rsid w:val="4A761A1E"/>
    <w:rsid w:val="4A7A348A"/>
    <w:rsid w:val="4A82093D"/>
    <w:rsid w:val="4A833680"/>
    <w:rsid w:val="4A86121C"/>
    <w:rsid w:val="4A953D40"/>
    <w:rsid w:val="4AB94525"/>
    <w:rsid w:val="4ACF1F99"/>
    <w:rsid w:val="4AD31ED6"/>
    <w:rsid w:val="4AD86E8F"/>
    <w:rsid w:val="4AEF0D86"/>
    <w:rsid w:val="4AF316AA"/>
    <w:rsid w:val="4AF8490A"/>
    <w:rsid w:val="4AF86256"/>
    <w:rsid w:val="4B005162"/>
    <w:rsid w:val="4B064F57"/>
    <w:rsid w:val="4B134FF3"/>
    <w:rsid w:val="4B1B04EA"/>
    <w:rsid w:val="4B2315E5"/>
    <w:rsid w:val="4B397B8B"/>
    <w:rsid w:val="4B3A0FFB"/>
    <w:rsid w:val="4B4575D1"/>
    <w:rsid w:val="4B493D5F"/>
    <w:rsid w:val="4B4E2DF0"/>
    <w:rsid w:val="4B5005D2"/>
    <w:rsid w:val="4B5A49AF"/>
    <w:rsid w:val="4B661483"/>
    <w:rsid w:val="4B6C3BD7"/>
    <w:rsid w:val="4B6E1CE9"/>
    <w:rsid w:val="4B8F7F0C"/>
    <w:rsid w:val="4B945C6E"/>
    <w:rsid w:val="4BBD6D0E"/>
    <w:rsid w:val="4BC131CA"/>
    <w:rsid w:val="4BC164BE"/>
    <w:rsid w:val="4BC80A35"/>
    <w:rsid w:val="4BCB00D7"/>
    <w:rsid w:val="4BCE4481"/>
    <w:rsid w:val="4BDF483A"/>
    <w:rsid w:val="4C03306A"/>
    <w:rsid w:val="4C036D08"/>
    <w:rsid w:val="4C0528B7"/>
    <w:rsid w:val="4C136D16"/>
    <w:rsid w:val="4C2601D0"/>
    <w:rsid w:val="4C3D6DC3"/>
    <w:rsid w:val="4C3F37F8"/>
    <w:rsid w:val="4C587368"/>
    <w:rsid w:val="4C6D29CD"/>
    <w:rsid w:val="4C73380A"/>
    <w:rsid w:val="4C770CD3"/>
    <w:rsid w:val="4C833986"/>
    <w:rsid w:val="4C892268"/>
    <w:rsid w:val="4C9269AF"/>
    <w:rsid w:val="4C9452F7"/>
    <w:rsid w:val="4CA14B16"/>
    <w:rsid w:val="4CBE7AF6"/>
    <w:rsid w:val="4CC315D0"/>
    <w:rsid w:val="4CCA33A3"/>
    <w:rsid w:val="4CCE4130"/>
    <w:rsid w:val="4CD7577F"/>
    <w:rsid w:val="4CDC3DFD"/>
    <w:rsid w:val="4D007DD7"/>
    <w:rsid w:val="4D035722"/>
    <w:rsid w:val="4D12625B"/>
    <w:rsid w:val="4D222FF5"/>
    <w:rsid w:val="4D283A8F"/>
    <w:rsid w:val="4D2F7151"/>
    <w:rsid w:val="4D30376E"/>
    <w:rsid w:val="4D375C10"/>
    <w:rsid w:val="4D38796C"/>
    <w:rsid w:val="4D3A66C7"/>
    <w:rsid w:val="4D4621D7"/>
    <w:rsid w:val="4D56228A"/>
    <w:rsid w:val="4D75035A"/>
    <w:rsid w:val="4D7B1601"/>
    <w:rsid w:val="4D867C85"/>
    <w:rsid w:val="4D8F6B47"/>
    <w:rsid w:val="4D99236A"/>
    <w:rsid w:val="4DA6664E"/>
    <w:rsid w:val="4DB04E83"/>
    <w:rsid w:val="4DB25222"/>
    <w:rsid w:val="4DB61435"/>
    <w:rsid w:val="4DB6381D"/>
    <w:rsid w:val="4DB732F9"/>
    <w:rsid w:val="4DC04760"/>
    <w:rsid w:val="4DC14C7F"/>
    <w:rsid w:val="4DCB0F30"/>
    <w:rsid w:val="4DD14275"/>
    <w:rsid w:val="4DD63A8A"/>
    <w:rsid w:val="4DDF134B"/>
    <w:rsid w:val="4DF82379"/>
    <w:rsid w:val="4E000105"/>
    <w:rsid w:val="4E073314"/>
    <w:rsid w:val="4E141324"/>
    <w:rsid w:val="4E1C7A36"/>
    <w:rsid w:val="4E2A3A7A"/>
    <w:rsid w:val="4E5921C8"/>
    <w:rsid w:val="4E8A2A84"/>
    <w:rsid w:val="4E911017"/>
    <w:rsid w:val="4E9A6A77"/>
    <w:rsid w:val="4E9C3381"/>
    <w:rsid w:val="4E9F6B1E"/>
    <w:rsid w:val="4EAF1A6B"/>
    <w:rsid w:val="4EB46CAF"/>
    <w:rsid w:val="4EB720F5"/>
    <w:rsid w:val="4EC240BA"/>
    <w:rsid w:val="4EC474FB"/>
    <w:rsid w:val="4EC82DF3"/>
    <w:rsid w:val="4ED571E4"/>
    <w:rsid w:val="4EE62005"/>
    <w:rsid w:val="4EF44155"/>
    <w:rsid w:val="4EF709AE"/>
    <w:rsid w:val="4F0D49D3"/>
    <w:rsid w:val="4F0E6338"/>
    <w:rsid w:val="4F1D0D48"/>
    <w:rsid w:val="4F1E5B95"/>
    <w:rsid w:val="4F284043"/>
    <w:rsid w:val="4F2C19B9"/>
    <w:rsid w:val="4F2F46FB"/>
    <w:rsid w:val="4F414860"/>
    <w:rsid w:val="4F4872FA"/>
    <w:rsid w:val="4F4C2235"/>
    <w:rsid w:val="4F572324"/>
    <w:rsid w:val="4F5A4EBF"/>
    <w:rsid w:val="4F5C4722"/>
    <w:rsid w:val="4F6939F7"/>
    <w:rsid w:val="4F6D122F"/>
    <w:rsid w:val="4F8A0296"/>
    <w:rsid w:val="4F8A1DFA"/>
    <w:rsid w:val="4FB46DB0"/>
    <w:rsid w:val="4FB8497E"/>
    <w:rsid w:val="4FC07176"/>
    <w:rsid w:val="4FC975C9"/>
    <w:rsid w:val="4FCE7D02"/>
    <w:rsid w:val="4FD34497"/>
    <w:rsid w:val="4FF23975"/>
    <w:rsid w:val="4FF4763C"/>
    <w:rsid w:val="50096CAF"/>
    <w:rsid w:val="50111B23"/>
    <w:rsid w:val="501A5742"/>
    <w:rsid w:val="501D3492"/>
    <w:rsid w:val="502A6E5E"/>
    <w:rsid w:val="503D54B2"/>
    <w:rsid w:val="50483983"/>
    <w:rsid w:val="504E7544"/>
    <w:rsid w:val="506D3A82"/>
    <w:rsid w:val="5073598C"/>
    <w:rsid w:val="508112DE"/>
    <w:rsid w:val="50862F98"/>
    <w:rsid w:val="50885E8D"/>
    <w:rsid w:val="508D58D4"/>
    <w:rsid w:val="5095136B"/>
    <w:rsid w:val="50993DAD"/>
    <w:rsid w:val="50C4213A"/>
    <w:rsid w:val="50C7646C"/>
    <w:rsid w:val="50CC731F"/>
    <w:rsid w:val="50E56BC4"/>
    <w:rsid w:val="50EE2274"/>
    <w:rsid w:val="510A0CD0"/>
    <w:rsid w:val="511D0F3D"/>
    <w:rsid w:val="51211AAA"/>
    <w:rsid w:val="51396743"/>
    <w:rsid w:val="513E3072"/>
    <w:rsid w:val="514255EB"/>
    <w:rsid w:val="51427C2A"/>
    <w:rsid w:val="514A3D5A"/>
    <w:rsid w:val="51520CAE"/>
    <w:rsid w:val="5153728A"/>
    <w:rsid w:val="51586F03"/>
    <w:rsid w:val="51645960"/>
    <w:rsid w:val="51664BE0"/>
    <w:rsid w:val="516C3CF5"/>
    <w:rsid w:val="51712FB5"/>
    <w:rsid w:val="517C3C40"/>
    <w:rsid w:val="519129AA"/>
    <w:rsid w:val="51AC1CFF"/>
    <w:rsid w:val="51B45161"/>
    <w:rsid w:val="51BC6DCB"/>
    <w:rsid w:val="51BD44CE"/>
    <w:rsid w:val="51C10AF3"/>
    <w:rsid w:val="51E17A10"/>
    <w:rsid w:val="51F211D4"/>
    <w:rsid w:val="52003B11"/>
    <w:rsid w:val="5202327F"/>
    <w:rsid w:val="52154E29"/>
    <w:rsid w:val="5219147D"/>
    <w:rsid w:val="521E3A0F"/>
    <w:rsid w:val="521F0980"/>
    <w:rsid w:val="522524D0"/>
    <w:rsid w:val="52342071"/>
    <w:rsid w:val="523D7EE7"/>
    <w:rsid w:val="523F786C"/>
    <w:rsid w:val="52602C26"/>
    <w:rsid w:val="52784DDC"/>
    <w:rsid w:val="527C6137"/>
    <w:rsid w:val="52863503"/>
    <w:rsid w:val="52872FB1"/>
    <w:rsid w:val="528A11F1"/>
    <w:rsid w:val="528A24C9"/>
    <w:rsid w:val="528E6CB5"/>
    <w:rsid w:val="529076CE"/>
    <w:rsid w:val="529151B4"/>
    <w:rsid w:val="52950FA7"/>
    <w:rsid w:val="529D1FB0"/>
    <w:rsid w:val="529D44B1"/>
    <w:rsid w:val="52AC1838"/>
    <w:rsid w:val="52B35EBB"/>
    <w:rsid w:val="52BD0FD1"/>
    <w:rsid w:val="52BD209B"/>
    <w:rsid w:val="52BF74E2"/>
    <w:rsid w:val="52BF7F39"/>
    <w:rsid w:val="52CA2884"/>
    <w:rsid w:val="52D6517C"/>
    <w:rsid w:val="52D718DD"/>
    <w:rsid w:val="52DE11E3"/>
    <w:rsid w:val="52E170D6"/>
    <w:rsid w:val="52FA0672"/>
    <w:rsid w:val="52FF3DBE"/>
    <w:rsid w:val="53057E93"/>
    <w:rsid w:val="5313436F"/>
    <w:rsid w:val="531E6161"/>
    <w:rsid w:val="533610C6"/>
    <w:rsid w:val="5342582F"/>
    <w:rsid w:val="534671BA"/>
    <w:rsid w:val="53542179"/>
    <w:rsid w:val="535A42D8"/>
    <w:rsid w:val="535B635F"/>
    <w:rsid w:val="5362798D"/>
    <w:rsid w:val="53637838"/>
    <w:rsid w:val="537E297E"/>
    <w:rsid w:val="53AA09A3"/>
    <w:rsid w:val="53AD49D5"/>
    <w:rsid w:val="53AE0664"/>
    <w:rsid w:val="53B1388B"/>
    <w:rsid w:val="53B80053"/>
    <w:rsid w:val="53BB0527"/>
    <w:rsid w:val="53CC3E65"/>
    <w:rsid w:val="53CD1E8A"/>
    <w:rsid w:val="53DB667F"/>
    <w:rsid w:val="53E25AAA"/>
    <w:rsid w:val="53E8665C"/>
    <w:rsid w:val="53EB5322"/>
    <w:rsid w:val="53F613DC"/>
    <w:rsid w:val="53FF395E"/>
    <w:rsid w:val="54185438"/>
    <w:rsid w:val="54186FCB"/>
    <w:rsid w:val="541F6D8C"/>
    <w:rsid w:val="54396FBB"/>
    <w:rsid w:val="543C301D"/>
    <w:rsid w:val="543E1D91"/>
    <w:rsid w:val="543E21D3"/>
    <w:rsid w:val="544362F5"/>
    <w:rsid w:val="544B6ABB"/>
    <w:rsid w:val="54555506"/>
    <w:rsid w:val="5464067F"/>
    <w:rsid w:val="54725215"/>
    <w:rsid w:val="547E295A"/>
    <w:rsid w:val="548D3728"/>
    <w:rsid w:val="549363D0"/>
    <w:rsid w:val="54AE6FFF"/>
    <w:rsid w:val="54B83136"/>
    <w:rsid w:val="54C94F14"/>
    <w:rsid w:val="54D64BF8"/>
    <w:rsid w:val="54D85D61"/>
    <w:rsid w:val="54E259B7"/>
    <w:rsid w:val="54E54FAD"/>
    <w:rsid w:val="54E776D2"/>
    <w:rsid w:val="54EF5C10"/>
    <w:rsid w:val="5504443C"/>
    <w:rsid w:val="550E39F6"/>
    <w:rsid w:val="55116814"/>
    <w:rsid w:val="552227BC"/>
    <w:rsid w:val="55301EEA"/>
    <w:rsid w:val="553D7218"/>
    <w:rsid w:val="553E12A6"/>
    <w:rsid w:val="554A191A"/>
    <w:rsid w:val="555201FC"/>
    <w:rsid w:val="55537B0C"/>
    <w:rsid w:val="555400FD"/>
    <w:rsid w:val="55821723"/>
    <w:rsid w:val="558A423C"/>
    <w:rsid w:val="5598547B"/>
    <w:rsid w:val="55A64F94"/>
    <w:rsid w:val="55B64747"/>
    <w:rsid w:val="55B74DBB"/>
    <w:rsid w:val="55BD5035"/>
    <w:rsid w:val="55D67CE1"/>
    <w:rsid w:val="55E14064"/>
    <w:rsid w:val="55EA29F5"/>
    <w:rsid w:val="55EA3E55"/>
    <w:rsid w:val="561151D2"/>
    <w:rsid w:val="56120A4E"/>
    <w:rsid w:val="562E439E"/>
    <w:rsid w:val="563353B4"/>
    <w:rsid w:val="56363A36"/>
    <w:rsid w:val="563716F7"/>
    <w:rsid w:val="56391586"/>
    <w:rsid w:val="564D2FC8"/>
    <w:rsid w:val="565B5513"/>
    <w:rsid w:val="565D3FCF"/>
    <w:rsid w:val="56640731"/>
    <w:rsid w:val="56695D08"/>
    <w:rsid w:val="566C1BCD"/>
    <w:rsid w:val="56723DB4"/>
    <w:rsid w:val="56727FBC"/>
    <w:rsid w:val="567C5861"/>
    <w:rsid w:val="567F0DC3"/>
    <w:rsid w:val="56904D6F"/>
    <w:rsid w:val="56966FED"/>
    <w:rsid w:val="569E1CA8"/>
    <w:rsid w:val="56B2607B"/>
    <w:rsid w:val="56CB38C5"/>
    <w:rsid w:val="56DC37B4"/>
    <w:rsid w:val="5710525F"/>
    <w:rsid w:val="5713590D"/>
    <w:rsid w:val="571D460F"/>
    <w:rsid w:val="571E3588"/>
    <w:rsid w:val="5721668C"/>
    <w:rsid w:val="5722671E"/>
    <w:rsid w:val="5747411F"/>
    <w:rsid w:val="574B58D1"/>
    <w:rsid w:val="57691061"/>
    <w:rsid w:val="578852E5"/>
    <w:rsid w:val="57A56C58"/>
    <w:rsid w:val="57C1364B"/>
    <w:rsid w:val="57C770FC"/>
    <w:rsid w:val="58055D78"/>
    <w:rsid w:val="580637F9"/>
    <w:rsid w:val="58071808"/>
    <w:rsid w:val="582A1C88"/>
    <w:rsid w:val="58362B43"/>
    <w:rsid w:val="58381C5F"/>
    <w:rsid w:val="5838665C"/>
    <w:rsid w:val="585A4825"/>
    <w:rsid w:val="586053FE"/>
    <w:rsid w:val="586630BB"/>
    <w:rsid w:val="586659D8"/>
    <w:rsid w:val="58665C51"/>
    <w:rsid w:val="5878283D"/>
    <w:rsid w:val="58A23BA7"/>
    <w:rsid w:val="58A4063A"/>
    <w:rsid w:val="58AB3F87"/>
    <w:rsid w:val="58AF1F35"/>
    <w:rsid w:val="58D52BCD"/>
    <w:rsid w:val="58D73B8F"/>
    <w:rsid w:val="58DB29C1"/>
    <w:rsid w:val="58E2542B"/>
    <w:rsid w:val="58E97C44"/>
    <w:rsid w:val="58ED6485"/>
    <w:rsid w:val="58F27B36"/>
    <w:rsid w:val="58F32491"/>
    <w:rsid w:val="590C4285"/>
    <w:rsid w:val="590D4672"/>
    <w:rsid w:val="59254616"/>
    <w:rsid w:val="59262E27"/>
    <w:rsid w:val="592637FF"/>
    <w:rsid w:val="59271300"/>
    <w:rsid w:val="59313A4E"/>
    <w:rsid w:val="594A4899"/>
    <w:rsid w:val="594C27FB"/>
    <w:rsid w:val="595F5444"/>
    <w:rsid w:val="596D7DCC"/>
    <w:rsid w:val="59856F3D"/>
    <w:rsid w:val="598B3E86"/>
    <w:rsid w:val="599F45CD"/>
    <w:rsid w:val="59B606C7"/>
    <w:rsid w:val="59B75DA2"/>
    <w:rsid w:val="59C206A9"/>
    <w:rsid w:val="59C4289D"/>
    <w:rsid w:val="59CD63EE"/>
    <w:rsid w:val="59DB0589"/>
    <w:rsid w:val="59DF01F8"/>
    <w:rsid w:val="59E72EA9"/>
    <w:rsid w:val="59F536F8"/>
    <w:rsid w:val="59F9042B"/>
    <w:rsid w:val="5A397A64"/>
    <w:rsid w:val="5A4064C3"/>
    <w:rsid w:val="5A5C7467"/>
    <w:rsid w:val="5A74347D"/>
    <w:rsid w:val="5A780809"/>
    <w:rsid w:val="5A81243C"/>
    <w:rsid w:val="5A860EDA"/>
    <w:rsid w:val="5A9658BC"/>
    <w:rsid w:val="5AB06744"/>
    <w:rsid w:val="5ABB7D6D"/>
    <w:rsid w:val="5ACC2F82"/>
    <w:rsid w:val="5ADD370F"/>
    <w:rsid w:val="5AE2705E"/>
    <w:rsid w:val="5AE8436A"/>
    <w:rsid w:val="5AF9604C"/>
    <w:rsid w:val="5AFA638C"/>
    <w:rsid w:val="5B0069DA"/>
    <w:rsid w:val="5B123665"/>
    <w:rsid w:val="5B205469"/>
    <w:rsid w:val="5B4848D1"/>
    <w:rsid w:val="5B686E11"/>
    <w:rsid w:val="5B865725"/>
    <w:rsid w:val="5BA348A7"/>
    <w:rsid w:val="5BA77343"/>
    <w:rsid w:val="5BB1431D"/>
    <w:rsid w:val="5BBF1BE6"/>
    <w:rsid w:val="5BC72C57"/>
    <w:rsid w:val="5BD267A6"/>
    <w:rsid w:val="5BD50D48"/>
    <w:rsid w:val="5BE267F8"/>
    <w:rsid w:val="5BF643CB"/>
    <w:rsid w:val="5BFC69B2"/>
    <w:rsid w:val="5C1C56BF"/>
    <w:rsid w:val="5C1F35AE"/>
    <w:rsid w:val="5C251B62"/>
    <w:rsid w:val="5C283650"/>
    <w:rsid w:val="5C2D1A12"/>
    <w:rsid w:val="5C37577A"/>
    <w:rsid w:val="5C495A77"/>
    <w:rsid w:val="5C4D2B15"/>
    <w:rsid w:val="5C532029"/>
    <w:rsid w:val="5C544BB6"/>
    <w:rsid w:val="5C5B59E2"/>
    <w:rsid w:val="5C640EFC"/>
    <w:rsid w:val="5C844566"/>
    <w:rsid w:val="5C880D7C"/>
    <w:rsid w:val="5CA34E8C"/>
    <w:rsid w:val="5CA837ED"/>
    <w:rsid w:val="5CD15225"/>
    <w:rsid w:val="5CD84061"/>
    <w:rsid w:val="5CDA592C"/>
    <w:rsid w:val="5CFC4A9F"/>
    <w:rsid w:val="5CFD75DD"/>
    <w:rsid w:val="5D006199"/>
    <w:rsid w:val="5D3046F0"/>
    <w:rsid w:val="5D3D4820"/>
    <w:rsid w:val="5D512C64"/>
    <w:rsid w:val="5D851874"/>
    <w:rsid w:val="5D885990"/>
    <w:rsid w:val="5D904C4B"/>
    <w:rsid w:val="5D9407D9"/>
    <w:rsid w:val="5D973FBF"/>
    <w:rsid w:val="5D9825E1"/>
    <w:rsid w:val="5DA80BC9"/>
    <w:rsid w:val="5DBE0CB8"/>
    <w:rsid w:val="5DC02B0A"/>
    <w:rsid w:val="5DC032C5"/>
    <w:rsid w:val="5DD12BD3"/>
    <w:rsid w:val="5DF7172D"/>
    <w:rsid w:val="5DF72F3B"/>
    <w:rsid w:val="5E0127E3"/>
    <w:rsid w:val="5E1B4309"/>
    <w:rsid w:val="5E272773"/>
    <w:rsid w:val="5E3D13AA"/>
    <w:rsid w:val="5E3E17D6"/>
    <w:rsid w:val="5E5003CB"/>
    <w:rsid w:val="5E557732"/>
    <w:rsid w:val="5E6436D6"/>
    <w:rsid w:val="5E6F51DA"/>
    <w:rsid w:val="5E775067"/>
    <w:rsid w:val="5E7B42A2"/>
    <w:rsid w:val="5E7D2505"/>
    <w:rsid w:val="5E8D0E23"/>
    <w:rsid w:val="5E8E512B"/>
    <w:rsid w:val="5E9465B6"/>
    <w:rsid w:val="5EC12561"/>
    <w:rsid w:val="5ED6097D"/>
    <w:rsid w:val="5EDC21AD"/>
    <w:rsid w:val="5EDD1CB1"/>
    <w:rsid w:val="5EE75F5A"/>
    <w:rsid w:val="5EEB3882"/>
    <w:rsid w:val="5EF06C4F"/>
    <w:rsid w:val="5F0375D4"/>
    <w:rsid w:val="5F092B01"/>
    <w:rsid w:val="5F0C6580"/>
    <w:rsid w:val="5F0E6369"/>
    <w:rsid w:val="5F16780F"/>
    <w:rsid w:val="5F1B3444"/>
    <w:rsid w:val="5F1C2EBF"/>
    <w:rsid w:val="5F336403"/>
    <w:rsid w:val="5F516449"/>
    <w:rsid w:val="5F551250"/>
    <w:rsid w:val="5F6A5D73"/>
    <w:rsid w:val="5F796BB3"/>
    <w:rsid w:val="5F85175F"/>
    <w:rsid w:val="5F8E69B9"/>
    <w:rsid w:val="5FA91EAA"/>
    <w:rsid w:val="5FBD0750"/>
    <w:rsid w:val="5FBF4FA4"/>
    <w:rsid w:val="5FC262FD"/>
    <w:rsid w:val="5FC70E53"/>
    <w:rsid w:val="5FCF3FFB"/>
    <w:rsid w:val="5FF13483"/>
    <w:rsid w:val="5FF16061"/>
    <w:rsid w:val="5FF829C0"/>
    <w:rsid w:val="5FFD5B08"/>
    <w:rsid w:val="60033CEB"/>
    <w:rsid w:val="600C66D6"/>
    <w:rsid w:val="60266CCC"/>
    <w:rsid w:val="602F174D"/>
    <w:rsid w:val="6031230F"/>
    <w:rsid w:val="60407876"/>
    <w:rsid w:val="6050225A"/>
    <w:rsid w:val="605D1356"/>
    <w:rsid w:val="605F5B83"/>
    <w:rsid w:val="60607B27"/>
    <w:rsid w:val="6064643B"/>
    <w:rsid w:val="60662077"/>
    <w:rsid w:val="606F5418"/>
    <w:rsid w:val="607A0954"/>
    <w:rsid w:val="607D18D9"/>
    <w:rsid w:val="608A62B5"/>
    <w:rsid w:val="60952803"/>
    <w:rsid w:val="6096233E"/>
    <w:rsid w:val="60A0764C"/>
    <w:rsid w:val="60A31B19"/>
    <w:rsid w:val="60BA4CC6"/>
    <w:rsid w:val="60C2565D"/>
    <w:rsid w:val="60C95C81"/>
    <w:rsid w:val="60CC65F1"/>
    <w:rsid w:val="60D65B88"/>
    <w:rsid w:val="60D763BE"/>
    <w:rsid w:val="60E06E22"/>
    <w:rsid w:val="60E75013"/>
    <w:rsid w:val="60F1769A"/>
    <w:rsid w:val="610554CE"/>
    <w:rsid w:val="61056C5D"/>
    <w:rsid w:val="61191A17"/>
    <w:rsid w:val="61294E86"/>
    <w:rsid w:val="61405465"/>
    <w:rsid w:val="61422A43"/>
    <w:rsid w:val="614A75DF"/>
    <w:rsid w:val="61641A84"/>
    <w:rsid w:val="61792C36"/>
    <w:rsid w:val="617E77D6"/>
    <w:rsid w:val="6186483E"/>
    <w:rsid w:val="619D73EC"/>
    <w:rsid w:val="61A134C4"/>
    <w:rsid w:val="61A37C11"/>
    <w:rsid w:val="61AC6F95"/>
    <w:rsid w:val="61AD597C"/>
    <w:rsid w:val="61C141BC"/>
    <w:rsid w:val="61C55270"/>
    <w:rsid w:val="61D415D7"/>
    <w:rsid w:val="61EC34E8"/>
    <w:rsid w:val="61F353E0"/>
    <w:rsid w:val="61F4095C"/>
    <w:rsid w:val="620152D8"/>
    <w:rsid w:val="620D5F53"/>
    <w:rsid w:val="62130A76"/>
    <w:rsid w:val="621A3D51"/>
    <w:rsid w:val="621F1B22"/>
    <w:rsid w:val="622D7353"/>
    <w:rsid w:val="623A0935"/>
    <w:rsid w:val="623B63B7"/>
    <w:rsid w:val="624217F0"/>
    <w:rsid w:val="624918DA"/>
    <w:rsid w:val="624C43DE"/>
    <w:rsid w:val="624D1A69"/>
    <w:rsid w:val="625D6D86"/>
    <w:rsid w:val="6262068D"/>
    <w:rsid w:val="627D1D86"/>
    <w:rsid w:val="628C34B3"/>
    <w:rsid w:val="62954DDB"/>
    <w:rsid w:val="629554A8"/>
    <w:rsid w:val="629734E7"/>
    <w:rsid w:val="629D5157"/>
    <w:rsid w:val="629D727B"/>
    <w:rsid w:val="62A158AB"/>
    <w:rsid w:val="62A34F8D"/>
    <w:rsid w:val="62AE2A49"/>
    <w:rsid w:val="62BB421E"/>
    <w:rsid w:val="62C80F50"/>
    <w:rsid w:val="62CE30D2"/>
    <w:rsid w:val="62D55785"/>
    <w:rsid w:val="62D86491"/>
    <w:rsid w:val="62FD2882"/>
    <w:rsid w:val="630A6E47"/>
    <w:rsid w:val="630B11B2"/>
    <w:rsid w:val="630F0162"/>
    <w:rsid w:val="631321A0"/>
    <w:rsid w:val="6315759B"/>
    <w:rsid w:val="632C5010"/>
    <w:rsid w:val="633304FC"/>
    <w:rsid w:val="63362BBF"/>
    <w:rsid w:val="633D3A11"/>
    <w:rsid w:val="63436BE9"/>
    <w:rsid w:val="6349716D"/>
    <w:rsid w:val="636357BA"/>
    <w:rsid w:val="63655C88"/>
    <w:rsid w:val="636710A9"/>
    <w:rsid w:val="637860F0"/>
    <w:rsid w:val="63807109"/>
    <w:rsid w:val="639429A1"/>
    <w:rsid w:val="63964EB8"/>
    <w:rsid w:val="639B601A"/>
    <w:rsid w:val="63AE588C"/>
    <w:rsid w:val="63BB60E6"/>
    <w:rsid w:val="63C01CCA"/>
    <w:rsid w:val="63C666DB"/>
    <w:rsid w:val="63CA4B9D"/>
    <w:rsid w:val="63F050AD"/>
    <w:rsid w:val="63F96BCD"/>
    <w:rsid w:val="63FE731D"/>
    <w:rsid w:val="63FF4FB9"/>
    <w:rsid w:val="640B132F"/>
    <w:rsid w:val="640F0812"/>
    <w:rsid w:val="641114FE"/>
    <w:rsid w:val="64173169"/>
    <w:rsid w:val="642503DD"/>
    <w:rsid w:val="643C30C1"/>
    <w:rsid w:val="64435A0A"/>
    <w:rsid w:val="644C7E9E"/>
    <w:rsid w:val="644E7740"/>
    <w:rsid w:val="644F443E"/>
    <w:rsid w:val="64515400"/>
    <w:rsid w:val="64537B26"/>
    <w:rsid w:val="646626AD"/>
    <w:rsid w:val="646C748B"/>
    <w:rsid w:val="647E6C76"/>
    <w:rsid w:val="64A5151D"/>
    <w:rsid w:val="64A76738"/>
    <w:rsid w:val="64BD57C6"/>
    <w:rsid w:val="64F17BAA"/>
    <w:rsid w:val="64F47866"/>
    <w:rsid w:val="650E4BD0"/>
    <w:rsid w:val="650E5601"/>
    <w:rsid w:val="651B6A03"/>
    <w:rsid w:val="651C2BCF"/>
    <w:rsid w:val="651D3456"/>
    <w:rsid w:val="653B3E96"/>
    <w:rsid w:val="653C233F"/>
    <w:rsid w:val="65403732"/>
    <w:rsid w:val="655C2B7E"/>
    <w:rsid w:val="655E15FE"/>
    <w:rsid w:val="656B7D54"/>
    <w:rsid w:val="657038D9"/>
    <w:rsid w:val="658B3177"/>
    <w:rsid w:val="659473B3"/>
    <w:rsid w:val="659550EE"/>
    <w:rsid w:val="65A76E61"/>
    <w:rsid w:val="65B42280"/>
    <w:rsid w:val="65BA4D62"/>
    <w:rsid w:val="65CA30E4"/>
    <w:rsid w:val="65D95627"/>
    <w:rsid w:val="65F20792"/>
    <w:rsid w:val="65FE2C54"/>
    <w:rsid w:val="660514E6"/>
    <w:rsid w:val="66057053"/>
    <w:rsid w:val="660C1EFA"/>
    <w:rsid w:val="66156329"/>
    <w:rsid w:val="66161F0A"/>
    <w:rsid w:val="66331364"/>
    <w:rsid w:val="66394447"/>
    <w:rsid w:val="663A5B63"/>
    <w:rsid w:val="665209E6"/>
    <w:rsid w:val="6663200A"/>
    <w:rsid w:val="66634981"/>
    <w:rsid w:val="666A4380"/>
    <w:rsid w:val="66703534"/>
    <w:rsid w:val="66775440"/>
    <w:rsid w:val="668B472D"/>
    <w:rsid w:val="66952ECC"/>
    <w:rsid w:val="669A0836"/>
    <w:rsid w:val="669E3F04"/>
    <w:rsid w:val="66A71C8E"/>
    <w:rsid w:val="66B3567C"/>
    <w:rsid w:val="66B81714"/>
    <w:rsid w:val="66BA31F2"/>
    <w:rsid w:val="66BD2FB3"/>
    <w:rsid w:val="66C34279"/>
    <w:rsid w:val="66C91EB1"/>
    <w:rsid w:val="66C92494"/>
    <w:rsid w:val="66D07C3D"/>
    <w:rsid w:val="66E178C8"/>
    <w:rsid w:val="66E622FF"/>
    <w:rsid w:val="66EA6293"/>
    <w:rsid w:val="670A381C"/>
    <w:rsid w:val="671464E6"/>
    <w:rsid w:val="67190B2D"/>
    <w:rsid w:val="671D049C"/>
    <w:rsid w:val="67267E25"/>
    <w:rsid w:val="673A2FB1"/>
    <w:rsid w:val="676F45ED"/>
    <w:rsid w:val="677418DD"/>
    <w:rsid w:val="67784FD9"/>
    <w:rsid w:val="67957DFD"/>
    <w:rsid w:val="679D64E9"/>
    <w:rsid w:val="679D688A"/>
    <w:rsid w:val="67A05409"/>
    <w:rsid w:val="67A078D0"/>
    <w:rsid w:val="67AD3970"/>
    <w:rsid w:val="67AE09A9"/>
    <w:rsid w:val="67B87FA0"/>
    <w:rsid w:val="67BA6172"/>
    <w:rsid w:val="67BC5ABE"/>
    <w:rsid w:val="67C5413C"/>
    <w:rsid w:val="67CF495C"/>
    <w:rsid w:val="67FA1D8C"/>
    <w:rsid w:val="67FA6CA5"/>
    <w:rsid w:val="68007CFE"/>
    <w:rsid w:val="68024C43"/>
    <w:rsid w:val="681B7D80"/>
    <w:rsid w:val="682F3B27"/>
    <w:rsid w:val="68344483"/>
    <w:rsid w:val="6836197D"/>
    <w:rsid w:val="6840780D"/>
    <w:rsid w:val="68483799"/>
    <w:rsid w:val="684C54EE"/>
    <w:rsid w:val="685F19E3"/>
    <w:rsid w:val="686C03C3"/>
    <w:rsid w:val="686D7EDA"/>
    <w:rsid w:val="68710A65"/>
    <w:rsid w:val="687321F7"/>
    <w:rsid w:val="687C1C8D"/>
    <w:rsid w:val="6886453F"/>
    <w:rsid w:val="68943803"/>
    <w:rsid w:val="68C575B1"/>
    <w:rsid w:val="68CC42BA"/>
    <w:rsid w:val="68F142A3"/>
    <w:rsid w:val="68F24FE5"/>
    <w:rsid w:val="68F82E13"/>
    <w:rsid w:val="690070BA"/>
    <w:rsid w:val="6906110C"/>
    <w:rsid w:val="691D44A4"/>
    <w:rsid w:val="69344026"/>
    <w:rsid w:val="693A623A"/>
    <w:rsid w:val="695839C0"/>
    <w:rsid w:val="696D53CD"/>
    <w:rsid w:val="69800FE8"/>
    <w:rsid w:val="69812898"/>
    <w:rsid w:val="69945207"/>
    <w:rsid w:val="699C3CFB"/>
    <w:rsid w:val="69A63738"/>
    <w:rsid w:val="69A7712A"/>
    <w:rsid w:val="69B17D6A"/>
    <w:rsid w:val="69C2724A"/>
    <w:rsid w:val="69E15B49"/>
    <w:rsid w:val="69E63E4A"/>
    <w:rsid w:val="69E75224"/>
    <w:rsid w:val="69EA2513"/>
    <w:rsid w:val="6A062180"/>
    <w:rsid w:val="6A132A85"/>
    <w:rsid w:val="6A2B24AF"/>
    <w:rsid w:val="6A2C4567"/>
    <w:rsid w:val="6A2F1AF1"/>
    <w:rsid w:val="6A2F218C"/>
    <w:rsid w:val="6A335DCD"/>
    <w:rsid w:val="6A37309A"/>
    <w:rsid w:val="6A391211"/>
    <w:rsid w:val="6A4815D7"/>
    <w:rsid w:val="6A5D2B86"/>
    <w:rsid w:val="6A601595"/>
    <w:rsid w:val="6A630562"/>
    <w:rsid w:val="6A79566E"/>
    <w:rsid w:val="6A90535D"/>
    <w:rsid w:val="6A956768"/>
    <w:rsid w:val="6AA9520C"/>
    <w:rsid w:val="6AC91EBE"/>
    <w:rsid w:val="6AD74AC4"/>
    <w:rsid w:val="6ADB729E"/>
    <w:rsid w:val="6AE45CD2"/>
    <w:rsid w:val="6AE73608"/>
    <w:rsid w:val="6AFC1413"/>
    <w:rsid w:val="6B031E39"/>
    <w:rsid w:val="6B066AFC"/>
    <w:rsid w:val="6B146AB5"/>
    <w:rsid w:val="6B1D6A19"/>
    <w:rsid w:val="6B2B1F62"/>
    <w:rsid w:val="6B35653F"/>
    <w:rsid w:val="6B4346BC"/>
    <w:rsid w:val="6B516787"/>
    <w:rsid w:val="6B576F9D"/>
    <w:rsid w:val="6B826C92"/>
    <w:rsid w:val="6B8B307D"/>
    <w:rsid w:val="6B8D05BE"/>
    <w:rsid w:val="6B8F0831"/>
    <w:rsid w:val="6BAE58BD"/>
    <w:rsid w:val="6BB4063D"/>
    <w:rsid w:val="6BBD11DF"/>
    <w:rsid w:val="6BC843F3"/>
    <w:rsid w:val="6BFE3C22"/>
    <w:rsid w:val="6C084E6C"/>
    <w:rsid w:val="6C0F23BC"/>
    <w:rsid w:val="6C225B58"/>
    <w:rsid w:val="6C236186"/>
    <w:rsid w:val="6C535248"/>
    <w:rsid w:val="6C585769"/>
    <w:rsid w:val="6C627FA3"/>
    <w:rsid w:val="6C7034F3"/>
    <w:rsid w:val="6C7E6DBE"/>
    <w:rsid w:val="6C922E17"/>
    <w:rsid w:val="6C9537D9"/>
    <w:rsid w:val="6CA6353B"/>
    <w:rsid w:val="6CAC3F20"/>
    <w:rsid w:val="6CAF19C3"/>
    <w:rsid w:val="6CB329D7"/>
    <w:rsid w:val="6CC02705"/>
    <w:rsid w:val="6CD46566"/>
    <w:rsid w:val="6CD80CE9"/>
    <w:rsid w:val="6CDC164A"/>
    <w:rsid w:val="6CE40501"/>
    <w:rsid w:val="6CE547B7"/>
    <w:rsid w:val="6CE9222B"/>
    <w:rsid w:val="6CEB5AF5"/>
    <w:rsid w:val="6CF169DC"/>
    <w:rsid w:val="6CF544D3"/>
    <w:rsid w:val="6CF87CC1"/>
    <w:rsid w:val="6CFE7A1D"/>
    <w:rsid w:val="6CFF5543"/>
    <w:rsid w:val="6D275C75"/>
    <w:rsid w:val="6D325CF1"/>
    <w:rsid w:val="6D4236E7"/>
    <w:rsid w:val="6D452171"/>
    <w:rsid w:val="6D4A0354"/>
    <w:rsid w:val="6D4C1E42"/>
    <w:rsid w:val="6D564A02"/>
    <w:rsid w:val="6D6441BA"/>
    <w:rsid w:val="6D6549E5"/>
    <w:rsid w:val="6D8D0448"/>
    <w:rsid w:val="6D91144F"/>
    <w:rsid w:val="6DA91015"/>
    <w:rsid w:val="6DBD0D54"/>
    <w:rsid w:val="6DBE71AC"/>
    <w:rsid w:val="6DCD4AB5"/>
    <w:rsid w:val="6DD85044"/>
    <w:rsid w:val="6DFA203D"/>
    <w:rsid w:val="6DFD7F74"/>
    <w:rsid w:val="6E0C0DA5"/>
    <w:rsid w:val="6E1C5191"/>
    <w:rsid w:val="6E292877"/>
    <w:rsid w:val="6E311079"/>
    <w:rsid w:val="6E58735F"/>
    <w:rsid w:val="6E5D7193"/>
    <w:rsid w:val="6E5F1450"/>
    <w:rsid w:val="6E645FA5"/>
    <w:rsid w:val="6E72515D"/>
    <w:rsid w:val="6E735FD6"/>
    <w:rsid w:val="6E7C511A"/>
    <w:rsid w:val="6EA50F15"/>
    <w:rsid w:val="6EAB14DE"/>
    <w:rsid w:val="6EAC089F"/>
    <w:rsid w:val="6EBF368C"/>
    <w:rsid w:val="6EC2363D"/>
    <w:rsid w:val="6EC973B3"/>
    <w:rsid w:val="6EDB13EF"/>
    <w:rsid w:val="6EFB4562"/>
    <w:rsid w:val="6EFC4C58"/>
    <w:rsid w:val="6F103552"/>
    <w:rsid w:val="6F117A1B"/>
    <w:rsid w:val="6F1A3218"/>
    <w:rsid w:val="6F26427E"/>
    <w:rsid w:val="6F2A2C94"/>
    <w:rsid w:val="6F344D4E"/>
    <w:rsid w:val="6F403311"/>
    <w:rsid w:val="6F4E5C7A"/>
    <w:rsid w:val="6F58522F"/>
    <w:rsid w:val="6F5C6117"/>
    <w:rsid w:val="6F6A3241"/>
    <w:rsid w:val="6F720211"/>
    <w:rsid w:val="6F762732"/>
    <w:rsid w:val="6F830903"/>
    <w:rsid w:val="6F8516FC"/>
    <w:rsid w:val="6F8B248C"/>
    <w:rsid w:val="6FA85AFF"/>
    <w:rsid w:val="6FAB6491"/>
    <w:rsid w:val="6FC62E8E"/>
    <w:rsid w:val="6FD131C7"/>
    <w:rsid w:val="6FE24DD5"/>
    <w:rsid w:val="6FE4739E"/>
    <w:rsid w:val="6FEA352C"/>
    <w:rsid w:val="6FEC7E1B"/>
    <w:rsid w:val="700D084F"/>
    <w:rsid w:val="701403F0"/>
    <w:rsid w:val="7015189C"/>
    <w:rsid w:val="701554C4"/>
    <w:rsid w:val="703E0770"/>
    <w:rsid w:val="704753D2"/>
    <w:rsid w:val="70702DC6"/>
    <w:rsid w:val="707324D0"/>
    <w:rsid w:val="70945421"/>
    <w:rsid w:val="70974A82"/>
    <w:rsid w:val="70AB6494"/>
    <w:rsid w:val="70AD5338"/>
    <w:rsid w:val="70AD7EE8"/>
    <w:rsid w:val="70B037E5"/>
    <w:rsid w:val="70B217E4"/>
    <w:rsid w:val="70B6575A"/>
    <w:rsid w:val="70C04A87"/>
    <w:rsid w:val="70C91E91"/>
    <w:rsid w:val="70DD5B9B"/>
    <w:rsid w:val="70E4235A"/>
    <w:rsid w:val="70E87E77"/>
    <w:rsid w:val="70E9517F"/>
    <w:rsid w:val="70EA0AB9"/>
    <w:rsid w:val="70F532DE"/>
    <w:rsid w:val="70F67338"/>
    <w:rsid w:val="70F96CCA"/>
    <w:rsid w:val="70FD48EC"/>
    <w:rsid w:val="71183582"/>
    <w:rsid w:val="71211A56"/>
    <w:rsid w:val="71392015"/>
    <w:rsid w:val="71451EF0"/>
    <w:rsid w:val="715823D1"/>
    <w:rsid w:val="717A4068"/>
    <w:rsid w:val="717F1642"/>
    <w:rsid w:val="717F529D"/>
    <w:rsid w:val="71817EE1"/>
    <w:rsid w:val="718523FB"/>
    <w:rsid w:val="719B1258"/>
    <w:rsid w:val="71A07442"/>
    <w:rsid w:val="71A168AA"/>
    <w:rsid w:val="71B31015"/>
    <w:rsid w:val="71BB3DAD"/>
    <w:rsid w:val="71C31355"/>
    <w:rsid w:val="71C7557A"/>
    <w:rsid w:val="71D1303F"/>
    <w:rsid w:val="71E447A0"/>
    <w:rsid w:val="71E637C0"/>
    <w:rsid w:val="71E76B5E"/>
    <w:rsid w:val="71F045F6"/>
    <w:rsid w:val="71F32365"/>
    <w:rsid w:val="71F92EA9"/>
    <w:rsid w:val="71FE69AA"/>
    <w:rsid w:val="72040A1B"/>
    <w:rsid w:val="72201D45"/>
    <w:rsid w:val="72395B5A"/>
    <w:rsid w:val="723F585C"/>
    <w:rsid w:val="72463D86"/>
    <w:rsid w:val="724E71F1"/>
    <w:rsid w:val="726550D6"/>
    <w:rsid w:val="726F0F4A"/>
    <w:rsid w:val="7271179B"/>
    <w:rsid w:val="72781B43"/>
    <w:rsid w:val="727E1B5E"/>
    <w:rsid w:val="728150E3"/>
    <w:rsid w:val="72823E79"/>
    <w:rsid w:val="72945361"/>
    <w:rsid w:val="729B7226"/>
    <w:rsid w:val="72A440BF"/>
    <w:rsid w:val="72A6589A"/>
    <w:rsid w:val="72B64F42"/>
    <w:rsid w:val="72B77140"/>
    <w:rsid w:val="72C07C18"/>
    <w:rsid w:val="72C267D6"/>
    <w:rsid w:val="72D66916"/>
    <w:rsid w:val="72D67C6E"/>
    <w:rsid w:val="72E80DEB"/>
    <w:rsid w:val="72EF2CC3"/>
    <w:rsid w:val="72F64E65"/>
    <w:rsid w:val="730376C8"/>
    <w:rsid w:val="730C04AB"/>
    <w:rsid w:val="73376515"/>
    <w:rsid w:val="735579F9"/>
    <w:rsid w:val="73871F06"/>
    <w:rsid w:val="738E28D0"/>
    <w:rsid w:val="73AE1E10"/>
    <w:rsid w:val="73B21FC0"/>
    <w:rsid w:val="73BA1051"/>
    <w:rsid w:val="73C95997"/>
    <w:rsid w:val="73C95D04"/>
    <w:rsid w:val="73D51543"/>
    <w:rsid w:val="73D7089D"/>
    <w:rsid w:val="73DF7629"/>
    <w:rsid w:val="73E47B72"/>
    <w:rsid w:val="73EE0BEC"/>
    <w:rsid w:val="73F36823"/>
    <w:rsid w:val="73F8173E"/>
    <w:rsid w:val="74113CE2"/>
    <w:rsid w:val="741C7D22"/>
    <w:rsid w:val="742326E7"/>
    <w:rsid w:val="74236068"/>
    <w:rsid w:val="742743D8"/>
    <w:rsid w:val="74535155"/>
    <w:rsid w:val="746051BF"/>
    <w:rsid w:val="74700DDD"/>
    <w:rsid w:val="74734851"/>
    <w:rsid w:val="747627EB"/>
    <w:rsid w:val="7488483A"/>
    <w:rsid w:val="749C593E"/>
    <w:rsid w:val="74A35095"/>
    <w:rsid w:val="74B77BDB"/>
    <w:rsid w:val="74C016E5"/>
    <w:rsid w:val="74D00CB5"/>
    <w:rsid w:val="74D56E90"/>
    <w:rsid w:val="74DC192B"/>
    <w:rsid w:val="74F60F44"/>
    <w:rsid w:val="74F87794"/>
    <w:rsid w:val="74FE0DC3"/>
    <w:rsid w:val="750D091A"/>
    <w:rsid w:val="75144F71"/>
    <w:rsid w:val="75146AC5"/>
    <w:rsid w:val="751A157E"/>
    <w:rsid w:val="7521546F"/>
    <w:rsid w:val="75252172"/>
    <w:rsid w:val="753662DC"/>
    <w:rsid w:val="75410012"/>
    <w:rsid w:val="754B1C59"/>
    <w:rsid w:val="755A31C6"/>
    <w:rsid w:val="75603B50"/>
    <w:rsid w:val="756848D8"/>
    <w:rsid w:val="7569589C"/>
    <w:rsid w:val="756B2C35"/>
    <w:rsid w:val="757C250B"/>
    <w:rsid w:val="759052BA"/>
    <w:rsid w:val="75A4207F"/>
    <w:rsid w:val="75E57D8B"/>
    <w:rsid w:val="75F06CF6"/>
    <w:rsid w:val="75F8231C"/>
    <w:rsid w:val="761E1E84"/>
    <w:rsid w:val="76207F48"/>
    <w:rsid w:val="76272DA5"/>
    <w:rsid w:val="762F2D91"/>
    <w:rsid w:val="76501C64"/>
    <w:rsid w:val="76511EB0"/>
    <w:rsid w:val="76614304"/>
    <w:rsid w:val="76695353"/>
    <w:rsid w:val="766B62B9"/>
    <w:rsid w:val="76791AFC"/>
    <w:rsid w:val="767A42F7"/>
    <w:rsid w:val="76851A62"/>
    <w:rsid w:val="76981F47"/>
    <w:rsid w:val="76B45C8B"/>
    <w:rsid w:val="76C80E5C"/>
    <w:rsid w:val="76D04896"/>
    <w:rsid w:val="76D16C05"/>
    <w:rsid w:val="76EB02CA"/>
    <w:rsid w:val="76F77037"/>
    <w:rsid w:val="771048B2"/>
    <w:rsid w:val="77152684"/>
    <w:rsid w:val="77267B89"/>
    <w:rsid w:val="772D2C89"/>
    <w:rsid w:val="77370EEF"/>
    <w:rsid w:val="77383903"/>
    <w:rsid w:val="773D0362"/>
    <w:rsid w:val="774B31E3"/>
    <w:rsid w:val="77607248"/>
    <w:rsid w:val="77623A37"/>
    <w:rsid w:val="776E180E"/>
    <w:rsid w:val="77754396"/>
    <w:rsid w:val="77A07C02"/>
    <w:rsid w:val="77A10D36"/>
    <w:rsid w:val="77AB07A1"/>
    <w:rsid w:val="77D21056"/>
    <w:rsid w:val="77D51C45"/>
    <w:rsid w:val="77F27449"/>
    <w:rsid w:val="78023AC0"/>
    <w:rsid w:val="780367D9"/>
    <w:rsid w:val="780478F0"/>
    <w:rsid w:val="78096FFD"/>
    <w:rsid w:val="781A018E"/>
    <w:rsid w:val="78281DF2"/>
    <w:rsid w:val="782925A8"/>
    <w:rsid w:val="78434E7D"/>
    <w:rsid w:val="78476AE2"/>
    <w:rsid w:val="784D072B"/>
    <w:rsid w:val="78510D72"/>
    <w:rsid w:val="7855734C"/>
    <w:rsid w:val="785637B0"/>
    <w:rsid w:val="785F322A"/>
    <w:rsid w:val="786C6157"/>
    <w:rsid w:val="789B3E3B"/>
    <w:rsid w:val="78A53134"/>
    <w:rsid w:val="78A5637F"/>
    <w:rsid w:val="78A84CE1"/>
    <w:rsid w:val="78AC3282"/>
    <w:rsid w:val="78BF0FAC"/>
    <w:rsid w:val="78C7298E"/>
    <w:rsid w:val="78D92200"/>
    <w:rsid w:val="78E94BFC"/>
    <w:rsid w:val="78EF5D09"/>
    <w:rsid w:val="790A2862"/>
    <w:rsid w:val="79142376"/>
    <w:rsid w:val="79161F60"/>
    <w:rsid w:val="791D0BE2"/>
    <w:rsid w:val="79247939"/>
    <w:rsid w:val="792948BD"/>
    <w:rsid w:val="79327840"/>
    <w:rsid w:val="79466FB5"/>
    <w:rsid w:val="7987660A"/>
    <w:rsid w:val="798F2185"/>
    <w:rsid w:val="798F5521"/>
    <w:rsid w:val="79957CED"/>
    <w:rsid w:val="799C3861"/>
    <w:rsid w:val="799F28E5"/>
    <w:rsid w:val="79A62DD9"/>
    <w:rsid w:val="79C83EAF"/>
    <w:rsid w:val="79C910BF"/>
    <w:rsid w:val="79DF5286"/>
    <w:rsid w:val="79E04E76"/>
    <w:rsid w:val="79E57ADF"/>
    <w:rsid w:val="79F23802"/>
    <w:rsid w:val="79F645F4"/>
    <w:rsid w:val="7A114772"/>
    <w:rsid w:val="7A21239A"/>
    <w:rsid w:val="7A271488"/>
    <w:rsid w:val="7A5A7497"/>
    <w:rsid w:val="7A6041AB"/>
    <w:rsid w:val="7A6477B0"/>
    <w:rsid w:val="7A71080E"/>
    <w:rsid w:val="7A7E6ECC"/>
    <w:rsid w:val="7A8E221F"/>
    <w:rsid w:val="7AA82B74"/>
    <w:rsid w:val="7AB46BDC"/>
    <w:rsid w:val="7ABD6075"/>
    <w:rsid w:val="7AD30525"/>
    <w:rsid w:val="7AD30EE0"/>
    <w:rsid w:val="7AD949CC"/>
    <w:rsid w:val="7AD97A48"/>
    <w:rsid w:val="7AE477C8"/>
    <w:rsid w:val="7AEF309B"/>
    <w:rsid w:val="7AF344DB"/>
    <w:rsid w:val="7AF572EC"/>
    <w:rsid w:val="7AFF2050"/>
    <w:rsid w:val="7B0978EA"/>
    <w:rsid w:val="7B0B7110"/>
    <w:rsid w:val="7B113011"/>
    <w:rsid w:val="7B16690D"/>
    <w:rsid w:val="7B2302E7"/>
    <w:rsid w:val="7B280327"/>
    <w:rsid w:val="7B5326AC"/>
    <w:rsid w:val="7B586ECA"/>
    <w:rsid w:val="7B610C05"/>
    <w:rsid w:val="7B663242"/>
    <w:rsid w:val="7B79328B"/>
    <w:rsid w:val="7B7D4202"/>
    <w:rsid w:val="7B8044BC"/>
    <w:rsid w:val="7BAE5B6A"/>
    <w:rsid w:val="7BB62939"/>
    <w:rsid w:val="7BC17241"/>
    <w:rsid w:val="7BCE5BAE"/>
    <w:rsid w:val="7BDD0C54"/>
    <w:rsid w:val="7BE60D9F"/>
    <w:rsid w:val="7BE702F1"/>
    <w:rsid w:val="7BEC59DF"/>
    <w:rsid w:val="7BF70451"/>
    <w:rsid w:val="7BFC29F8"/>
    <w:rsid w:val="7C0236C5"/>
    <w:rsid w:val="7C0A1516"/>
    <w:rsid w:val="7C1107B7"/>
    <w:rsid w:val="7C16530F"/>
    <w:rsid w:val="7C167EA7"/>
    <w:rsid w:val="7C1C70DB"/>
    <w:rsid w:val="7C246ADA"/>
    <w:rsid w:val="7C3073CD"/>
    <w:rsid w:val="7C320708"/>
    <w:rsid w:val="7C37585E"/>
    <w:rsid w:val="7C4857FF"/>
    <w:rsid w:val="7C531652"/>
    <w:rsid w:val="7C6F507A"/>
    <w:rsid w:val="7C7C12BB"/>
    <w:rsid w:val="7C860CCE"/>
    <w:rsid w:val="7C9079C2"/>
    <w:rsid w:val="7C954604"/>
    <w:rsid w:val="7C9D28FD"/>
    <w:rsid w:val="7CB62913"/>
    <w:rsid w:val="7CC54046"/>
    <w:rsid w:val="7CD170D5"/>
    <w:rsid w:val="7CDA1639"/>
    <w:rsid w:val="7CE04A49"/>
    <w:rsid w:val="7CFC4A10"/>
    <w:rsid w:val="7D066FDF"/>
    <w:rsid w:val="7D093ADB"/>
    <w:rsid w:val="7D0D0F17"/>
    <w:rsid w:val="7D124E5D"/>
    <w:rsid w:val="7D1770DF"/>
    <w:rsid w:val="7D29013F"/>
    <w:rsid w:val="7D33115F"/>
    <w:rsid w:val="7D4C17A4"/>
    <w:rsid w:val="7D4C4095"/>
    <w:rsid w:val="7D5972D6"/>
    <w:rsid w:val="7D5A0572"/>
    <w:rsid w:val="7D5F0FD2"/>
    <w:rsid w:val="7D607147"/>
    <w:rsid w:val="7D6442A2"/>
    <w:rsid w:val="7D6543D7"/>
    <w:rsid w:val="7D6A334E"/>
    <w:rsid w:val="7D702D7B"/>
    <w:rsid w:val="7D792BE7"/>
    <w:rsid w:val="7D793536"/>
    <w:rsid w:val="7D845ED4"/>
    <w:rsid w:val="7D8901DF"/>
    <w:rsid w:val="7D937D0D"/>
    <w:rsid w:val="7D940FFD"/>
    <w:rsid w:val="7D984F1D"/>
    <w:rsid w:val="7DAF30C1"/>
    <w:rsid w:val="7DB237D9"/>
    <w:rsid w:val="7DB315B0"/>
    <w:rsid w:val="7DBC18DF"/>
    <w:rsid w:val="7DC62F27"/>
    <w:rsid w:val="7DC8357D"/>
    <w:rsid w:val="7DCC4D7A"/>
    <w:rsid w:val="7DD07D11"/>
    <w:rsid w:val="7DDC089F"/>
    <w:rsid w:val="7DDC688E"/>
    <w:rsid w:val="7DDF5120"/>
    <w:rsid w:val="7DE71863"/>
    <w:rsid w:val="7DE71BC3"/>
    <w:rsid w:val="7DEA124C"/>
    <w:rsid w:val="7DFC3DC0"/>
    <w:rsid w:val="7E013DC5"/>
    <w:rsid w:val="7E0C7559"/>
    <w:rsid w:val="7E126708"/>
    <w:rsid w:val="7E223400"/>
    <w:rsid w:val="7E2351DF"/>
    <w:rsid w:val="7E24052B"/>
    <w:rsid w:val="7E394DD0"/>
    <w:rsid w:val="7E3D5692"/>
    <w:rsid w:val="7E44075F"/>
    <w:rsid w:val="7E487BAE"/>
    <w:rsid w:val="7E684ED0"/>
    <w:rsid w:val="7E707215"/>
    <w:rsid w:val="7E785164"/>
    <w:rsid w:val="7E790C21"/>
    <w:rsid w:val="7E807651"/>
    <w:rsid w:val="7E8473E3"/>
    <w:rsid w:val="7E8A1350"/>
    <w:rsid w:val="7E8C269F"/>
    <w:rsid w:val="7E96619B"/>
    <w:rsid w:val="7E9C6262"/>
    <w:rsid w:val="7EAA5681"/>
    <w:rsid w:val="7EB34A49"/>
    <w:rsid w:val="7EB6640A"/>
    <w:rsid w:val="7EBD6BDF"/>
    <w:rsid w:val="7EC23E83"/>
    <w:rsid w:val="7EC81822"/>
    <w:rsid w:val="7ED13AAC"/>
    <w:rsid w:val="7ED36F45"/>
    <w:rsid w:val="7EEC5522"/>
    <w:rsid w:val="7EF04FE2"/>
    <w:rsid w:val="7EF646C6"/>
    <w:rsid w:val="7EF87028"/>
    <w:rsid w:val="7EFE48FA"/>
    <w:rsid w:val="7F1318C6"/>
    <w:rsid w:val="7F170D57"/>
    <w:rsid w:val="7F1E6AAD"/>
    <w:rsid w:val="7F4A1069"/>
    <w:rsid w:val="7F5E43E0"/>
    <w:rsid w:val="7F6804A2"/>
    <w:rsid w:val="7F6C7290"/>
    <w:rsid w:val="7F6D5BE1"/>
    <w:rsid w:val="7F6F3CF3"/>
    <w:rsid w:val="7F705C3D"/>
    <w:rsid w:val="7F7E3A57"/>
    <w:rsid w:val="7F7E3E20"/>
    <w:rsid w:val="7FB141D3"/>
    <w:rsid w:val="7FC71532"/>
    <w:rsid w:val="7FD809E2"/>
    <w:rsid w:val="7FD85C5A"/>
    <w:rsid w:val="7FDA2F2D"/>
    <w:rsid w:val="7FEA19E2"/>
    <w:rsid w:val="7FEA4494"/>
    <w:rsid w:val="7FEA4937"/>
    <w:rsid w:val="7FED0896"/>
    <w:rsid w:val="7FF554F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0" w:semiHidden="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qFormat="1"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22"/>
    <w:qFormat/>
    <w:uiPriority w:val="99"/>
    <w:pPr>
      <w:keepNext/>
      <w:adjustRightInd w:val="0"/>
      <w:snapToGrid w:val="0"/>
      <w:spacing w:beforeLines="50" w:afterLines="50" w:line="360" w:lineRule="auto"/>
      <w:jc w:val="left"/>
      <w:outlineLvl w:val="0"/>
    </w:pPr>
    <w:rPr>
      <w:b/>
      <w:kern w:val="0"/>
      <w:sz w:val="32"/>
      <w:szCs w:val="20"/>
    </w:rPr>
  </w:style>
  <w:style w:type="paragraph" w:styleId="7">
    <w:name w:val="heading 2"/>
    <w:basedOn w:val="1"/>
    <w:next w:val="1"/>
    <w:link w:val="45"/>
    <w:qFormat/>
    <w:uiPriority w:val="99"/>
    <w:pPr>
      <w:keepNext/>
      <w:keepLines/>
      <w:adjustRightInd w:val="0"/>
      <w:snapToGrid w:val="0"/>
      <w:spacing w:before="20" w:after="20" w:line="360" w:lineRule="auto"/>
      <w:outlineLvl w:val="1"/>
    </w:pPr>
    <w:rPr>
      <w:b/>
      <w:kern w:val="0"/>
      <w:sz w:val="28"/>
      <w:szCs w:val="20"/>
    </w:rPr>
  </w:style>
  <w:style w:type="paragraph" w:styleId="8">
    <w:name w:val="heading 3"/>
    <w:basedOn w:val="1"/>
    <w:next w:val="1"/>
    <w:link w:val="46"/>
    <w:qFormat/>
    <w:uiPriority w:val="99"/>
    <w:pPr>
      <w:keepNext/>
      <w:keepLines/>
      <w:adjustRightInd w:val="0"/>
      <w:snapToGrid w:val="0"/>
      <w:spacing w:before="20" w:after="20" w:line="360" w:lineRule="auto"/>
      <w:jc w:val="left"/>
      <w:outlineLvl w:val="2"/>
    </w:pPr>
    <w:rPr>
      <w:b/>
      <w:bCs/>
      <w:sz w:val="28"/>
      <w:szCs w:val="32"/>
    </w:rPr>
  </w:style>
  <w:style w:type="paragraph" w:styleId="9">
    <w:name w:val="heading 4"/>
    <w:basedOn w:val="1"/>
    <w:next w:val="1"/>
    <w:link w:val="47"/>
    <w:qFormat/>
    <w:uiPriority w:val="99"/>
    <w:pPr>
      <w:keepNext/>
      <w:keepLines/>
      <w:numPr>
        <w:ilvl w:val="3"/>
        <w:numId w:val="1"/>
      </w:numPr>
      <w:spacing w:line="360" w:lineRule="auto"/>
      <w:ind w:left="0" w:firstLine="0"/>
      <w:outlineLvl w:val="3"/>
    </w:pPr>
    <w:rPr>
      <w:rFonts w:eastAsia="黑体"/>
      <w:b/>
      <w:bCs/>
    </w:rPr>
  </w:style>
  <w:style w:type="character" w:default="1" w:styleId="36">
    <w:name w:val="Default Paragraph Font"/>
    <w:link w:val="37"/>
    <w:semiHidden/>
    <w:qFormat/>
    <w:uiPriority w:val="99"/>
  </w:style>
  <w:style w:type="table" w:default="1" w:styleId="3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114"/>
    <w:qFormat/>
    <w:uiPriority w:val="99"/>
    <w:pPr>
      <w:ind w:firstLine="420" w:firstLineChars="200"/>
    </w:pPr>
  </w:style>
  <w:style w:type="paragraph" w:styleId="3">
    <w:name w:val="Body Text Indent"/>
    <w:basedOn w:val="1"/>
    <w:next w:val="4"/>
    <w:link w:val="113"/>
    <w:qFormat/>
    <w:uiPriority w:val="99"/>
    <w:pPr>
      <w:spacing w:after="120"/>
      <w:ind w:left="420" w:leftChars="200"/>
    </w:pPr>
  </w:style>
  <w:style w:type="paragraph" w:styleId="4">
    <w:name w:val="Body Text First Indent"/>
    <w:basedOn w:val="5"/>
    <w:next w:val="1"/>
    <w:link w:val="51"/>
    <w:qFormat/>
    <w:uiPriority w:val="99"/>
    <w:pPr>
      <w:adjustRightInd w:val="0"/>
      <w:snapToGrid w:val="0"/>
      <w:spacing w:line="500" w:lineRule="exact"/>
      <w:ind w:firstLine="480" w:firstLineChars="200"/>
    </w:pPr>
    <w:rPr>
      <w:sz w:val="24"/>
      <w:szCs w:val="18"/>
    </w:rPr>
  </w:style>
  <w:style w:type="paragraph" w:styleId="5">
    <w:name w:val="Body Text"/>
    <w:basedOn w:val="1"/>
    <w:link w:val="50"/>
    <w:qFormat/>
    <w:uiPriority w:val="99"/>
    <w:pPr>
      <w:spacing w:after="120"/>
    </w:pPr>
  </w:style>
  <w:style w:type="paragraph" w:styleId="10">
    <w:name w:val="toc 7"/>
    <w:basedOn w:val="1"/>
    <w:next w:val="1"/>
    <w:qFormat/>
    <w:uiPriority w:val="99"/>
    <w:pPr>
      <w:ind w:left="2520" w:leftChars="1200"/>
    </w:pPr>
  </w:style>
  <w:style w:type="paragraph" w:styleId="11">
    <w:name w:val="Note Heading"/>
    <w:basedOn w:val="1"/>
    <w:next w:val="1"/>
    <w:link w:val="52"/>
    <w:qFormat/>
    <w:uiPriority w:val="99"/>
    <w:pPr>
      <w:jc w:val="center"/>
    </w:pPr>
    <w:rPr>
      <w:rFonts w:ascii="宋体"/>
      <w:szCs w:val="20"/>
    </w:rPr>
  </w:style>
  <w:style w:type="paragraph" w:styleId="12">
    <w:name w:val="Normal Indent"/>
    <w:basedOn w:val="1"/>
    <w:qFormat/>
    <w:uiPriority w:val="99"/>
    <w:pPr>
      <w:ind w:firstLine="420" w:firstLineChars="200"/>
    </w:pPr>
  </w:style>
  <w:style w:type="paragraph" w:styleId="13">
    <w:name w:val="Document Map"/>
    <w:basedOn w:val="1"/>
    <w:link w:val="53"/>
    <w:semiHidden/>
    <w:qFormat/>
    <w:uiPriority w:val="99"/>
    <w:pPr>
      <w:shd w:val="clear" w:color="auto" w:fill="000080"/>
    </w:pPr>
  </w:style>
  <w:style w:type="paragraph" w:styleId="14">
    <w:name w:val="annotation text"/>
    <w:basedOn w:val="1"/>
    <w:link w:val="54"/>
    <w:qFormat/>
    <w:uiPriority w:val="99"/>
    <w:pPr>
      <w:jc w:val="left"/>
    </w:pPr>
  </w:style>
  <w:style w:type="paragraph" w:styleId="15">
    <w:name w:val="Block Text"/>
    <w:basedOn w:val="1"/>
    <w:qFormat/>
    <w:uiPriority w:val="99"/>
    <w:pPr>
      <w:spacing w:line="360" w:lineRule="exact"/>
      <w:ind w:left="113" w:right="113"/>
      <w:jc w:val="center"/>
    </w:pPr>
    <w:rPr>
      <w:rFonts w:ascii="宋体" w:hAnsi="宋体"/>
      <w:color w:val="000000"/>
    </w:rPr>
  </w:style>
  <w:style w:type="paragraph" w:styleId="16">
    <w:name w:val="toc 5"/>
    <w:basedOn w:val="1"/>
    <w:next w:val="1"/>
    <w:qFormat/>
    <w:uiPriority w:val="99"/>
    <w:pPr>
      <w:ind w:left="1680" w:leftChars="800"/>
    </w:pPr>
  </w:style>
  <w:style w:type="paragraph" w:styleId="17">
    <w:name w:val="toc 3"/>
    <w:basedOn w:val="1"/>
    <w:next w:val="1"/>
    <w:semiHidden/>
    <w:qFormat/>
    <w:uiPriority w:val="99"/>
    <w:pPr>
      <w:ind w:left="840" w:leftChars="400"/>
    </w:pPr>
  </w:style>
  <w:style w:type="paragraph" w:styleId="18">
    <w:name w:val="Plain Text"/>
    <w:basedOn w:val="1"/>
    <w:link w:val="55"/>
    <w:qFormat/>
    <w:uiPriority w:val="99"/>
    <w:rPr>
      <w:rFonts w:ascii="宋体" w:hAnsi="Courier New" w:cs="Courier New"/>
      <w:kern w:val="24"/>
      <w:szCs w:val="21"/>
    </w:rPr>
  </w:style>
  <w:style w:type="paragraph" w:styleId="19">
    <w:name w:val="List Bullet 5"/>
    <w:basedOn w:val="1"/>
    <w:semiHidden/>
    <w:unhideWhenUsed/>
    <w:qFormat/>
    <w:locked/>
    <w:uiPriority w:val="99"/>
    <w:pPr>
      <w:numPr>
        <w:ilvl w:val="0"/>
        <w:numId w:val="2"/>
      </w:numPr>
    </w:pPr>
  </w:style>
  <w:style w:type="paragraph" w:styleId="20">
    <w:name w:val="toc 8"/>
    <w:basedOn w:val="1"/>
    <w:next w:val="1"/>
    <w:qFormat/>
    <w:uiPriority w:val="99"/>
    <w:pPr>
      <w:ind w:left="2940" w:leftChars="1400"/>
    </w:pPr>
  </w:style>
  <w:style w:type="paragraph" w:styleId="21">
    <w:name w:val="Body Text Indent 2"/>
    <w:basedOn w:val="1"/>
    <w:link w:val="56"/>
    <w:qFormat/>
    <w:uiPriority w:val="99"/>
    <w:pPr>
      <w:spacing w:after="120" w:line="480" w:lineRule="auto"/>
      <w:ind w:left="420" w:leftChars="200"/>
    </w:pPr>
  </w:style>
  <w:style w:type="paragraph" w:styleId="22">
    <w:name w:val="Balloon Text"/>
    <w:basedOn w:val="1"/>
    <w:link w:val="57"/>
    <w:qFormat/>
    <w:uiPriority w:val="99"/>
    <w:rPr>
      <w:sz w:val="18"/>
      <w:szCs w:val="18"/>
    </w:rPr>
  </w:style>
  <w:style w:type="paragraph" w:styleId="23">
    <w:name w:val="footer"/>
    <w:basedOn w:val="1"/>
    <w:link w:val="58"/>
    <w:qFormat/>
    <w:uiPriority w:val="99"/>
    <w:pPr>
      <w:tabs>
        <w:tab w:val="center" w:pos="4153"/>
        <w:tab w:val="right" w:pos="8306"/>
      </w:tabs>
      <w:snapToGrid w:val="0"/>
      <w:jc w:val="left"/>
    </w:pPr>
    <w:rPr>
      <w:sz w:val="18"/>
      <w:szCs w:val="18"/>
    </w:rPr>
  </w:style>
  <w:style w:type="paragraph" w:styleId="24">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semiHidden/>
    <w:qFormat/>
    <w:uiPriority w:val="99"/>
  </w:style>
  <w:style w:type="paragraph" w:styleId="26">
    <w:name w:val="toc 4"/>
    <w:basedOn w:val="1"/>
    <w:next w:val="1"/>
    <w:qFormat/>
    <w:uiPriority w:val="99"/>
    <w:pPr>
      <w:ind w:left="1260" w:leftChars="600"/>
    </w:pPr>
  </w:style>
  <w:style w:type="paragraph" w:styleId="27">
    <w:name w:val="toc 6"/>
    <w:basedOn w:val="1"/>
    <w:next w:val="1"/>
    <w:qFormat/>
    <w:uiPriority w:val="99"/>
    <w:pPr>
      <w:ind w:left="2100" w:leftChars="1000"/>
    </w:pPr>
  </w:style>
  <w:style w:type="paragraph" w:styleId="28">
    <w:name w:val="Body Text Indent 3"/>
    <w:basedOn w:val="1"/>
    <w:link w:val="60"/>
    <w:qFormat/>
    <w:uiPriority w:val="99"/>
    <w:pPr>
      <w:spacing w:after="120"/>
      <w:ind w:left="420" w:leftChars="200"/>
    </w:pPr>
    <w:rPr>
      <w:sz w:val="16"/>
      <w:szCs w:val="16"/>
    </w:rPr>
  </w:style>
  <w:style w:type="paragraph" w:styleId="29">
    <w:name w:val="toc 2"/>
    <w:basedOn w:val="1"/>
    <w:next w:val="1"/>
    <w:semiHidden/>
    <w:qFormat/>
    <w:uiPriority w:val="99"/>
    <w:pPr>
      <w:ind w:left="420" w:leftChars="200"/>
    </w:pPr>
  </w:style>
  <w:style w:type="paragraph" w:styleId="30">
    <w:name w:val="toc 9"/>
    <w:basedOn w:val="1"/>
    <w:next w:val="1"/>
    <w:qFormat/>
    <w:uiPriority w:val="99"/>
    <w:pPr>
      <w:ind w:left="3360" w:leftChars="1600"/>
    </w:pPr>
  </w:style>
  <w:style w:type="paragraph" w:styleId="31">
    <w:name w:val="Body Text 2"/>
    <w:basedOn w:val="1"/>
    <w:link w:val="61"/>
    <w:qFormat/>
    <w:uiPriority w:val="99"/>
    <w:pPr>
      <w:spacing w:after="120" w:line="480" w:lineRule="auto"/>
    </w:pPr>
  </w:style>
  <w:style w:type="paragraph" w:styleId="3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3">
    <w:name w:val="index 1"/>
    <w:basedOn w:val="1"/>
    <w:next w:val="1"/>
    <w:qFormat/>
    <w:locked/>
    <w:uiPriority w:val="0"/>
    <w:pPr>
      <w:spacing w:line="300" w:lineRule="exact"/>
      <w:jc w:val="center"/>
    </w:pPr>
    <w:rPr>
      <w:rFonts w:ascii="Times New Roman"/>
      <w:color w:val="000000"/>
      <w:spacing w:val="10"/>
      <w:kern w:val="0"/>
    </w:rPr>
  </w:style>
  <w:style w:type="table" w:styleId="35">
    <w:name w:val="Table Grid"/>
    <w:basedOn w:val="3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 Char Char Char Char Char Char Char Char Char Char Char Char Char Char Char Char Char Char Char Char Char Char Char Char Char Char Char Char Char Char Char Char Char"/>
    <w:basedOn w:val="1"/>
    <w:link w:val="36"/>
    <w:qFormat/>
    <w:uiPriority w:val="0"/>
    <w:pPr>
      <w:widowControl/>
      <w:spacing w:after="160" w:afterLines="0" w:line="240" w:lineRule="exact"/>
      <w:jc w:val="left"/>
    </w:pPr>
  </w:style>
  <w:style w:type="character" w:styleId="38">
    <w:name w:val="Strong"/>
    <w:basedOn w:val="36"/>
    <w:qFormat/>
    <w:locked/>
    <w:uiPriority w:val="0"/>
    <w:rPr>
      <w:b/>
      <w:bCs/>
    </w:rPr>
  </w:style>
  <w:style w:type="character" w:styleId="39">
    <w:name w:val="page number"/>
    <w:basedOn w:val="36"/>
    <w:qFormat/>
    <w:uiPriority w:val="99"/>
    <w:rPr>
      <w:rFonts w:cs="Times New Roman"/>
    </w:rPr>
  </w:style>
  <w:style w:type="character" w:styleId="40">
    <w:name w:val="Hyperlink"/>
    <w:basedOn w:val="36"/>
    <w:qFormat/>
    <w:uiPriority w:val="99"/>
    <w:rPr>
      <w:rFonts w:cs="Times New Roman"/>
      <w:color w:val="0000FF"/>
      <w:u w:val="single"/>
    </w:rPr>
  </w:style>
  <w:style w:type="character" w:styleId="41">
    <w:name w:val="annotation reference"/>
    <w:basedOn w:val="36"/>
    <w:qFormat/>
    <w:uiPriority w:val="99"/>
    <w:rPr>
      <w:rFonts w:cs="Times New Roman"/>
      <w:sz w:val="21"/>
    </w:rPr>
  </w:style>
  <w:style w:type="paragraph" w:customStyle="1" w:styleId="42">
    <w:name w:val="样式 正文文本缩进 + 行距: 1.5 倍行距"/>
    <w:basedOn w:val="43"/>
    <w:next w:val="1"/>
    <w:qFormat/>
    <w:uiPriority w:val="0"/>
    <w:pPr>
      <w:spacing w:after="120" w:line="360" w:lineRule="auto"/>
      <w:ind w:left="90" w:leftChars="32" w:firstLine="560" w:firstLineChars="200"/>
    </w:pPr>
    <w:rPr>
      <w:rFonts w:cs="宋体"/>
    </w:rPr>
  </w:style>
  <w:style w:type="paragraph" w:customStyle="1" w:styleId="43">
    <w:name w:val="Body Text Indent"/>
    <w:basedOn w:val="1"/>
    <w:next w:val="42"/>
    <w:qFormat/>
    <w:uiPriority w:val="0"/>
    <w:pPr>
      <w:spacing w:line="360" w:lineRule="auto"/>
      <w:ind w:firstLine="420"/>
    </w:pPr>
    <w:rPr>
      <w:sz w:val="24"/>
    </w:rPr>
  </w:style>
  <w:style w:type="character" w:customStyle="1" w:styleId="44">
    <w:name w:val="Heading 1 Char"/>
    <w:basedOn w:val="36"/>
    <w:link w:val="6"/>
    <w:qFormat/>
    <w:locked/>
    <w:uiPriority w:val="99"/>
    <w:rPr>
      <w:rFonts w:ascii="Times New Roman" w:hAnsi="Times New Roman" w:eastAsia="宋体" w:cs="Times New Roman"/>
      <w:b/>
      <w:sz w:val="32"/>
    </w:rPr>
  </w:style>
  <w:style w:type="character" w:customStyle="1" w:styleId="45">
    <w:name w:val="Heading 2 Char"/>
    <w:basedOn w:val="36"/>
    <w:link w:val="7"/>
    <w:qFormat/>
    <w:locked/>
    <w:uiPriority w:val="99"/>
    <w:rPr>
      <w:rFonts w:ascii="Times New Roman" w:hAnsi="Times New Roman" w:eastAsia="宋体" w:cs="Times New Roman"/>
      <w:b/>
      <w:sz w:val="28"/>
    </w:rPr>
  </w:style>
  <w:style w:type="character" w:customStyle="1" w:styleId="46">
    <w:name w:val="Heading 3 Char"/>
    <w:basedOn w:val="36"/>
    <w:link w:val="8"/>
    <w:semiHidden/>
    <w:qFormat/>
    <w:locked/>
    <w:uiPriority w:val="99"/>
    <w:rPr>
      <w:rFonts w:cs="Times New Roman"/>
      <w:b/>
      <w:bCs/>
      <w:sz w:val="32"/>
      <w:szCs w:val="32"/>
    </w:rPr>
  </w:style>
  <w:style w:type="character" w:customStyle="1" w:styleId="47">
    <w:name w:val="Heading 4 Char"/>
    <w:basedOn w:val="36"/>
    <w:link w:val="9"/>
    <w:semiHidden/>
    <w:qFormat/>
    <w:locked/>
    <w:uiPriority w:val="99"/>
    <w:rPr>
      <w:rFonts w:ascii="Cambria" w:hAnsi="Cambria" w:eastAsia="宋体" w:cs="Times New Roman"/>
      <w:b/>
      <w:bCs/>
      <w:sz w:val="28"/>
      <w:szCs w:val="28"/>
    </w:rPr>
  </w:style>
  <w:style w:type="character" w:customStyle="1" w:styleId="48">
    <w:name w:val="Body Text Indent Char"/>
    <w:basedOn w:val="36"/>
    <w:link w:val="3"/>
    <w:semiHidden/>
    <w:qFormat/>
    <w:locked/>
    <w:uiPriority w:val="99"/>
    <w:rPr>
      <w:rFonts w:cs="Times New Roman"/>
      <w:sz w:val="24"/>
      <w:szCs w:val="24"/>
    </w:rPr>
  </w:style>
  <w:style w:type="character" w:customStyle="1" w:styleId="49">
    <w:name w:val="Body Text First Indent 2 Char"/>
    <w:basedOn w:val="48"/>
    <w:link w:val="2"/>
    <w:semiHidden/>
    <w:qFormat/>
    <w:locked/>
    <w:uiPriority w:val="99"/>
  </w:style>
  <w:style w:type="character" w:customStyle="1" w:styleId="50">
    <w:name w:val="Body Text Char"/>
    <w:basedOn w:val="36"/>
    <w:link w:val="5"/>
    <w:semiHidden/>
    <w:qFormat/>
    <w:locked/>
    <w:uiPriority w:val="99"/>
    <w:rPr>
      <w:rFonts w:cs="Times New Roman"/>
      <w:sz w:val="24"/>
      <w:szCs w:val="24"/>
    </w:rPr>
  </w:style>
  <w:style w:type="character" w:customStyle="1" w:styleId="51">
    <w:name w:val="Body Text First Indent Char"/>
    <w:basedOn w:val="36"/>
    <w:link w:val="4"/>
    <w:qFormat/>
    <w:locked/>
    <w:uiPriority w:val="99"/>
    <w:rPr>
      <w:rFonts w:eastAsia="宋体" w:cs="Times New Roman"/>
      <w:kern w:val="2"/>
      <w:sz w:val="18"/>
      <w:szCs w:val="18"/>
      <w:lang w:val="en-US" w:eastAsia="zh-CN" w:bidi="ar-SA"/>
    </w:rPr>
  </w:style>
  <w:style w:type="character" w:customStyle="1" w:styleId="52">
    <w:name w:val="Note Heading Char"/>
    <w:basedOn w:val="36"/>
    <w:link w:val="11"/>
    <w:semiHidden/>
    <w:qFormat/>
    <w:locked/>
    <w:uiPriority w:val="99"/>
    <w:rPr>
      <w:rFonts w:cs="Times New Roman"/>
      <w:sz w:val="24"/>
      <w:szCs w:val="24"/>
    </w:rPr>
  </w:style>
  <w:style w:type="character" w:customStyle="1" w:styleId="53">
    <w:name w:val="Document Map Char"/>
    <w:basedOn w:val="36"/>
    <w:link w:val="13"/>
    <w:semiHidden/>
    <w:qFormat/>
    <w:locked/>
    <w:uiPriority w:val="99"/>
    <w:rPr>
      <w:rFonts w:cs="Times New Roman"/>
      <w:sz w:val="2"/>
    </w:rPr>
  </w:style>
  <w:style w:type="character" w:customStyle="1" w:styleId="54">
    <w:name w:val="Comment Text Char"/>
    <w:basedOn w:val="36"/>
    <w:link w:val="14"/>
    <w:semiHidden/>
    <w:qFormat/>
    <w:locked/>
    <w:uiPriority w:val="99"/>
    <w:rPr>
      <w:rFonts w:cs="Times New Roman"/>
      <w:sz w:val="24"/>
      <w:szCs w:val="24"/>
    </w:rPr>
  </w:style>
  <w:style w:type="character" w:customStyle="1" w:styleId="55">
    <w:name w:val="Plain Text Char"/>
    <w:basedOn w:val="36"/>
    <w:link w:val="18"/>
    <w:semiHidden/>
    <w:qFormat/>
    <w:locked/>
    <w:uiPriority w:val="99"/>
    <w:rPr>
      <w:rFonts w:ascii="宋体" w:hAnsi="Courier New" w:cs="Courier New"/>
      <w:sz w:val="21"/>
      <w:szCs w:val="21"/>
    </w:rPr>
  </w:style>
  <w:style w:type="character" w:customStyle="1" w:styleId="56">
    <w:name w:val="Body Text Indent 2 Char"/>
    <w:basedOn w:val="36"/>
    <w:link w:val="21"/>
    <w:semiHidden/>
    <w:qFormat/>
    <w:locked/>
    <w:uiPriority w:val="99"/>
    <w:rPr>
      <w:rFonts w:cs="Times New Roman"/>
      <w:sz w:val="24"/>
      <w:szCs w:val="24"/>
    </w:rPr>
  </w:style>
  <w:style w:type="character" w:customStyle="1" w:styleId="57">
    <w:name w:val="Balloon Text Char"/>
    <w:basedOn w:val="36"/>
    <w:link w:val="22"/>
    <w:semiHidden/>
    <w:qFormat/>
    <w:locked/>
    <w:uiPriority w:val="99"/>
    <w:rPr>
      <w:rFonts w:cs="Times New Roman"/>
      <w:sz w:val="2"/>
    </w:rPr>
  </w:style>
  <w:style w:type="character" w:customStyle="1" w:styleId="58">
    <w:name w:val="Footer Char"/>
    <w:basedOn w:val="36"/>
    <w:link w:val="23"/>
    <w:semiHidden/>
    <w:qFormat/>
    <w:locked/>
    <w:uiPriority w:val="99"/>
    <w:rPr>
      <w:rFonts w:cs="Times New Roman"/>
      <w:sz w:val="18"/>
      <w:szCs w:val="18"/>
    </w:rPr>
  </w:style>
  <w:style w:type="character" w:customStyle="1" w:styleId="59">
    <w:name w:val="Header Char"/>
    <w:basedOn w:val="36"/>
    <w:link w:val="24"/>
    <w:qFormat/>
    <w:locked/>
    <w:uiPriority w:val="99"/>
    <w:rPr>
      <w:rFonts w:eastAsia="宋体" w:cs="Times New Roman"/>
      <w:kern w:val="2"/>
      <w:sz w:val="18"/>
      <w:szCs w:val="18"/>
      <w:lang w:val="en-US" w:eastAsia="zh-CN" w:bidi="ar-SA"/>
    </w:rPr>
  </w:style>
  <w:style w:type="character" w:customStyle="1" w:styleId="60">
    <w:name w:val="Body Text Indent 3 Char"/>
    <w:basedOn w:val="36"/>
    <w:link w:val="28"/>
    <w:semiHidden/>
    <w:qFormat/>
    <w:locked/>
    <w:uiPriority w:val="99"/>
    <w:rPr>
      <w:rFonts w:cs="Times New Roman"/>
      <w:sz w:val="16"/>
      <w:szCs w:val="16"/>
    </w:rPr>
  </w:style>
  <w:style w:type="character" w:customStyle="1" w:styleId="61">
    <w:name w:val="Body Text 2 Char"/>
    <w:basedOn w:val="36"/>
    <w:link w:val="31"/>
    <w:semiHidden/>
    <w:qFormat/>
    <w:locked/>
    <w:uiPriority w:val="99"/>
    <w:rPr>
      <w:rFonts w:cs="Times New Roman"/>
      <w:sz w:val="24"/>
      <w:szCs w:val="24"/>
    </w:rPr>
  </w:style>
  <w:style w:type="character" w:customStyle="1" w:styleId="62">
    <w:name w:val="p0 Char Char"/>
    <w:basedOn w:val="36"/>
    <w:link w:val="63"/>
    <w:qFormat/>
    <w:locked/>
    <w:uiPriority w:val="99"/>
    <w:rPr>
      <w:rFonts w:cs="宋体"/>
      <w:sz w:val="21"/>
      <w:szCs w:val="21"/>
    </w:rPr>
  </w:style>
  <w:style w:type="paragraph" w:customStyle="1" w:styleId="63">
    <w:name w:val="p0"/>
    <w:basedOn w:val="1"/>
    <w:link w:val="62"/>
    <w:qFormat/>
    <w:uiPriority w:val="99"/>
    <w:pPr>
      <w:widowControl/>
    </w:pPr>
    <w:rPr>
      <w:rFonts w:cs="宋体"/>
      <w:kern w:val="0"/>
      <w:szCs w:val="21"/>
    </w:rPr>
  </w:style>
  <w:style w:type="character" w:customStyle="1" w:styleId="64">
    <w:name w:val="font41"/>
    <w:basedOn w:val="36"/>
    <w:qFormat/>
    <w:uiPriority w:val="99"/>
    <w:rPr>
      <w:rFonts w:ascii="Times New Roman" w:hAnsi="Times New Roman" w:cs="Times New Roman"/>
      <w:color w:val="000000"/>
      <w:sz w:val="21"/>
      <w:szCs w:val="21"/>
      <w:u w:val="none"/>
    </w:rPr>
  </w:style>
  <w:style w:type="character" w:customStyle="1" w:styleId="65">
    <w:name w:val="font31"/>
    <w:basedOn w:val="36"/>
    <w:qFormat/>
    <w:uiPriority w:val="99"/>
    <w:rPr>
      <w:rFonts w:ascii="Times New Roman" w:hAnsi="Times New Roman" w:cs="Times New Roman"/>
      <w:color w:val="000000"/>
      <w:sz w:val="22"/>
      <w:szCs w:val="22"/>
      <w:u w:val="none"/>
      <w:vertAlign w:val="superscript"/>
    </w:rPr>
  </w:style>
  <w:style w:type="character" w:customStyle="1" w:styleId="66">
    <w:name w:val="f_money"/>
    <w:basedOn w:val="36"/>
    <w:qFormat/>
    <w:uiPriority w:val="99"/>
    <w:rPr>
      <w:rFonts w:cs="Times New Roman"/>
    </w:rPr>
  </w:style>
  <w:style w:type="character" w:customStyle="1" w:styleId="67">
    <w:name w:val="apple-converted-space"/>
    <w:basedOn w:val="36"/>
    <w:qFormat/>
    <w:uiPriority w:val="99"/>
    <w:rPr>
      <w:rFonts w:cs="Times New Roman"/>
    </w:rPr>
  </w:style>
  <w:style w:type="character" w:customStyle="1" w:styleId="68">
    <w:name w:val="正文5号 Char"/>
    <w:qFormat/>
    <w:uiPriority w:val="99"/>
    <w:rPr>
      <w:rFonts w:ascii="仿宋_GB2312" w:eastAsia="方正仿宋简体"/>
      <w:kern w:val="2"/>
      <w:sz w:val="24"/>
      <w:lang w:val="en-US" w:eastAsia="zh-CN"/>
    </w:rPr>
  </w:style>
  <w:style w:type="character" w:customStyle="1" w:styleId="69">
    <w:name w:val="表、图标题 Char Char"/>
    <w:basedOn w:val="36"/>
    <w:link w:val="70"/>
    <w:qFormat/>
    <w:locked/>
    <w:uiPriority w:val="99"/>
    <w:rPr>
      <w:rFonts w:ascii="宋体" w:hAnsi="宋体" w:eastAsia="宋体" w:cs="Times New Roman"/>
      <w:b/>
      <w:bCs/>
      <w:snapToGrid w:val="0"/>
      <w:sz w:val="21"/>
      <w:szCs w:val="21"/>
      <w:lang w:val="en-US" w:eastAsia="zh-CN" w:bidi="ar-SA"/>
    </w:rPr>
  </w:style>
  <w:style w:type="paragraph" w:customStyle="1" w:styleId="70">
    <w:name w:val="表、图标题"/>
    <w:basedOn w:val="1"/>
    <w:link w:val="69"/>
    <w:qFormat/>
    <w:uiPriority w:val="99"/>
    <w:pPr>
      <w:adjustRightInd w:val="0"/>
      <w:snapToGrid w:val="0"/>
      <w:spacing w:line="480" w:lineRule="exact"/>
      <w:jc w:val="center"/>
    </w:pPr>
    <w:rPr>
      <w:rFonts w:ascii="宋体" w:hAnsi="宋体"/>
      <w:b/>
      <w:bCs/>
      <w:kern w:val="0"/>
      <w:sz w:val="24"/>
      <w:szCs w:val="21"/>
    </w:rPr>
  </w:style>
  <w:style w:type="character" w:customStyle="1" w:styleId="71">
    <w:name w:val="zw1"/>
    <w:basedOn w:val="36"/>
    <w:qFormat/>
    <w:uiPriority w:val="99"/>
    <w:rPr>
      <w:rFonts w:ascii="宋体" w:hAnsi="宋体" w:eastAsia="宋体" w:cs="Times New Roman"/>
      <w:kern w:val="2"/>
      <w:sz w:val="22"/>
      <w:szCs w:val="22"/>
      <w:lang w:val="en-US" w:eastAsia="zh-CN" w:bidi="ar-SA"/>
    </w:rPr>
  </w:style>
  <w:style w:type="character" w:customStyle="1" w:styleId="72">
    <w:name w:val="font11"/>
    <w:basedOn w:val="36"/>
    <w:qFormat/>
    <w:uiPriority w:val="99"/>
    <w:rPr>
      <w:rFonts w:ascii="宋体" w:hAnsi="宋体" w:eastAsia="宋体" w:cs="宋体"/>
      <w:color w:val="000000"/>
      <w:sz w:val="21"/>
      <w:szCs w:val="21"/>
      <w:u w:val="none"/>
    </w:rPr>
  </w:style>
  <w:style w:type="character" w:customStyle="1" w:styleId="73">
    <w:name w:val="content1"/>
    <w:qFormat/>
    <w:uiPriority w:val="99"/>
    <w:rPr>
      <w:sz w:val="21"/>
    </w:rPr>
  </w:style>
  <w:style w:type="character" w:customStyle="1" w:styleId="74">
    <w:name w:val="表内容 Char"/>
    <w:basedOn w:val="36"/>
    <w:link w:val="75"/>
    <w:qFormat/>
    <w:locked/>
    <w:uiPriority w:val="99"/>
    <w:rPr>
      <w:rFonts w:eastAsia="宋体" w:cs="Times New Roman"/>
      <w:snapToGrid w:val="0"/>
      <w:sz w:val="21"/>
      <w:szCs w:val="21"/>
      <w:lang w:val="en-US" w:eastAsia="zh-CN" w:bidi="ar-SA"/>
    </w:rPr>
  </w:style>
  <w:style w:type="paragraph" w:customStyle="1" w:styleId="75">
    <w:name w:val="表内容"/>
    <w:basedOn w:val="1"/>
    <w:link w:val="74"/>
    <w:qFormat/>
    <w:uiPriority w:val="99"/>
    <w:pPr>
      <w:adjustRightInd w:val="0"/>
      <w:snapToGrid w:val="0"/>
      <w:spacing w:line="240" w:lineRule="atLeast"/>
      <w:jc w:val="center"/>
    </w:pPr>
    <w:rPr>
      <w:kern w:val="0"/>
      <w:szCs w:val="21"/>
    </w:rPr>
  </w:style>
  <w:style w:type="character" w:customStyle="1" w:styleId="76">
    <w:name w:val="font21"/>
    <w:basedOn w:val="36"/>
    <w:qFormat/>
    <w:uiPriority w:val="99"/>
    <w:rPr>
      <w:rFonts w:ascii="Times New Roman" w:hAnsi="Times New Roman" w:cs="Times New Roman"/>
      <w:color w:val="000000"/>
      <w:sz w:val="27"/>
      <w:szCs w:val="27"/>
      <w:u w:val="none"/>
      <w:vertAlign w:val="superscript"/>
    </w:rPr>
  </w:style>
  <w:style w:type="character" w:customStyle="1" w:styleId="77">
    <w:name w:val="style61"/>
    <w:basedOn w:val="36"/>
    <w:qFormat/>
    <w:uiPriority w:val="99"/>
    <w:rPr>
      <w:rFonts w:cs="Times New Roman"/>
      <w:color w:val="0000FF"/>
    </w:rPr>
  </w:style>
  <w:style w:type="paragraph" w:customStyle="1" w:styleId="78">
    <w:name w:val="标题4"/>
    <w:basedOn w:val="1"/>
    <w:next w:val="1"/>
    <w:qFormat/>
    <w:uiPriority w:val="99"/>
    <w:pPr>
      <w:adjustRightInd w:val="0"/>
      <w:snapToGrid w:val="0"/>
      <w:spacing w:line="480" w:lineRule="exact"/>
      <w:ind w:firstLine="200" w:firstLineChars="200"/>
      <w:outlineLvl w:val="3"/>
    </w:pPr>
    <w:rPr>
      <w:b/>
      <w:kern w:val="0"/>
      <w:sz w:val="24"/>
    </w:rPr>
  </w:style>
  <w:style w:type="paragraph" w:customStyle="1" w:styleId="79">
    <w:name w:val="Char Char1 Char Char"/>
    <w:basedOn w:val="1"/>
    <w:qFormat/>
    <w:uiPriority w:val="99"/>
    <w:pPr>
      <w:spacing w:before="300" w:after="300" w:line="560" w:lineRule="exact"/>
    </w:pPr>
    <w:rPr>
      <w:rFonts w:ascii="Calibri" w:hAnsi="Calibri"/>
      <w:szCs w:val="22"/>
    </w:rPr>
  </w:style>
  <w:style w:type="paragraph" w:customStyle="1" w:styleId="80">
    <w:name w:val="表格"/>
    <w:basedOn w:val="1"/>
    <w:next w:val="1"/>
    <w:qFormat/>
    <w:uiPriority w:val="99"/>
    <w:pPr>
      <w:jc w:val="center"/>
    </w:pPr>
    <w:rPr>
      <w:rFonts w:ascii="宋体"/>
      <w:szCs w:val="20"/>
    </w:rPr>
  </w:style>
  <w:style w:type="paragraph" w:customStyle="1" w:styleId="81">
    <w:name w:val="表头"/>
    <w:basedOn w:val="82"/>
    <w:qFormat/>
    <w:uiPriority w:val="99"/>
    <w:pPr>
      <w:spacing w:line="500" w:lineRule="exact"/>
    </w:pPr>
    <w:rPr>
      <w:rFonts w:cs="宋体"/>
      <w:b/>
      <w:bCs/>
    </w:rPr>
  </w:style>
  <w:style w:type="paragraph" w:customStyle="1" w:styleId="82">
    <w:name w:val="表格内容"/>
    <w:basedOn w:val="1"/>
    <w:qFormat/>
    <w:uiPriority w:val="99"/>
    <w:pPr>
      <w:jc w:val="center"/>
    </w:pPr>
    <w:rPr>
      <w:szCs w:val="21"/>
    </w:rPr>
  </w:style>
  <w:style w:type="paragraph" w:customStyle="1" w:styleId="83">
    <w:name w:val="标3"/>
    <w:basedOn w:val="1"/>
    <w:qFormat/>
    <w:uiPriority w:val="99"/>
    <w:pPr>
      <w:spacing w:line="360" w:lineRule="auto"/>
      <w:outlineLvl w:val="2"/>
    </w:pPr>
    <w:rPr>
      <w:rFonts w:cs="宋体"/>
      <w:b/>
      <w:bCs/>
      <w:sz w:val="24"/>
      <w:szCs w:val="20"/>
    </w:rPr>
  </w:style>
  <w:style w:type="paragraph" w:customStyle="1" w:styleId="84">
    <w:name w:val="正文 首行缩进:  2 字符"/>
    <w:basedOn w:val="1"/>
    <w:qFormat/>
    <w:uiPriority w:val="99"/>
    <w:pPr>
      <w:ind w:firstLine="480" w:firstLineChars="200"/>
    </w:pPr>
    <w:rPr>
      <w:rFonts w:cs="宋体"/>
      <w:szCs w:val="20"/>
    </w:rPr>
  </w:style>
  <w:style w:type="paragraph" w:customStyle="1" w:styleId="85">
    <w:name w:val="小节标题"/>
    <w:basedOn w:val="1"/>
    <w:next w:val="1"/>
    <w:qFormat/>
    <w:uiPriority w:val="99"/>
    <w:pPr>
      <w:widowControl/>
      <w:spacing w:before="175" w:after="102" w:line="351" w:lineRule="atLeast"/>
    </w:pPr>
    <w:rPr>
      <w:rFonts w:eastAsia="黑体"/>
      <w:color w:val="000000"/>
      <w:kern w:val="0"/>
      <w:szCs w:val="20"/>
      <w:u w:color="000000"/>
    </w:rPr>
  </w:style>
  <w:style w:type="paragraph" w:customStyle="1" w:styleId="86">
    <w:name w:val="健牛文字"/>
    <w:basedOn w:val="1"/>
    <w:qFormat/>
    <w:uiPriority w:val="99"/>
    <w:pPr>
      <w:adjustRightInd w:val="0"/>
      <w:snapToGrid w:val="0"/>
      <w:spacing w:line="440" w:lineRule="exact"/>
      <w:ind w:firstLine="560" w:firstLineChars="200"/>
    </w:pPr>
    <w:rPr>
      <w:sz w:val="28"/>
    </w:rPr>
  </w:style>
  <w:style w:type="paragraph" w:customStyle="1" w:styleId="87">
    <w:name w:val="博泵1"/>
    <w:basedOn w:val="1"/>
    <w:qFormat/>
    <w:uiPriority w:val="99"/>
    <w:pPr>
      <w:adjustRightInd w:val="0"/>
      <w:spacing w:line="480" w:lineRule="exact"/>
      <w:ind w:firstLine="200" w:firstLineChars="200"/>
      <w:jc w:val="left"/>
      <w:textAlignment w:val="baseline"/>
    </w:pPr>
    <w:rPr>
      <w:rFonts w:hAnsi="宋体" w:cs="宋体"/>
      <w:color w:val="000000"/>
      <w:kern w:val="0"/>
      <w:sz w:val="24"/>
      <w:szCs w:val="20"/>
    </w:rPr>
  </w:style>
  <w:style w:type="paragraph" w:customStyle="1" w:styleId="88">
    <w:name w:val="表体"/>
    <w:basedOn w:val="81"/>
    <w:semiHidden/>
    <w:qFormat/>
    <w:uiPriority w:val="99"/>
    <w:pPr>
      <w:overflowPunct w:val="0"/>
      <w:spacing w:line="300" w:lineRule="atLeast"/>
      <w:textAlignment w:val="baseline"/>
    </w:pPr>
    <w:rPr>
      <w:rFonts w:cs="Times New Roman"/>
      <w:b w:val="0"/>
      <w:bCs w:val="0"/>
      <w:color w:val="000000"/>
      <w:kern w:val="24"/>
      <w:sz w:val="18"/>
      <w:szCs w:val="20"/>
    </w:rPr>
  </w:style>
  <w:style w:type="paragraph" w:customStyle="1" w:styleId="89">
    <w:name w:val="表格正文"/>
    <w:qFormat/>
    <w:uiPriority w:val="99"/>
    <w:pPr>
      <w:spacing w:before="60" w:after="60" w:line="360" w:lineRule="exact"/>
      <w:ind w:left="32"/>
      <w:jc w:val="center"/>
    </w:pPr>
    <w:rPr>
      <w:rFonts w:ascii="Arial" w:hAnsi="Arial" w:eastAsia="宋体" w:cs="Arial"/>
      <w:bCs/>
      <w:kern w:val="0"/>
      <w:sz w:val="21"/>
      <w:szCs w:val="21"/>
      <w:lang w:val="en-US" w:eastAsia="zh-CN" w:bidi="ar-SA"/>
    </w:rPr>
  </w:style>
  <w:style w:type="paragraph" w:customStyle="1" w:styleId="90">
    <w:name w:val="reader-word-layer reader-word-s1-19"/>
    <w:basedOn w:val="1"/>
    <w:qFormat/>
    <w:uiPriority w:val="99"/>
    <w:pPr>
      <w:widowControl/>
      <w:spacing w:before="100" w:beforeAutospacing="1" w:after="100" w:afterAutospacing="1"/>
      <w:jc w:val="left"/>
    </w:pPr>
    <w:rPr>
      <w:rFonts w:ascii="宋体" w:hAnsi="宋体" w:cs="宋体"/>
      <w:kern w:val="0"/>
      <w:sz w:val="24"/>
    </w:rPr>
  </w:style>
  <w:style w:type="paragraph" w:customStyle="1" w:styleId="91">
    <w:name w:val="常用正文格式"/>
    <w:basedOn w:val="1"/>
    <w:qFormat/>
    <w:uiPriority w:val="99"/>
    <w:pPr>
      <w:spacing w:line="360" w:lineRule="auto"/>
      <w:ind w:firstLine="420" w:firstLineChars="200"/>
    </w:pPr>
    <w:rPr>
      <w:rFonts w:cs="宋体"/>
      <w:sz w:val="24"/>
      <w:szCs w:val="20"/>
    </w:rPr>
  </w:style>
  <w:style w:type="paragraph" w:customStyle="1" w:styleId="92">
    <w:name w:val="标题 21"/>
    <w:basedOn w:val="1"/>
    <w:next w:val="1"/>
    <w:qFormat/>
    <w:uiPriority w:val="99"/>
    <w:pPr>
      <w:keepNext/>
      <w:keepLines/>
      <w:spacing w:beforeLines="50" w:afterLines="50" w:line="360" w:lineRule="auto"/>
      <w:outlineLvl w:val="1"/>
    </w:pPr>
    <w:rPr>
      <w:rFonts w:ascii="Cambria" w:hAnsi="Cambria"/>
      <w:b/>
      <w:bCs/>
      <w:sz w:val="32"/>
      <w:szCs w:val="32"/>
    </w:rPr>
  </w:style>
  <w:style w:type="paragraph" w:customStyle="1" w:styleId="93">
    <w:name w:val="正文正文正文 1.5 倍行距"/>
    <w:basedOn w:val="1"/>
    <w:qFormat/>
    <w:uiPriority w:val="99"/>
    <w:pPr>
      <w:spacing w:line="360" w:lineRule="auto"/>
      <w:ind w:firstLine="480" w:firstLineChars="200"/>
    </w:pPr>
    <w:rPr>
      <w:rFonts w:ascii="宋体" w:hAnsi="宋体" w:cs="宋体"/>
      <w:kern w:val="0"/>
      <w:szCs w:val="20"/>
    </w:rPr>
  </w:style>
  <w:style w:type="paragraph" w:customStyle="1" w:styleId="94">
    <w:name w:val="Char"/>
    <w:basedOn w:val="1"/>
    <w:qFormat/>
    <w:uiPriority w:val="99"/>
    <w:rPr>
      <w:rFonts w:ascii="宋体" w:hAnsi="宋体" w:cs="Courier New"/>
      <w:sz w:val="32"/>
      <w:szCs w:val="32"/>
    </w:rPr>
  </w:style>
  <w:style w:type="paragraph" w:customStyle="1" w:styleId="95">
    <w:name w:val="文本框"/>
    <w:basedOn w:val="1"/>
    <w:qFormat/>
    <w:uiPriority w:val="99"/>
    <w:pPr>
      <w:jc w:val="center"/>
    </w:pPr>
    <w:rPr>
      <w:rFonts w:eastAsia="楷体_GB2312"/>
      <w:sz w:val="24"/>
    </w:rPr>
  </w:style>
  <w:style w:type="paragraph" w:customStyle="1" w:styleId="96">
    <w:name w:val="样式 标题 4 + 宋体 行距: 1.5 倍行距"/>
    <w:basedOn w:val="9"/>
    <w:qFormat/>
    <w:uiPriority w:val="99"/>
    <w:pPr>
      <w:spacing w:beforeLines="50"/>
    </w:pPr>
    <w:rPr>
      <w:rFonts w:ascii="宋体" w:hAnsi="宋体" w:cs="宋体"/>
      <w:szCs w:val="20"/>
    </w:rPr>
  </w:style>
  <w:style w:type="paragraph" w:customStyle="1" w:styleId="97">
    <w:name w:val="简单回函地址"/>
    <w:basedOn w:val="1"/>
    <w:qFormat/>
    <w:uiPriority w:val="99"/>
    <w:pPr>
      <w:autoSpaceDE w:val="0"/>
      <w:autoSpaceDN w:val="0"/>
      <w:adjustRightInd w:val="0"/>
      <w:textAlignment w:val="baseline"/>
    </w:pPr>
    <w:rPr>
      <w:rFonts w:eastAsia="楷体_GB2312"/>
      <w:sz w:val="28"/>
      <w:szCs w:val="20"/>
    </w:rPr>
  </w:style>
  <w:style w:type="paragraph" w:customStyle="1" w:styleId="98">
    <w:name w:val="样式 正文 行距: 固定值 25 磅"/>
    <w:basedOn w:val="1"/>
    <w:qFormat/>
    <w:uiPriority w:val="99"/>
    <w:pPr>
      <w:adjustRightInd w:val="0"/>
      <w:ind w:firstLine="200" w:firstLineChars="200"/>
    </w:pPr>
    <w:rPr>
      <w:rFonts w:cs="宋体"/>
    </w:rPr>
  </w:style>
  <w:style w:type="paragraph" w:customStyle="1" w:styleId="99">
    <w:name w:val="zw"/>
    <w:basedOn w:val="1"/>
    <w:qFormat/>
    <w:uiPriority w:val="99"/>
    <w:pPr>
      <w:widowControl/>
      <w:spacing w:before="100" w:beforeAutospacing="1" w:after="100" w:afterAutospacing="1" w:line="440" w:lineRule="atLeast"/>
      <w:jc w:val="left"/>
    </w:pPr>
    <w:rPr>
      <w:rFonts w:ascii="宋体" w:hAnsi="宋体" w:cs="宋体"/>
      <w:kern w:val="0"/>
      <w:sz w:val="22"/>
      <w:szCs w:val="22"/>
    </w:rPr>
  </w:style>
  <w:style w:type="paragraph" w:customStyle="1" w:styleId="100">
    <w:name w:val="Char Char Char Char Char Char1 Char"/>
    <w:basedOn w:val="1"/>
    <w:semiHidden/>
    <w:qFormat/>
    <w:uiPriority w:val="99"/>
  </w:style>
  <w:style w:type="paragraph" w:customStyle="1" w:styleId="101">
    <w:name w:val="样式9"/>
    <w:basedOn w:val="1"/>
    <w:qFormat/>
    <w:uiPriority w:val="99"/>
    <w:pPr>
      <w:spacing w:line="360" w:lineRule="exact"/>
      <w:jc w:val="center"/>
    </w:pPr>
    <w:rPr>
      <w:color w:val="000000"/>
    </w:rPr>
  </w:style>
  <w:style w:type="paragraph" w:customStyle="1" w:styleId="102">
    <w:name w:val="列出段落1"/>
    <w:basedOn w:val="1"/>
    <w:qFormat/>
    <w:uiPriority w:val="99"/>
    <w:pPr>
      <w:ind w:firstLine="420" w:firstLineChars="200"/>
    </w:pPr>
    <w:rPr>
      <w:rFonts w:ascii="Calibri" w:hAnsi="Calibri"/>
      <w:szCs w:val="22"/>
    </w:rPr>
  </w:style>
  <w:style w:type="paragraph" w:customStyle="1" w:styleId="103">
    <w:name w:val="报告书正文"/>
    <w:basedOn w:val="1"/>
    <w:qFormat/>
    <w:uiPriority w:val="99"/>
    <w:pPr>
      <w:adjustRightInd w:val="0"/>
      <w:snapToGrid w:val="0"/>
      <w:spacing w:line="360" w:lineRule="auto"/>
      <w:ind w:firstLine="425"/>
      <w:textAlignment w:val="baseline"/>
    </w:pPr>
    <w:rPr>
      <w:kern w:val="0"/>
      <w:sz w:val="24"/>
      <w:szCs w:val="20"/>
    </w:rPr>
  </w:style>
  <w:style w:type="paragraph" w:customStyle="1" w:styleId="104">
    <w:name w:val="样式 样式 标题 4 + 宋体 行距: 1.5 倍行距 + 段前: 0.5 行"/>
    <w:basedOn w:val="96"/>
    <w:qFormat/>
    <w:uiPriority w:val="99"/>
    <w:pPr>
      <w:spacing w:beforeLines="0"/>
    </w:pPr>
  </w:style>
  <w:style w:type="paragraph" w:customStyle="1" w:styleId="105">
    <w:name w:val="无间隔1"/>
    <w:qFormat/>
    <w:uiPriority w:val="99"/>
    <w:pPr>
      <w:widowControl w:val="0"/>
      <w:jc w:val="center"/>
    </w:pPr>
    <w:rPr>
      <w:rFonts w:ascii="Calibri" w:hAnsi="Calibri" w:eastAsia="宋体" w:cs="Times New Roman"/>
      <w:kern w:val="2"/>
      <w:sz w:val="21"/>
      <w:szCs w:val="22"/>
      <w:lang w:val="en-US" w:eastAsia="zh-CN" w:bidi="ar-SA"/>
    </w:rPr>
  </w:style>
  <w:style w:type="paragraph" w:customStyle="1" w:styleId="106">
    <w:name w:val="样式 标题 2H2节标题 1.1节标题 1.1 Char1.1标题2条标题h2l22nd levelTitre..."/>
    <w:basedOn w:val="7"/>
    <w:qFormat/>
    <w:uiPriority w:val="99"/>
    <w:pPr>
      <w:spacing w:beforeLines="50"/>
      <w:ind w:left="992" w:hanging="992"/>
    </w:pPr>
    <w:rPr>
      <w:rFonts w:cs="宋体"/>
    </w:rPr>
  </w:style>
  <w:style w:type="paragraph" w:customStyle="1" w:styleId="107">
    <w:name w:val="样式1"/>
    <w:basedOn w:val="1"/>
    <w:qFormat/>
    <w:uiPriority w:val="99"/>
    <w:pPr>
      <w:snapToGrid w:val="0"/>
      <w:jc w:val="center"/>
    </w:pPr>
    <w:rPr>
      <w:rFonts w:ascii="宋体" w:hAnsi="宋体"/>
      <w:b/>
      <w:spacing w:val="-4"/>
      <w:lang w:val="en-GB"/>
    </w:rPr>
  </w:style>
  <w:style w:type="paragraph" w:customStyle="1" w:styleId="108">
    <w:name w:val="表格标题"/>
    <w:basedOn w:val="1"/>
    <w:qFormat/>
    <w:uiPriority w:val="99"/>
    <w:pPr>
      <w:tabs>
        <w:tab w:val="left" w:pos="2715"/>
        <w:tab w:val="center" w:pos="4535"/>
      </w:tabs>
      <w:jc w:val="center"/>
    </w:pPr>
    <w:rPr>
      <w:rFonts w:eastAsia="黑体"/>
      <w:b/>
    </w:rPr>
  </w:style>
  <w:style w:type="paragraph" w:customStyle="1" w:styleId="109">
    <w:name w:val="基准页眉样式"/>
    <w:basedOn w:val="5"/>
    <w:qFormat/>
    <w:uiPriority w:val="99"/>
    <w:pPr>
      <w:spacing w:after="0"/>
      <w:jc w:val="center"/>
    </w:pPr>
  </w:style>
  <w:style w:type="paragraph" w:customStyle="1" w:styleId="110">
    <w:name w:val="xl27"/>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1">
    <w:name w:val="样式 正文 首行缩进:  2 字符 + (中文) 楷体_GB2312"/>
    <w:basedOn w:val="1"/>
    <w:qFormat/>
    <w:uiPriority w:val="99"/>
    <w:pPr>
      <w:spacing w:line="500" w:lineRule="exact"/>
      <w:ind w:firstLine="200"/>
    </w:pPr>
    <w:rPr>
      <w:rFonts w:eastAsia="楷体_GB2312"/>
    </w:rPr>
  </w:style>
  <w:style w:type="paragraph" w:customStyle="1" w:styleId="112">
    <w:name w:val="正文1"/>
    <w:basedOn w:val="1"/>
    <w:next w:val="1"/>
    <w:qFormat/>
    <w:uiPriority w:val="99"/>
    <w:pPr>
      <w:adjustRightInd w:val="0"/>
      <w:snapToGrid w:val="0"/>
      <w:spacing w:line="500" w:lineRule="atLeast"/>
      <w:ind w:firstLine="567"/>
    </w:pPr>
    <w:rPr>
      <w:sz w:val="28"/>
    </w:rPr>
  </w:style>
  <w:style w:type="character" w:customStyle="1" w:styleId="113">
    <w:name w:val="正文文本缩进 Char"/>
    <w:basedOn w:val="36"/>
    <w:link w:val="3"/>
    <w:qFormat/>
    <w:uiPriority w:val="0"/>
    <w:rPr>
      <w:kern w:val="2"/>
      <w:sz w:val="21"/>
      <w:szCs w:val="24"/>
    </w:rPr>
  </w:style>
  <w:style w:type="character" w:customStyle="1" w:styleId="114">
    <w:name w:val="正文首行缩进 2 Char"/>
    <w:basedOn w:val="113"/>
    <w:link w:val="2"/>
    <w:qFormat/>
    <w:uiPriority w:val="0"/>
    <w:rPr>
      <w:kern w:val="2"/>
      <w:sz w:val="21"/>
      <w:szCs w:val="24"/>
    </w:rPr>
  </w:style>
  <w:style w:type="paragraph" w:customStyle="1" w:styleId="115">
    <w:name w:val="li_正文"/>
    <w:basedOn w:val="1"/>
    <w:qFormat/>
    <w:uiPriority w:val="0"/>
    <w:pPr>
      <w:ind w:firstLine="200" w:firstLineChars="200"/>
      <w:jc w:val="left"/>
    </w:pPr>
    <w:rPr>
      <w:sz w:val="28"/>
      <w:szCs w:val="28"/>
    </w:rPr>
  </w:style>
  <w:style w:type="paragraph" w:customStyle="1" w:styleId="116">
    <w:name w:val="正文缩"/>
    <w:basedOn w:val="1"/>
    <w:qFormat/>
    <w:uiPriority w:val="99"/>
    <w:pPr>
      <w:adjustRightInd w:val="0"/>
      <w:snapToGrid w:val="0"/>
      <w:spacing w:line="480" w:lineRule="atLeast"/>
      <w:ind w:firstLine="671" w:firstLineChars="150"/>
    </w:pPr>
    <w:rPr>
      <w:rFonts w:ascii="宋体" w:hAnsi="Times New Roman"/>
      <w:spacing w:val="6"/>
      <w:kern w:val="0"/>
      <w:sz w:val="28"/>
      <w:szCs w:val="20"/>
    </w:rPr>
  </w:style>
  <w:style w:type="paragraph" w:customStyle="1" w:styleId="117">
    <w:name w:val="表格04"/>
    <w:basedOn w:val="1"/>
    <w:qFormat/>
    <w:uiPriority w:val="0"/>
    <w:pPr>
      <w:spacing w:line="360" w:lineRule="exact"/>
      <w:jc w:val="center"/>
    </w:pPr>
    <w:rPr>
      <w:rFonts w:cs="宋体"/>
      <w:snapToGrid w:val="0"/>
      <w:kern w:val="0"/>
      <w:sz w:val="18"/>
      <w:szCs w:val="18"/>
    </w:rPr>
  </w:style>
  <w:style w:type="paragraph" w:customStyle="1" w:styleId="118">
    <w:name w:val="。正文"/>
    <w:basedOn w:val="1"/>
    <w:qFormat/>
    <w:uiPriority w:val="0"/>
    <w:pPr>
      <w:spacing w:line="360" w:lineRule="auto"/>
      <w:ind w:firstLine="200" w:firstLineChars="200"/>
      <w:jc w:val="left"/>
    </w:pPr>
    <w:rPr>
      <w:rFonts w:ascii="宋体"/>
      <w:kern w:val="28"/>
      <w:sz w:val="28"/>
      <w:szCs w:val="20"/>
    </w:rPr>
  </w:style>
  <w:style w:type="paragraph" w:customStyle="1" w:styleId="119">
    <w:name w:val="表格文字1111"/>
    <w:basedOn w:val="1"/>
    <w:qFormat/>
    <w:uiPriority w:val="0"/>
    <w:pPr>
      <w:widowControl/>
      <w:adjustRightInd w:val="0"/>
      <w:snapToGrid w:val="0"/>
      <w:spacing w:line="240" w:lineRule="atLeast"/>
      <w:jc w:val="left"/>
    </w:pPr>
    <w:rPr>
      <w:rFonts w:cs="宋体"/>
      <w:kern w:val="0"/>
      <w:szCs w:val="28"/>
    </w:rPr>
  </w:style>
  <w:style w:type="paragraph" w:customStyle="1" w:styleId="120">
    <w:name w:val="表格标题111"/>
    <w:basedOn w:val="1"/>
    <w:qFormat/>
    <w:uiPriority w:val="0"/>
    <w:pPr>
      <w:spacing w:before="100" w:beforeLines="0" w:beforeAutospacing="1" w:after="100" w:afterLines="0" w:afterAutospacing="1"/>
      <w:ind w:firstLine="0" w:firstLineChars="0"/>
      <w:jc w:val="center"/>
    </w:pPr>
    <w:rPr>
      <w:color w:val="000000"/>
    </w:rPr>
  </w:style>
  <w:style w:type="paragraph" w:customStyle="1" w:styleId="121">
    <w:name w:val="Char Char Char Char Char Char Char Char Char Char Char Char Char Char Char1 Char Char Char Char Char Char Char"/>
    <w:basedOn w:val="1"/>
    <w:qFormat/>
    <w:uiPriority w:val="0"/>
  </w:style>
  <w:style w:type="character" w:customStyle="1" w:styleId="122">
    <w:name w:val="标题 1 Char"/>
    <w:basedOn w:val="36"/>
    <w:link w:val="6"/>
    <w:qFormat/>
    <w:locked/>
    <w:uiPriority w:val="99"/>
    <w:rPr>
      <w:rFonts w:ascii="Times New Roman" w:hAnsi="Times New Roman" w:eastAsia="宋体" w:cs="Times New Roman"/>
      <w:b/>
      <w:sz w:val="32"/>
    </w:rPr>
  </w:style>
  <w:style w:type="paragraph" w:customStyle="1" w:styleId="123">
    <w:name w:val="纯文本1"/>
    <w:basedOn w:val="1"/>
    <w:qFormat/>
    <w:uiPriority w:val="0"/>
    <w:rPr>
      <w:rFonts w:ascii="宋体" w:hAnsi="Courier New"/>
      <w:szCs w:val="20"/>
    </w:rPr>
  </w:style>
  <w:style w:type="paragraph" w:customStyle="1" w:styleId="124">
    <w:name w:val="01正文"/>
    <w:qFormat/>
    <w:uiPriority w:val="0"/>
    <w:pPr>
      <w:spacing w:line="360" w:lineRule="auto"/>
      <w:ind w:firstLine="482"/>
    </w:pPr>
    <w:rPr>
      <w:rFonts w:ascii="Times New Roman" w:hAnsi="Times New Roman" w:eastAsia="宋体" w:cs="Times New Roman"/>
      <w:sz w:val="24"/>
      <w:szCs w:val="24"/>
      <w:lang w:val="en-US" w:eastAsia="en-US" w:bidi="ar-SA"/>
    </w:rPr>
  </w:style>
  <w:style w:type="paragraph" w:styleId="125">
    <w:name w:val="List Paragraph"/>
    <w:basedOn w:val="1"/>
    <w:qFormat/>
    <w:uiPriority w:val="1"/>
    <w:pPr>
      <w:ind w:firstLine="420"/>
    </w:pPr>
  </w:style>
  <w:style w:type="paragraph" w:customStyle="1" w:styleId="126">
    <w:name w:val="一般内容"/>
    <w:basedOn w:val="1"/>
    <w:qFormat/>
    <w:uiPriority w:val="0"/>
    <w:pPr>
      <w:spacing w:line="360" w:lineRule="auto"/>
      <w:ind w:firstLine="200" w:firstLineChars="200"/>
    </w:pPr>
    <w:rPr>
      <w:rFonts w:ascii="Arial" w:hAnsi="Arial" w:cs="Arial"/>
      <w:bCs/>
      <w:sz w:val="24"/>
    </w:rPr>
  </w:style>
  <w:style w:type="paragraph" w:customStyle="1" w:styleId="127">
    <w:name w:val="0表格内容"/>
    <w:qFormat/>
    <w:uiPriority w:val="0"/>
    <w:pPr>
      <w:spacing w:line="245" w:lineRule="auto"/>
      <w:jc w:val="center"/>
    </w:pPr>
    <w:rPr>
      <w:rFonts w:ascii="Times New Roman" w:hAnsi="Times New Roman" w:eastAsia="宋体" w:cs="Times New Roman"/>
      <w:color w:val="000000"/>
      <w:kern w:val="2"/>
      <w:sz w:val="21"/>
      <w:szCs w:val="21"/>
      <w:lang w:val="en-US" w:eastAsia="zh-CN" w:bidi="ar-SA"/>
    </w:rPr>
  </w:style>
  <w:style w:type="paragraph" w:customStyle="1" w:styleId="128">
    <w:name w:val="1表头"/>
    <w:basedOn w:val="1"/>
    <w:next w:val="1"/>
    <w:qFormat/>
    <w:uiPriority w:val="0"/>
    <w:pPr>
      <w:tabs>
        <w:tab w:val="center" w:pos="4560"/>
        <w:tab w:val="right" w:pos="9120"/>
      </w:tabs>
      <w:spacing w:beforeLines="30" w:afterLines="20"/>
      <w:jc w:val="center"/>
    </w:pPr>
    <w:rPr>
      <w:rFonts w:ascii="Times New Roman" w:hAnsi="Times New Roman" w:eastAsia="黑体"/>
      <w:szCs w:val="21"/>
    </w:rPr>
  </w:style>
  <w:style w:type="paragraph" w:customStyle="1" w:styleId="129">
    <w:name w:val="EIA表首行"/>
    <w:basedOn w:val="1"/>
    <w:qFormat/>
    <w:uiPriority w:val="0"/>
    <w:pPr>
      <w:widowControl/>
      <w:ind w:left="6" w:hanging="6" w:hangingChars="3"/>
      <w:jc w:val="center"/>
    </w:pPr>
    <w:rPr>
      <w:rFonts w:ascii="Times New Roman" w:hAnsi="Times New Roman" w:eastAsia="仿宋" w:cs="Times New Roman"/>
      <w:b/>
      <w:color w:val="000000"/>
      <w:szCs w:val="21"/>
      <w:lang w:val="zh-CN"/>
    </w:rPr>
  </w:style>
  <w:style w:type="paragraph" w:customStyle="1" w:styleId="130">
    <w:name w:val="1图标题"/>
    <w:basedOn w:val="128"/>
    <w:next w:val="112"/>
    <w:qFormat/>
    <w:uiPriority w:val="0"/>
    <w:pPr>
      <w:spacing w:before="72" w:afterLines="100"/>
    </w:pPr>
    <w:rPr>
      <w:szCs w:val="24"/>
    </w:rPr>
  </w:style>
  <w:style w:type="paragraph" w:customStyle="1" w:styleId="131">
    <w:name w:val="0正文"/>
    <w:basedOn w:val="12"/>
    <w:qFormat/>
    <w:uiPriority w:val="0"/>
    <w:pPr>
      <w:adjustRightInd w:val="0"/>
      <w:snapToGrid w:val="0"/>
      <w:spacing w:line="360" w:lineRule="auto"/>
      <w:ind w:firstLine="200" w:firstLineChars="200"/>
    </w:pPr>
    <w:rPr>
      <w:rFonts w:hAnsi="PMingLiU"/>
      <w:sz w:val="24"/>
      <w:szCs w:val="22"/>
      <w:lang w:eastAsia="en-US"/>
    </w:rPr>
  </w:style>
  <w:style w:type="paragraph" w:customStyle="1" w:styleId="132">
    <w:name w:val="正文02"/>
    <w:basedOn w:val="1"/>
    <w:qFormat/>
    <w:uiPriority w:val="0"/>
    <w:pPr>
      <w:widowControl w:val="0"/>
      <w:adjustRightInd w:val="0"/>
      <w:spacing w:line="360" w:lineRule="auto"/>
      <w:ind w:firstLine="200" w:firstLineChars="200"/>
      <w:jc w:val="both"/>
    </w:pPr>
    <w:rPr>
      <w:rFonts w:ascii="Times New Roman" w:hAnsi="Times New Roman" w:cs="Times New Roman"/>
      <w:kern w:val="2"/>
      <w:sz w:val="28"/>
    </w:rPr>
  </w:style>
  <w:style w:type="table" w:customStyle="1" w:styleId="133">
    <w:name w:val="0表格"/>
    <w:basedOn w:val="34"/>
    <w:qFormat/>
    <w:uiPriority w:val="99"/>
    <w:pPr>
      <w:jc w:val="center"/>
    </w:pPr>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tcPr>
      <w:vAlign w:val="center"/>
    </w:tcPr>
    <w:tblStylePr w:type="firstRow">
      <w:tcPr>
        <w:shd w:val="clear" w:color="auto" w:fill="FFFFFF"/>
      </w:tcPr>
    </w:tblStylePr>
  </w:style>
  <w:style w:type="paragraph" w:customStyle="1" w:styleId="134">
    <w:name w:val="1表格内容"/>
    <w:basedOn w:val="1"/>
    <w:qFormat/>
    <w:uiPriority w:val="0"/>
    <w:pPr>
      <w:adjustRightInd w:val="0"/>
      <w:snapToGrid w:val="0"/>
      <w:spacing w:beforeLines="20" w:afterLines="20"/>
      <w:jc w:val="center"/>
    </w:pPr>
    <w:rPr>
      <w:rFonts w:ascii="Times New Roman" w:hAnsi="Times New Roman" w:cs="Times New Roman"/>
      <w:sz w:val="21"/>
      <w:szCs w:val="21"/>
    </w:rPr>
  </w:style>
  <w:style w:type="character" w:customStyle="1" w:styleId="135">
    <w:name w:val="表格表头 Char"/>
    <w:link w:val="136"/>
    <w:qFormat/>
    <w:uiPriority w:val="0"/>
    <w:rPr>
      <w:rFonts w:ascii="Times New Roman" w:hAnsi="Times New Roman" w:eastAsia="黑体" w:cs="Times New Roman"/>
      <w:kern w:val="2"/>
      <w:sz w:val="24"/>
      <w:szCs w:val="22"/>
      <w:lang w:val="en-US" w:eastAsia="zh-CN" w:bidi="ar-SA"/>
    </w:rPr>
  </w:style>
  <w:style w:type="paragraph" w:customStyle="1" w:styleId="136">
    <w:name w:val="表格表头"/>
    <w:next w:val="1"/>
    <w:link w:val="135"/>
    <w:qFormat/>
    <w:uiPriority w:val="0"/>
    <w:pPr>
      <w:spacing w:line="360" w:lineRule="auto"/>
      <w:jc w:val="center"/>
    </w:pPr>
    <w:rPr>
      <w:rFonts w:ascii="Times New Roman" w:hAnsi="Times New Roman" w:eastAsia="黑体" w:cs="Times New Roman"/>
      <w:kern w:val="2"/>
      <w:sz w:val="24"/>
      <w:szCs w:val="22"/>
      <w:lang w:val="en-US" w:eastAsia="zh-CN" w:bidi="ar-SA"/>
    </w:rPr>
  </w:style>
  <w:style w:type="table" w:customStyle="1" w:styleId="137">
    <w:name w:val="0表格1"/>
    <w:basedOn w:val="34"/>
    <w:qFormat/>
    <w:uiPriority w:val="99"/>
    <w:pPr>
      <w:jc w:val="center"/>
    </w:pPr>
    <w:rPr>
      <w:rFonts w:ascii="Times New Roman" w:hAnsi="Times New Roman"/>
      <w:kern w:val="2"/>
      <w:sz w:val="21"/>
      <w:szCs w:val="21"/>
    </w:rPr>
    <w:tblP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left w:w="28" w:type="dxa"/>
        <w:right w:w="28" w:type="dxa"/>
      </w:tblCellMar>
    </w:tbl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38">
    <w:name w:val="网格型2"/>
    <w:basedOn w:val="34"/>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jpe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wmf"/><Relationship Id="rId16" Type="http://schemas.openxmlformats.org/officeDocument/2006/relationships/oleObject" Target="embeddings/oleObject4.bin"/><Relationship Id="rId15" Type="http://schemas.openxmlformats.org/officeDocument/2006/relationships/image" Target="media/image4.wmf"/><Relationship Id="rId14" Type="http://schemas.openxmlformats.org/officeDocument/2006/relationships/oleObject" Target="embeddings/oleObject3.bin"/><Relationship Id="rId13" Type="http://schemas.openxmlformats.org/officeDocument/2006/relationships/image" Target="media/image3.wmf"/><Relationship Id="rId12" Type="http://schemas.openxmlformats.org/officeDocument/2006/relationships/oleObject" Target="embeddings/oleObject2.bin"/><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75</Pages>
  <Words>7188</Words>
  <Characters>8284</Characters>
  <Lines>0</Lines>
  <Paragraphs>0</Paragraphs>
  <TotalTime>8</TotalTime>
  <ScaleCrop>false</ScaleCrop>
  <LinksUpToDate>false</LinksUpToDate>
  <CharactersWithSpaces>8387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2017-03-20T12:01:00Z</dcterms:created>
  <dc:creator>Lenovo User</dc:creator>
  <cp:lastModifiedBy>雪&amp;飘飘</cp:lastModifiedBy>
  <cp:lastPrinted>2019-06-05T02:45:00Z</cp:lastPrinted>
  <dcterms:modified xsi:type="dcterms:W3CDTF">2026-06-30T07:46:11Z</dcterms:modified>
  <dc:title>山东金达双鹏集团有限公司铝业分公司</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F3AA24C4B8CA4881AD00464408B767A7_13</vt:lpwstr>
  </property>
  <property fmtid="{D5CDD505-2E9C-101B-9397-08002B2CF9AE}" pid="4" name="KSOTemplateDocerSaveRecord">
    <vt:lpwstr>eyJoZGlkIjoiOGM0ODdiOGRjNzUwNDljYmVlZmZhNzhlNjUzODhkZTYiLCJ1c2VySWQiOiI0MjM1ODg1MzcifQ==</vt:lpwstr>
  </property>
</Properties>
</file>