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3F949">
      <w:pPr>
        <w:keepNext w:val="0"/>
        <w:keepLines w:val="0"/>
        <w:pageBreakBefore w:val="0"/>
        <w:widowControl/>
        <w:kinsoku/>
        <w:wordWrap/>
        <w:overflowPunct/>
        <w:topLinePunct w:val="0"/>
        <w:bidi w:val="0"/>
        <w:adjustRightInd w:val="0"/>
        <w:snapToGrid w:val="0"/>
        <w:spacing w:before="100" w:after="100" w:line="360" w:lineRule="auto"/>
        <w:jc w:val="both"/>
        <w:textAlignment w:val="auto"/>
        <w:rPr>
          <w:rFonts w:hint="default" w:ascii="Times New Roman" w:hAnsi="Times New Roman" w:cs="Times New Roman"/>
          <w:b/>
          <w:bCs/>
          <w:color w:val="auto"/>
          <w:spacing w:val="-20"/>
          <w:kern w:val="0"/>
          <w:sz w:val="24"/>
          <w:szCs w:val="24"/>
          <w:highlight w:val="none"/>
          <w:lang w:val="en-US" w:eastAsia="zh-CN"/>
        </w:rPr>
      </w:pPr>
      <w:r>
        <w:rPr>
          <w:rFonts w:hint="default" w:ascii="Times New Roman" w:hAnsi="Times New Roman" w:eastAsia="宋体" w:cs="Times New Roman"/>
          <w:b/>
          <w:bCs/>
          <w:caps w:val="0"/>
          <w:smallCaps w:val="0"/>
          <w:color w:val="auto"/>
          <w:spacing w:val="0"/>
          <w:position w:val="0"/>
          <w:sz w:val="24"/>
          <w:szCs w:val="24"/>
          <w:highlight w:val="none"/>
        </w:rPr>
        <w:t>版本号：</w:t>
      </w:r>
      <w:r>
        <w:rPr>
          <w:rFonts w:hint="default" w:ascii="Times New Roman" w:hAnsi="Times New Roman" w:eastAsia="宋体" w:cs="Times New Roman"/>
          <w:b/>
          <w:bCs/>
          <w:caps w:val="0"/>
          <w:smallCaps w:val="0"/>
          <w:color w:val="auto"/>
          <w:spacing w:val="0"/>
          <w:position w:val="0"/>
          <w:lang w:val="en-US" w:eastAsia="zh-CN"/>
        </w:rPr>
        <w:t>YQSW-00</w:t>
      </w:r>
      <w:r>
        <w:rPr>
          <w:rFonts w:hint="eastAsia" w:cs="Times New Roman"/>
          <w:b/>
          <w:bCs/>
          <w:caps w:val="0"/>
          <w:smallCaps w:val="0"/>
          <w:color w:val="auto"/>
          <w:spacing w:val="0"/>
          <w:position w:val="0"/>
          <w:lang w:val="en-US" w:eastAsia="zh-CN"/>
        </w:rPr>
        <w:t>4</w:t>
      </w:r>
    </w:p>
    <w:p w14:paraId="22F79CD9">
      <w:pPr>
        <w:widowControl/>
        <w:adjustRightInd w:val="0"/>
        <w:snapToGrid w:val="0"/>
        <w:spacing w:before="100" w:after="340" w:line="360" w:lineRule="auto"/>
        <w:rPr>
          <w:rFonts w:hint="default" w:ascii="Times New Roman" w:hAnsi="Times New Roman" w:cs="Times New Roman"/>
          <w:b/>
          <w:bCs/>
          <w:color w:val="FF0000"/>
          <w:kern w:val="0"/>
          <w:sz w:val="40"/>
          <w:szCs w:val="40"/>
          <w:highlight w:val="none"/>
          <w:shd w:val="clear" w:color="auto" w:fill="auto"/>
        </w:rPr>
      </w:pPr>
      <w:r>
        <w:rPr>
          <w:rFonts w:hint="default" w:ascii="Times New Roman" w:hAnsi="Times New Roman" w:eastAsia="宋体" w:cs="Times New Roman"/>
          <w:b/>
          <w:bCs/>
          <w:caps w:val="0"/>
          <w:smallCaps w:val="0"/>
          <w:color w:val="FF0000"/>
          <w:spacing w:val="0"/>
          <w:position w:val="0"/>
          <w:highlight w:val="none"/>
        </w:rPr>
        <w:t xml:space="preserve">  </w:t>
      </w:r>
    </w:p>
    <w:p w14:paraId="74CD09DA">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r>
        <w:rPr>
          <w:rFonts w:hint="default" w:ascii="Times New Roman" w:hAnsi="Times New Roman" w:cs="Times New Roman"/>
          <w:b/>
          <w:bCs/>
          <w:color w:val="FF0000"/>
          <w:spacing w:val="-20"/>
          <w:kern w:val="0"/>
          <w:sz w:val="48"/>
          <w:szCs w:val="48"/>
          <w:highlight w:val="none"/>
          <w:shd w:val="clear" w:color="auto" w:fill="auto"/>
          <w:lang w:val="en-US" w:eastAsia="zh-CN"/>
        </w:rPr>
        <w:t xml:space="preserve">  </w:t>
      </w:r>
    </w:p>
    <w:p w14:paraId="6ED9A0D5">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p>
    <w:p w14:paraId="534ED462">
      <w:pPr>
        <w:pStyle w:val="2"/>
        <w:rPr>
          <w:rFonts w:hint="default" w:ascii="Times New Roman" w:hAnsi="Times New Roman" w:cs="Times New Roman"/>
          <w:color w:val="FF0000"/>
          <w:highlight w:val="none"/>
          <w:lang w:val="en-US" w:eastAsia="zh-CN"/>
        </w:rPr>
      </w:pPr>
    </w:p>
    <w:p w14:paraId="6E077984">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20"/>
          <w:kern w:val="0"/>
          <w:sz w:val="72"/>
          <w:szCs w:val="72"/>
          <w:highlight w:val="none"/>
          <w:shd w:val="clear" w:color="auto" w:fill="auto"/>
          <w:lang w:eastAsia="zh-CN"/>
        </w:rPr>
      </w:pPr>
      <w:r>
        <w:rPr>
          <w:rFonts w:hint="default" w:ascii="Times New Roman" w:hAnsi="Times New Roman" w:cs="Times New Roman"/>
          <w:b/>
          <w:bCs/>
          <w:color w:val="auto"/>
          <w:spacing w:val="-20"/>
          <w:kern w:val="0"/>
          <w:sz w:val="72"/>
          <w:szCs w:val="72"/>
          <w:highlight w:val="none"/>
          <w:shd w:val="clear" w:color="auto" w:fill="auto"/>
          <w:lang w:eastAsia="zh-CN"/>
        </w:rPr>
        <w:t>淄博元齐生物科技有限公司</w:t>
      </w:r>
    </w:p>
    <w:p w14:paraId="06830F5C">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r>
        <w:rPr>
          <w:rFonts w:hint="default" w:ascii="Times New Roman" w:hAnsi="Times New Roman" w:cs="Times New Roman"/>
          <w:b/>
          <w:bCs/>
          <w:color w:val="auto"/>
          <w:spacing w:val="-20"/>
          <w:kern w:val="0"/>
          <w:sz w:val="72"/>
          <w:szCs w:val="72"/>
          <w:highlight w:val="none"/>
          <w:shd w:val="clear" w:color="auto" w:fill="auto"/>
        </w:rPr>
        <w:t>突发环境事件风险评估报告</w:t>
      </w:r>
    </w:p>
    <w:p w14:paraId="321332FC">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61759106">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41BF8C4B">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41FE5BB1">
      <w:pPr>
        <w:widowControl/>
        <w:adjustRightInd w:val="0"/>
        <w:snapToGrid w:val="0"/>
        <w:spacing w:before="100" w:after="100" w:line="360" w:lineRule="auto"/>
        <w:rPr>
          <w:rFonts w:hint="default" w:ascii="Times New Roman" w:hAnsi="Times New Roman" w:cs="Times New Roman"/>
          <w:color w:val="FF0000"/>
          <w:kern w:val="0"/>
          <w:sz w:val="36"/>
          <w:szCs w:val="36"/>
          <w:highlight w:val="none"/>
          <w:shd w:val="clear" w:color="auto" w:fill="auto"/>
        </w:rPr>
      </w:pPr>
    </w:p>
    <w:p w14:paraId="4F5EC97D">
      <w:pPr>
        <w:widowControl/>
        <w:adjustRightInd w:val="0"/>
        <w:snapToGrid w:val="0"/>
        <w:spacing w:before="100" w:after="100" w:line="360" w:lineRule="auto"/>
        <w:rPr>
          <w:rFonts w:hint="default" w:ascii="Times New Roman" w:hAnsi="Times New Roman" w:cs="Times New Roman"/>
          <w:color w:val="FF0000"/>
          <w:kern w:val="0"/>
          <w:sz w:val="36"/>
          <w:szCs w:val="36"/>
          <w:highlight w:val="none"/>
          <w:shd w:val="clear" w:color="auto" w:fill="auto"/>
        </w:rPr>
      </w:pPr>
    </w:p>
    <w:p w14:paraId="6C722CA4">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2E07028A">
      <w:pPr>
        <w:widowControl/>
        <w:tabs>
          <w:tab w:val="left" w:pos="5617"/>
        </w:tabs>
        <w:adjustRightInd w:val="0"/>
        <w:snapToGrid w:val="0"/>
        <w:spacing w:before="100" w:after="100" w:line="360" w:lineRule="auto"/>
        <w:jc w:val="left"/>
        <w:rPr>
          <w:rFonts w:hint="default" w:ascii="Times New Roman" w:hAnsi="Times New Roman" w:cs="Times New Roman"/>
          <w:color w:val="FF0000"/>
          <w:kern w:val="0"/>
          <w:sz w:val="36"/>
          <w:szCs w:val="36"/>
          <w:highlight w:val="none"/>
          <w:shd w:val="clear" w:color="auto" w:fill="auto"/>
        </w:rPr>
      </w:pPr>
      <w:r>
        <w:rPr>
          <w:rFonts w:hint="default" w:ascii="Times New Roman" w:hAnsi="Times New Roman" w:cs="Times New Roman"/>
          <w:color w:val="FF0000"/>
          <w:kern w:val="0"/>
          <w:sz w:val="36"/>
          <w:szCs w:val="36"/>
          <w:highlight w:val="none"/>
          <w:shd w:val="clear" w:color="auto" w:fill="auto"/>
        </w:rPr>
        <w:tab/>
      </w:r>
    </w:p>
    <w:p w14:paraId="41EE3700">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041E8339">
      <w:pPr>
        <w:widowControl/>
        <w:adjustRightInd w:val="0"/>
        <w:snapToGrid w:val="0"/>
        <w:spacing w:before="100" w:after="100" w:line="360" w:lineRule="auto"/>
        <w:jc w:val="center"/>
        <w:rPr>
          <w:rFonts w:hint="default" w:ascii="Times New Roman" w:hAnsi="Times New Roman" w:eastAsia="宋体" w:cs="Times New Roman"/>
          <w:b/>
          <w:bCs/>
          <w:color w:val="auto"/>
          <w:spacing w:val="-20"/>
          <w:kern w:val="0"/>
          <w:sz w:val="56"/>
          <w:szCs w:val="56"/>
          <w:highlight w:val="none"/>
          <w:shd w:val="clear" w:color="auto" w:fill="auto"/>
          <w:lang w:eastAsia="zh-CN"/>
        </w:rPr>
      </w:pPr>
      <w:r>
        <w:rPr>
          <w:rFonts w:hint="default" w:ascii="Times New Roman" w:hAnsi="Times New Roman" w:cs="Times New Roman"/>
          <w:b/>
          <w:bCs/>
          <w:color w:val="auto"/>
          <w:kern w:val="0"/>
          <w:sz w:val="40"/>
          <w:szCs w:val="40"/>
          <w:highlight w:val="none"/>
          <w:shd w:val="clear" w:color="auto" w:fill="auto"/>
          <w:lang w:eastAsia="zh-CN"/>
        </w:rPr>
        <w:t>淄博元齐生物科技有限公司</w:t>
      </w:r>
    </w:p>
    <w:p w14:paraId="205B1864">
      <w:pPr>
        <w:pStyle w:val="24"/>
        <w:tabs>
          <w:tab w:val="right" w:leader="dot" w:pos="8296"/>
        </w:tabs>
        <w:jc w:val="center"/>
        <w:rPr>
          <w:rFonts w:hint="default" w:ascii="Times New Roman" w:hAnsi="Times New Roman" w:cs="Times New Roman"/>
          <w:color w:val="FF0000"/>
          <w:highlight w:val="none"/>
        </w:rPr>
        <w:sectPr>
          <w:headerReference r:id="rId3" w:type="default"/>
          <w:pgSz w:w="11906" w:h="16838"/>
          <w:pgMar w:top="1417" w:right="1247" w:bottom="1417" w:left="1247" w:header="850" w:footer="992" w:gutter="0"/>
          <w:pgNumType w:start="1"/>
          <w:cols w:space="720" w:num="1"/>
          <w:rtlGutter w:val="0"/>
          <w:docGrid w:type="lines" w:linePitch="312" w:charSpace="0"/>
        </w:sectPr>
      </w:pPr>
      <w:r>
        <w:rPr>
          <w:rFonts w:hint="default" w:ascii="Times New Roman" w:hAnsi="Times New Roman" w:eastAsia="宋体" w:cs="Times New Roman"/>
          <w:b/>
          <w:bCs/>
          <w:color w:val="auto"/>
          <w:kern w:val="0"/>
          <w:sz w:val="40"/>
          <w:szCs w:val="40"/>
          <w:lang w:eastAsia="zh-CN"/>
        </w:rPr>
        <w:t>二〇</w:t>
      </w:r>
      <w:r>
        <w:rPr>
          <w:rFonts w:hint="eastAsia" w:ascii="Times New Roman" w:hAnsi="Times New Roman" w:eastAsia="宋体" w:cs="Times New Roman"/>
          <w:b/>
          <w:bCs/>
          <w:color w:val="auto"/>
          <w:kern w:val="0"/>
          <w:sz w:val="40"/>
          <w:szCs w:val="40"/>
          <w:lang w:eastAsia="zh-CN"/>
        </w:rPr>
        <w:t>二六</w:t>
      </w:r>
      <w:r>
        <w:rPr>
          <w:rFonts w:hint="default" w:ascii="Times New Roman" w:hAnsi="Times New Roman" w:eastAsia="宋体" w:cs="Times New Roman"/>
          <w:b/>
          <w:bCs/>
          <w:color w:val="auto"/>
          <w:kern w:val="0"/>
          <w:sz w:val="40"/>
          <w:szCs w:val="40"/>
        </w:rPr>
        <w:t>年</w:t>
      </w:r>
      <w:r>
        <w:rPr>
          <w:rFonts w:hint="eastAsia" w:ascii="Times New Roman" w:hAnsi="Times New Roman" w:eastAsia="宋体" w:cs="Times New Roman"/>
          <w:b/>
          <w:bCs/>
          <w:color w:val="auto"/>
          <w:kern w:val="0"/>
          <w:sz w:val="40"/>
          <w:szCs w:val="40"/>
          <w:lang w:eastAsia="zh-CN"/>
        </w:rPr>
        <w:t>四</w:t>
      </w:r>
      <w:r>
        <w:rPr>
          <w:rFonts w:hint="eastAsia" w:cs="Times New Roman"/>
          <w:b/>
          <w:bCs/>
          <w:color w:val="auto"/>
          <w:kern w:val="0"/>
          <w:sz w:val="40"/>
          <w:szCs w:val="40"/>
          <w:lang w:eastAsia="zh-CN"/>
        </w:rPr>
        <w:t>月</w:t>
      </w:r>
    </w:p>
    <w:p w14:paraId="5225173D">
      <w:pPr>
        <w:widowControl/>
        <w:adjustRightInd w:val="0"/>
        <w:snapToGrid w:val="0"/>
        <w:spacing w:line="360" w:lineRule="auto"/>
        <w:jc w:val="center"/>
        <w:rPr>
          <w:rFonts w:hint="default" w:ascii="Times New Roman" w:hAnsi="Times New Roman" w:cs="Times New Roman"/>
          <w:color w:val="auto"/>
          <w:kern w:val="0"/>
          <w:sz w:val="36"/>
          <w:szCs w:val="36"/>
          <w:highlight w:val="none"/>
        </w:rPr>
      </w:pPr>
      <w:r>
        <w:rPr>
          <w:rFonts w:hint="default" w:ascii="Times New Roman" w:hAnsi="Times New Roman" w:cs="Times New Roman"/>
          <w:b/>
          <w:bCs/>
          <w:color w:val="auto"/>
          <w:kern w:val="0"/>
          <w:sz w:val="36"/>
          <w:szCs w:val="36"/>
          <w:highlight w:val="none"/>
        </w:rPr>
        <w:t>目录</w:t>
      </w:r>
    </w:p>
    <w:p w14:paraId="4A9563FE">
      <w:pPr>
        <w:pStyle w:val="24"/>
        <w:tabs>
          <w:tab w:val="right" w:leader="dot" w:pos="9412"/>
        </w:tabs>
      </w:pPr>
      <w:bookmarkStart w:id="0" w:name="_Toc24751"/>
      <w:bookmarkStart w:id="1" w:name="_Toc5552"/>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TOC \o "1-2" \h \u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_Toc4486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1 前言</w:t>
      </w:r>
      <w:r>
        <w:tab/>
      </w:r>
      <w:r>
        <w:fldChar w:fldCharType="begin"/>
      </w:r>
      <w:r>
        <w:instrText xml:space="preserve"> PAGEREF _Toc4486 \h </w:instrText>
      </w:r>
      <w:r>
        <w:fldChar w:fldCharType="separate"/>
      </w:r>
      <w:r>
        <w:t>2</w:t>
      </w:r>
      <w:r>
        <w:fldChar w:fldCharType="end"/>
      </w:r>
      <w:r>
        <w:rPr>
          <w:rFonts w:hint="default" w:ascii="Times New Roman" w:hAnsi="Times New Roman" w:cs="Times New Roman"/>
          <w:color w:val="auto"/>
          <w:highlight w:val="none"/>
        </w:rPr>
        <w:fldChar w:fldCharType="end"/>
      </w:r>
    </w:p>
    <w:p w14:paraId="2C606605">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_Toc15678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 总则</w:t>
      </w:r>
      <w:r>
        <w:tab/>
      </w:r>
      <w:r>
        <w:fldChar w:fldCharType="begin"/>
      </w:r>
      <w:r>
        <w:instrText xml:space="preserve"> PAGEREF _Toc15678 \h </w:instrText>
      </w:r>
      <w:r>
        <w:fldChar w:fldCharType="separate"/>
      </w:r>
      <w:r>
        <w:t>4</w:t>
      </w:r>
      <w:r>
        <w:fldChar w:fldCharType="end"/>
      </w:r>
      <w:r>
        <w:rPr>
          <w:rFonts w:hint="default" w:ascii="Times New Roman" w:hAnsi="Times New Roman" w:cs="Times New Roman"/>
          <w:color w:val="auto"/>
          <w:highlight w:val="none"/>
        </w:rPr>
        <w:fldChar w:fldCharType="end"/>
      </w:r>
    </w:p>
    <w:p w14:paraId="75F5C40E">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_Toc6815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2.1 编制原则</w:t>
      </w:r>
      <w:r>
        <w:tab/>
      </w:r>
      <w:r>
        <w:fldChar w:fldCharType="begin"/>
      </w:r>
      <w:r>
        <w:instrText xml:space="preserve"> PAGEREF _Toc6815 \h </w:instrText>
      </w:r>
      <w:r>
        <w:fldChar w:fldCharType="separate"/>
      </w:r>
      <w:r>
        <w:t>4</w:t>
      </w:r>
      <w:r>
        <w:fldChar w:fldCharType="end"/>
      </w:r>
      <w:r>
        <w:rPr>
          <w:rFonts w:hint="default" w:ascii="Times New Roman" w:hAnsi="Times New Roman" w:cs="Times New Roman"/>
          <w:color w:val="auto"/>
          <w:highlight w:val="none"/>
        </w:rPr>
        <w:fldChar w:fldCharType="end"/>
      </w:r>
    </w:p>
    <w:p w14:paraId="09E5AB3F">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_Toc10259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2.2 编制依据</w:t>
      </w:r>
      <w:r>
        <w:tab/>
      </w:r>
      <w:r>
        <w:fldChar w:fldCharType="begin"/>
      </w:r>
      <w:r>
        <w:instrText xml:space="preserve"> PAGEREF _Toc10259 \h </w:instrText>
      </w:r>
      <w:r>
        <w:fldChar w:fldCharType="separate"/>
      </w:r>
      <w:r>
        <w:t>4</w:t>
      </w:r>
      <w:r>
        <w:fldChar w:fldCharType="end"/>
      </w:r>
      <w:r>
        <w:rPr>
          <w:rFonts w:hint="default" w:ascii="Times New Roman" w:hAnsi="Times New Roman" w:cs="Times New Roman"/>
          <w:color w:val="auto"/>
          <w:highlight w:val="none"/>
        </w:rPr>
        <w:fldChar w:fldCharType="end"/>
      </w:r>
    </w:p>
    <w:p w14:paraId="41CAF5D3">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_Toc31072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 xml:space="preserve">3 </w:t>
      </w:r>
      <w:r>
        <w:rPr>
          <w:rFonts w:ascii="Times New Roman" w:hAnsi="Times New Roman" w:cs="Times New Roman"/>
        </w:rPr>
        <w:t>资料准备与风险识别</w:t>
      </w:r>
      <w:r>
        <w:tab/>
      </w:r>
      <w:r>
        <w:fldChar w:fldCharType="begin"/>
      </w:r>
      <w:r>
        <w:instrText xml:space="preserve"> PAGEREF _Toc31072 \h </w:instrText>
      </w:r>
      <w:r>
        <w:fldChar w:fldCharType="separate"/>
      </w:r>
      <w:r>
        <w:t>7</w:t>
      </w:r>
      <w:r>
        <w:fldChar w:fldCharType="end"/>
      </w:r>
      <w:r>
        <w:rPr>
          <w:rFonts w:hint="default" w:ascii="Times New Roman" w:hAnsi="Times New Roman" w:cs="Times New Roman"/>
          <w:color w:val="auto"/>
          <w:highlight w:val="none"/>
        </w:rPr>
        <w:fldChar w:fldCharType="end"/>
      </w:r>
    </w:p>
    <w:p w14:paraId="16B11474">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_Toc6446 </w:instrText>
      </w:r>
      <w:r>
        <w:rPr>
          <w:rFonts w:hint="default" w:ascii="Times New Roman" w:hAnsi="Times New Roman" w:cs="Times New Roman"/>
          <w:highlight w:val="none"/>
        </w:rPr>
        <w:fldChar w:fldCharType="separate"/>
      </w:r>
      <w:r>
        <w:rPr>
          <w:rFonts w:hint="eastAsia" w:cs="Times New Roman"/>
          <w:lang w:val="en-US" w:eastAsia="zh-CN"/>
        </w:rPr>
        <w:t>3.1</w:t>
      </w:r>
      <w:r>
        <w:rPr>
          <w:rFonts w:cs="Times New Roman"/>
        </w:rPr>
        <w:t>企业基本情况调查</w:t>
      </w:r>
      <w:r>
        <w:tab/>
      </w:r>
      <w:r>
        <w:fldChar w:fldCharType="begin"/>
      </w:r>
      <w:r>
        <w:instrText xml:space="preserve"> PAGEREF _Toc6446 \h </w:instrText>
      </w:r>
      <w:r>
        <w:fldChar w:fldCharType="separate"/>
      </w:r>
      <w:r>
        <w:t>7</w:t>
      </w:r>
      <w:r>
        <w:fldChar w:fldCharType="end"/>
      </w:r>
      <w:r>
        <w:rPr>
          <w:rFonts w:hint="default" w:ascii="Times New Roman" w:hAnsi="Times New Roman" w:cs="Times New Roman"/>
          <w:color w:val="auto"/>
          <w:highlight w:val="none"/>
        </w:rPr>
        <w:fldChar w:fldCharType="end"/>
      </w:r>
    </w:p>
    <w:p w14:paraId="085EF1E2">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_Toc15505 </w:instrText>
      </w:r>
      <w:r>
        <w:rPr>
          <w:rFonts w:hint="default" w:ascii="Times New Roman" w:hAnsi="Times New Roman" w:cs="Times New Roman"/>
          <w:highlight w:val="none"/>
        </w:rPr>
        <w:fldChar w:fldCharType="separate"/>
      </w:r>
      <w:r>
        <w:rPr>
          <w:rFonts w:hint="eastAsia" w:cs="Times New Roman"/>
          <w:lang w:val="en-US" w:eastAsia="zh-CN"/>
        </w:rPr>
        <w:t>3.2</w:t>
      </w:r>
      <w:r>
        <w:rPr>
          <w:rFonts w:cs="Times New Roman"/>
        </w:rPr>
        <w:t>企业周边环境风险受体情况</w:t>
      </w:r>
      <w:r>
        <w:tab/>
      </w:r>
      <w:r>
        <w:fldChar w:fldCharType="begin"/>
      </w:r>
      <w:r>
        <w:instrText xml:space="preserve"> PAGEREF _Toc15505 \h </w:instrText>
      </w:r>
      <w:r>
        <w:fldChar w:fldCharType="separate"/>
      </w:r>
      <w:r>
        <w:t>12</w:t>
      </w:r>
      <w:r>
        <w:fldChar w:fldCharType="end"/>
      </w:r>
      <w:r>
        <w:rPr>
          <w:rFonts w:hint="default" w:ascii="Times New Roman" w:hAnsi="Times New Roman" w:cs="Times New Roman"/>
          <w:color w:val="auto"/>
          <w:highlight w:val="none"/>
        </w:rPr>
        <w:fldChar w:fldCharType="end"/>
      </w:r>
    </w:p>
    <w:p w14:paraId="6B1B2C29">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_Toc20534 </w:instrText>
      </w:r>
      <w:r>
        <w:rPr>
          <w:rFonts w:hint="default" w:ascii="Times New Roman" w:hAnsi="Times New Roman" w:cs="Times New Roman"/>
          <w:highlight w:val="none"/>
        </w:rPr>
        <w:fldChar w:fldCharType="separate"/>
      </w:r>
      <w:r>
        <w:rPr>
          <w:rFonts w:hint="eastAsia" w:cs="Times New Roman"/>
          <w:bCs/>
          <w:szCs w:val="28"/>
          <w:lang w:val="en-US" w:eastAsia="zh-CN"/>
        </w:rPr>
        <w:t>3.3</w:t>
      </w:r>
      <w:r>
        <w:rPr>
          <w:rFonts w:cs="Times New Roman"/>
          <w:bCs/>
          <w:szCs w:val="28"/>
        </w:rPr>
        <w:t>涉及环境风险物质情况</w:t>
      </w:r>
      <w:r>
        <w:tab/>
      </w:r>
      <w:r>
        <w:fldChar w:fldCharType="begin"/>
      </w:r>
      <w:r>
        <w:instrText xml:space="preserve"> PAGEREF _Toc20534 \h </w:instrText>
      </w:r>
      <w:r>
        <w:fldChar w:fldCharType="separate"/>
      </w:r>
      <w:r>
        <w:t>13</w:t>
      </w:r>
      <w:r>
        <w:fldChar w:fldCharType="end"/>
      </w:r>
      <w:r>
        <w:rPr>
          <w:rFonts w:hint="default" w:ascii="Times New Roman" w:hAnsi="Times New Roman" w:cs="Times New Roman"/>
          <w:color w:val="auto"/>
          <w:highlight w:val="none"/>
        </w:rPr>
        <w:fldChar w:fldCharType="end"/>
      </w:r>
    </w:p>
    <w:p w14:paraId="409AF28D">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_Toc18768 </w:instrText>
      </w:r>
      <w:r>
        <w:rPr>
          <w:rFonts w:hint="default" w:ascii="Times New Roman" w:hAnsi="Times New Roman" w:cs="Times New Roman"/>
          <w:highlight w:val="none"/>
        </w:rPr>
        <w:fldChar w:fldCharType="separate"/>
      </w:r>
      <w:r>
        <w:rPr>
          <w:rFonts w:hint="eastAsia"/>
          <w:lang w:val="en-US" w:eastAsia="zh-CN"/>
        </w:rPr>
        <w:t>3.4</w:t>
      </w:r>
      <w:r>
        <w:rPr>
          <w:rFonts w:hint="eastAsia"/>
        </w:rPr>
        <w:t>生产工艺</w:t>
      </w:r>
      <w:r>
        <w:tab/>
      </w:r>
      <w:r>
        <w:fldChar w:fldCharType="begin"/>
      </w:r>
      <w:r>
        <w:instrText xml:space="preserve"> PAGEREF _Toc18768 \h </w:instrText>
      </w:r>
      <w:r>
        <w:fldChar w:fldCharType="separate"/>
      </w:r>
      <w:r>
        <w:t>15</w:t>
      </w:r>
      <w:r>
        <w:fldChar w:fldCharType="end"/>
      </w:r>
      <w:r>
        <w:rPr>
          <w:rFonts w:hint="default" w:ascii="Times New Roman" w:hAnsi="Times New Roman" w:cs="Times New Roman"/>
          <w:color w:val="auto"/>
          <w:highlight w:val="none"/>
        </w:rPr>
        <w:fldChar w:fldCharType="end"/>
      </w:r>
    </w:p>
    <w:p w14:paraId="4588419D">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_Toc31123 </w:instrText>
      </w:r>
      <w:r>
        <w:rPr>
          <w:rFonts w:hint="default" w:ascii="Times New Roman" w:hAnsi="Times New Roman" w:cs="Times New Roman"/>
          <w:highlight w:val="none"/>
        </w:rPr>
        <w:fldChar w:fldCharType="separate"/>
      </w:r>
      <w:r>
        <w:rPr>
          <w:rFonts w:hint="eastAsia" w:cs="Times New Roman"/>
          <w:lang w:val="en-US" w:eastAsia="zh-CN"/>
        </w:rPr>
        <w:t>3.5</w:t>
      </w:r>
      <w:r>
        <w:rPr>
          <w:rFonts w:cs="Times New Roman"/>
        </w:rPr>
        <w:t>安全生产管理</w:t>
      </w:r>
      <w:r>
        <w:tab/>
      </w:r>
      <w:r>
        <w:fldChar w:fldCharType="begin"/>
      </w:r>
      <w:r>
        <w:instrText xml:space="preserve"> PAGEREF _Toc31123 \h </w:instrText>
      </w:r>
      <w:r>
        <w:fldChar w:fldCharType="separate"/>
      </w:r>
      <w:r>
        <w:t>24</w:t>
      </w:r>
      <w:r>
        <w:fldChar w:fldCharType="end"/>
      </w:r>
      <w:r>
        <w:rPr>
          <w:rFonts w:hint="default" w:ascii="Times New Roman" w:hAnsi="Times New Roman" w:cs="Times New Roman"/>
          <w:color w:val="auto"/>
          <w:highlight w:val="none"/>
        </w:rPr>
        <w:fldChar w:fldCharType="end"/>
      </w:r>
    </w:p>
    <w:p w14:paraId="74C65D38">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_Toc12039 </w:instrText>
      </w:r>
      <w:r>
        <w:rPr>
          <w:rFonts w:hint="default" w:ascii="Times New Roman" w:hAnsi="Times New Roman" w:cs="Times New Roman"/>
          <w:highlight w:val="none"/>
        </w:rPr>
        <w:fldChar w:fldCharType="separate"/>
      </w:r>
      <w:r>
        <w:rPr>
          <w:rFonts w:hint="eastAsia" w:cs="Times New Roman"/>
          <w:lang w:val="en-US" w:eastAsia="zh-CN"/>
        </w:rPr>
        <w:t>3.6</w:t>
      </w:r>
      <w:r>
        <w:rPr>
          <w:rFonts w:cs="Times New Roman"/>
        </w:rPr>
        <w:t>现有风险防控与应急措施情况</w:t>
      </w:r>
      <w:r>
        <w:tab/>
      </w:r>
      <w:r>
        <w:fldChar w:fldCharType="begin"/>
      </w:r>
      <w:r>
        <w:instrText xml:space="preserve"> PAGEREF _Toc12039 \h </w:instrText>
      </w:r>
      <w:r>
        <w:fldChar w:fldCharType="separate"/>
      </w:r>
      <w:r>
        <w:t>25</w:t>
      </w:r>
      <w:r>
        <w:fldChar w:fldCharType="end"/>
      </w:r>
      <w:r>
        <w:rPr>
          <w:rFonts w:hint="default" w:ascii="Times New Roman" w:hAnsi="Times New Roman" w:cs="Times New Roman"/>
          <w:color w:val="auto"/>
          <w:highlight w:val="none"/>
        </w:rPr>
        <w:fldChar w:fldCharType="end"/>
      </w:r>
    </w:p>
    <w:p w14:paraId="40B92531">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_Toc12583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3.7 现有应急物资与装备、救援队伍情况</w:t>
      </w:r>
      <w:r>
        <w:tab/>
      </w:r>
      <w:r>
        <w:fldChar w:fldCharType="begin"/>
      </w:r>
      <w:r>
        <w:instrText xml:space="preserve"> PAGEREF _Toc12583 \h </w:instrText>
      </w:r>
      <w:r>
        <w:fldChar w:fldCharType="separate"/>
      </w:r>
      <w:r>
        <w:t>30</w:t>
      </w:r>
      <w:r>
        <w:fldChar w:fldCharType="end"/>
      </w:r>
      <w:r>
        <w:rPr>
          <w:rFonts w:hint="default" w:ascii="Times New Roman" w:hAnsi="Times New Roman" w:cs="Times New Roman"/>
          <w:color w:val="auto"/>
          <w:highlight w:val="none"/>
        </w:rPr>
        <w:fldChar w:fldCharType="end"/>
      </w:r>
    </w:p>
    <w:p w14:paraId="6FC3B6E9">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_Toc9151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4</w:t>
      </w:r>
      <w:r>
        <w:rPr>
          <w:rFonts w:ascii="Times New Roman" w:hAnsi="Times New Roman" w:cs="Times New Roman"/>
        </w:rPr>
        <w:t>突发环境事件及后果分析</w:t>
      </w:r>
      <w:r>
        <w:tab/>
      </w:r>
      <w:r>
        <w:fldChar w:fldCharType="begin"/>
      </w:r>
      <w:r>
        <w:instrText xml:space="preserve"> PAGEREF _Toc9151 \h </w:instrText>
      </w:r>
      <w:r>
        <w:fldChar w:fldCharType="separate"/>
      </w:r>
      <w:r>
        <w:t>36</w:t>
      </w:r>
      <w:r>
        <w:fldChar w:fldCharType="end"/>
      </w:r>
      <w:r>
        <w:rPr>
          <w:rFonts w:hint="default" w:ascii="Times New Roman" w:hAnsi="Times New Roman" w:cs="Times New Roman"/>
          <w:color w:val="auto"/>
          <w:highlight w:val="none"/>
        </w:rPr>
        <w:fldChar w:fldCharType="end"/>
      </w:r>
    </w:p>
    <w:p w14:paraId="305623C9">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_Toc32704 </w:instrText>
      </w:r>
      <w:r>
        <w:rPr>
          <w:rFonts w:hint="default" w:ascii="Times New Roman" w:hAnsi="Times New Roman" w:cs="Times New Roman"/>
          <w:highlight w:val="none"/>
        </w:rPr>
        <w:fldChar w:fldCharType="separate"/>
      </w:r>
      <w:r>
        <w:rPr>
          <w:rFonts w:hint="eastAsia" w:cs="Times New Roman"/>
          <w:lang w:val="en-US" w:eastAsia="zh-CN"/>
        </w:rPr>
        <w:t>4.1</w:t>
      </w:r>
      <w:r>
        <w:rPr>
          <w:rFonts w:cs="Times New Roman"/>
        </w:rPr>
        <w:t>突发环境事件情景分析</w:t>
      </w:r>
      <w:r>
        <w:tab/>
      </w:r>
      <w:r>
        <w:fldChar w:fldCharType="begin"/>
      </w:r>
      <w:r>
        <w:instrText xml:space="preserve"> PAGEREF _Toc32704 \h </w:instrText>
      </w:r>
      <w:r>
        <w:fldChar w:fldCharType="separate"/>
      </w:r>
      <w:r>
        <w:t>36</w:t>
      </w:r>
      <w:r>
        <w:fldChar w:fldCharType="end"/>
      </w:r>
      <w:r>
        <w:rPr>
          <w:rFonts w:hint="default" w:ascii="Times New Roman" w:hAnsi="Times New Roman" w:cs="Times New Roman"/>
          <w:color w:val="auto"/>
          <w:highlight w:val="none"/>
        </w:rPr>
        <w:fldChar w:fldCharType="end"/>
      </w:r>
    </w:p>
    <w:p w14:paraId="3C730DC8">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_Toc13394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4.2 突发环境事件情景源强分析</w:t>
      </w:r>
      <w:r>
        <w:tab/>
      </w:r>
      <w:r>
        <w:fldChar w:fldCharType="begin"/>
      </w:r>
      <w:r>
        <w:instrText xml:space="preserve"> PAGEREF _Toc13394 \h </w:instrText>
      </w:r>
      <w:r>
        <w:fldChar w:fldCharType="separate"/>
      </w:r>
      <w:r>
        <w:t>41</w:t>
      </w:r>
      <w:r>
        <w:fldChar w:fldCharType="end"/>
      </w:r>
      <w:r>
        <w:rPr>
          <w:rFonts w:hint="default" w:ascii="Times New Roman" w:hAnsi="Times New Roman" w:cs="Times New Roman"/>
          <w:color w:val="auto"/>
          <w:highlight w:val="none"/>
        </w:rPr>
        <w:fldChar w:fldCharType="end"/>
      </w:r>
    </w:p>
    <w:p w14:paraId="5F0E1FF5">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_Toc20742 </w:instrText>
      </w:r>
      <w:r>
        <w:rPr>
          <w:rFonts w:hint="default" w:ascii="Times New Roman" w:hAnsi="Times New Roman" w:cs="Times New Roman"/>
          <w:highlight w:val="none"/>
        </w:rPr>
        <w:fldChar w:fldCharType="separate"/>
      </w:r>
      <w:r>
        <w:rPr>
          <w:rFonts w:hint="eastAsia" w:cs="Times New Roman"/>
          <w:szCs w:val="28"/>
          <w:highlight w:val="none"/>
          <w:lang w:val="en-US" w:eastAsia="zh-CN"/>
        </w:rPr>
        <w:t>4.3</w:t>
      </w:r>
      <w:r>
        <w:rPr>
          <w:rFonts w:cs="Times New Roman"/>
          <w:szCs w:val="28"/>
          <w:highlight w:val="none"/>
        </w:rPr>
        <w:t>释放环境风险物质的扩散途径、涉及环境风险防控与应急措施、应急资源情况分析</w:t>
      </w:r>
      <w:r>
        <w:tab/>
      </w:r>
      <w:r>
        <w:fldChar w:fldCharType="begin"/>
      </w:r>
      <w:r>
        <w:instrText xml:space="preserve"> PAGEREF _Toc20742 \h </w:instrText>
      </w:r>
      <w:r>
        <w:fldChar w:fldCharType="separate"/>
      </w:r>
      <w:r>
        <w:t>47</w:t>
      </w:r>
      <w:r>
        <w:fldChar w:fldCharType="end"/>
      </w:r>
      <w:r>
        <w:rPr>
          <w:rFonts w:hint="default" w:ascii="Times New Roman" w:hAnsi="Times New Roman" w:cs="Times New Roman"/>
          <w:color w:val="auto"/>
          <w:highlight w:val="none"/>
        </w:rPr>
        <w:fldChar w:fldCharType="end"/>
      </w:r>
    </w:p>
    <w:p w14:paraId="42427E0C">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_Toc20252 </w:instrText>
      </w:r>
      <w:r>
        <w:rPr>
          <w:rFonts w:hint="default" w:ascii="Times New Roman" w:hAnsi="Times New Roman" w:cs="Times New Roman"/>
          <w:highlight w:val="none"/>
        </w:rPr>
        <w:fldChar w:fldCharType="separate"/>
      </w:r>
      <w:r>
        <w:rPr>
          <w:rFonts w:hint="eastAsia" w:cs="Times New Roman"/>
          <w:highlight w:val="none"/>
          <w:lang w:val="en-US" w:eastAsia="zh-CN"/>
        </w:rPr>
        <w:t>4.4</w:t>
      </w:r>
      <w:r>
        <w:rPr>
          <w:rFonts w:cs="Times New Roman"/>
          <w:highlight w:val="none"/>
        </w:rPr>
        <w:t>风险事故影响后果与评价</w:t>
      </w:r>
      <w:r>
        <w:tab/>
      </w:r>
      <w:r>
        <w:fldChar w:fldCharType="begin"/>
      </w:r>
      <w:r>
        <w:instrText xml:space="preserve"> PAGEREF _Toc20252 \h </w:instrText>
      </w:r>
      <w:r>
        <w:fldChar w:fldCharType="separate"/>
      </w:r>
      <w:r>
        <w:t>55</w:t>
      </w:r>
      <w:r>
        <w:fldChar w:fldCharType="end"/>
      </w:r>
      <w:r>
        <w:rPr>
          <w:rFonts w:hint="default" w:ascii="Times New Roman" w:hAnsi="Times New Roman" w:cs="Times New Roman"/>
          <w:color w:val="auto"/>
          <w:highlight w:val="none"/>
        </w:rPr>
        <w:fldChar w:fldCharType="end"/>
      </w:r>
    </w:p>
    <w:p w14:paraId="7FDD222F">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_Toc3575 </w:instrText>
      </w:r>
      <w:r>
        <w:rPr>
          <w:rFonts w:hint="default" w:ascii="Times New Roman" w:hAnsi="Times New Roman" w:cs="Times New Roman"/>
          <w:highlight w:val="none"/>
        </w:rPr>
        <w:fldChar w:fldCharType="separate"/>
      </w:r>
      <w:r>
        <w:rPr>
          <w:rFonts w:hint="eastAsia" w:ascii="Times New Roman" w:hAnsi="Times New Roman" w:cs="Times New Roman"/>
          <w:highlight w:val="none"/>
          <w:lang w:val="en-US" w:eastAsia="zh-CN"/>
        </w:rPr>
        <w:t>5</w:t>
      </w:r>
      <w:r>
        <w:rPr>
          <w:rFonts w:ascii="Times New Roman" w:hAnsi="Times New Roman" w:cs="Times New Roman"/>
          <w:highlight w:val="none"/>
        </w:rPr>
        <w:t>现有环境风险</w:t>
      </w:r>
      <w:r>
        <w:rPr>
          <w:rFonts w:hint="eastAsia" w:ascii="Times New Roman" w:hAnsi="Times New Roman" w:cs="Times New Roman"/>
          <w:highlight w:val="none"/>
        </w:rPr>
        <w:t>防</w:t>
      </w:r>
      <w:r>
        <w:rPr>
          <w:rFonts w:ascii="Times New Roman" w:hAnsi="Times New Roman" w:cs="Times New Roman"/>
          <w:highlight w:val="none"/>
        </w:rPr>
        <w:t>控和应急措施差距分析</w:t>
      </w:r>
      <w:r>
        <w:tab/>
      </w:r>
      <w:r>
        <w:fldChar w:fldCharType="begin"/>
      </w:r>
      <w:r>
        <w:instrText xml:space="preserve"> PAGEREF _Toc3575 \h </w:instrText>
      </w:r>
      <w:r>
        <w:fldChar w:fldCharType="separate"/>
      </w:r>
      <w:r>
        <w:t>57</w:t>
      </w:r>
      <w:r>
        <w:fldChar w:fldCharType="end"/>
      </w:r>
      <w:r>
        <w:rPr>
          <w:rFonts w:hint="default" w:ascii="Times New Roman" w:hAnsi="Times New Roman" w:cs="Times New Roman"/>
          <w:color w:val="auto"/>
          <w:highlight w:val="none"/>
        </w:rPr>
        <w:fldChar w:fldCharType="end"/>
      </w:r>
    </w:p>
    <w:p w14:paraId="45E00391">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_Toc17668 </w:instrText>
      </w:r>
      <w:r>
        <w:rPr>
          <w:rFonts w:hint="default" w:ascii="Times New Roman" w:hAnsi="Times New Roman" w:cs="Times New Roman"/>
          <w:highlight w:val="none"/>
        </w:rPr>
        <w:fldChar w:fldCharType="separate"/>
      </w:r>
      <w:r>
        <w:rPr>
          <w:rFonts w:hint="eastAsia" w:cs="Times New Roman"/>
          <w:highlight w:val="none"/>
          <w:lang w:val="en-US" w:eastAsia="zh-CN"/>
        </w:rPr>
        <w:t>5.1</w:t>
      </w:r>
      <w:r>
        <w:rPr>
          <w:rFonts w:cs="Times New Roman"/>
          <w:highlight w:val="none"/>
        </w:rPr>
        <w:t>环境风险管理制度</w:t>
      </w:r>
      <w:r>
        <w:tab/>
      </w:r>
      <w:r>
        <w:fldChar w:fldCharType="begin"/>
      </w:r>
      <w:r>
        <w:instrText xml:space="preserve"> PAGEREF _Toc17668 \h </w:instrText>
      </w:r>
      <w:r>
        <w:fldChar w:fldCharType="separate"/>
      </w:r>
      <w:r>
        <w:t>57</w:t>
      </w:r>
      <w:r>
        <w:fldChar w:fldCharType="end"/>
      </w:r>
      <w:r>
        <w:rPr>
          <w:rFonts w:hint="default" w:ascii="Times New Roman" w:hAnsi="Times New Roman" w:cs="Times New Roman"/>
          <w:color w:val="auto"/>
          <w:highlight w:val="none"/>
        </w:rPr>
        <w:fldChar w:fldCharType="end"/>
      </w:r>
    </w:p>
    <w:p w14:paraId="750902C5">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_Toc10288 </w:instrText>
      </w:r>
      <w:r>
        <w:rPr>
          <w:rFonts w:hint="default" w:ascii="Times New Roman" w:hAnsi="Times New Roman" w:cs="Times New Roman"/>
          <w:highlight w:val="none"/>
        </w:rPr>
        <w:fldChar w:fldCharType="separate"/>
      </w:r>
      <w:r>
        <w:rPr>
          <w:rFonts w:hint="eastAsia" w:cs="Times New Roman"/>
          <w:highlight w:val="none"/>
          <w:lang w:val="en-US" w:eastAsia="zh-CN"/>
        </w:rPr>
        <w:t>5.2</w:t>
      </w:r>
      <w:r>
        <w:rPr>
          <w:rFonts w:cs="Times New Roman"/>
          <w:highlight w:val="none"/>
        </w:rPr>
        <w:t>环境风险防控与应急措施差距分析</w:t>
      </w:r>
      <w:r>
        <w:tab/>
      </w:r>
      <w:r>
        <w:fldChar w:fldCharType="begin"/>
      </w:r>
      <w:r>
        <w:instrText xml:space="preserve"> PAGEREF _Toc10288 \h </w:instrText>
      </w:r>
      <w:r>
        <w:fldChar w:fldCharType="separate"/>
      </w:r>
      <w:r>
        <w:t>59</w:t>
      </w:r>
      <w:r>
        <w:fldChar w:fldCharType="end"/>
      </w:r>
      <w:r>
        <w:rPr>
          <w:rFonts w:hint="default" w:ascii="Times New Roman" w:hAnsi="Times New Roman" w:cs="Times New Roman"/>
          <w:color w:val="auto"/>
          <w:highlight w:val="none"/>
        </w:rPr>
        <w:fldChar w:fldCharType="end"/>
      </w:r>
    </w:p>
    <w:p w14:paraId="58550FBA">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_Toc31779 </w:instrText>
      </w:r>
      <w:r>
        <w:rPr>
          <w:rFonts w:hint="default" w:ascii="Times New Roman" w:hAnsi="Times New Roman" w:cs="Times New Roman"/>
          <w:highlight w:val="none"/>
        </w:rPr>
        <w:fldChar w:fldCharType="separate"/>
      </w:r>
      <w:r>
        <w:rPr>
          <w:rFonts w:hint="eastAsia" w:cs="Times New Roman"/>
          <w:highlight w:val="none"/>
          <w:lang w:val="en-US" w:eastAsia="zh-CN"/>
        </w:rPr>
        <w:t>5.3</w:t>
      </w:r>
      <w:r>
        <w:rPr>
          <w:rFonts w:cs="Times New Roman"/>
          <w:highlight w:val="none"/>
        </w:rPr>
        <w:t>环境</w:t>
      </w:r>
      <w:r>
        <w:rPr>
          <w:rFonts w:hint="eastAsia" w:cs="Times New Roman"/>
          <w:highlight w:val="none"/>
        </w:rPr>
        <w:t>应急资源</w:t>
      </w:r>
      <w:r>
        <w:tab/>
      </w:r>
      <w:r>
        <w:fldChar w:fldCharType="begin"/>
      </w:r>
      <w:r>
        <w:instrText xml:space="preserve"> PAGEREF _Toc31779 \h </w:instrText>
      </w:r>
      <w:r>
        <w:fldChar w:fldCharType="separate"/>
      </w:r>
      <w:r>
        <w:t>61</w:t>
      </w:r>
      <w:r>
        <w:fldChar w:fldCharType="end"/>
      </w:r>
      <w:r>
        <w:rPr>
          <w:rFonts w:hint="default" w:ascii="Times New Roman" w:hAnsi="Times New Roman" w:cs="Times New Roman"/>
          <w:color w:val="auto"/>
          <w:highlight w:val="none"/>
        </w:rPr>
        <w:fldChar w:fldCharType="end"/>
      </w:r>
    </w:p>
    <w:p w14:paraId="00D36C72">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_Toc1173 </w:instrText>
      </w:r>
      <w:r>
        <w:rPr>
          <w:rFonts w:hint="default" w:ascii="Times New Roman" w:hAnsi="Times New Roman" w:cs="Times New Roman"/>
          <w:highlight w:val="none"/>
        </w:rPr>
        <w:fldChar w:fldCharType="separate"/>
      </w:r>
      <w:r>
        <w:rPr>
          <w:rFonts w:hint="eastAsia" w:cs="Times New Roman"/>
          <w:highlight w:val="none"/>
          <w:lang w:val="en-US" w:eastAsia="zh-CN"/>
        </w:rPr>
        <w:t>5.4</w:t>
      </w:r>
      <w:r>
        <w:rPr>
          <w:rFonts w:hint="eastAsia" w:cs="Times New Roman"/>
          <w:highlight w:val="none"/>
        </w:rPr>
        <w:t>历史经验总结教训</w:t>
      </w:r>
      <w:r>
        <w:tab/>
      </w:r>
      <w:r>
        <w:fldChar w:fldCharType="begin"/>
      </w:r>
      <w:r>
        <w:instrText xml:space="preserve"> PAGEREF _Toc1173 \h </w:instrText>
      </w:r>
      <w:r>
        <w:fldChar w:fldCharType="separate"/>
      </w:r>
      <w:r>
        <w:t>61</w:t>
      </w:r>
      <w:r>
        <w:fldChar w:fldCharType="end"/>
      </w:r>
      <w:r>
        <w:rPr>
          <w:rFonts w:hint="default" w:ascii="Times New Roman" w:hAnsi="Times New Roman" w:cs="Times New Roman"/>
          <w:color w:val="auto"/>
          <w:highlight w:val="none"/>
        </w:rPr>
        <w:fldChar w:fldCharType="end"/>
      </w:r>
    </w:p>
    <w:p w14:paraId="7A541D17">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_Toc10322 </w:instrText>
      </w:r>
      <w:r>
        <w:rPr>
          <w:rFonts w:hint="default" w:ascii="Times New Roman" w:hAnsi="Times New Roman" w:cs="Times New Roman"/>
          <w:highlight w:val="none"/>
        </w:rPr>
        <w:fldChar w:fldCharType="separate"/>
      </w:r>
      <w:r>
        <w:rPr>
          <w:rFonts w:hint="eastAsia" w:cs="Times New Roman"/>
          <w:highlight w:val="none"/>
          <w:lang w:val="en-US" w:eastAsia="zh-CN"/>
        </w:rPr>
        <w:t>5.5</w:t>
      </w:r>
      <w:r>
        <w:rPr>
          <w:rFonts w:hint="eastAsia" w:cs="Times New Roman"/>
          <w:highlight w:val="none"/>
        </w:rPr>
        <w:t>需要整改的短期、中期和长期项目内容</w:t>
      </w:r>
      <w:r>
        <w:tab/>
      </w:r>
      <w:r>
        <w:fldChar w:fldCharType="begin"/>
      </w:r>
      <w:r>
        <w:instrText xml:space="preserve"> PAGEREF _Toc10322 \h </w:instrText>
      </w:r>
      <w:r>
        <w:fldChar w:fldCharType="separate"/>
      </w:r>
      <w:r>
        <w:t>62</w:t>
      </w:r>
      <w:r>
        <w:fldChar w:fldCharType="end"/>
      </w:r>
      <w:r>
        <w:rPr>
          <w:rFonts w:hint="default" w:ascii="Times New Roman" w:hAnsi="Times New Roman" w:cs="Times New Roman"/>
          <w:color w:val="auto"/>
          <w:highlight w:val="none"/>
        </w:rPr>
        <w:fldChar w:fldCharType="end"/>
      </w:r>
    </w:p>
    <w:p w14:paraId="2D281F4E">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_Toc26641 </w:instrText>
      </w:r>
      <w:r>
        <w:rPr>
          <w:rFonts w:hint="default" w:ascii="Times New Roman" w:hAnsi="Times New Roman" w:cs="Times New Roman"/>
          <w:highlight w:val="none"/>
        </w:rPr>
        <w:fldChar w:fldCharType="separate"/>
      </w:r>
      <w:r>
        <w:rPr>
          <w:rFonts w:hint="eastAsia" w:ascii="Times New Roman" w:hAnsi="Times New Roman" w:cs="Times New Roman"/>
          <w:highlight w:val="none"/>
          <w:lang w:val="en-US" w:eastAsia="zh-CN"/>
        </w:rPr>
        <w:t>6</w:t>
      </w:r>
      <w:r>
        <w:rPr>
          <w:rFonts w:ascii="Times New Roman" w:hAnsi="Times New Roman" w:cs="Times New Roman"/>
          <w:highlight w:val="none"/>
        </w:rPr>
        <w:t>完善环境风险防控和应急措施的实施计划</w:t>
      </w:r>
      <w:r>
        <w:tab/>
      </w:r>
      <w:r>
        <w:fldChar w:fldCharType="begin"/>
      </w:r>
      <w:r>
        <w:instrText xml:space="preserve"> PAGEREF _Toc26641 \h </w:instrText>
      </w:r>
      <w:r>
        <w:fldChar w:fldCharType="separate"/>
      </w:r>
      <w:r>
        <w:t>62</w:t>
      </w:r>
      <w:r>
        <w:fldChar w:fldCharType="end"/>
      </w:r>
      <w:r>
        <w:rPr>
          <w:rFonts w:hint="default" w:ascii="Times New Roman" w:hAnsi="Times New Roman" w:cs="Times New Roman"/>
          <w:color w:val="auto"/>
          <w:highlight w:val="none"/>
        </w:rPr>
        <w:fldChar w:fldCharType="end"/>
      </w:r>
    </w:p>
    <w:p w14:paraId="67DFC945">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_Toc16735 </w:instrText>
      </w:r>
      <w:r>
        <w:rPr>
          <w:rFonts w:hint="default" w:ascii="Times New Roman" w:hAnsi="Times New Roman" w:cs="Times New Roman"/>
          <w:highlight w:val="none"/>
        </w:rPr>
        <w:fldChar w:fldCharType="separate"/>
      </w:r>
      <w:r>
        <w:rPr>
          <w:rFonts w:hint="eastAsia" w:ascii="Times New Roman" w:hAnsi="Times New Roman" w:cs="Times New Roman"/>
          <w:highlight w:val="none"/>
          <w:lang w:val="en-US" w:eastAsia="zh-CN"/>
        </w:rPr>
        <w:t>7</w:t>
      </w:r>
      <w:r>
        <w:rPr>
          <w:rFonts w:ascii="Times New Roman" w:hAnsi="Times New Roman" w:cs="Times New Roman"/>
          <w:highlight w:val="none"/>
        </w:rPr>
        <w:t>企业突发环境事件风险等级</w:t>
      </w:r>
      <w:r>
        <w:tab/>
      </w:r>
      <w:r>
        <w:fldChar w:fldCharType="begin"/>
      </w:r>
      <w:r>
        <w:instrText xml:space="preserve"> PAGEREF _Toc16735 \h </w:instrText>
      </w:r>
      <w:r>
        <w:fldChar w:fldCharType="separate"/>
      </w:r>
      <w:r>
        <w:t>63</w:t>
      </w:r>
      <w:r>
        <w:fldChar w:fldCharType="end"/>
      </w:r>
      <w:r>
        <w:rPr>
          <w:rFonts w:hint="default" w:ascii="Times New Roman" w:hAnsi="Times New Roman" w:cs="Times New Roman"/>
          <w:color w:val="auto"/>
          <w:highlight w:val="none"/>
        </w:rPr>
        <w:fldChar w:fldCharType="end"/>
      </w:r>
    </w:p>
    <w:p w14:paraId="1A61C841">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_Toc24457 </w:instrText>
      </w:r>
      <w:r>
        <w:rPr>
          <w:rFonts w:hint="default" w:ascii="Times New Roman" w:hAnsi="Times New Roman" w:cs="Times New Roman"/>
          <w:highlight w:val="none"/>
        </w:rPr>
        <w:fldChar w:fldCharType="separate"/>
      </w:r>
      <w:r>
        <w:rPr>
          <w:rFonts w:hint="eastAsia" w:cs="Times New Roman"/>
          <w:highlight w:val="none"/>
          <w:lang w:val="en-US" w:eastAsia="zh-CN"/>
        </w:rPr>
        <w:t>7.1</w:t>
      </w:r>
      <w:r>
        <w:rPr>
          <w:rFonts w:cs="Times New Roman"/>
          <w:highlight w:val="none"/>
        </w:rPr>
        <w:t>企业突发大气环境事件风险等级</w:t>
      </w:r>
      <w:r>
        <w:tab/>
      </w:r>
      <w:r>
        <w:fldChar w:fldCharType="begin"/>
      </w:r>
      <w:r>
        <w:instrText xml:space="preserve"> PAGEREF _Toc24457 \h </w:instrText>
      </w:r>
      <w:r>
        <w:fldChar w:fldCharType="separate"/>
      </w:r>
      <w:r>
        <w:t>64</w:t>
      </w:r>
      <w:r>
        <w:fldChar w:fldCharType="end"/>
      </w:r>
      <w:r>
        <w:rPr>
          <w:rFonts w:hint="default" w:ascii="Times New Roman" w:hAnsi="Times New Roman" w:cs="Times New Roman"/>
          <w:color w:val="auto"/>
          <w:highlight w:val="none"/>
        </w:rPr>
        <w:fldChar w:fldCharType="end"/>
      </w:r>
    </w:p>
    <w:p w14:paraId="71130857">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_Toc27581 </w:instrText>
      </w:r>
      <w:r>
        <w:rPr>
          <w:rFonts w:hint="default" w:ascii="Times New Roman" w:hAnsi="Times New Roman" w:cs="Times New Roman"/>
          <w:highlight w:val="none"/>
        </w:rPr>
        <w:fldChar w:fldCharType="separate"/>
      </w:r>
      <w:r>
        <w:rPr>
          <w:rFonts w:hint="eastAsia"/>
          <w:highlight w:val="none"/>
          <w:lang w:val="en-US" w:eastAsia="zh-CN"/>
        </w:rPr>
        <w:t>7.2</w:t>
      </w:r>
      <w:r>
        <w:rPr>
          <w:highlight w:val="none"/>
        </w:rPr>
        <w:t>企业突发水环境事件风险等级</w:t>
      </w:r>
      <w:r>
        <w:tab/>
      </w:r>
      <w:r>
        <w:fldChar w:fldCharType="begin"/>
      </w:r>
      <w:r>
        <w:instrText xml:space="preserve"> PAGEREF _Toc27581 \h </w:instrText>
      </w:r>
      <w:r>
        <w:fldChar w:fldCharType="separate"/>
      </w:r>
      <w:r>
        <w:t>68</w:t>
      </w:r>
      <w:r>
        <w:fldChar w:fldCharType="end"/>
      </w:r>
      <w:r>
        <w:rPr>
          <w:rFonts w:hint="default" w:ascii="Times New Roman" w:hAnsi="Times New Roman" w:cs="Times New Roman"/>
          <w:color w:val="auto"/>
          <w:highlight w:val="none"/>
        </w:rPr>
        <w:fldChar w:fldCharType="end"/>
      </w:r>
    </w:p>
    <w:p w14:paraId="196C9E78">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_Toc9273 </w:instrText>
      </w:r>
      <w:r>
        <w:rPr>
          <w:rFonts w:hint="default" w:ascii="Times New Roman" w:hAnsi="Times New Roman" w:cs="Times New Roman"/>
          <w:highlight w:val="none"/>
        </w:rPr>
        <w:fldChar w:fldCharType="separate"/>
      </w:r>
      <w:r>
        <w:rPr>
          <w:rFonts w:hint="eastAsia"/>
          <w:highlight w:val="none"/>
          <w:lang w:val="en-US" w:eastAsia="zh-CN"/>
        </w:rPr>
        <w:t>7.3</w:t>
      </w:r>
      <w:r>
        <w:rPr>
          <w:rFonts w:hint="eastAsia"/>
          <w:highlight w:val="none"/>
        </w:rPr>
        <w:t>企业突发环境事件风险等级确定</w:t>
      </w:r>
      <w:r>
        <w:tab/>
      </w:r>
      <w:r>
        <w:fldChar w:fldCharType="begin"/>
      </w:r>
      <w:r>
        <w:instrText xml:space="preserve"> PAGEREF _Toc9273 \h </w:instrText>
      </w:r>
      <w:r>
        <w:fldChar w:fldCharType="separate"/>
      </w:r>
      <w:r>
        <w:t>74</w:t>
      </w:r>
      <w:r>
        <w:fldChar w:fldCharType="end"/>
      </w:r>
      <w:r>
        <w:rPr>
          <w:rFonts w:hint="default" w:ascii="Times New Roman" w:hAnsi="Times New Roman" w:cs="Times New Roman"/>
          <w:color w:val="auto"/>
          <w:highlight w:val="none"/>
        </w:rPr>
        <w:fldChar w:fldCharType="end"/>
      </w:r>
    </w:p>
    <w:p w14:paraId="2BB82F95">
      <w:pPr>
        <w:pStyle w:val="24"/>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_Toc28653 </w:instrText>
      </w:r>
      <w:r>
        <w:rPr>
          <w:rFonts w:hint="default" w:ascii="Times New Roman" w:hAnsi="Times New Roman" w:cs="Times New Roman"/>
          <w:highlight w:val="none"/>
        </w:rPr>
        <w:fldChar w:fldCharType="separate"/>
      </w:r>
      <w:r>
        <w:rPr>
          <w:rFonts w:hint="eastAsia"/>
          <w:lang w:val="en-US" w:eastAsia="zh-CN"/>
        </w:rPr>
        <w:t>8</w:t>
      </w:r>
      <w:r>
        <w:rPr>
          <w:rFonts w:hint="eastAsia"/>
        </w:rPr>
        <w:t>附图</w:t>
      </w:r>
      <w:r>
        <w:tab/>
      </w:r>
      <w:r>
        <w:fldChar w:fldCharType="begin"/>
      </w:r>
      <w:r>
        <w:instrText xml:space="preserve"> PAGEREF _Toc28653 \h </w:instrText>
      </w:r>
      <w:r>
        <w:fldChar w:fldCharType="separate"/>
      </w:r>
      <w:r>
        <w:t>75</w:t>
      </w:r>
      <w:r>
        <w:fldChar w:fldCharType="end"/>
      </w:r>
      <w:r>
        <w:rPr>
          <w:rFonts w:hint="default" w:ascii="Times New Roman" w:hAnsi="Times New Roman" w:cs="Times New Roman"/>
          <w:color w:val="auto"/>
          <w:highlight w:val="none"/>
        </w:rPr>
        <w:fldChar w:fldCharType="end"/>
      </w:r>
    </w:p>
    <w:p w14:paraId="135E61B4">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_Toc18442 </w:instrText>
      </w:r>
      <w:r>
        <w:rPr>
          <w:rFonts w:hint="default" w:ascii="Times New Roman" w:hAnsi="Times New Roman" w:cs="Times New Roman"/>
          <w:highlight w:val="none"/>
        </w:rPr>
        <w:fldChar w:fldCharType="separate"/>
      </w:r>
      <w:r>
        <w:rPr>
          <w:bCs/>
          <w:szCs w:val="24"/>
        </w:rPr>
        <w:t>附</w:t>
      </w:r>
      <w:r>
        <w:rPr>
          <w:rFonts w:hint="eastAsia"/>
          <w:bCs/>
          <w:szCs w:val="24"/>
        </w:rPr>
        <w:t>图</w:t>
      </w:r>
      <w:r>
        <w:rPr>
          <w:bCs/>
          <w:szCs w:val="24"/>
        </w:rPr>
        <w:t xml:space="preserve">1 </w:t>
      </w:r>
      <w:r>
        <w:rPr>
          <w:rFonts w:hint="eastAsia"/>
          <w:bCs/>
          <w:szCs w:val="24"/>
        </w:rPr>
        <w:t>地理位置图</w:t>
      </w:r>
      <w:r>
        <w:rPr>
          <w:rFonts w:hint="eastAsia" w:ascii="Times New Roman" w:hAnsi="Times New Roman" w:eastAsia="宋体" w:cs="Times New Roman"/>
          <w:bCs w:val="0"/>
          <w:caps w:val="0"/>
          <w:smallCaps w:val="0"/>
          <w:spacing w:val="0"/>
          <w:position w:val="0"/>
          <w:szCs w:val="24"/>
          <w:highlight w:val="none"/>
          <w:lang w:eastAsia="zh-CN"/>
        </w:rPr>
        <w:t>与周边环境</w:t>
      </w:r>
      <w:r>
        <w:tab/>
      </w:r>
      <w:r>
        <w:fldChar w:fldCharType="begin"/>
      </w:r>
      <w:r>
        <w:instrText xml:space="preserve"> PAGEREF _Toc18442 \h </w:instrText>
      </w:r>
      <w:r>
        <w:fldChar w:fldCharType="separate"/>
      </w:r>
      <w:r>
        <w:t>75</w:t>
      </w:r>
      <w:r>
        <w:fldChar w:fldCharType="end"/>
      </w:r>
      <w:r>
        <w:rPr>
          <w:rFonts w:hint="default" w:ascii="Times New Roman" w:hAnsi="Times New Roman" w:cs="Times New Roman"/>
          <w:color w:val="auto"/>
          <w:highlight w:val="none"/>
        </w:rPr>
        <w:fldChar w:fldCharType="end"/>
      </w:r>
    </w:p>
    <w:p w14:paraId="235DDFEB">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_Toc32242 </w:instrText>
      </w:r>
      <w:r>
        <w:rPr>
          <w:rFonts w:hint="default" w:ascii="Times New Roman" w:hAnsi="Times New Roman" w:cs="Times New Roman"/>
          <w:highlight w:val="none"/>
        </w:rPr>
        <w:fldChar w:fldCharType="separate"/>
      </w:r>
      <w:r>
        <w:rPr>
          <w:rFonts w:hint="default" w:ascii="Times New Roman" w:hAnsi="Times New Roman" w:cs="Times New Roman"/>
          <w:bCs/>
          <w:szCs w:val="24"/>
          <w:highlight w:val="none"/>
        </w:rPr>
        <w:t>附图2 企业周边风险受体图</w:t>
      </w:r>
      <w:r>
        <w:rPr>
          <w:rFonts w:hint="default" w:ascii="Times New Roman" w:hAnsi="Times New Roman" w:cs="Times New Roman"/>
          <w:bCs/>
          <w:highlight w:val="none"/>
        </w:rPr>
        <w:t>（比例尺  1：</w:t>
      </w:r>
      <w:r>
        <w:rPr>
          <w:rFonts w:hint="default" w:ascii="Times New Roman" w:hAnsi="Times New Roman" w:cs="Times New Roman"/>
          <w:bCs/>
          <w:highlight w:val="none"/>
          <w:lang w:val="en-US" w:eastAsia="zh-CN"/>
        </w:rPr>
        <w:t>15</w:t>
      </w:r>
      <w:r>
        <w:rPr>
          <w:rFonts w:hint="default" w:ascii="Times New Roman" w:hAnsi="Times New Roman" w:cs="Times New Roman"/>
          <w:bCs/>
          <w:highlight w:val="none"/>
        </w:rPr>
        <w:t>0000）</w:t>
      </w:r>
      <w:r>
        <w:tab/>
      </w:r>
      <w:r>
        <w:fldChar w:fldCharType="begin"/>
      </w:r>
      <w:r>
        <w:instrText xml:space="preserve"> PAGEREF _Toc32242 \h </w:instrText>
      </w:r>
      <w:r>
        <w:fldChar w:fldCharType="separate"/>
      </w:r>
      <w:r>
        <w:t>76</w:t>
      </w:r>
      <w:r>
        <w:fldChar w:fldCharType="end"/>
      </w:r>
      <w:r>
        <w:rPr>
          <w:rFonts w:hint="default" w:ascii="Times New Roman" w:hAnsi="Times New Roman" w:cs="Times New Roman"/>
          <w:color w:val="auto"/>
          <w:highlight w:val="none"/>
        </w:rPr>
        <w:fldChar w:fldCharType="end"/>
      </w:r>
    </w:p>
    <w:p w14:paraId="6EA04177">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_Toc4529 </w:instrText>
      </w:r>
      <w:r>
        <w:rPr>
          <w:rFonts w:hint="default" w:ascii="Times New Roman" w:hAnsi="Times New Roman" w:cs="Times New Roman"/>
          <w:highlight w:val="none"/>
        </w:rPr>
        <w:fldChar w:fldCharType="separate"/>
      </w:r>
      <w:r>
        <w:rPr>
          <w:rFonts w:hint="default" w:ascii="Times New Roman" w:hAnsi="Times New Roman" w:cs="Times New Roman"/>
          <w:bCs/>
          <w:highlight w:val="none"/>
        </w:rPr>
        <w:t>附图</w:t>
      </w:r>
      <w:r>
        <w:rPr>
          <w:rFonts w:hint="default" w:ascii="Times New Roman" w:hAnsi="Times New Roman" w:cs="Times New Roman"/>
          <w:bCs/>
          <w:highlight w:val="none"/>
          <w:lang w:val="en-US" w:eastAsia="zh-CN"/>
        </w:rPr>
        <w:t xml:space="preserve">3 </w:t>
      </w:r>
      <w:r>
        <w:rPr>
          <w:rFonts w:hint="default" w:ascii="Times New Roman" w:hAnsi="Times New Roman" w:cs="Times New Roman"/>
          <w:bCs/>
          <w:highlight w:val="none"/>
          <w:lang w:eastAsia="zh-CN"/>
        </w:rPr>
        <w:t>厂区平面图</w:t>
      </w:r>
      <w:r>
        <w:tab/>
      </w:r>
      <w:r>
        <w:fldChar w:fldCharType="begin"/>
      </w:r>
      <w:r>
        <w:instrText xml:space="preserve"> PAGEREF _Toc4529 \h </w:instrText>
      </w:r>
      <w:r>
        <w:fldChar w:fldCharType="separate"/>
      </w:r>
      <w:r>
        <w:t>77</w:t>
      </w:r>
      <w:r>
        <w:fldChar w:fldCharType="end"/>
      </w:r>
      <w:r>
        <w:rPr>
          <w:rFonts w:hint="default" w:ascii="Times New Roman" w:hAnsi="Times New Roman" w:cs="Times New Roman"/>
          <w:color w:val="auto"/>
          <w:highlight w:val="none"/>
        </w:rPr>
        <w:fldChar w:fldCharType="end"/>
      </w:r>
    </w:p>
    <w:p w14:paraId="54BE3423">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_Toc9604 </w:instrText>
      </w:r>
      <w:r>
        <w:rPr>
          <w:rFonts w:hint="default" w:ascii="Times New Roman" w:hAnsi="Times New Roman" w:cs="Times New Roman"/>
          <w:highlight w:val="none"/>
        </w:rPr>
        <w:fldChar w:fldCharType="separate"/>
      </w:r>
      <w:r>
        <w:rPr>
          <w:bCs/>
          <w:szCs w:val="24"/>
        </w:rPr>
        <w:t>附</w:t>
      </w:r>
      <w:r>
        <w:rPr>
          <w:rFonts w:hint="eastAsia"/>
          <w:bCs/>
          <w:szCs w:val="24"/>
        </w:rPr>
        <w:t>图</w:t>
      </w:r>
      <w:r>
        <w:rPr>
          <w:rFonts w:hint="eastAsia"/>
          <w:bCs/>
          <w:szCs w:val="24"/>
          <w:lang w:val="en-US" w:eastAsia="zh-CN"/>
        </w:rPr>
        <w:t>4</w:t>
      </w:r>
      <w:r>
        <w:rPr>
          <w:rFonts w:hint="default" w:ascii="Times New Roman" w:hAnsi="Times New Roman" w:cs="Times New Roman"/>
          <w:bCs/>
          <w:highlight w:val="none"/>
        </w:rPr>
        <w:t xml:space="preserve"> </w:t>
      </w:r>
      <w:r>
        <w:rPr>
          <w:rFonts w:hint="default" w:ascii="Times New Roman" w:hAnsi="Times New Roman" w:cs="Times New Roman"/>
          <w:bCs/>
          <w:highlight w:val="none"/>
          <w:lang w:eastAsia="zh-CN"/>
        </w:rPr>
        <w:t>应急逃生路线</w:t>
      </w:r>
      <w:r>
        <w:rPr>
          <w:rFonts w:hint="default" w:ascii="Times New Roman" w:hAnsi="Times New Roman" w:cs="Times New Roman"/>
          <w:bCs/>
          <w:highlight w:val="none"/>
          <w:lang w:val="en-US" w:eastAsia="zh-CN"/>
        </w:rPr>
        <w:t>、应急器物资布置图</w:t>
      </w:r>
      <w:r>
        <w:tab/>
      </w:r>
      <w:r>
        <w:fldChar w:fldCharType="begin"/>
      </w:r>
      <w:r>
        <w:instrText xml:space="preserve"> PAGEREF _Toc9604 \h </w:instrText>
      </w:r>
      <w:r>
        <w:fldChar w:fldCharType="separate"/>
      </w:r>
      <w:r>
        <w:t>78</w:t>
      </w:r>
      <w:r>
        <w:fldChar w:fldCharType="end"/>
      </w:r>
      <w:r>
        <w:rPr>
          <w:rFonts w:hint="default" w:ascii="Times New Roman" w:hAnsi="Times New Roman" w:cs="Times New Roman"/>
          <w:color w:val="auto"/>
          <w:highlight w:val="none"/>
        </w:rPr>
        <w:fldChar w:fldCharType="end"/>
      </w:r>
    </w:p>
    <w:p w14:paraId="0A1CD9CB">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_Toc28298 </w:instrText>
      </w:r>
      <w:r>
        <w:rPr>
          <w:rFonts w:hint="default" w:ascii="Times New Roman" w:hAnsi="Times New Roman" w:cs="Times New Roman"/>
          <w:highlight w:val="none"/>
        </w:rPr>
        <w:fldChar w:fldCharType="separate"/>
      </w:r>
      <w:r>
        <w:rPr>
          <w:bCs/>
          <w:szCs w:val="24"/>
        </w:rPr>
        <w:t>附</w:t>
      </w:r>
      <w:r>
        <w:rPr>
          <w:rFonts w:hint="eastAsia"/>
          <w:bCs/>
          <w:szCs w:val="24"/>
        </w:rPr>
        <w:t>图</w:t>
      </w:r>
      <w:r>
        <w:rPr>
          <w:rFonts w:hint="eastAsia" w:ascii="Times New Roman" w:hAnsi="Times New Roman" w:eastAsia="宋体" w:cs="Times New Roman"/>
          <w:bCs/>
          <w:highlight w:val="none"/>
          <w:lang w:val="en-US" w:eastAsia="zh-CN"/>
        </w:rPr>
        <w:t>5 应急监测协议</w:t>
      </w:r>
      <w:r>
        <w:tab/>
      </w:r>
      <w:r>
        <w:fldChar w:fldCharType="begin"/>
      </w:r>
      <w:r>
        <w:instrText xml:space="preserve"> PAGEREF _Toc28298 \h </w:instrText>
      </w:r>
      <w:r>
        <w:fldChar w:fldCharType="separate"/>
      </w:r>
      <w:r>
        <w:t>79</w:t>
      </w:r>
      <w:r>
        <w:fldChar w:fldCharType="end"/>
      </w:r>
      <w:r>
        <w:rPr>
          <w:rFonts w:hint="default" w:ascii="Times New Roman" w:hAnsi="Times New Roman" w:cs="Times New Roman"/>
          <w:color w:val="auto"/>
          <w:highlight w:val="none"/>
        </w:rPr>
        <w:fldChar w:fldCharType="end"/>
      </w:r>
    </w:p>
    <w:p w14:paraId="4B36DEFA">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_Toc28910 </w:instrText>
      </w:r>
      <w:r>
        <w:rPr>
          <w:rFonts w:hint="default" w:ascii="Times New Roman" w:hAnsi="Times New Roman" w:cs="Times New Roman"/>
          <w:highlight w:val="none"/>
        </w:rPr>
        <w:fldChar w:fldCharType="separate"/>
      </w:r>
      <w:r>
        <w:rPr>
          <w:bCs/>
          <w:szCs w:val="24"/>
        </w:rPr>
        <w:t>附</w:t>
      </w:r>
      <w:r>
        <w:rPr>
          <w:rFonts w:hint="eastAsia"/>
          <w:bCs/>
          <w:szCs w:val="24"/>
        </w:rPr>
        <w:t>图</w:t>
      </w:r>
      <w:r>
        <w:rPr>
          <w:rFonts w:hint="eastAsia" w:ascii="Times New Roman" w:hAnsi="Times New Roman" w:eastAsia="宋体" w:cs="Times New Roman"/>
          <w:bCs/>
          <w:highlight w:val="none"/>
          <w:lang w:val="en-US" w:eastAsia="zh-CN"/>
        </w:rPr>
        <w:t>6 应急互救协议</w:t>
      </w:r>
      <w:r>
        <w:tab/>
      </w:r>
      <w:r>
        <w:fldChar w:fldCharType="begin"/>
      </w:r>
      <w:r>
        <w:instrText xml:space="preserve"> PAGEREF _Toc28910 \h </w:instrText>
      </w:r>
      <w:r>
        <w:fldChar w:fldCharType="separate"/>
      </w:r>
      <w:r>
        <w:t>81</w:t>
      </w:r>
      <w:r>
        <w:fldChar w:fldCharType="end"/>
      </w:r>
      <w:r>
        <w:rPr>
          <w:rFonts w:hint="default" w:ascii="Times New Roman" w:hAnsi="Times New Roman" w:cs="Times New Roman"/>
          <w:color w:val="auto"/>
          <w:highlight w:val="none"/>
        </w:rPr>
        <w:fldChar w:fldCharType="end"/>
      </w:r>
    </w:p>
    <w:p w14:paraId="5EFD94D3">
      <w:pPr>
        <w:pStyle w:val="28"/>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_Toc20623 </w:instrText>
      </w:r>
      <w:r>
        <w:rPr>
          <w:rFonts w:hint="default" w:ascii="Times New Roman" w:hAnsi="Times New Roman" w:cs="Times New Roman"/>
          <w:highlight w:val="none"/>
        </w:rPr>
        <w:fldChar w:fldCharType="separate"/>
      </w:r>
      <w:r>
        <w:rPr>
          <w:rFonts w:hint="eastAsia" w:eastAsia="宋体"/>
          <w:bCs w:val="0"/>
          <w:lang w:val="en-US" w:eastAsia="zh-CN"/>
        </w:rPr>
        <w:t>附图7 互救单位应急物资</w:t>
      </w:r>
      <w:r>
        <w:tab/>
      </w:r>
      <w:r>
        <w:fldChar w:fldCharType="begin"/>
      </w:r>
      <w:r>
        <w:instrText xml:space="preserve"> PAGEREF _Toc20623 \h </w:instrText>
      </w:r>
      <w:r>
        <w:fldChar w:fldCharType="separate"/>
      </w:r>
      <w:r>
        <w:t>82</w:t>
      </w:r>
      <w:r>
        <w:fldChar w:fldCharType="end"/>
      </w:r>
      <w:r>
        <w:rPr>
          <w:rFonts w:hint="default" w:ascii="Times New Roman" w:hAnsi="Times New Roman" w:cs="Times New Roman"/>
          <w:color w:val="auto"/>
          <w:highlight w:val="none"/>
        </w:rPr>
        <w:fldChar w:fldCharType="end"/>
      </w:r>
    </w:p>
    <w:p w14:paraId="71A86BDB">
      <w:pPr>
        <w:pStyle w:val="2"/>
        <w:ind w:left="0" w:leftChars="0" w:firstLine="420" w:firstLineChars="200"/>
        <w:rPr>
          <w:rFonts w:hint="default" w:ascii="Times New Roman" w:hAnsi="Times New Roman" w:eastAsia="宋体" w:cs="Times New Roman"/>
          <w:color w:val="FF0000"/>
          <w:highlight w:val="none"/>
          <w:lang w:val="en-US" w:eastAsia="zh-CN"/>
        </w:rPr>
      </w:pPr>
      <w:r>
        <w:rPr>
          <w:rFonts w:hint="default" w:ascii="Times New Roman" w:hAnsi="Times New Roman" w:cs="Times New Roman"/>
          <w:color w:val="auto"/>
          <w:highlight w:val="none"/>
        </w:rPr>
        <w:fldChar w:fldCharType="end"/>
      </w:r>
    </w:p>
    <w:p w14:paraId="388AB184">
      <w:pPr>
        <w:pStyle w:val="6"/>
        <w:spacing w:beforeLines="0" w:afterLines="0"/>
        <w:rPr>
          <w:rFonts w:hint="default" w:ascii="Times New Roman" w:hAnsi="Times New Roman" w:cs="Times New Roman"/>
          <w:color w:val="FF0000"/>
          <w:highlight w:val="none"/>
        </w:rPr>
        <w:sectPr>
          <w:headerReference r:id="rId4" w:type="default"/>
          <w:footerReference r:id="rId5" w:type="default"/>
          <w:pgSz w:w="11906" w:h="16838"/>
          <w:pgMar w:top="1417" w:right="1247" w:bottom="1417" w:left="1247" w:header="850" w:footer="992" w:gutter="0"/>
          <w:pgNumType w:start="1"/>
          <w:cols w:space="720" w:num="1"/>
          <w:rtlGutter w:val="0"/>
          <w:docGrid w:type="lines" w:linePitch="312" w:charSpace="0"/>
        </w:sectPr>
      </w:pPr>
    </w:p>
    <w:p w14:paraId="17DB81BD">
      <w:pPr>
        <w:pStyle w:val="6"/>
        <w:spacing w:beforeLines="0" w:afterLines="0"/>
        <w:rPr>
          <w:rFonts w:hint="default" w:ascii="Times New Roman" w:hAnsi="Times New Roman" w:cs="Times New Roman"/>
          <w:color w:val="auto"/>
          <w:highlight w:val="none"/>
        </w:rPr>
      </w:pPr>
      <w:bookmarkStart w:id="2" w:name="_Toc4486"/>
      <w:r>
        <w:rPr>
          <w:rFonts w:hint="default" w:ascii="Times New Roman" w:hAnsi="Times New Roman" w:cs="Times New Roman"/>
          <w:color w:val="auto"/>
          <w:highlight w:val="none"/>
        </w:rPr>
        <w:t>1 前言</w:t>
      </w:r>
      <w:bookmarkEnd w:id="0"/>
      <w:bookmarkEnd w:id="1"/>
      <w:bookmarkEnd w:id="2"/>
    </w:p>
    <w:p w14:paraId="5F005A68">
      <w:pPr>
        <w:adjustRightInd w:val="0"/>
        <w:snapToGrid w:val="0"/>
        <w:spacing w:line="360" w:lineRule="auto"/>
        <w:ind w:firstLine="480" w:firstLineChars="200"/>
        <w:rPr>
          <w:rFonts w:hint="eastAsia" w:cs="Times New Roman"/>
          <w:color w:val="auto"/>
          <w:sz w:val="24"/>
          <w:szCs w:val="24"/>
          <w:highlight w:val="none"/>
          <w:lang w:eastAsia="zh-CN"/>
        </w:rPr>
      </w:pPr>
      <w:r>
        <w:rPr>
          <w:rFonts w:hint="default" w:ascii="Times New Roman" w:hAnsi="Times New Roman" w:cs="Times New Roman"/>
          <w:color w:val="auto"/>
          <w:sz w:val="24"/>
          <w:highlight w:val="none"/>
        </w:rPr>
        <w:t>当前，我国已进入突发环境事件多发期和矛盾凸显期，环境问题已成为威胁人体健康、</w:t>
      </w:r>
      <w:r>
        <w:rPr>
          <w:rFonts w:hint="default" w:ascii="Times New Roman" w:hAnsi="Times New Roman" w:cs="Times New Roman"/>
          <w:color w:val="auto"/>
          <w:sz w:val="24"/>
          <w:szCs w:val="24"/>
          <w:highlight w:val="none"/>
        </w:rPr>
        <w:t>公共安全和社会稳定的重要因素之一国务院高度重视环境风险防范与管理</w:t>
      </w:r>
      <w:r>
        <w:rPr>
          <w:rFonts w:hint="eastAsia" w:cs="Times New Roman"/>
          <w:color w:val="auto"/>
          <w:sz w:val="24"/>
          <w:szCs w:val="24"/>
          <w:highlight w:val="none"/>
          <w:lang w:eastAsia="zh-CN"/>
        </w:rPr>
        <w:t>。</w:t>
      </w:r>
    </w:p>
    <w:p w14:paraId="3A419B09">
      <w:pPr>
        <w:adjustRightInd w:val="0"/>
        <w:snapToGrid w:val="0"/>
        <w:spacing w:line="360" w:lineRule="auto"/>
        <w:ind w:firstLine="480" w:firstLineChars="200"/>
        <w:rPr>
          <w:rFonts w:hint="eastAsia" w:eastAsia="宋体"/>
          <w:sz w:val="24"/>
          <w:szCs w:val="24"/>
          <w:lang w:eastAsia="zh-CN"/>
        </w:rPr>
      </w:pPr>
      <w:bookmarkStart w:id="3" w:name="_Toc17988"/>
      <w:bookmarkStart w:id="4" w:name="_Toc18134"/>
      <w:r>
        <w:rPr>
          <w:rFonts w:hint="eastAsia"/>
          <w:sz w:val="24"/>
          <w:szCs w:val="24"/>
        </w:rPr>
        <w:t>2018年5月19日，习近平总书记在全国生态环境保护大会上强调，“要加快构建生态文明体系，加快建立健全以生态价值观念为准则的生态文化体系，以产业生态化和生态产业化为主体的生态经济体系，以改善生态环境质量为核心的目标责任体系，以治理体系和治理能力现代化为保障的生态文明制度体系，以生态系统良性循环和环境风险有效防控为重点的生态安全体系。要通过加快构建生态文明体系，确保到2035年，生态环境质量实现根本好转，美丽中国目标基本实现。到本世纪中叶，物质文明、政治文明、精神文明、社会文明、生态文明全面提升，绿色发展方式和生活方式全面形成，人与自然和谐共生，生态环境领域国家治理体系和治理能力现代化全面实现，建成美丽中国。”</w:t>
      </w:r>
    </w:p>
    <w:p w14:paraId="0ED0139B">
      <w:pPr>
        <w:adjustRightInd w:val="0"/>
        <w:snapToGrid w:val="0"/>
        <w:spacing w:line="360" w:lineRule="auto"/>
        <w:ind w:firstLine="480" w:firstLineChars="200"/>
        <w:rPr>
          <w:rFonts w:hint="eastAsia"/>
          <w:sz w:val="24"/>
          <w:szCs w:val="24"/>
        </w:rPr>
      </w:pPr>
      <w:r>
        <w:rPr>
          <w:rFonts w:hint="eastAsia"/>
          <w:sz w:val="24"/>
          <w:szCs w:val="24"/>
        </w:rPr>
        <w:t xml:space="preserve"> 2</w:t>
      </w:r>
      <w:r>
        <w:rPr>
          <w:sz w:val="24"/>
          <w:szCs w:val="24"/>
        </w:rPr>
        <w:t>020</w:t>
      </w:r>
      <w:r>
        <w:rPr>
          <w:rFonts w:hint="eastAsia"/>
          <w:sz w:val="24"/>
          <w:szCs w:val="24"/>
        </w:rPr>
        <w:t>年9月《国家环境保护“十四五”规划基本思路》提出：1、坚持人与自然和谐共生，以资源环境承载能力为基础，以自然规律为准则，以可持续发展、人与自然和谐为目标，树立践行绿水青山就是金山银山的理念，建设生态文明。2、推进绿色发展方式和生活方式，从源头抓起，形成内生动力机制，坚定不移走绿色低碳循环发展之路，加快构建绿色循环低碳发展产业体系。3、着力全面提升城乡环境质量，改善城乡人居环境，满足人民日益增长的优美生态环境需要。4、实行最严格的生态环境保护制度，坚持保护和修复并重，建立市场化、多元化生态补偿机制，统筹山水林田湖草系统治理，加强地下水的监测、监控及污染防治。</w:t>
      </w:r>
    </w:p>
    <w:p w14:paraId="16E89129">
      <w:pPr>
        <w:adjustRightInd w:val="0"/>
        <w:snapToGrid w:val="0"/>
        <w:spacing w:line="360" w:lineRule="auto"/>
        <w:ind w:firstLine="480" w:firstLineChars="200"/>
      </w:pPr>
      <w:r>
        <w:rPr>
          <w:rFonts w:hint="eastAsia"/>
          <w:sz w:val="24"/>
          <w:szCs w:val="24"/>
          <w:lang w:val="en-US" w:eastAsia="zh-CN"/>
        </w:rPr>
        <w:t>2026年3月《国家环境保护“十五五”规划基本思路》提出规划的核心目标与战略导向，1、核心目标：美丽中国建设取得新的重大进展‌。这是“十五五”规划为生态文明建设设定的阶段性目标，具体内涵包括‌绿色生产生活方式基本形成、碳达峰目标如期实现、新型能源体系初步建成、主要污染物排放总量持续减少、生态系统多样性稳定性持续性不断提升‌。2、价值取向：坚持环保为民‌。规划强调从关心人民群众生存和健康的高度推进生态文明建设，以满足人民日益增长的优美生态环境需要为重要目标。3、战略牵引：以碳达峰碳中和为牵引‌。规划将“双碳”目标作为推动经济社会发展全面绿色转型的战略抓手，协同推进降碳、减污、扩绿、增长。‌‌‌</w:t>
      </w:r>
    </w:p>
    <w:p w14:paraId="66425B1B">
      <w:pPr>
        <w:pStyle w:val="123"/>
        <w:rPr>
          <w:sz w:val="24"/>
          <w:szCs w:val="24"/>
          <w:lang w:eastAsia="zh-CN"/>
        </w:rPr>
      </w:pPr>
      <w:r>
        <w:rPr>
          <w:rFonts w:hint="eastAsia" w:hAnsi="宋体"/>
          <w:sz w:val="24"/>
          <w:szCs w:val="24"/>
          <w:lang w:eastAsia="zh-CN"/>
        </w:rPr>
        <w:t>为贯彻落实环境风险防控任务，保障人民群众的身体健康和环境安全，规范企业突发环境事件风险评估行为，为企业提高环境风险防控能力提供切实指导，为环保部门根据企业环境风险等级实施分级差别化管理提供技术支持，原</w:t>
      </w:r>
      <w:r>
        <w:rPr>
          <w:rFonts w:hint="eastAsia"/>
          <w:sz w:val="24"/>
          <w:szCs w:val="24"/>
          <w:lang w:eastAsia="zh-CN"/>
        </w:rPr>
        <w:t>环保部于2014年4月3日出台了《关于印发&lt;企业突发环境事件风险评估指南（试行）&gt;的通知》（环办[2014]34号），于</w:t>
      </w:r>
      <w:r>
        <w:rPr>
          <w:sz w:val="24"/>
          <w:szCs w:val="24"/>
          <w:lang w:eastAsia="zh-CN"/>
        </w:rPr>
        <w:t>2018年</w:t>
      </w:r>
      <w:r>
        <w:rPr>
          <w:rFonts w:hint="eastAsia"/>
          <w:sz w:val="24"/>
          <w:szCs w:val="24"/>
          <w:lang w:eastAsia="zh-CN"/>
        </w:rPr>
        <w:t>2</w:t>
      </w:r>
      <w:r>
        <w:rPr>
          <w:sz w:val="24"/>
          <w:szCs w:val="24"/>
          <w:lang w:eastAsia="zh-CN"/>
        </w:rPr>
        <w:t>月</w:t>
      </w:r>
      <w:r>
        <w:rPr>
          <w:rFonts w:hint="eastAsia"/>
          <w:sz w:val="24"/>
          <w:szCs w:val="24"/>
          <w:lang w:eastAsia="zh-CN"/>
        </w:rPr>
        <w:t>5</w:t>
      </w:r>
      <w:r>
        <w:rPr>
          <w:sz w:val="24"/>
          <w:szCs w:val="24"/>
          <w:lang w:eastAsia="zh-CN"/>
        </w:rPr>
        <w:t>日出台了《企业突发环境事件风险分级方法》（HJ 941-2018）</w:t>
      </w:r>
      <w:r>
        <w:rPr>
          <w:rFonts w:hint="eastAsia" w:hAnsi="宋体"/>
          <w:sz w:val="24"/>
          <w:szCs w:val="24"/>
          <w:lang w:eastAsia="zh-CN"/>
        </w:rPr>
        <w:t>。</w:t>
      </w:r>
    </w:p>
    <w:p w14:paraId="05C26AF7">
      <w:pPr>
        <w:pStyle w:val="123"/>
        <w:rPr>
          <w:sz w:val="24"/>
          <w:szCs w:val="24"/>
          <w:lang w:eastAsia="zh-CN"/>
        </w:rPr>
      </w:pPr>
      <w:r>
        <w:rPr>
          <w:rFonts w:hint="eastAsia"/>
          <w:sz w:val="24"/>
          <w:szCs w:val="24"/>
          <w:lang w:eastAsia="zh-CN" w:bidi="en-US"/>
        </w:rPr>
        <w:t>淄博元齐生物科技有限公司</w:t>
      </w:r>
      <w:r>
        <w:rPr>
          <w:sz w:val="24"/>
          <w:szCs w:val="24"/>
          <w:lang w:eastAsia="zh-CN"/>
        </w:rPr>
        <w:t>为配合开展环境安全达标建设工作的要求，积极采取自查自纠方式，编制《</w:t>
      </w:r>
      <w:r>
        <w:rPr>
          <w:rFonts w:hint="eastAsia"/>
          <w:sz w:val="24"/>
          <w:szCs w:val="24"/>
          <w:lang w:eastAsia="zh-CN" w:bidi="en-US"/>
        </w:rPr>
        <w:t>淄博元齐生物科技有限公司</w:t>
      </w:r>
      <w:r>
        <w:rPr>
          <w:sz w:val="24"/>
          <w:szCs w:val="24"/>
          <w:lang w:eastAsia="zh-CN"/>
        </w:rPr>
        <w:t>突发环境事件风险评估报告》。通过开展突发环境事件风险评估，可以掌握自身环境风险状况，明确环境风险防控措施，为后期企业环境风险监管奠定基础，最终达到大幅度降低突发环境事件发生的目标。同时有利于生态环境部门加强对重点环境风险企业的针对性监督管理，提高管理效率，降低管理成本，并作为实施突发环境事件应急救援的规范性文件。</w:t>
      </w:r>
    </w:p>
    <w:p w14:paraId="1789C438">
      <w:pPr>
        <w:rPr>
          <w:rFonts w:ascii="Times New Roman" w:hAnsi="Times New Roman" w:cs="Times New Roman"/>
          <w:sz w:val="24"/>
          <w:szCs w:val="24"/>
        </w:rPr>
      </w:pPr>
      <w:r>
        <w:rPr>
          <w:rFonts w:ascii="Times New Roman" w:hAnsi="Times New Roman" w:cs="Times New Roman"/>
          <w:sz w:val="24"/>
          <w:szCs w:val="24"/>
        </w:rPr>
        <w:br w:type="page"/>
      </w:r>
    </w:p>
    <w:p w14:paraId="23A8A587">
      <w:pPr>
        <w:pStyle w:val="6"/>
        <w:pageBreakBefore w:val="0"/>
        <w:kinsoku/>
        <w:wordWrap/>
        <w:overflowPunct/>
        <w:topLinePunct w:val="0"/>
        <w:autoSpaceDE/>
        <w:autoSpaceDN/>
        <w:bidi w:val="0"/>
        <w:spacing w:beforeLines="0" w:afterLines="0"/>
        <w:textAlignment w:val="auto"/>
        <w:rPr>
          <w:rFonts w:hint="default" w:ascii="Times New Roman" w:hAnsi="Times New Roman" w:cs="Times New Roman"/>
          <w:color w:val="auto"/>
          <w:highlight w:val="none"/>
        </w:rPr>
      </w:pPr>
      <w:bookmarkStart w:id="5" w:name="_Toc15678"/>
      <w:r>
        <w:rPr>
          <w:rFonts w:hint="default" w:ascii="Times New Roman" w:hAnsi="Times New Roman" w:cs="Times New Roman"/>
          <w:color w:val="auto"/>
          <w:highlight w:val="none"/>
        </w:rPr>
        <w:t>2 总则</w:t>
      </w:r>
      <w:bookmarkEnd w:id="3"/>
      <w:bookmarkEnd w:id="4"/>
      <w:bookmarkEnd w:id="5"/>
    </w:p>
    <w:p w14:paraId="03C643B6">
      <w:pPr>
        <w:pStyle w:val="7"/>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bookmarkStart w:id="6" w:name="_Toc13044"/>
      <w:bookmarkStart w:id="7" w:name="_Toc11223"/>
      <w:bookmarkStart w:id="8" w:name="_Toc6815"/>
      <w:r>
        <w:rPr>
          <w:rFonts w:hint="default" w:ascii="Times New Roman" w:hAnsi="Times New Roman" w:cs="Times New Roman"/>
          <w:color w:val="auto"/>
          <w:highlight w:val="none"/>
        </w:rPr>
        <w:t>2.1 编制原则</w:t>
      </w:r>
      <w:bookmarkEnd w:id="6"/>
      <w:bookmarkEnd w:id="7"/>
      <w:bookmarkEnd w:id="8"/>
    </w:p>
    <w:p w14:paraId="2738DCA6">
      <w:pPr>
        <w:pStyle w:val="123"/>
        <w:pageBreakBefore w:val="0"/>
        <w:kinsoku/>
        <w:wordWrap/>
        <w:overflowPunct/>
        <w:topLinePunct w:val="0"/>
        <w:autoSpaceDE/>
        <w:autoSpaceDN/>
        <w:bidi w:val="0"/>
        <w:textAlignment w:val="auto"/>
        <w:rPr>
          <w:lang w:eastAsia="zh-CN"/>
        </w:rPr>
      </w:pPr>
      <w:r>
        <w:rPr>
          <w:lang w:eastAsia="zh-CN"/>
        </w:rPr>
        <w:t>按照“以人为本”的宗旨，合理保障人民群众的身体健康和环境安全，严格规范企业突发环境事件风险评估行为，提高突发环境事件防控能力，全面落实企业环境风险防控主体，并遵循以下原则开展环境风险评估工作：</w:t>
      </w:r>
    </w:p>
    <w:p w14:paraId="0499F6CA">
      <w:pPr>
        <w:pStyle w:val="123"/>
        <w:pageBreakBefore w:val="0"/>
        <w:kinsoku/>
        <w:wordWrap/>
        <w:overflowPunct/>
        <w:topLinePunct w:val="0"/>
        <w:autoSpaceDE/>
        <w:autoSpaceDN/>
        <w:bidi w:val="0"/>
        <w:textAlignment w:val="auto"/>
        <w:rPr>
          <w:rFonts w:hint="default" w:ascii="Times New Roman" w:hAnsi="Times New Roman" w:cs="Times New Roman"/>
          <w:color w:val="auto"/>
          <w:sz w:val="24"/>
          <w:highlight w:val="none"/>
        </w:rPr>
      </w:pPr>
      <w:r>
        <w:rPr>
          <w:lang w:eastAsia="zh-CN"/>
        </w:rPr>
        <w:t>环境风险评估编制应体现科学性、规范性、客观性和真实性的原则。环境风险评估过程中应贯彻执行我国环保相关的法律法规、标准、政策，分析企业自身环境风险状况，明确环境风险防控措施。</w:t>
      </w:r>
    </w:p>
    <w:p w14:paraId="73087967">
      <w:pPr>
        <w:pStyle w:val="7"/>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bookmarkStart w:id="9" w:name="_Toc10259"/>
      <w:bookmarkStart w:id="10" w:name="_Toc22940"/>
      <w:bookmarkStart w:id="11" w:name="_Toc25"/>
      <w:r>
        <w:rPr>
          <w:rFonts w:hint="default" w:ascii="Times New Roman" w:hAnsi="Times New Roman" w:cs="Times New Roman"/>
          <w:color w:val="auto"/>
          <w:highlight w:val="none"/>
        </w:rPr>
        <w:t>2.2 编制依据</w:t>
      </w:r>
      <w:bookmarkEnd w:id="9"/>
      <w:bookmarkEnd w:id="10"/>
      <w:bookmarkEnd w:id="11"/>
    </w:p>
    <w:p w14:paraId="62A6B16A">
      <w:pPr>
        <w:pStyle w:val="8"/>
        <w:pageBreakBefore w:val="0"/>
        <w:kinsoku/>
        <w:wordWrap/>
        <w:overflowPunct/>
        <w:topLinePunct w:val="0"/>
        <w:autoSpaceDE/>
        <w:autoSpaceDN/>
        <w:bidi w:val="0"/>
        <w:spacing w:before="0" w:after="0"/>
        <w:textAlignment w:val="auto"/>
        <w:rPr>
          <w:rFonts w:hint="eastAsia" w:ascii="宋体" w:hAnsi="宋体" w:eastAsia="宋体" w:cs="宋体"/>
          <w:color w:val="auto"/>
          <w:sz w:val="24"/>
          <w:szCs w:val="24"/>
          <w:highlight w:val="none"/>
        </w:rPr>
      </w:pPr>
      <w:bookmarkStart w:id="12" w:name="_Toc23696"/>
      <w:r>
        <w:rPr>
          <w:rFonts w:hint="eastAsia" w:ascii="宋体" w:hAnsi="宋体" w:eastAsia="宋体" w:cs="宋体"/>
          <w:color w:val="auto"/>
          <w:sz w:val="24"/>
          <w:szCs w:val="24"/>
          <w:highlight w:val="none"/>
        </w:rPr>
        <w:t>2.2.1 法律法规、规章、指导性文件</w:t>
      </w:r>
      <w:bookmarkEnd w:id="12"/>
    </w:p>
    <w:p w14:paraId="2CA73028">
      <w:pPr>
        <w:pStyle w:val="123"/>
        <w:pageBreakBefore w:val="0"/>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13" w:name="_Hlk73484969"/>
      <w:bookmarkStart w:id="14" w:name="_Hlk102722636"/>
      <w:bookmarkStart w:id="15" w:name="_Toc17998"/>
      <w:r>
        <w:rPr>
          <w:rFonts w:hint="eastAsia" w:ascii="宋体" w:hAnsi="宋体" w:eastAsia="宋体" w:cs="宋体"/>
          <w:color w:val="000000" w:themeColor="text1"/>
          <w:sz w:val="24"/>
          <w:szCs w:val="24"/>
          <w:lang w:eastAsia="zh-CN"/>
          <w14:textFill>
            <w14:solidFill>
              <w14:schemeClr w14:val="tx1"/>
            </w14:solidFill>
          </w14:textFill>
        </w:rPr>
        <w:t>此次《环境风险评估报告》的编制工作，严格按照国家、省、市各级政府下达的相关法律、法规、标准、规范和其他相关政策、文件以及公司的实际情况进行。</w:t>
      </w:r>
    </w:p>
    <w:bookmarkEnd w:id="13"/>
    <w:bookmarkEnd w:id="14"/>
    <w:bookmarkEnd w:id="15"/>
    <w:p w14:paraId="16C9AFDC">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16" w:name="2.3.1_法律法规与标准规范"/>
      <w:bookmarkEnd w:id="16"/>
      <w:bookmarkStart w:id="17" w:name="_Hlk102722582"/>
      <w:bookmarkStart w:id="18" w:name="_Toc127256771"/>
      <w:bookmarkStart w:id="19" w:name="_Toc73285813"/>
      <w:r>
        <w:rPr>
          <w:rFonts w:hint="eastAsia" w:ascii="宋体" w:hAnsi="宋体" w:eastAsia="宋体" w:cs="宋体"/>
          <w:color w:val="000000" w:themeColor="text1"/>
          <w:sz w:val="24"/>
          <w:szCs w:val="24"/>
          <w:lang w:eastAsia="zh-CN"/>
          <w14:textFill>
            <w14:solidFill>
              <w14:schemeClr w14:val="tx1"/>
            </w14:solidFill>
          </w14:textFill>
        </w:rPr>
        <w:t>《中华人民共和国环境保护法》，2015年1月1日起实施；</w:t>
      </w:r>
    </w:p>
    <w:p w14:paraId="1221D47C">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《中华人民共和国水污染防治法》，2017年6月27日修订；</w:t>
      </w:r>
    </w:p>
    <w:p w14:paraId="102A3EB6">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《中华人民共和国大气污染防治法》，</w:t>
      </w:r>
      <w:bookmarkStart w:id="20" w:name="_Hlk96527812"/>
      <w:r>
        <w:rPr>
          <w:rFonts w:hint="eastAsia" w:ascii="宋体" w:hAnsi="宋体" w:eastAsia="宋体" w:cs="宋体"/>
          <w:color w:val="000000" w:themeColor="text1"/>
          <w:sz w:val="24"/>
          <w:szCs w:val="24"/>
          <w:lang w:eastAsia="zh-CN"/>
          <w14:textFill>
            <w14:solidFill>
              <w14:schemeClr w14:val="tx1"/>
            </w14:solidFill>
          </w14:textFill>
        </w:rPr>
        <w:t>2018年10月26日</w:t>
      </w:r>
      <w:bookmarkEnd w:id="20"/>
      <w:r>
        <w:rPr>
          <w:rFonts w:hint="eastAsia" w:ascii="宋体" w:hAnsi="宋体" w:eastAsia="宋体" w:cs="宋体"/>
          <w:color w:val="000000" w:themeColor="text1"/>
          <w:sz w:val="24"/>
          <w:szCs w:val="24"/>
          <w:lang w:eastAsia="zh-CN"/>
          <w14:textFill>
            <w14:solidFill>
              <w14:schemeClr w14:val="tx1"/>
            </w14:solidFill>
          </w14:textFill>
        </w:rPr>
        <w:t>修正；</w:t>
      </w:r>
    </w:p>
    <w:p w14:paraId="0FC4C161">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《中华人民共和国固体废物污染环境防治法》，</w:t>
      </w:r>
      <w:bookmarkStart w:id="21" w:name="_Hlk96527746"/>
      <w:r>
        <w:rPr>
          <w:rFonts w:hint="eastAsia" w:ascii="宋体" w:hAnsi="宋体" w:eastAsia="宋体" w:cs="宋体"/>
          <w:color w:val="000000" w:themeColor="text1"/>
          <w:sz w:val="24"/>
          <w:szCs w:val="24"/>
          <w:lang w:eastAsia="zh-CN"/>
          <w14:textFill>
            <w14:solidFill>
              <w14:schemeClr w14:val="tx1"/>
            </w14:solidFill>
          </w14:textFill>
        </w:rPr>
        <w:t>2020年4月29日修正</w:t>
      </w:r>
      <w:bookmarkEnd w:id="21"/>
      <w:r>
        <w:rPr>
          <w:rFonts w:hint="eastAsia" w:ascii="宋体" w:hAnsi="宋体" w:eastAsia="宋体" w:cs="宋体"/>
          <w:color w:val="000000" w:themeColor="text1"/>
          <w:sz w:val="24"/>
          <w:szCs w:val="24"/>
          <w:lang w:eastAsia="zh-CN"/>
          <w14:textFill>
            <w14:solidFill>
              <w14:schemeClr w14:val="tx1"/>
            </w14:solidFill>
          </w14:textFill>
        </w:rPr>
        <w:t>；</w:t>
      </w:r>
    </w:p>
    <w:p w14:paraId="224D8B51">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《中华人民共和国噪声污染防治法》，2022年6月5日起施行；</w:t>
      </w:r>
    </w:p>
    <w:p w14:paraId="5A8395D3">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《中华人民共和国突发事件应对法》，</w:t>
      </w:r>
      <w:r>
        <w:rPr>
          <w:rFonts w:hint="eastAsia" w:ascii="宋体" w:hAnsi="宋体" w:cs="宋体"/>
          <w:color w:val="000000" w:themeColor="text1"/>
          <w:sz w:val="24"/>
          <w:szCs w:val="24"/>
          <w:lang w:val="en-US" w:eastAsia="zh-CN"/>
          <w14:textFill>
            <w14:solidFill>
              <w14:schemeClr w14:val="tx1"/>
            </w14:solidFill>
          </w14:textFill>
        </w:rPr>
        <w:t>2024年6月28日修订</w:t>
      </w:r>
      <w:r>
        <w:rPr>
          <w:rFonts w:hint="eastAsia" w:ascii="宋体" w:hAnsi="宋体" w:eastAsia="宋体" w:cs="宋体"/>
          <w:color w:val="000000" w:themeColor="text1"/>
          <w:sz w:val="24"/>
          <w:szCs w:val="24"/>
          <w:lang w:eastAsia="zh-CN"/>
          <w14:textFill>
            <w14:solidFill>
              <w14:schemeClr w14:val="tx1"/>
            </w14:solidFill>
          </w14:textFill>
        </w:rPr>
        <w:t>；</w:t>
      </w:r>
    </w:p>
    <w:p w14:paraId="163656CC">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《中华人民共和国安全生产法》，2021年6月10日修订；</w:t>
      </w:r>
    </w:p>
    <w:p w14:paraId="3125EE73">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《中华人民共和国消防法》，2021年4月29日修订；</w:t>
      </w:r>
    </w:p>
    <w:p w14:paraId="702A024B">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《中华人民共和国</w:t>
      </w:r>
      <w:r>
        <w:rPr>
          <w:rFonts w:hint="eastAsia" w:ascii="宋体" w:hAnsi="宋体" w:cs="宋体"/>
          <w:color w:val="000000" w:themeColor="text1"/>
          <w:sz w:val="24"/>
          <w:szCs w:val="24"/>
          <w:lang w:eastAsia="zh-CN"/>
          <w14:textFill>
            <w14:solidFill>
              <w14:schemeClr w14:val="tx1"/>
            </w14:solidFill>
          </w14:textFill>
        </w:rPr>
        <w:t>生态环境法典</w:t>
      </w:r>
      <w:r>
        <w:rPr>
          <w:rFonts w:hint="eastAsia" w:ascii="宋体" w:hAnsi="宋体" w:eastAsia="宋体" w:cs="宋体"/>
          <w:color w:val="000000" w:themeColor="text1"/>
          <w:sz w:val="24"/>
          <w:szCs w:val="24"/>
          <w:lang w:eastAsia="zh-CN"/>
          <w14:textFill>
            <w14:solidFill>
              <w14:schemeClr w14:val="tx1"/>
            </w14:solidFill>
          </w14:textFill>
        </w:rPr>
        <w:t>》，2019年1月1日起施行；</w:t>
      </w:r>
    </w:p>
    <w:p w14:paraId="42878E82">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《国家突发环境事件应急预案》（国办函[2014]119号）；</w:t>
      </w:r>
    </w:p>
    <w:p w14:paraId="4450FF35">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《国家突发公共事件总体应急预案》（2006年1月8日施行）；</w:t>
      </w:r>
    </w:p>
    <w:p w14:paraId="2939925D">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《国务院关于加强环境保护重点工作的意见》（国发[2011]35号）；</w:t>
      </w:r>
    </w:p>
    <w:p w14:paraId="03A35E35">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《突发环境</w:t>
      </w:r>
      <w:r>
        <w:rPr>
          <w:rFonts w:hint="eastAsia" w:ascii="宋体" w:hAnsi="宋体" w:cs="宋体"/>
          <w:color w:val="000000" w:themeColor="text1"/>
          <w:sz w:val="24"/>
          <w:szCs w:val="24"/>
          <w:lang w:eastAsia="zh-CN"/>
          <w14:textFill>
            <w14:solidFill>
              <w14:schemeClr w14:val="tx1"/>
            </w14:solidFill>
          </w14:textFill>
        </w:rPr>
        <w:t>应急预案管理</w:t>
      </w:r>
      <w:r>
        <w:rPr>
          <w:rFonts w:hint="eastAsia" w:ascii="宋体" w:hAnsi="宋体" w:eastAsia="宋体" w:cs="宋体"/>
          <w:color w:val="000000" w:themeColor="text1"/>
          <w:sz w:val="24"/>
          <w:szCs w:val="24"/>
          <w:lang w:eastAsia="zh-CN"/>
          <w14:textFill>
            <w14:solidFill>
              <w14:schemeClr w14:val="tx1"/>
            </w14:solidFill>
          </w14:textFill>
        </w:rPr>
        <w:t>办法》（</w:t>
      </w:r>
      <w:r>
        <w:rPr>
          <w:rFonts w:hint="eastAsia" w:ascii="宋体" w:hAnsi="宋体" w:cs="宋体"/>
          <w:color w:val="000000" w:themeColor="text1"/>
          <w:sz w:val="24"/>
          <w:szCs w:val="24"/>
          <w:lang w:eastAsia="zh-CN"/>
          <w14:textFill>
            <w14:solidFill>
              <w14:schemeClr w14:val="tx1"/>
            </w14:solidFill>
          </w14:textFill>
        </w:rPr>
        <w:t>国法办</w:t>
      </w:r>
      <w:r>
        <w:rPr>
          <w:rFonts w:hint="eastAsia" w:ascii="宋体" w:hAnsi="宋体" w:eastAsia="宋体" w:cs="宋体"/>
          <w:color w:val="000000" w:themeColor="text1"/>
          <w:sz w:val="24"/>
          <w:szCs w:val="24"/>
          <w:lang w:eastAsia="zh-CN"/>
          <w14:textFill>
            <w14:solidFill>
              <w14:schemeClr w14:val="tx1"/>
            </w14:solidFill>
          </w14:textFill>
        </w:rPr>
        <w:t>[201</w:t>
      </w: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 xml:space="preserve">]第 </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 xml:space="preserve"> 号）；</w:t>
      </w:r>
    </w:p>
    <w:p w14:paraId="6A77C0E2">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《突发环境事件应急管理办法》（环保部令[2015]第 34 号）；</w:t>
      </w:r>
    </w:p>
    <w:p w14:paraId="5D7CBE61">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《危险化学品安全管理条例》（国务院 344 号令），2013年12月7日修订）；</w:t>
      </w:r>
    </w:p>
    <w:p w14:paraId="353E426F">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《危险化学品登记管理办法》（</w:t>
      </w:r>
      <w:r>
        <w:rPr>
          <w:rFonts w:hint="eastAsia" w:ascii="宋体" w:hAnsi="宋体" w:cs="宋体"/>
          <w:color w:val="000000" w:themeColor="text1"/>
          <w:sz w:val="24"/>
          <w:szCs w:val="24"/>
          <w:lang w:eastAsia="zh-CN"/>
          <w14:textFill>
            <w14:solidFill>
              <w14:schemeClr w14:val="tx1"/>
            </w14:solidFill>
          </w14:textFill>
        </w:rPr>
        <w:t>安检总局</w:t>
      </w:r>
      <w:r>
        <w:rPr>
          <w:rFonts w:hint="eastAsia" w:ascii="宋体" w:hAnsi="宋体" w:eastAsia="宋体" w:cs="宋体"/>
          <w:color w:val="000000" w:themeColor="text1"/>
          <w:sz w:val="24"/>
          <w:szCs w:val="24"/>
          <w:lang w:eastAsia="zh-CN"/>
          <w14:textFill>
            <w14:solidFill>
              <w14:schemeClr w14:val="tx1"/>
            </w14:solidFill>
          </w14:textFill>
        </w:rPr>
        <w:t>令第22号），2012年8月1日；</w:t>
      </w:r>
    </w:p>
    <w:p w14:paraId="6BA42257">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《危险化学品生产企业安全生产许可证实施办法》（国家安监总局令第</w:t>
      </w:r>
      <w:r>
        <w:rPr>
          <w:rFonts w:hint="eastAsia" w:ascii="宋体" w:hAnsi="宋体" w:cs="宋体"/>
          <w:color w:val="000000" w:themeColor="text1"/>
          <w:sz w:val="24"/>
          <w:szCs w:val="24"/>
          <w:lang w:val="en-US" w:eastAsia="zh-CN"/>
          <w14:textFill>
            <w14:solidFill>
              <w14:schemeClr w14:val="tx1"/>
            </w14:solidFill>
          </w14:textFill>
        </w:rPr>
        <w:t>89</w:t>
      </w:r>
      <w:r>
        <w:rPr>
          <w:rFonts w:hint="eastAsia" w:ascii="宋体" w:hAnsi="宋体" w:eastAsia="宋体" w:cs="宋体"/>
          <w:color w:val="000000" w:themeColor="text1"/>
          <w:sz w:val="24"/>
          <w:szCs w:val="24"/>
          <w:lang w:eastAsia="zh-CN"/>
          <w14:textFill>
            <w14:solidFill>
              <w14:schemeClr w14:val="tx1"/>
            </w14:solidFill>
          </w14:textFill>
        </w:rPr>
        <w:t>号），201</w:t>
      </w: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lang w:eastAsia="zh-CN"/>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eastAsia="zh-CN"/>
          <w14:textFill>
            <w14:solidFill>
              <w14:schemeClr w14:val="tx1"/>
            </w14:solidFill>
          </w14:textFill>
        </w:rPr>
        <w:t>日；</w:t>
      </w:r>
    </w:p>
    <w:p w14:paraId="7A7B35A8">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《危险化学品建设项目安全监督管理办法》（国家安全生产监督管理总局令第45号），2012年4月1日；</w:t>
      </w:r>
    </w:p>
    <w:p w14:paraId="5CC2FDC4">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《危险化学品重大危险源监督管理暂行规定》（国家安全生产监督管理总局令第40号），2015年7月1日修订；</w:t>
      </w:r>
    </w:p>
    <w:p w14:paraId="36CA24EF">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《关于印发企业突发环境事件风险评估指南（试行）的通知》（环办[2014] 34 号）；</w:t>
      </w:r>
    </w:p>
    <w:p w14:paraId="06A88169">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《企事业单位突发环境事件应急预案备案管理办法（试行）》（环发[2015]4 号）；</w:t>
      </w:r>
    </w:p>
    <w:p w14:paraId="57B46CFF">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《关于印发环境应急资源调查指南（试行）的通知》环办应急[2019]17号；</w:t>
      </w:r>
    </w:p>
    <w:p w14:paraId="5AD0F239">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《企业事业单位突发环境事件应急预案评审工作指南（试行）的通知》环办应急[2018]8 号；</w:t>
      </w:r>
    </w:p>
    <w:p w14:paraId="0392DA61">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《企业事业单位环境信息公开办法》，环境保护部部令第31号；</w:t>
      </w:r>
    </w:p>
    <w:p w14:paraId="371D03D9">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22" w:name="2.4_适用范围"/>
      <w:bookmarkEnd w:id="22"/>
      <w:bookmarkStart w:id="23" w:name="2.5_评估程序"/>
      <w:bookmarkEnd w:id="23"/>
      <w:r>
        <w:rPr>
          <w:rFonts w:hint="eastAsia" w:ascii="宋体" w:hAnsi="宋体" w:eastAsia="宋体" w:cs="宋体"/>
          <w:color w:val="000000" w:themeColor="text1"/>
          <w:sz w:val="24"/>
          <w:szCs w:val="24"/>
          <w:lang w:eastAsia="zh-CN"/>
          <w14:textFill>
            <w14:solidFill>
              <w14:schemeClr w14:val="tx1"/>
            </w14:solidFill>
          </w14:textFill>
        </w:rPr>
        <w:t>《企业突发环境事件隐患排查和治理工作指南（试行）》 环境保护部公告[2016]74 号；</w:t>
      </w:r>
    </w:p>
    <w:p w14:paraId="53A2B342">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《企业突发环境事件风险分级方法》，HJ941-2018；</w:t>
      </w:r>
    </w:p>
    <w:p w14:paraId="09B0FF70">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24" w:name="_Hlk96528093"/>
      <w:r>
        <w:rPr>
          <w:rFonts w:hint="eastAsia" w:ascii="宋体" w:hAnsi="宋体" w:eastAsia="宋体" w:cs="宋体"/>
          <w:color w:val="000000" w:themeColor="text1"/>
          <w:sz w:val="24"/>
          <w:szCs w:val="24"/>
          <w:lang w:eastAsia="zh-CN"/>
          <w14:textFill>
            <w14:solidFill>
              <w14:schemeClr w14:val="tx1"/>
            </w14:solidFill>
          </w14:textFill>
        </w:rPr>
        <w:t>《山东省突发事件总体应急预案》鲁政发〔20</w:t>
      </w:r>
      <w:r>
        <w:rPr>
          <w:rFonts w:hint="eastAsia" w:ascii="宋体" w:hAnsi="宋体" w:cs="宋体"/>
          <w:color w:val="000000" w:themeColor="text1"/>
          <w:sz w:val="24"/>
          <w:szCs w:val="24"/>
          <w:lang w:val="en-US" w:eastAsia="zh-CN"/>
          <w14:textFill>
            <w14:solidFill>
              <w14:schemeClr w14:val="tx1"/>
            </w14:solidFill>
          </w14:textFill>
        </w:rPr>
        <w:t>21</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14</w:t>
      </w:r>
      <w:r>
        <w:rPr>
          <w:rFonts w:hint="eastAsia" w:ascii="宋体" w:hAnsi="宋体" w:eastAsia="宋体" w:cs="宋体"/>
          <w:color w:val="000000" w:themeColor="text1"/>
          <w:sz w:val="24"/>
          <w:szCs w:val="24"/>
          <w:lang w:eastAsia="zh-CN"/>
          <w14:textFill>
            <w14:solidFill>
              <w14:schemeClr w14:val="tx1"/>
            </w14:solidFill>
          </w14:textFill>
        </w:rPr>
        <w:t>号；</w:t>
      </w:r>
    </w:p>
    <w:bookmarkEnd w:id="24"/>
    <w:p w14:paraId="021F3DB3">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25" w:name="_Hlk96528046"/>
      <w:r>
        <w:rPr>
          <w:rFonts w:hint="eastAsia" w:ascii="宋体" w:hAnsi="宋体" w:eastAsia="宋体" w:cs="宋体"/>
          <w:color w:val="000000" w:themeColor="text1"/>
          <w:sz w:val="24"/>
          <w:szCs w:val="24"/>
          <w:lang w:eastAsia="zh-CN"/>
          <w14:textFill>
            <w14:solidFill>
              <w14:schemeClr w14:val="tx1"/>
            </w14:solidFill>
          </w14:textFill>
        </w:rPr>
        <w:t>《山东省突发环境事件应急预案》鲁政办字〔2020〕50号；</w:t>
      </w:r>
    </w:p>
    <w:bookmarkEnd w:id="25"/>
    <w:p w14:paraId="056539DF">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26" w:name="_Hlk96528106"/>
      <w:r>
        <w:rPr>
          <w:rFonts w:hint="eastAsia" w:ascii="宋体" w:hAnsi="宋体" w:eastAsia="宋体" w:cs="宋体"/>
          <w:color w:val="000000" w:themeColor="text1"/>
          <w:sz w:val="24"/>
          <w:szCs w:val="24"/>
          <w:lang w:eastAsia="zh-CN"/>
          <w14:textFill>
            <w14:solidFill>
              <w14:schemeClr w14:val="tx1"/>
            </w14:solidFill>
          </w14:textFill>
        </w:rPr>
        <w:t>《山东省突发事件应急预案管理办法》（鲁政办发[2009]56 号）；</w:t>
      </w:r>
    </w:p>
    <w:bookmarkEnd w:id="26"/>
    <w:p w14:paraId="786C552B">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《淄博市突发环境事件应急预案》（淄政办字〔2020〕99号）；</w:t>
      </w:r>
    </w:p>
    <w:p w14:paraId="035709A2">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《临淄区突发环境事件总体应急预案》（临政办字〔2020〕48 号）；</w:t>
      </w:r>
    </w:p>
    <w:p w14:paraId="14A60114">
      <w:pPr>
        <w:pStyle w:val="123"/>
        <w:pageBreakBefore w:val="0"/>
        <w:numPr>
          <w:ilvl w:val="0"/>
          <w:numId w:val="2"/>
        </w:numPr>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 xml:space="preserve">《关于进一步做好突发环境事件应急预案备案管理工作的通知》，淄环发〔2020〕100 号。 </w:t>
      </w:r>
    </w:p>
    <w:bookmarkEnd w:id="17"/>
    <w:p w14:paraId="0FD30F5A">
      <w:pPr>
        <w:pStyle w:val="8"/>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2.2.2</w:t>
      </w:r>
      <w:r>
        <w:rPr>
          <w:rFonts w:hint="eastAsia"/>
          <w:color w:val="000000" w:themeColor="text1"/>
          <w:sz w:val="24"/>
          <w:szCs w:val="24"/>
          <w14:textFill>
            <w14:solidFill>
              <w14:schemeClr w14:val="tx1"/>
            </w14:solidFill>
          </w14:textFill>
        </w:rPr>
        <w:t>技术指南、标准规范</w:t>
      </w:r>
    </w:p>
    <w:p w14:paraId="0F45F176">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《地表水环境质量标准》（</w:t>
      </w:r>
      <w:r>
        <w:rPr>
          <w:color w:val="000000" w:themeColor="text1"/>
          <w:lang w:eastAsia="zh-CN"/>
          <w14:textFill>
            <w14:solidFill>
              <w14:schemeClr w14:val="tx1"/>
            </w14:solidFill>
          </w14:textFill>
        </w:rPr>
        <w:t>GB 3838-2002）</w:t>
      </w:r>
      <w:r>
        <w:rPr>
          <w:rFonts w:hint="eastAsia"/>
          <w:color w:val="000000" w:themeColor="text1"/>
          <w:lang w:eastAsia="zh-CN"/>
          <w14:textFill>
            <w14:solidFill>
              <w14:schemeClr w14:val="tx1"/>
            </w14:solidFill>
          </w14:textFill>
        </w:rPr>
        <w:t>；</w:t>
      </w:r>
    </w:p>
    <w:p w14:paraId="10E7D25E">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《地下水质量标准》（</w:t>
      </w:r>
      <w:r>
        <w:rPr>
          <w:color w:val="000000" w:themeColor="text1"/>
          <w:lang w:eastAsia="zh-CN"/>
          <w14:textFill>
            <w14:solidFill>
              <w14:schemeClr w14:val="tx1"/>
            </w14:solidFill>
          </w14:textFill>
        </w:rPr>
        <w:t>GB/T 14848-2017）</w:t>
      </w:r>
      <w:r>
        <w:rPr>
          <w:rFonts w:hint="eastAsia"/>
          <w:color w:val="000000" w:themeColor="text1"/>
          <w:lang w:eastAsia="zh-CN"/>
          <w14:textFill>
            <w14:solidFill>
              <w14:schemeClr w14:val="tx1"/>
            </w14:solidFill>
          </w14:textFill>
        </w:rPr>
        <w:t>；</w:t>
      </w:r>
    </w:p>
    <w:p w14:paraId="4EAF5274">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《环境空气质量标准》（</w:t>
      </w:r>
      <w:r>
        <w:rPr>
          <w:color w:val="000000" w:themeColor="text1"/>
          <w:lang w:eastAsia="zh-CN"/>
          <w14:textFill>
            <w14:solidFill>
              <w14:schemeClr w14:val="tx1"/>
            </w14:solidFill>
          </w14:textFill>
        </w:rPr>
        <w:t>GB 3095-20</w:t>
      </w:r>
      <w:r>
        <w:rPr>
          <w:rFonts w:hint="eastAsia"/>
          <w:color w:val="000000" w:themeColor="text1"/>
          <w:lang w:val="en-US" w:eastAsia="zh-CN"/>
          <w14:textFill>
            <w14:solidFill>
              <w14:schemeClr w14:val="tx1"/>
            </w14:solidFill>
          </w14:textFill>
        </w:rPr>
        <w:t>26</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p>
    <w:p w14:paraId="36E7DAA8">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《声环境质量标准》（</w:t>
      </w:r>
      <w:r>
        <w:rPr>
          <w:color w:val="000000" w:themeColor="text1"/>
          <w:lang w:eastAsia="zh-CN"/>
          <w14:textFill>
            <w14:solidFill>
              <w14:schemeClr w14:val="tx1"/>
            </w14:solidFill>
          </w14:textFill>
        </w:rPr>
        <w:t>GB3096-2008）</w:t>
      </w:r>
      <w:r>
        <w:rPr>
          <w:rFonts w:hint="eastAsia"/>
          <w:color w:val="000000" w:themeColor="text1"/>
          <w:lang w:eastAsia="zh-CN"/>
          <w14:textFill>
            <w14:solidFill>
              <w14:schemeClr w14:val="tx1"/>
            </w14:solidFill>
          </w14:textFill>
        </w:rPr>
        <w:t>；</w:t>
      </w:r>
    </w:p>
    <w:p w14:paraId="3C8DCD6B">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《土壤环境质量标准》（</w:t>
      </w:r>
      <w:r>
        <w:rPr>
          <w:color w:val="000000" w:themeColor="text1"/>
          <w:lang w:eastAsia="zh-CN"/>
          <w14:textFill>
            <w14:solidFill>
              <w14:schemeClr w14:val="tx1"/>
            </w14:solidFill>
          </w14:textFill>
        </w:rPr>
        <w:t>GB36600-2018）</w:t>
      </w:r>
      <w:r>
        <w:rPr>
          <w:rFonts w:hint="eastAsia"/>
          <w:color w:val="000000" w:themeColor="text1"/>
          <w:lang w:eastAsia="zh-CN"/>
          <w14:textFill>
            <w14:solidFill>
              <w14:schemeClr w14:val="tx1"/>
            </w14:solidFill>
          </w14:textFill>
        </w:rPr>
        <w:t>；</w:t>
      </w:r>
    </w:p>
    <w:p w14:paraId="7B6A492C">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《大气污染物综合排放标准》（</w:t>
      </w:r>
      <w:r>
        <w:rPr>
          <w:color w:val="000000" w:themeColor="text1"/>
          <w:lang w:eastAsia="zh-CN"/>
          <w14:textFill>
            <w14:solidFill>
              <w14:schemeClr w14:val="tx1"/>
            </w14:solidFill>
          </w14:textFill>
        </w:rPr>
        <w:t>GB 16297-1996）</w:t>
      </w:r>
      <w:r>
        <w:rPr>
          <w:rFonts w:hint="eastAsia"/>
          <w:color w:val="000000" w:themeColor="text1"/>
          <w:lang w:eastAsia="zh-CN"/>
          <w14:textFill>
            <w14:solidFill>
              <w14:schemeClr w14:val="tx1"/>
            </w14:solidFill>
          </w14:textFill>
        </w:rPr>
        <w:t>；</w:t>
      </w:r>
    </w:p>
    <w:p w14:paraId="3079F57B">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《恶臭污染物排放标准》（</w:t>
      </w:r>
      <w:r>
        <w:rPr>
          <w:color w:val="000000" w:themeColor="text1"/>
          <w:lang w:eastAsia="zh-CN"/>
          <w14:textFill>
            <w14:solidFill>
              <w14:schemeClr w14:val="tx1"/>
            </w14:solidFill>
          </w14:textFill>
        </w:rPr>
        <w:t>GB 14554-93）</w:t>
      </w:r>
      <w:r>
        <w:rPr>
          <w:rFonts w:hint="eastAsia"/>
          <w:color w:val="000000" w:themeColor="text1"/>
          <w:lang w:eastAsia="zh-CN"/>
          <w14:textFill>
            <w14:solidFill>
              <w14:schemeClr w14:val="tx1"/>
            </w14:solidFill>
          </w14:textFill>
        </w:rPr>
        <w:t>；</w:t>
      </w:r>
    </w:p>
    <w:p w14:paraId="3BEA6B80">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《储罐区防火提设计规范》（GB 50351-2014）；</w:t>
      </w:r>
    </w:p>
    <w:p w14:paraId="6BAC9237">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《事故状态下水体污染物的预防与控制技术要求》（Q/SY</w:t>
      </w:r>
      <w:r>
        <w:rPr>
          <w:rFonts w:hint="eastAsia"/>
          <w:color w:val="000000" w:themeColor="text1"/>
          <w:lang w:val="en-US" w:eastAsia="zh-CN"/>
          <w14:textFill>
            <w14:solidFill>
              <w14:schemeClr w14:val="tx1"/>
            </w14:solidFill>
          </w14:textFill>
        </w:rPr>
        <w:t>01</w:t>
      </w:r>
      <w:r>
        <w:rPr>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106</w:t>
      </w:r>
      <w:r>
        <w:rPr>
          <w:color w:val="000000" w:themeColor="text1"/>
          <w:lang w:eastAsia="zh-CN"/>
          <w14:textFill>
            <w14:solidFill>
              <w14:schemeClr w14:val="tx1"/>
            </w14:solidFill>
          </w14:textFill>
        </w:rPr>
        <w:t>）；</w:t>
      </w:r>
    </w:p>
    <w:p w14:paraId="6FADFBF5">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《建筑设计防火规范》（GB50016-2014  2018</w:t>
      </w:r>
      <w:r>
        <w:rPr>
          <w:rFonts w:hint="eastAsia"/>
          <w:color w:val="000000" w:themeColor="text1"/>
          <w:lang w:eastAsia="zh-CN"/>
          <w14:textFill>
            <w14:solidFill>
              <w14:schemeClr w14:val="tx1"/>
            </w14:solidFill>
          </w14:textFill>
        </w:rPr>
        <w:t>版）</w:t>
      </w:r>
      <w:r>
        <w:rPr>
          <w:color w:val="000000" w:themeColor="text1"/>
          <w:lang w:eastAsia="zh-CN"/>
          <w14:textFill>
            <w14:solidFill>
              <w14:schemeClr w14:val="tx1"/>
            </w14:solidFill>
          </w14:textFill>
        </w:rPr>
        <w:t>；</w:t>
      </w:r>
    </w:p>
    <w:p w14:paraId="78158A6C">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《化学品分类、警示标签和警示性说明安全规范》（GB20576-GB20602）；</w:t>
      </w:r>
    </w:p>
    <w:p w14:paraId="3A496AD1">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《建设项目环境风险评价技术导则》（HJ/T169-2018）；</w:t>
      </w:r>
    </w:p>
    <w:p w14:paraId="3312532A">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《固定式压力容器安全技术监察规程》（TSG R004-2009）；</w:t>
      </w:r>
    </w:p>
    <w:p w14:paraId="5CEC5F9F">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《危险化学品重大危险源辨识》（GB18218-2018）；</w:t>
      </w:r>
    </w:p>
    <w:p w14:paraId="5AFD7A6D">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《化学品毒性鉴定技术规范》（ 卫监督发[2005]272号）；</w:t>
      </w:r>
    </w:p>
    <w:p w14:paraId="55C46B04">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《危险废物鉴别标准</w:t>
      </w:r>
      <w:r>
        <w:rPr>
          <w:color w:val="000000" w:themeColor="text1"/>
          <w:lang w:eastAsia="zh-CN"/>
          <w14:textFill>
            <w14:solidFill>
              <w14:schemeClr w14:val="tx1"/>
            </w14:solidFill>
          </w14:textFill>
        </w:rPr>
        <w:t xml:space="preserve"> 通则》（GB 5085.7-2007）；</w:t>
      </w:r>
    </w:p>
    <w:p w14:paraId="10A5BC0D">
      <w:pPr>
        <w:pStyle w:val="123"/>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《国家危险废物名录》，202</w:t>
      </w:r>
      <w:r>
        <w:rPr>
          <w:rFonts w:hint="eastAsia"/>
          <w:color w:val="000000" w:themeColor="text1"/>
          <w:lang w:val="en-US" w:eastAsia="zh-CN"/>
          <w14:textFill>
            <w14:solidFill>
              <w14:schemeClr w14:val="tx1"/>
            </w14:solidFill>
          </w14:textFill>
        </w:rPr>
        <w:t>5</w:t>
      </w:r>
      <w:r>
        <w:rPr>
          <w:color w:val="000000" w:themeColor="text1"/>
          <w:lang w:eastAsia="zh-CN"/>
          <w14:textFill>
            <w14:solidFill>
              <w14:schemeClr w14:val="tx1"/>
            </w14:solidFill>
          </w14:textFill>
        </w:rPr>
        <w:t>.1.1施行；</w:t>
      </w:r>
    </w:p>
    <w:p w14:paraId="413A7957">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《突发环境事件应急监测技术规范》（</w:t>
      </w:r>
      <w:r>
        <w:rPr>
          <w:color w:val="000000" w:themeColor="text1"/>
          <w:lang w:eastAsia="zh-CN"/>
          <w14:textFill>
            <w14:solidFill>
              <w14:schemeClr w14:val="tx1"/>
            </w14:solidFill>
          </w14:textFill>
        </w:rPr>
        <w:t>HJ 589-2021，2022年3月1日起实施）；</w:t>
      </w:r>
    </w:p>
    <w:p w14:paraId="43EA29F4">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《重点监管的危险化学品名录》（</w:t>
      </w:r>
      <w:r>
        <w:rPr>
          <w:color w:val="000000" w:themeColor="text1"/>
          <w:lang w:eastAsia="zh-CN"/>
          <w14:textFill>
            <w14:solidFill>
              <w14:schemeClr w14:val="tx1"/>
            </w14:solidFill>
          </w14:textFill>
        </w:rPr>
        <w:t>2013年完整版）；</w:t>
      </w:r>
    </w:p>
    <w:p w14:paraId="0FD5D4EF">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《重点监管危险化工工艺目录》（</w:t>
      </w:r>
      <w:r>
        <w:rPr>
          <w:color w:val="000000" w:themeColor="text1"/>
          <w:lang w:eastAsia="zh-CN"/>
          <w14:textFill>
            <w14:solidFill>
              <w14:schemeClr w14:val="tx1"/>
            </w14:solidFill>
          </w14:textFill>
        </w:rPr>
        <w:t>2013年完整版）；</w:t>
      </w:r>
    </w:p>
    <w:p w14:paraId="62438C9B">
      <w:pPr>
        <w:pStyle w:val="123"/>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《危险化学品名录》（</w:t>
      </w:r>
      <w:r>
        <w:rPr>
          <w:color w:val="000000" w:themeColor="text1"/>
          <w:lang w:eastAsia="zh-CN"/>
          <w14:textFill>
            <w14:solidFill>
              <w14:schemeClr w14:val="tx1"/>
            </w14:solidFill>
          </w14:textFill>
        </w:rPr>
        <w:t>2015版）；</w:t>
      </w:r>
    </w:p>
    <w:p w14:paraId="529EFE85">
      <w:pPr>
        <w:pStyle w:val="123"/>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《工业企业设计卫生标准》（GBZ1-2010）；</w:t>
      </w:r>
    </w:p>
    <w:p w14:paraId="0164AA3A">
      <w:pPr>
        <w:pStyle w:val="123"/>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《生产经营单位安全生产事故应急预案编制导则》（GB/T 29639-2020，2021年4月1日实施）；</w:t>
      </w:r>
    </w:p>
    <w:p w14:paraId="248179FC">
      <w:pPr>
        <w:pStyle w:val="123"/>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《社会单位灭火和应急疏散预案编制及实施导则》（GB/T38315-2019）；</w:t>
      </w:r>
    </w:p>
    <w:p w14:paraId="25EBFF26">
      <w:pPr>
        <w:pStyle w:val="123"/>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《环境应急资源调查指南（试行）》（环办应急【</w:t>
      </w:r>
      <w:r>
        <w:rPr>
          <w:rFonts w:hint="eastAsia"/>
          <w:color w:val="000000" w:themeColor="text1"/>
          <w:lang w:val="en-US" w:eastAsia="zh-CN"/>
          <w14:textFill>
            <w14:solidFill>
              <w14:schemeClr w14:val="tx1"/>
            </w14:solidFill>
          </w14:textFill>
        </w:rPr>
        <w:t>2019】17号）</w:t>
      </w:r>
    </w:p>
    <w:p w14:paraId="7312CC11">
      <w:pPr>
        <w:pStyle w:val="6"/>
        <w:keepNext/>
        <w:pageBreakBefore w:val="0"/>
        <w:widowControl w:val="0"/>
        <w:kinsoku/>
        <w:wordWrap/>
        <w:overflowPunct/>
        <w:topLinePunct w:val="0"/>
        <w:autoSpaceDE/>
        <w:autoSpaceDN/>
        <w:bidi w:val="0"/>
        <w:adjustRightInd w:val="0"/>
        <w:snapToGrid w:val="0"/>
        <w:spacing w:beforeLines="0" w:afterLines="0"/>
        <w:textAlignment w:val="auto"/>
        <w:rPr>
          <w:rFonts w:ascii="Times New Roman" w:hAnsi="Times New Roman" w:cs="Times New Roman"/>
          <w:color w:val="000000" w:themeColor="text1"/>
          <w14:textFill>
            <w14:solidFill>
              <w14:schemeClr w14:val="tx1"/>
            </w14:solidFill>
          </w14:textFill>
        </w:rPr>
      </w:pPr>
      <w:bookmarkStart w:id="27" w:name="_Toc31072"/>
      <w:r>
        <w:rPr>
          <w:rFonts w:hint="eastAsia" w:ascii="Times New Roman" w:hAnsi="Times New Roman" w:cs="Times New Roman"/>
          <w:color w:val="000000" w:themeColor="text1"/>
          <w:lang w:val="en-US" w:eastAsia="zh-CN"/>
          <w14:textFill>
            <w14:solidFill>
              <w14:schemeClr w14:val="tx1"/>
            </w14:solidFill>
          </w14:textFill>
        </w:rPr>
        <w:t xml:space="preserve">3 </w:t>
      </w:r>
      <w:r>
        <w:rPr>
          <w:rFonts w:ascii="Times New Roman" w:hAnsi="Times New Roman" w:cs="Times New Roman"/>
          <w:color w:val="000000" w:themeColor="text1"/>
          <w14:textFill>
            <w14:solidFill>
              <w14:schemeClr w14:val="tx1"/>
            </w14:solidFill>
          </w14:textFill>
        </w:rPr>
        <w:t>资料准备与风险识别</w:t>
      </w:r>
      <w:bookmarkEnd w:id="18"/>
      <w:bookmarkEnd w:id="19"/>
      <w:bookmarkEnd w:id="27"/>
    </w:p>
    <w:p w14:paraId="60EA3D93">
      <w:pPr>
        <w:pStyle w:val="7"/>
        <w:keepNext/>
        <w:pageBreakBefore w:val="0"/>
        <w:widowControl w:val="0"/>
        <w:kinsoku/>
        <w:wordWrap/>
        <w:overflowPunct/>
        <w:topLinePunct w:val="0"/>
        <w:autoSpaceDE/>
        <w:autoSpaceDN/>
        <w:bidi w:val="0"/>
        <w:adjustRightInd w:val="0"/>
        <w:snapToGrid w:val="0"/>
        <w:spacing w:before="0" w:after="0"/>
        <w:textAlignment w:val="auto"/>
        <w:rPr>
          <w:rFonts w:cs="Times New Roman"/>
          <w:color w:val="000000" w:themeColor="text1"/>
          <w14:textFill>
            <w14:solidFill>
              <w14:schemeClr w14:val="tx1"/>
            </w14:solidFill>
          </w14:textFill>
        </w:rPr>
      </w:pPr>
      <w:bookmarkStart w:id="28" w:name="_Toc73285814"/>
      <w:bookmarkStart w:id="29" w:name="_Toc127256772"/>
      <w:bookmarkStart w:id="30" w:name="_Toc6446"/>
      <w:r>
        <w:rPr>
          <w:rFonts w:hint="eastAsia" w:cs="Times New Roman"/>
          <w:color w:val="000000" w:themeColor="text1"/>
          <w:lang w:val="en-US" w:eastAsia="zh-CN"/>
          <w14:textFill>
            <w14:solidFill>
              <w14:schemeClr w14:val="tx1"/>
            </w14:solidFill>
          </w14:textFill>
        </w:rPr>
        <w:t>3.1</w:t>
      </w:r>
      <w:r>
        <w:rPr>
          <w:rFonts w:cs="Times New Roman"/>
          <w:color w:val="000000" w:themeColor="text1"/>
          <w14:textFill>
            <w14:solidFill>
              <w14:schemeClr w14:val="tx1"/>
            </w14:solidFill>
          </w14:textFill>
        </w:rPr>
        <w:t>企业基本情况调查</w:t>
      </w:r>
      <w:bookmarkEnd w:id="28"/>
      <w:bookmarkEnd w:id="29"/>
      <w:bookmarkEnd w:id="30"/>
    </w:p>
    <w:p w14:paraId="4540DE99">
      <w:pPr>
        <w:pStyle w:val="8"/>
        <w:keepNext/>
        <w:pageBreakBefore w:val="0"/>
        <w:widowControl w:val="0"/>
        <w:kinsoku/>
        <w:wordWrap/>
        <w:overflowPunct/>
        <w:topLinePunct w:val="0"/>
        <w:autoSpaceDE/>
        <w:autoSpaceDN/>
        <w:bidi w:val="0"/>
        <w:adjustRightInd w:val="0"/>
        <w:snapToGrid w:val="0"/>
        <w:spacing w:before="0" w:after="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3.1.1</w:t>
      </w:r>
      <w:r>
        <w:rPr>
          <w:color w:val="000000" w:themeColor="text1"/>
          <w:sz w:val="24"/>
          <w:szCs w:val="24"/>
          <w14:textFill>
            <w14:solidFill>
              <w14:schemeClr w14:val="tx1"/>
            </w14:solidFill>
          </w14:textFill>
        </w:rPr>
        <w:t>企业基本信息</w:t>
      </w:r>
    </w:p>
    <w:p w14:paraId="1CD6226E">
      <w:pPr>
        <w:widowControl/>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单位名称：</w:t>
      </w:r>
      <w:bookmarkStart w:id="31" w:name="_Hlk95392782"/>
      <w:r>
        <w:rPr>
          <w:rFonts w:hint="eastAsia" w:cs="Times New Roman"/>
          <w:color w:val="auto"/>
          <w:kern w:val="0"/>
          <w:sz w:val="24"/>
          <w:highlight w:val="none"/>
          <w:lang w:eastAsia="zh-CN"/>
        </w:rPr>
        <w:t>淄博元齐生物科技有限公司</w:t>
      </w:r>
    </w:p>
    <w:bookmarkEnd w:id="31"/>
    <w:p w14:paraId="74B57C3D">
      <w:pPr>
        <w:widowControl/>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单位性质：有限公司</w:t>
      </w:r>
    </w:p>
    <w:p w14:paraId="3E648CD6">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rPr>
        <w:t>公司地址：</w:t>
      </w:r>
      <w:bookmarkStart w:id="32" w:name="_Hlk122957418"/>
      <w:r>
        <w:rPr>
          <w:rFonts w:hint="default" w:ascii="Times New Roman" w:hAnsi="Times New Roman" w:cs="Times New Roman"/>
          <w:color w:val="auto"/>
          <w:kern w:val="0"/>
          <w:sz w:val="24"/>
          <w:highlight w:val="none"/>
        </w:rPr>
        <w:t>淄博市临淄区</w:t>
      </w:r>
      <w:bookmarkEnd w:id="32"/>
      <w:r>
        <w:rPr>
          <w:rFonts w:hint="default" w:ascii="Times New Roman" w:hAnsi="Times New Roman" w:cs="Times New Roman"/>
          <w:color w:val="auto"/>
          <w:kern w:val="0"/>
          <w:sz w:val="24"/>
          <w:highlight w:val="none"/>
          <w:lang w:eastAsia="zh-CN"/>
        </w:rPr>
        <w:t>乙烯路</w:t>
      </w:r>
      <w:r>
        <w:rPr>
          <w:rFonts w:hint="default" w:ascii="Times New Roman" w:hAnsi="Times New Roman" w:cs="Times New Roman"/>
          <w:color w:val="auto"/>
          <w:kern w:val="0"/>
          <w:sz w:val="24"/>
          <w:highlight w:val="none"/>
          <w:lang w:val="en-US" w:eastAsia="zh-CN"/>
        </w:rPr>
        <w:t>299号</w:t>
      </w:r>
    </w:p>
    <w:p w14:paraId="7BF6CB8C">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rPr>
        <w:t>公司地理位置：</w:t>
      </w:r>
      <w:r>
        <w:rPr>
          <w:color w:val="000000"/>
        </w:rPr>
        <w:t>东经：E 118°1</w:t>
      </w:r>
      <w:r>
        <w:rPr>
          <w:rFonts w:hint="eastAsia"/>
          <w:color w:val="000000"/>
          <w:lang w:val="en-US" w:eastAsia="zh-CN"/>
        </w:rPr>
        <w:t>3</w:t>
      </w:r>
      <w:r>
        <w:rPr>
          <w:color w:val="000000"/>
        </w:rPr>
        <w:t>′11″，北纬</w:t>
      </w:r>
      <w:r>
        <w:rPr>
          <w:rFonts w:hint="eastAsia"/>
          <w:color w:val="000000"/>
        </w:rPr>
        <w:t>：</w:t>
      </w:r>
      <w:r>
        <w:rPr>
          <w:color w:val="000000"/>
        </w:rPr>
        <w:t>N 36°</w:t>
      </w:r>
      <w:r>
        <w:rPr>
          <w:rFonts w:hint="eastAsia"/>
          <w:color w:val="000000"/>
          <w:lang w:val="en-US" w:eastAsia="zh-CN"/>
        </w:rPr>
        <w:t>46</w:t>
      </w:r>
      <w:r>
        <w:rPr>
          <w:color w:val="000000"/>
        </w:rPr>
        <w:t>′</w:t>
      </w:r>
      <w:r>
        <w:rPr>
          <w:rFonts w:hint="eastAsia"/>
          <w:color w:val="000000"/>
          <w:lang w:val="en-US" w:eastAsia="zh-CN"/>
        </w:rPr>
        <w:t>49</w:t>
      </w:r>
      <w:r>
        <w:rPr>
          <w:color w:val="000000"/>
        </w:rPr>
        <w:t>″</w:t>
      </w:r>
      <w:r>
        <w:rPr>
          <w:rFonts w:hint="eastAsia"/>
          <w:color w:val="000000"/>
        </w:rPr>
        <w:t>。</w:t>
      </w:r>
    </w:p>
    <w:p w14:paraId="59D1A6D5">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公司基本情况：</w:t>
      </w:r>
      <w:r>
        <w:rPr>
          <w:rFonts w:hint="eastAsia" w:ascii="Times New Roman" w:hAnsi="Times New Roman" w:cs="Times New Roman"/>
          <w:color w:val="auto"/>
          <w:sz w:val="24"/>
          <w:highlight w:val="none"/>
          <w:lang w:val="en-US" w:eastAsia="zh-CN"/>
        </w:rPr>
        <w:t>淄博元齐生物科技有限公司系民营企业，成立于2004年10月，隶属于山东隆信控股集团有限公司，地处齐国故都——淄博临淄，位于齐鲁化学工业园内，乙烯路299号。企业类型为有限责任公司（自然人投资或控股），厂区现有项目为20000t/a糠醇、2400t/a二甲基呋喃项目。</w:t>
      </w:r>
    </w:p>
    <w:p w14:paraId="54834022">
      <w:pPr>
        <w:spacing w:line="360" w:lineRule="auto"/>
        <w:ind w:firstLine="482"/>
        <w:rPr>
          <w:rFonts w:ascii="Times New Roman" w:hAnsi="Times New Roman" w:cs="Times New Roman"/>
          <w:color w:val="000000"/>
          <w:sz w:val="24"/>
          <w:szCs w:val="24"/>
        </w:rPr>
      </w:pPr>
      <w:r>
        <w:rPr>
          <w:rFonts w:hint="eastAsia" w:ascii="Times New Roman" w:hAnsi="Times New Roman" w:cs="Times New Roman"/>
          <w:color w:val="000000"/>
          <w:sz w:val="24"/>
          <w:szCs w:val="24"/>
        </w:rPr>
        <w:t>企业基本情况见</w:t>
      </w:r>
      <w:r>
        <w:rPr>
          <w:color w:val="000000"/>
          <w:sz w:val="24"/>
          <w:szCs w:val="24"/>
        </w:rPr>
        <w:fldChar w:fldCharType="begin"/>
      </w:r>
      <w:r>
        <w:rPr>
          <w:rFonts w:ascii="Times New Roman" w:hAnsi="Times New Roman" w:cs="Times New Roman"/>
          <w:color w:val="000000"/>
          <w:sz w:val="24"/>
          <w:szCs w:val="24"/>
        </w:rPr>
        <w:instrText xml:space="preserve"> </w:instrText>
      </w:r>
      <w:r>
        <w:rPr>
          <w:rFonts w:hint="eastAsia" w:ascii="Times New Roman" w:hAnsi="Times New Roman" w:cs="Times New Roman"/>
          <w:color w:val="000000"/>
          <w:sz w:val="24"/>
          <w:szCs w:val="24"/>
        </w:rPr>
        <w:instrText xml:space="preserve">REF _Ref127255610 \h</w:instrText>
      </w:r>
      <w:r>
        <w:rPr>
          <w:rFonts w:ascii="Times New Roman" w:hAnsi="Times New Roman" w:cs="Times New Roman"/>
          <w:color w:val="000000"/>
          <w:sz w:val="24"/>
          <w:szCs w:val="24"/>
        </w:rPr>
        <w:instrText xml:space="preserve"> </w:instrText>
      </w:r>
      <w:r>
        <w:rPr>
          <w:color w:val="000000"/>
          <w:sz w:val="24"/>
          <w:szCs w:val="24"/>
        </w:rPr>
        <w:fldChar w:fldCharType="separate"/>
      </w:r>
      <w:r>
        <w:rPr>
          <w:rFonts w:ascii="Times New Roman" w:hAnsi="Times New Roman" w:eastAsia="黑体" w:cs="Times New Roman"/>
          <w:color w:val="000000"/>
          <w:kern w:val="2"/>
          <w:sz w:val="24"/>
          <w:szCs w:val="24"/>
        </w:rPr>
        <w:t xml:space="preserve">表 </w:t>
      </w:r>
      <w:r>
        <w:rPr>
          <w:rFonts w:hint="eastAsia" w:ascii="Times New Roman" w:hAnsi="Times New Roman" w:eastAsia="黑体" w:cs="Times New Roman"/>
          <w:color w:val="000000"/>
          <w:kern w:val="2"/>
          <w:sz w:val="24"/>
          <w:szCs w:val="24"/>
          <w:lang w:val="en-US" w:eastAsia="zh-CN"/>
        </w:rPr>
        <w:t>3.1</w:t>
      </w:r>
      <w:r>
        <w:rPr>
          <w:rFonts w:ascii="Times New Roman" w:hAnsi="Times New Roman" w:eastAsia="黑体" w:cs="Times New Roman"/>
          <w:color w:val="000000"/>
          <w:kern w:val="2"/>
          <w:sz w:val="24"/>
          <w:szCs w:val="24"/>
        </w:rPr>
        <w:noBreakHyphen/>
      </w:r>
      <w:r>
        <w:rPr>
          <w:rFonts w:ascii="Times New Roman" w:hAnsi="Times New Roman" w:eastAsia="黑体" w:cs="Times New Roman"/>
          <w:color w:val="000000"/>
          <w:kern w:val="2"/>
          <w:sz w:val="24"/>
          <w:szCs w:val="24"/>
        </w:rPr>
        <w:t>1</w:t>
      </w:r>
      <w:r>
        <w:rPr>
          <w:color w:val="000000"/>
          <w:sz w:val="24"/>
          <w:szCs w:val="24"/>
        </w:rPr>
        <w:fldChar w:fldCharType="end"/>
      </w:r>
      <w:r>
        <w:rPr>
          <w:rFonts w:hint="eastAsia" w:ascii="Times New Roman" w:hAnsi="Times New Roman" w:cs="Times New Roman"/>
          <w:color w:val="000000"/>
          <w:sz w:val="24"/>
          <w:szCs w:val="24"/>
        </w:rPr>
        <w:t>。</w:t>
      </w:r>
    </w:p>
    <w:tbl>
      <w:tblPr>
        <w:tblStyle w:val="33"/>
        <w:tblW w:w="5000" w:type="pct"/>
        <w:jc w:val="center"/>
        <w:tblLayout w:type="autofit"/>
        <w:tblCellMar>
          <w:top w:w="0" w:type="dxa"/>
          <w:left w:w="108" w:type="dxa"/>
          <w:bottom w:w="0" w:type="dxa"/>
          <w:right w:w="108" w:type="dxa"/>
        </w:tblCellMar>
      </w:tblPr>
      <w:tblGrid>
        <w:gridCol w:w="1225"/>
        <w:gridCol w:w="3517"/>
        <w:gridCol w:w="1506"/>
        <w:gridCol w:w="2281"/>
      </w:tblGrid>
      <w:tr w14:paraId="603ABF5A">
        <w:tblPrEx>
          <w:tblCellMar>
            <w:top w:w="0" w:type="dxa"/>
            <w:left w:w="108" w:type="dxa"/>
            <w:bottom w:w="0" w:type="dxa"/>
            <w:right w:w="108" w:type="dxa"/>
          </w:tblCellMar>
        </w:tblPrEx>
        <w:trPr>
          <w:trHeight w:val="397" w:hRule="atLeast"/>
          <w:jc w:val="center"/>
        </w:trPr>
        <w:tc>
          <w:tcPr>
            <w:tcW w:w="718" w:type="pct"/>
            <w:tcBorders>
              <w:top w:val="single" w:color="000000" w:sz="4" w:space="0"/>
              <w:left w:val="single" w:color="000000" w:sz="4" w:space="0"/>
              <w:bottom w:val="single" w:color="000000" w:sz="6" w:space="0"/>
              <w:right w:val="single" w:color="000000" w:sz="6" w:space="0"/>
            </w:tcBorders>
            <w:noWrap w:val="0"/>
            <w:vAlign w:val="center"/>
          </w:tcPr>
          <w:p w14:paraId="46FB4629">
            <w:pPr>
              <w:pStyle w:val="126"/>
              <w:keepNext w:val="0"/>
              <w:keepLines w:val="0"/>
              <w:widowControl/>
              <w:suppressLineNumbers w:val="0"/>
              <w:spacing w:before="0" w:beforeAutospacing="0" w:after="0" w:afterAutospacing="0"/>
              <w:ind w:left="0" w:right="0"/>
              <w:rPr>
                <w:rFonts w:hint="default"/>
                <w:color w:val="000000"/>
              </w:rPr>
            </w:pPr>
            <w:bookmarkStart w:id="33" w:name="_Hlk97726517"/>
            <w:r>
              <w:rPr>
                <w:rFonts w:hint="default"/>
                <w:color w:val="000000"/>
              </w:rPr>
              <w:t>单位名称</w:t>
            </w:r>
          </w:p>
        </w:tc>
        <w:tc>
          <w:tcPr>
            <w:tcW w:w="4282" w:type="pct"/>
            <w:gridSpan w:val="3"/>
            <w:tcBorders>
              <w:top w:val="single" w:color="000000" w:sz="4" w:space="0"/>
              <w:left w:val="single" w:color="000000" w:sz="6" w:space="0"/>
              <w:bottom w:val="single" w:color="000000" w:sz="6" w:space="0"/>
              <w:right w:val="single" w:color="000000" w:sz="4" w:space="0"/>
            </w:tcBorders>
            <w:noWrap w:val="0"/>
            <w:vAlign w:val="center"/>
          </w:tcPr>
          <w:p w14:paraId="06C8A4A3">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淄博元齐生物科技有限公司</w:t>
            </w:r>
          </w:p>
          <w:p w14:paraId="4EAC1F8A">
            <w:pPr>
              <w:pStyle w:val="126"/>
              <w:keepNext w:val="0"/>
              <w:keepLines w:val="0"/>
              <w:widowControl/>
              <w:suppressLineNumbers w:val="0"/>
              <w:spacing w:before="0" w:beforeAutospacing="0" w:after="0" w:afterAutospacing="0"/>
              <w:ind w:left="0" w:right="0"/>
              <w:rPr>
                <w:rFonts w:hint="default"/>
                <w:color w:val="000000"/>
              </w:rPr>
            </w:pPr>
          </w:p>
        </w:tc>
      </w:tr>
      <w:tr w14:paraId="744B6FF7">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0C5EC42A">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单位地址</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494FF8E3">
            <w:pPr>
              <w:pStyle w:val="126"/>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rPr>
              <w:t>淄博市临淄区</w:t>
            </w:r>
            <w:r>
              <w:rPr>
                <w:rFonts w:hint="eastAsia"/>
                <w:color w:val="000000"/>
                <w:lang w:eastAsia="zh-CN"/>
              </w:rPr>
              <w:t>乙烯路</w:t>
            </w:r>
            <w:r>
              <w:rPr>
                <w:rFonts w:hint="eastAsia"/>
                <w:color w:val="000000"/>
                <w:lang w:val="en-US" w:eastAsia="zh-CN"/>
              </w:rPr>
              <w:t>299号</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0B479FB">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所 在 区</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E847BE5">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临淄区</w:t>
            </w:r>
          </w:p>
        </w:tc>
      </w:tr>
      <w:tr w14:paraId="361C2ABB">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5030DC2E">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企业性质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733033DA">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有限责任公司</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3CE3B5EA">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所在街道（镇）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0FDDCB43">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辛店街道</w:t>
            </w:r>
          </w:p>
        </w:tc>
      </w:tr>
      <w:tr w14:paraId="73A72587">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3BC0EB1F">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法人代表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1EBE84D1">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韩志华</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0CBB4A3">
            <w:pPr>
              <w:pStyle w:val="126"/>
              <w:keepNext w:val="0"/>
              <w:keepLines w:val="0"/>
              <w:widowControl/>
              <w:suppressLineNumbers w:val="0"/>
              <w:spacing w:before="0" w:beforeAutospacing="0" w:after="0" w:afterAutospacing="0"/>
              <w:ind w:left="0" w:right="0"/>
              <w:rPr>
                <w:rFonts w:hint="default"/>
                <w:color w:val="000000"/>
              </w:rPr>
            </w:pPr>
            <w:r>
              <w:rPr>
                <w:rFonts w:hint="eastAsia"/>
              </w:rPr>
              <w:t>职工人数</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1094156A">
            <w:pPr>
              <w:pStyle w:val="126"/>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40</w:t>
            </w:r>
            <w:r>
              <w:rPr>
                <w:rFonts w:hint="default"/>
              </w:rPr>
              <w:t>人</w:t>
            </w:r>
          </w:p>
        </w:tc>
      </w:tr>
      <w:tr w14:paraId="03696A39">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151A7303">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组织代码</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519FF91C">
            <w:pPr>
              <w:pStyle w:val="126"/>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default"/>
                <w:color w:val="000000"/>
              </w:rPr>
              <w:t>9137030</w:t>
            </w:r>
            <w:r>
              <w:rPr>
                <w:rFonts w:hint="eastAsia"/>
                <w:color w:val="000000"/>
                <w:lang w:val="en-US" w:eastAsia="zh-CN"/>
              </w:rPr>
              <w:t>576777380XQ</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2F5928F">
            <w:pPr>
              <w:pStyle w:val="126"/>
              <w:keepNext w:val="0"/>
              <w:keepLines w:val="0"/>
              <w:widowControl/>
              <w:suppressLineNumbers w:val="0"/>
              <w:spacing w:before="0" w:beforeAutospacing="0" w:after="0" w:afterAutospacing="0"/>
              <w:ind w:left="0" w:right="0"/>
              <w:rPr>
                <w:rFonts w:hint="default"/>
                <w:color w:val="000000"/>
              </w:rPr>
            </w:pPr>
            <w:r>
              <w:rPr>
                <w:rFonts w:hint="eastAsia"/>
              </w:rPr>
              <w:t>占地面积</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00F1CC8E">
            <w:pPr>
              <w:pStyle w:val="126"/>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14000</w:t>
            </w:r>
            <w:r>
              <w:rPr>
                <w:rFonts w:hint="default"/>
              </w:rPr>
              <w:t xml:space="preserve"> m</w:t>
            </w:r>
            <w:r>
              <w:rPr>
                <w:rFonts w:hint="default"/>
                <w:vertAlign w:val="superscript"/>
              </w:rPr>
              <w:t>2</w:t>
            </w:r>
          </w:p>
        </w:tc>
      </w:tr>
      <w:tr w14:paraId="73611454">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3AC448F4">
            <w:pPr>
              <w:pStyle w:val="126"/>
              <w:keepNext w:val="0"/>
              <w:keepLines w:val="0"/>
              <w:widowControl/>
              <w:suppressLineNumbers w:val="0"/>
              <w:spacing w:before="0" w:beforeAutospacing="0" w:after="0" w:afterAutospacing="0"/>
              <w:ind w:left="0" w:right="0"/>
              <w:rPr>
                <w:rFonts w:hint="default"/>
                <w:color w:val="000000"/>
              </w:rPr>
            </w:pPr>
            <w:r>
              <w:rPr>
                <w:rFonts w:hint="default"/>
                <w:color w:val="000000"/>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74828BFE">
            <w:pPr>
              <w:pStyle w:val="126"/>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default"/>
                <w:color w:val="000000"/>
              </w:rPr>
              <w:t>0533-7</w:t>
            </w:r>
            <w:r>
              <w:rPr>
                <w:rFonts w:hint="eastAsia"/>
                <w:color w:val="000000"/>
                <w:lang w:val="en-US" w:eastAsia="zh-CN"/>
              </w:rPr>
              <w:t>968026</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063B6D8C">
            <w:pPr>
              <w:pStyle w:val="126"/>
              <w:keepNext w:val="0"/>
              <w:keepLines w:val="0"/>
              <w:widowControl/>
              <w:suppressLineNumbers w:val="0"/>
              <w:spacing w:before="0" w:beforeAutospacing="0" w:after="0" w:afterAutospacing="0"/>
              <w:ind w:left="0" w:right="0"/>
              <w:rPr>
                <w:rFonts w:hint="default"/>
                <w:color w:val="000000"/>
              </w:rPr>
            </w:pPr>
            <w:r>
              <w:rPr>
                <w:rFonts w:hint="eastAsia"/>
              </w:rPr>
              <w:t>所属行业</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AB9290C">
            <w:pPr>
              <w:pStyle w:val="126"/>
              <w:keepNext w:val="0"/>
              <w:keepLines w:val="0"/>
              <w:widowControl/>
              <w:suppressLineNumbers w:val="0"/>
              <w:spacing w:before="0" w:beforeAutospacing="0" w:after="0" w:afterAutospacing="0"/>
              <w:ind w:left="0" w:right="0"/>
              <w:rPr>
                <w:rFonts w:hint="eastAsia" w:eastAsia="宋体"/>
                <w:color w:val="000000"/>
                <w:vertAlign w:val="superscript"/>
                <w:lang w:eastAsia="zh-CN"/>
              </w:rPr>
            </w:pPr>
            <w:r>
              <w:rPr>
                <w:rFonts w:hint="eastAsia"/>
                <w:lang w:eastAsia="zh-CN"/>
              </w:rPr>
              <w:t>有机化学原料制造</w:t>
            </w:r>
          </w:p>
        </w:tc>
      </w:tr>
      <w:tr w14:paraId="4258ED65">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4BCF40D9">
            <w:pPr>
              <w:pStyle w:val="126"/>
              <w:keepNext w:val="0"/>
              <w:keepLines w:val="0"/>
              <w:widowControl/>
              <w:suppressLineNumbers w:val="0"/>
              <w:spacing w:before="0" w:beforeAutospacing="0" w:after="0" w:afterAutospacing="0"/>
              <w:ind w:left="0" w:right="0"/>
              <w:rPr>
                <w:rFonts w:hint="default"/>
                <w:color w:val="000000"/>
              </w:rPr>
            </w:pPr>
            <w:r>
              <w:rPr>
                <w:rFonts w:hint="eastAsia"/>
              </w:rPr>
              <w:t>主要原料</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3993AB69">
            <w:pPr>
              <w:pStyle w:val="126"/>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lang w:val="en-US" w:eastAsia="zh-CN"/>
              </w:rPr>
              <w:t>糠醛</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20758F48">
            <w:pPr>
              <w:pStyle w:val="126"/>
              <w:keepNext w:val="0"/>
              <w:keepLines w:val="0"/>
              <w:widowControl/>
              <w:suppressLineNumbers w:val="0"/>
              <w:spacing w:before="0" w:beforeAutospacing="0" w:after="0" w:afterAutospacing="0"/>
              <w:ind w:left="0" w:right="0"/>
              <w:rPr>
                <w:rFonts w:hint="default"/>
                <w:color w:val="000000"/>
              </w:rPr>
            </w:pPr>
            <w:r>
              <w:rPr>
                <w:rFonts w:hint="eastAsia"/>
              </w:rPr>
              <w:t>经度坐标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649851F">
            <w:pPr>
              <w:pStyle w:val="126"/>
              <w:keepNext w:val="0"/>
              <w:keepLines w:val="0"/>
              <w:widowControl/>
              <w:suppressLineNumbers w:val="0"/>
              <w:spacing w:before="0" w:beforeAutospacing="0" w:after="0" w:afterAutospacing="0"/>
              <w:ind w:left="0" w:right="0"/>
              <w:rPr>
                <w:rFonts w:hint="default"/>
                <w:color w:val="000000"/>
                <w:vertAlign w:val="superscript"/>
              </w:rPr>
            </w:pPr>
            <w:r>
              <w:rPr>
                <w:rFonts w:hint="default"/>
              </w:rPr>
              <w:t>118°18</w:t>
            </w:r>
            <w:r>
              <w:rPr>
                <w:rFonts w:hint="eastAsia"/>
                <w:lang w:val="en-US" w:eastAsia="zh-CN"/>
              </w:rPr>
              <w:t>3</w:t>
            </w:r>
            <w:r>
              <w:rPr>
                <w:rFonts w:hint="default"/>
              </w:rPr>
              <w:t>′11″</w:t>
            </w:r>
          </w:p>
        </w:tc>
      </w:tr>
      <w:tr w14:paraId="55BB561F">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3D3B3B2D">
            <w:pPr>
              <w:pStyle w:val="126"/>
              <w:keepNext w:val="0"/>
              <w:keepLines w:val="0"/>
              <w:widowControl/>
              <w:suppressLineNumbers w:val="0"/>
              <w:spacing w:before="0" w:beforeAutospacing="0" w:after="0" w:afterAutospacing="0"/>
              <w:ind w:left="0" w:right="0"/>
              <w:rPr>
                <w:rFonts w:hint="default"/>
                <w:color w:val="000000"/>
              </w:rPr>
            </w:pPr>
            <w:r>
              <w:rPr>
                <w:rFonts w:hint="eastAsia"/>
              </w:rPr>
              <w:t>联</w:t>
            </w:r>
            <w:r>
              <w:rPr>
                <w:rFonts w:hint="default"/>
              </w:rPr>
              <w:t xml:space="preserve"> 系 人</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4C66C8B3">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王鹏超</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7587E83">
            <w:pPr>
              <w:pStyle w:val="126"/>
              <w:keepNext w:val="0"/>
              <w:keepLines w:val="0"/>
              <w:widowControl/>
              <w:suppressLineNumbers w:val="0"/>
              <w:spacing w:before="0" w:beforeAutospacing="0" w:after="0" w:afterAutospacing="0"/>
              <w:ind w:left="0" w:right="0"/>
              <w:rPr>
                <w:rFonts w:hint="default"/>
                <w:color w:val="000000"/>
              </w:rPr>
            </w:pPr>
            <w:r>
              <w:rPr>
                <w:rFonts w:hint="eastAsia"/>
              </w:rPr>
              <w:t>纬度坐标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05BACAA8">
            <w:pPr>
              <w:pStyle w:val="126"/>
              <w:keepNext w:val="0"/>
              <w:keepLines w:val="0"/>
              <w:widowControl/>
              <w:suppressLineNumbers w:val="0"/>
              <w:spacing w:before="0" w:beforeAutospacing="0" w:after="0" w:afterAutospacing="0"/>
              <w:ind w:left="0" w:right="0"/>
              <w:rPr>
                <w:rFonts w:hint="default"/>
                <w:color w:val="000000"/>
              </w:rPr>
            </w:pPr>
            <w:r>
              <w:rPr>
                <w:rFonts w:hint="default"/>
              </w:rPr>
              <w:t>36°</w:t>
            </w:r>
            <w:r>
              <w:rPr>
                <w:rFonts w:hint="eastAsia"/>
                <w:lang w:val="en-US" w:eastAsia="zh-CN"/>
              </w:rPr>
              <w:t>46</w:t>
            </w:r>
            <w:r>
              <w:rPr>
                <w:rFonts w:hint="default"/>
              </w:rPr>
              <w:t>′</w:t>
            </w:r>
            <w:r>
              <w:rPr>
                <w:rFonts w:hint="eastAsia"/>
                <w:lang w:val="en-US" w:eastAsia="zh-CN"/>
              </w:rPr>
              <w:t>49</w:t>
            </w:r>
            <w:r>
              <w:rPr>
                <w:rFonts w:hint="default"/>
              </w:rPr>
              <w:t>″</w:t>
            </w:r>
          </w:p>
        </w:tc>
      </w:tr>
      <w:tr w14:paraId="356A5BB8">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65C15199">
            <w:pPr>
              <w:pStyle w:val="126"/>
              <w:keepNext w:val="0"/>
              <w:keepLines w:val="0"/>
              <w:widowControl/>
              <w:suppressLineNumbers w:val="0"/>
              <w:spacing w:before="0" w:beforeAutospacing="0" w:after="0" w:afterAutospacing="0"/>
              <w:ind w:left="0" w:right="0"/>
              <w:rPr>
                <w:rFonts w:hint="default"/>
                <w:color w:val="000000"/>
              </w:rPr>
            </w:pPr>
            <w:r>
              <w:rPr>
                <w:rFonts w:hint="eastAsia"/>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27D4A8E5">
            <w:pPr>
              <w:pStyle w:val="126"/>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lang w:val="en-US" w:eastAsia="zh-CN"/>
              </w:rPr>
              <w:t>18653326898</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2402F234">
            <w:pPr>
              <w:pStyle w:val="126"/>
              <w:keepNext w:val="0"/>
              <w:keepLines w:val="0"/>
              <w:widowControl/>
              <w:suppressLineNumbers w:val="0"/>
              <w:spacing w:before="0" w:beforeAutospacing="0" w:after="0" w:afterAutospacing="0"/>
              <w:ind w:left="0" w:right="0"/>
              <w:rPr>
                <w:rFonts w:hint="default"/>
                <w:color w:val="000000"/>
              </w:rPr>
            </w:pPr>
            <w:r>
              <w:rPr>
                <w:rFonts w:hint="eastAsia"/>
              </w:rPr>
              <w:t>历史事故</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4CE1F20F">
            <w:pPr>
              <w:pStyle w:val="126"/>
              <w:keepNext w:val="0"/>
              <w:keepLines w:val="0"/>
              <w:widowControl/>
              <w:suppressLineNumbers w:val="0"/>
              <w:spacing w:before="0" w:beforeAutospacing="0" w:after="0" w:afterAutospacing="0"/>
              <w:ind w:left="0" w:right="0"/>
              <w:rPr>
                <w:rFonts w:hint="default"/>
                <w:color w:val="000000"/>
              </w:rPr>
            </w:pPr>
            <w:r>
              <w:rPr>
                <w:rFonts w:hint="default"/>
              </w:rPr>
              <w:t>无</w:t>
            </w:r>
          </w:p>
        </w:tc>
      </w:tr>
      <w:bookmarkEnd w:id="33"/>
    </w:tbl>
    <w:p w14:paraId="70D6C71B">
      <w:pPr>
        <w:pStyle w:val="2"/>
        <w:rPr>
          <w:rFonts w:hint="default" w:ascii="Times New Roman" w:hAnsi="Times New Roman" w:cs="Times New Roman"/>
          <w:color w:val="FF0000"/>
          <w:kern w:val="0"/>
          <w:sz w:val="24"/>
          <w:highlight w:val="none"/>
        </w:rPr>
      </w:pPr>
    </w:p>
    <w:p w14:paraId="3B11F0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淄博元齐生物科技有限公司</w:t>
      </w:r>
      <w:r>
        <w:rPr>
          <w:rFonts w:hint="eastAsia" w:ascii="宋体" w:hAnsi="宋体" w:eastAsia="宋体" w:cs="宋体"/>
          <w:color w:val="auto"/>
          <w:kern w:val="0"/>
          <w:sz w:val="24"/>
          <w:szCs w:val="24"/>
          <w:highlight w:val="none"/>
          <w:lang w:val="en-US" w:eastAsia="zh-CN"/>
        </w:rPr>
        <w:t>与山东隆信药业有限公司、</w:t>
      </w:r>
      <w:r>
        <w:rPr>
          <w:rFonts w:hint="eastAsia" w:ascii="宋体" w:hAnsi="宋体" w:cs="宋体"/>
          <w:color w:val="auto"/>
          <w:kern w:val="0"/>
          <w:sz w:val="24"/>
          <w:szCs w:val="24"/>
          <w:highlight w:val="none"/>
          <w:lang w:val="en-US" w:eastAsia="zh-CN"/>
        </w:rPr>
        <w:t>山东隆盛和助剂有限公司</w:t>
      </w:r>
      <w:r>
        <w:rPr>
          <w:rFonts w:hint="eastAsia" w:ascii="宋体" w:hAnsi="宋体" w:eastAsia="宋体" w:cs="宋体"/>
          <w:color w:val="auto"/>
          <w:kern w:val="0"/>
          <w:sz w:val="24"/>
          <w:szCs w:val="24"/>
          <w:highlight w:val="none"/>
          <w:lang w:val="en-US" w:eastAsia="zh-CN"/>
        </w:rPr>
        <w:t>在同一厂区内。厂区北面为乙烯路，路北为齐鲁石化储运厂；南面为乙烯南路；东面为齐鲁石化变电站和淄博源丰达工贸有限公司；西面为齐鲁石化公司管廊。</w:t>
      </w:r>
    </w:p>
    <w:p w14:paraId="06CFDBDB">
      <w:pPr>
        <w:pStyle w:val="8"/>
        <w:spacing w:before="24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3.1.2</w:t>
      </w:r>
      <w:r>
        <w:rPr>
          <w:color w:val="000000" w:themeColor="text1"/>
          <w14:textFill>
            <w14:solidFill>
              <w14:schemeClr w14:val="tx1"/>
            </w14:solidFill>
          </w14:textFill>
        </w:rPr>
        <w:t>自然地理概况</w:t>
      </w:r>
    </w:p>
    <w:p w14:paraId="2A005450">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3.1.2.1</w:t>
      </w:r>
      <w:r>
        <w:rPr>
          <w:rFonts w:hint="eastAsia" w:ascii="宋体" w:hAnsi="宋体" w:eastAsia="宋体" w:cs="宋体"/>
          <w:b/>
          <w:bCs/>
          <w:color w:val="auto"/>
          <w:sz w:val="24"/>
          <w:szCs w:val="24"/>
          <w:highlight w:val="none"/>
        </w:rPr>
        <w:t>地理位置</w:t>
      </w:r>
    </w:p>
    <w:p w14:paraId="52B4A4C0">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1、地理位置</w:t>
      </w:r>
    </w:p>
    <w:p w14:paraId="4AF6C913">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博市位于山东省中部鲁中山地与鲁北平原的交接地带，东邻潍坊市，东北与东营相连，北接滨州市，南靠临沂市，西与济南、莱芜两市接壤。东北部距离渤海湾约50公里。市域范围介于北纬35°55′22″～37°17′14″、东经117°32′15″～118°31′00″南北狭长的地域之间，东西最大横距离87km，南北最大纵距151km，总面积5964.4km2，是中国重要的工业基地和历史文化名城，著名的“陶瓷之都”、“石化之城”。</w:t>
      </w:r>
    </w:p>
    <w:p w14:paraId="318DD764">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位于淄博市东北部，东经118°08′～118°30′，北纬36°39′～37°37′。东临青州市，北与厂饶县、博兴县接壤，西与张店区、桓台县相邻，南与淄川区、青州市连接，地理适中，交通发达，是沟通中原地区和山东半岛的咽喉要道。项目位于齐鲁化学工业区乙烯路299号。</w:t>
      </w:r>
    </w:p>
    <w:p w14:paraId="6A1CCEA8">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bookmarkStart w:id="34" w:name="_Toc463584687"/>
      <w:bookmarkStart w:id="35" w:name="_Toc462200021"/>
      <w:bookmarkStart w:id="36" w:name="_Toc247625204"/>
      <w:bookmarkStart w:id="37" w:name="_Toc245261083"/>
      <w:bookmarkStart w:id="38" w:name="_Toc247420431"/>
      <w:r>
        <w:rPr>
          <w:rFonts w:hint="eastAsia" w:ascii="宋体" w:hAnsi="宋体" w:eastAsia="宋体" w:cs="宋体"/>
          <w:color w:val="000000" w:themeColor="text1"/>
          <w:sz w:val="24"/>
          <w:szCs w:val="24"/>
          <w:lang w:val="en-US" w:eastAsia="zh-CN"/>
          <w14:textFill>
            <w14:solidFill>
              <w14:schemeClr w14:val="tx1"/>
            </w14:solidFill>
          </w14:textFill>
        </w:rPr>
        <w:t>2、地形地貌</w:t>
      </w:r>
    </w:p>
    <w:p w14:paraId="229893BF">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博市地处华北地台鲁西台北斜鲁中隆断区的北缘，为一向斜构造，称“淄博向斜”。构造特征是褶皱平缓舒展而不甚发育，除较高一级的“淄博向斜”外，其它系与“淄博向斜”相伴生的次级小型褶皱；区内断层构造较为发育，尤以张性正断层为主，纵横切割。岩浆岩石分布面广，并具有多期活动的特点。主要有金岭闪长岩杂岩体、昆仑辉长岩体等。地势南高北低，南部及东西两翼山峦起伏跌宕，中部低陷向北倾伏，南北落差千余米。以胶济铁路为界，以南大部分为山区、丘陵，岩溶地貌发达；以北大部分为山前冲积平原和黄泛平原，土地平坦肥沃。北部有黄河、小清河流经，发源于淄博的河流有沂河、淄河、孝妇河等。全市山区、丘陵、平原面积分别占全市总面积的42%、29.9%和28.1%。</w:t>
      </w:r>
    </w:p>
    <w:p w14:paraId="63FABC5B">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在大地构造单元上隶属华北地台区的鲁西断块之鲁中南隆起区的北缘，地层属鲁西地层分区。该区地势由南向北逐渐变缓，西南部为连绵起伏的低山丘陵，东北部为冲积平原，地势西南高、东北低，由西南向东北倾斜。</w:t>
      </w:r>
    </w:p>
    <w:p w14:paraId="1EBE0F3A">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项目厂址所在齐鲁化学工业区位于平原与丘陵的交接地段，厂址以南为低山丘陵，成东西向分布，丘陵向北展开，南高北低。区内有多条冲沟纵贯其间，广泛分布第四系覆盖层，东厚西薄，西侧有部分基岩裸露。其地貌按成因类型分为构造剥蚀地貌与剥蚀堆积地貌。</w:t>
      </w:r>
    </w:p>
    <w:p w14:paraId="6E6A6B1B">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区域各岩性层分布及厚度变化相对较稳定，上部砂质粘土厚度9.3～10.5m，粘土厚度3.2～3.5m；中部砂质粘土和粘土厚度变薄，厚度分别为4～5m 和1.5～2.5m；底部粘土胶结碎石层厚度多小于1m，一般0.4～0.7m。碎石成份为石灰岩，棱角、次棱角状，属坡洪积物。</w:t>
      </w:r>
    </w:p>
    <w:bookmarkEnd w:id="34"/>
    <w:bookmarkEnd w:id="35"/>
    <w:p w14:paraId="3C300A42">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3、气候气象</w:t>
      </w:r>
    </w:p>
    <w:p w14:paraId="680E0F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临淄位于山东省的中部，属暖温带季风</w:t>
      </w:r>
      <w:r>
        <w:rPr>
          <w:rFonts w:hint="eastAsia" w:ascii="宋体" w:hAnsi="宋体" w:cs="宋体"/>
          <w:color w:val="000000" w:themeColor="text1"/>
          <w:sz w:val="24"/>
          <w:szCs w:val="24"/>
          <w:lang w:val="en-US" w:eastAsia="zh-CN"/>
          <w14:textFill>
            <w14:solidFill>
              <w14:schemeClr w14:val="tx1"/>
            </w14:solidFill>
          </w14:textFill>
        </w:rPr>
        <w:t>半湿润</w:t>
      </w:r>
      <w:r>
        <w:rPr>
          <w:rFonts w:hint="eastAsia" w:ascii="宋体" w:hAnsi="宋体" w:eastAsia="宋体" w:cs="宋体"/>
          <w:color w:val="000000" w:themeColor="text1"/>
          <w:sz w:val="24"/>
          <w:szCs w:val="24"/>
          <w:lang w:val="en-US" w:eastAsia="zh-CN"/>
          <w14:textFill>
            <w14:solidFill>
              <w14:schemeClr w14:val="tx1"/>
            </w14:solidFill>
          </w14:textFill>
        </w:rPr>
        <w:t>大陆性气候。冬季寒冷、雨雪稀少；春季回暖快，多风，雨水较少；夏季雨热同季、降水集中；秋季日照充足、多晴好天气。</w:t>
      </w:r>
    </w:p>
    <w:p w14:paraId="4D1847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临淄区近五年年均气温为13.7℃，年均降雨量697.7mm，全年平均主导风向为ESE，蒸发量1618.0mm，相对湿度63%，平均风速2.02m/s。</w:t>
      </w:r>
      <w:r>
        <w:rPr>
          <w:rFonts w:hint="eastAsia" w:ascii="宋体" w:hAnsi="宋体" w:cs="宋体"/>
          <w:color w:val="000000" w:themeColor="text1"/>
          <w:sz w:val="24"/>
          <w:szCs w:val="24"/>
          <w:lang w:val="en-US" w:eastAsia="zh-CN"/>
          <w14:textFill>
            <w14:solidFill>
              <w14:schemeClr w14:val="tx1"/>
            </w14:solidFill>
          </w14:textFill>
        </w:rPr>
        <w:t>近年偶发短时强降雨，无持续干旱或洪涝。</w:t>
      </w:r>
    </w:p>
    <w:p w14:paraId="4C364C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历史上极端天气和自然灾害包括：1992年的极端最低气温-23℃，2017年曾出现过40.9℃的高温，2022年7月发布高温橙色预警，随后出现雷阵雨和大雨，局部伴有7-9级雷雨阵风。2023年12月普降大雪并伴有大风降温。</w:t>
      </w:r>
    </w:p>
    <w:p w14:paraId="432EE34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淄博市年风向玫瑰图如下：</w:t>
      </w:r>
    </w:p>
    <w:p w14:paraId="184AA8B2">
      <w:pPr>
        <w:pStyle w:val="2"/>
        <w:rPr>
          <w:rFonts w:hint="eastAsia" w:ascii="宋体" w:hAnsi="宋体" w:cs="宋体"/>
          <w:color w:val="000000" w:themeColor="text1"/>
          <w:sz w:val="24"/>
          <w:szCs w:val="24"/>
          <w:lang w:val="en-US" w:eastAsia="zh-CN"/>
          <w14:textFill>
            <w14:solidFill>
              <w14:schemeClr w14:val="tx1"/>
            </w14:solidFill>
          </w14:textFill>
        </w:rPr>
      </w:pPr>
      <w:r>
        <w:rPr>
          <w:rFonts w:hint="eastAsia"/>
          <w:lang w:val="en-US" w:eastAsia="zh-CN"/>
        </w:rPr>
        <w:drawing>
          <wp:anchor distT="0" distB="0" distL="114300" distR="114300" simplePos="0" relativeHeight="251671552" behindDoc="0" locked="0" layoutInCell="1" allowOverlap="1">
            <wp:simplePos x="0" y="0"/>
            <wp:positionH relativeFrom="column">
              <wp:posOffset>1081405</wp:posOffset>
            </wp:positionH>
            <wp:positionV relativeFrom="paragraph">
              <wp:posOffset>152400</wp:posOffset>
            </wp:positionV>
            <wp:extent cx="3536315" cy="2229485"/>
            <wp:effectExtent l="0" t="0" r="6985" b="18415"/>
            <wp:wrapSquare wrapText="bothSides"/>
            <wp:docPr id="9" name="图片 9" descr="cda1cbc1cece61966f6de886808ac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da1cbc1cece61966f6de886808acc9d"/>
                    <pic:cNvPicPr>
                      <a:picLocks noChangeAspect="1"/>
                    </pic:cNvPicPr>
                  </pic:nvPicPr>
                  <pic:blipFill>
                    <a:blip r:embed="rId10"/>
                    <a:srcRect l="9719" r="18322" b="13732"/>
                    <a:stretch>
                      <a:fillRect/>
                    </a:stretch>
                  </pic:blipFill>
                  <pic:spPr>
                    <a:xfrm>
                      <a:off x="0" y="0"/>
                      <a:ext cx="3536315" cy="2229485"/>
                    </a:xfrm>
                    <a:prstGeom prst="rect">
                      <a:avLst/>
                    </a:prstGeom>
                  </pic:spPr>
                </pic:pic>
              </a:graphicData>
            </a:graphic>
          </wp:anchor>
        </w:drawing>
      </w:r>
    </w:p>
    <w:p w14:paraId="2A954A01">
      <w:pPr>
        <w:rPr>
          <w:rFonts w:hint="eastAsia"/>
          <w:lang w:val="en-US" w:eastAsia="zh-CN"/>
        </w:rPr>
      </w:pPr>
    </w:p>
    <w:p w14:paraId="195CE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458EBC13">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7609FC8C">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4401FD97">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078F7C6F">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60982740">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21A5D68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28780254">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4、地表水</w:t>
      </w:r>
    </w:p>
    <w:p w14:paraId="0948EC0F">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临淄区境内河流属小清河水系，主要有淄河、乌河，另外还有其它小河沟。河流流向受地貌控制，多呈南北向。</w:t>
      </w:r>
    </w:p>
    <w:p w14:paraId="6BA44FBD">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河发源分为东西二支：东支发源于鲁山主峰北麓的池上镇境内；西支发源于鲁山西麓、莱芜市常庄乡碌主山东麓，下庄乡境内。该河系沿淄博断裂带发育而成。流经淄博市博山区、淄川区、临淄区，在临淄区白兔丘村北约1.5km 处入广饶县，并于该县北堤村北入小清河，全长178.7km，流域面积1397km2，河宽上游段在20～300m 之间，中、下游段在300～1500m 间，深约2～7m。出境断面以上多年平均径流量为2.18 亿m3，白兔丘站实测多年平均径流量为1.08 亿m3，两者之差主要是河渗漏所致，故素有“淄河十八漏”之说。淄河为季节性河流，雨季多为山洪暴发，洪水突起，来势汹汹，平时多为干涸。</w:t>
      </w:r>
    </w:p>
    <w:p w14:paraId="14FF182B">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乌河发源于临淄区大武镇南部山丘地带，流经该区路山镇，在六天务村西入桓台县，再经桓台县侯庄、索镇、耿桥、起凤等镇，在夏庄村北入小清河入博兴县。河长52.5km，河宽20～50m，河槽深2～3m，乌河属泉水河，目前已无水体，最大洪水流量82.9m3/s。流域面积为462.5km2。</w:t>
      </w:r>
    </w:p>
    <w:p w14:paraId="3F38D3F0">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运粮河东起齐都镇古城村，西至朱台镇宋桥村西与乌河相连，全长8.8 公里，流域面积80 余平方公里，系古齐国人工开挖的运粮漕河，故名运粮河。</w:t>
      </w:r>
    </w:p>
    <w:p w14:paraId="37D34155">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5、地下水</w:t>
      </w:r>
    </w:p>
    <w:p w14:paraId="453F6E28">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根据淄环发[2019]46 号《关于印发淄博市饮用水源保护区划分方案的通知》，目前淄博市主要集中式饮用水水源地18 处，其中地表水3 处，其余为地下水型水源地。本项目不位于淄博市供水水源地保护范围内。距离项目厂区最近的水源地为东北侧永流饮用水水源保护区。本项目与永流水源地最近取水井（5#坐标：E118°19′57.0″；N36°49′14.9″）距离约10.8km。</w:t>
      </w:r>
    </w:p>
    <w:p w14:paraId="5D1F8DDE">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6、地质及水文地质</w:t>
      </w:r>
    </w:p>
    <w:p w14:paraId="6A8DD1B2">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临淄区广泛分布奥陶系石灰岩，大气降水部分成地表径流汇于淄河，由淄河渗漏转化为地下水，地表径流在向北运动过程中，由于北部有东西向断裂及煤系地层阻隔聚集成富水地带。</w:t>
      </w:r>
    </w:p>
    <w:p w14:paraId="3FDB6C9A">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含水层主要为第四系松散孔隙含水岩组和奥陶碳酸盐岩裂隙岩溶含水岩组。第四系松散孔隙含水岩组水位埋深为55~90m，含水层厚度在30~80m之间，含水岩层为卵砾石层及含泥砂卵石层，补给来源为区域南部的径流补给、降水下渗等，地下水流向由南向北；奥陶碳酸盐岩裂隙岩溶含水岩组地下水由南部降水补给，向北部径流，含水层岩性主要为灰岩。</w:t>
      </w:r>
    </w:p>
    <w:p w14:paraId="5C2B27D8">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范围内地下水富集，形成淄博一个重要的大武富水区，大武富水区是我国北方特大型富水区，主要含水层为灰岩水，其补给以大气降水为主，淄河河床的渗漏为辅；其排泄以人工开采为主，径流排泄为辅。本项目位于大武富水区范围内。</w:t>
      </w:r>
    </w:p>
    <w:p w14:paraId="168C1D79">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7、植被</w:t>
      </w:r>
    </w:p>
    <w:p w14:paraId="5ECD5CBB">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属华北落叶林区，原始植被已无，现多系人工植被，很少自然植被。自然植被多分布在境内南部的低山丘陵和崖边，沟坡及平原的河滩；人工植被主要分布在低山岭被、近山阶地和沟、渠、河道两旁及庭院四周。</w:t>
      </w:r>
      <w:bookmarkEnd w:id="36"/>
      <w:bookmarkEnd w:id="37"/>
      <w:bookmarkEnd w:id="38"/>
    </w:p>
    <w:p w14:paraId="5AA1FD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3.1.2.2</w:t>
      </w:r>
      <w:r>
        <w:rPr>
          <w:rFonts w:hint="eastAsia" w:ascii="宋体" w:hAnsi="宋体" w:eastAsia="宋体" w:cs="宋体"/>
          <w:b/>
          <w:bCs/>
          <w:color w:val="000000" w:themeColor="text1"/>
          <w:sz w:val="24"/>
          <w:szCs w:val="24"/>
          <w14:textFill>
            <w14:solidFill>
              <w14:schemeClr w14:val="tx1"/>
            </w14:solidFill>
          </w14:textFill>
        </w:rPr>
        <w:t>环境功能区划</w:t>
      </w:r>
    </w:p>
    <w:p w14:paraId="76759EF4">
      <w:pPr>
        <w:pStyle w:val="123"/>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区域大气环境执行《环境空气质量标准》（GB3095-2018修订版）二级标准，厂区区域地表水执行《地表水环境质量标准》（GB3838-2002）V 类，地下水执行《地下水质量标准》（GB/T 14848-2017）Ⅲ类标准，声环境执行《声环境质量标准》（GB3096-2008）2类标准。</w:t>
      </w:r>
    </w:p>
    <w:p w14:paraId="5549E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3.1.2.3</w:t>
      </w:r>
      <w:r>
        <w:rPr>
          <w:rFonts w:hint="eastAsia" w:ascii="宋体" w:hAnsi="宋体" w:eastAsia="宋体" w:cs="宋体"/>
          <w:b/>
          <w:bCs/>
          <w:color w:val="000000" w:themeColor="text1"/>
          <w:sz w:val="24"/>
          <w:szCs w:val="24"/>
          <w14:textFill>
            <w14:solidFill>
              <w14:schemeClr w14:val="tx1"/>
            </w14:solidFill>
          </w14:textFill>
        </w:rPr>
        <w:t>环境质量现状</w:t>
      </w:r>
    </w:p>
    <w:p w14:paraId="776F3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bookmarkStart w:id="39" w:name="_Toc127256773"/>
      <w:bookmarkStart w:id="40" w:name="_Toc73285815"/>
      <w:r>
        <w:rPr>
          <w:rFonts w:hint="eastAsia" w:ascii="宋体" w:hAnsi="宋体" w:eastAsia="宋体" w:cs="宋体"/>
          <w:color w:val="000000" w:themeColor="text1"/>
          <w:sz w:val="24"/>
          <w:szCs w:val="24"/>
          <w14:textFill>
            <w14:solidFill>
              <w14:schemeClr w14:val="tx1"/>
            </w14:solidFill>
          </w14:textFill>
        </w:rPr>
        <w:t>1、环境空气质量现状</w:t>
      </w:r>
    </w:p>
    <w:p w14:paraId="741F7FB9">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w:t>
      </w:r>
      <w:r>
        <w:rPr>
          <w:rFonts w:hint="eastAsia" w:ascii="宋体" w:hAnsi="宋体" w:cs="宋体"/>
          <w:color w:val="000000" w:themeColor="text1"/>
          <w:sz w:val="24"/>
          <w:szCs w:val="24"/>
          <w:lang w:eastAsia="zh-CN"/>
          <w14:textFill>
            <w14:solidFill>
              <w14:schemeClr w14:val="tx1"/>
            </w14:solidFill>
          </w14:textFill>
        </w:rPr>
        <w:t>《淄博市</w:t>
      </w:r>
      <w:r>
        <w:rPr>
          <w:rFonts w:hint="eastAsia" w:ascii="宋体" w:hAnsi="宋体" w:cs="宋体"/>
          <w:color w:val="000000" w:themeColor="text1"/>
          <w:sz w:val="24"/>
          <w:szCs w:val="24"/>
          <w:lang w:val="en-US" w:eastAsia="zh-CN"/>
          <w14:textFill>
            <w14:solidFill>
              <w14:schemeClr w14:val="tx1"/>
            </w14:solidFill>
          </w14:textFill>
        </w:rPr>
        <w:t>2026年国民经济和社会发展计划》，2026年全年空气质量优良天数达278天，同比增加40天</w:t>
      </w:r>
      <w:r>
        <w:rPr>
          <w:rFonts w:hint="eastAsia" w:ascii="宋体" w:hAnsi="宋体" w:eastAsia="宋体" w:cs="宋体"/>
          <w:color w:val="000000" w:themeColor="text1"/>
          <w:sz w:val="24"/>
          <w:szCs w:val="24"/>
          <w14:textFill>
            <w14:solidFill>
              <w14:schemeClr w14:val="tx1"/>
            </w14:solidFill>
          </w14:textFill>
        </w:rPr>
        <w:t>。</w:t>
      </w:r>
    </w:p>
    <w:p w14:paraId="396CF508">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颗粒物浓度保持低位</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2024年全年PM2.5平均浓度为40微克/立方米，PM10为69微克/立方米，同比均有改善。2026年4月PM2.5均值为32.2微克/立方米，PM10为61微克/立方米，同比分别下降13.0%和持平。</w:t>
      </w:r>
    </w:p>
    <w:p w14:paraId="6291B46E">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‌臭氧（O3）‌：夏季臭氧污染仍是防控重点。2024年</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月全市臭氧均值为</w:t>
      </w:r>
      <w:r>
        <w:rPr>
          <w:rFonts w:hint="eastAsia" w:ascii="宋体" w:hAnsi="宋体" w:eastAsia="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w:t>
      </w:r>
      <w:r>
        <w:rPr>
          <w:rFonts w:hint="eastAsia" w:ascii="宋体" w:hAnsi="宋体" w:eastAsia="宋体" w:cs="宋体"/>
          <w:color w:val="000000" w:themeColor="text1"/>
          <w:sz w:val="24"/>
          <w:szCs w:val="24"/>
          <w:lang w:val="en-US" w:eastAsia="zh-CN"/>
          <w14:textFill>
            <w14:solidFill>
              <w14:schemeClr w14:val="tx1"/>
            </w14:solidFill>
          </w14:textFill>
        </w:rPr>
        <w:t>2024年8月201</w:t>
      </w: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微克/立方米，部分区县臭氧浓度较高</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如高青县（208µg/m3）、周村区（204µg/m3）、高新区（204µg/m3）。</w:t>
      </w:r>
    </w:p>
    <w:p w14:paraId="3D09DA20">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‌二氧化硫（SO2）与二氧化氮（NO2）‌：浓度维持在较低水平。2024年全年SO2为13微克/立方米，NO2为33微克/立方米。</w:t>
      </w:r>
    </w:p>
    <w:p w14:paraId="37F741B4">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2024年12月临淄区PM10为93微克/立方米，CO为1.8毫克/立方米，在市内排名靠后。‌‌</w:t>
      </w:r>
    </w:p>
    <w:p w14:paraId="0B6D3649">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2、地表水环境质量现状</w:t>
      </w:r>
    </w:p>
    <w:p w14:paraId="7FDD538E">
      <w:pPr>
        <w:pageBreakBefore w:val="0"/>
        <w:kinsoku/>
        <w:wordWrap/>
        <w:overflowPunct/>
        <w:topLinePunct w:val="0"/>
        <w:autoSpaceDE/>
        <w:autoSpaceDN/>
        <w:bidi w:val="0"/>
        <w:adjustRightInd/>
        <w:spacing w:line="360" w:lineRule="auto"/>
        <w:ind w:firstLine="464" w:firstLineChars="200"/>
        <w:textAlignment w:val="auto"/>
        <w:outlineLvl w:val="9"/>
        <w:rPr>
          <w:rFonts w:hint="eastAsia" w:ascii="宋体" w:hAnsi="宋体" w:eastAsia="宋体" w:cs="宋体"/>
          <w:color w:val="000000" w:themeColor="text1"/>
          <w:spacing w:val="-4"/>
          <w:sz w:val="24"/>
          <w:szCs w:val="24"/>
          <w:lang w:eastAsia="zh-CN"/>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厂区</w:t>
      </w:r>
      <w:r>
        <w:rPr>
          <w:rFonts w:hint="eastAsia" w:ascii="宋体" w:hAnsi="宋体" w:cs="宋体"/>
          <w:color w:val="000000" w:themeColor="text1"/>
          <w:spacing w:val="-4"/>
          <w:sz w:val="24"/>
          <w:szCs w:val="24"/>
          <w:lang w:eastAsia="zh-CN"/>
          <w14:textFill>
            <w14:solidFill>
              <w14:schemeClr w14:val="tx1"/>
            </w14:solidFill>
          </w14:textFill>
        </w:rPr>
        <w:t>临近乌河，乌河在桓台县“乌河入预备河处”东沙断面，根据临淄区地表水环境质量现状调查报告显示，</w:t>
      </w:r>
      <w:r>
        <w:rPr>
          <w:rFonts w:hint="eastAsia" w:ascii="宋体" w:hAnsi="宋体" w:cs="宋体"/>
          <w:color w:val="000000" w:themeColor="text1"/>
          <w:spacing w:val="-4"/>
          <w:sz w:val="24"/>
          <w:szCs w:val="24"/>
          <w:lang w:val="en-US" w:eastAsia="zh-CN"/>
          <w14:textFill>
            <w14:solidFill>
              <w14:schemeClr w14:val="tx1"/>
            </w14:solidFill>
          </w14:textFill>
        </w:rPr>
        <w:t>COD、氨氮、总磷浓度较往年同期有所下降。</w:t>
      </w:r>
      <w:r>
        <w:rPr>
          <w:rFonts w:hint="eastAsia" w:ascii="宋体" w:hAnsi="宋体" w:cs="宋体"/>
          <w:color w:val="000000" w:themeColor="text1"/>
          <w:spacing w:val="-4"/>
          <w:sz w:val="24"/>
          <w:szCs w:val="24"/>
          <w:lang w:eastAsia="zh-CN"/>
          <w14:textFill>
            <w14:solidFill>
              <w14:schemeClr w14:val="tx1"/>
            </w14:solidFill>
          </w14:textFill>
        </w:rPr>
        <w:t>乌河临淄段各断面水质基本稳定在</w:t>
      </w:r>
      <w:r>
        <w:rPr>
          <w:rFonts w:hint="eastAsia" w:ascii="宋体" w:hAnsi="宋体" w:eastAsia="宋体" w:cs="宋体"/>
          <w:color w:val="000000" w:themeColor="text1"/>
          <w:spacing w:val="-4"/>
          <w:sz w:val="24"/>
          <w:szCs w:val="24"/>
          <w14:textFill>
            <w14:solidFill>
              <w14:schemeClr w14:val="tx1"/>
            </w14:solidFill>
          </w14:textFill>
        </w:rPr>
        <w:t>《地表水环境质量标准》</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至</w:t>
      </w:r>
      <w:r>
        <w:rPr>
          <w:rFonts w:hint="eastAsia" w:ascii="宋体" w:hAnsi="宋体" w:eastAsia="宋体" w:cs="宋体"/>
          <w:color w:val="000000" w:themeColor="text1"/>
          <w:sz w:val="24"/>
          <w:szCs w:val="24"/>
          <w:lang w:eastAsia="zh-CN"/>
          <w14:textFill>
            <w14:solidFill>
              <w14:schemeClr w14:val="tx1"/>
            </w14:solidFill>
          </w14:textFill>
        </w:rPr>
        <w:t>Ⅳ</w:t>
      </w:r>
      <w:r>
        <w:rPr>
          <w:rFonts w:hint="eastAsia" w:ascii="宋体" w:hAnsi="宋体" w:cs="宋体"/>
          <w:color w:val="000000" w:themeColor="text1"/>
          <w:sz w:val="24"/>
          <w:szCs w:val="24"/>
          <w:lang w:eastAsia="zh-CN"/>
          <w14:textFill>
            <w14:solidFill>
              <w14:schemeClr w14:val="tx1"/>
            </w14:solidFill>
          </w14:textFill>
        </w:rPr>
        <w:t>类标准之间。</w:t>
      </w:r>
    </w:p>
    <w:p w14:paraId="47780614">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3、地下水环境质量现状</w:t>
      </w:r>
    </w:p>
    <w:p w14:paraId="73B567DA">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2026年2月淄博市监测的15个县级地下水水源中含临淄部分（刘征水源地），水质均达</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标准。齐鲁化学工业园区正推进</w:t>
      </w:r>
      <w:r>
        <w:rPr>
          <w:rFonts w:hint="eastAsia" w:ascii="宋体" w:hAnsi="宋体" w:cs="宋体"/>
          <w:color w:val="000000" w:themeColor="text1"/>
          <w:sz w:val="24"/>
          <w:szCs w:val="24"/>
          <w:lang w:val="en-US" w:eastAsia="zh-CN"/>
          <w14:textFill>
            <w14:solidFill>
              <w14:schemeClr w14:val="tx1"/>
            </w14:solidFill>
          </w14:textFill>
        </w:rPr>
        <w:t>2025-2026年地下水环境详细调查，尚未公开完整评估结果。</w:t>
      </w:r>
    </w:p>
    <w:p w14:paraId="157E9E4D">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4、土壤环境质量现状</w:t>
      </w:r>
    </w:p>
    <w:p w14:paraId="0A24039D">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厂区所在区域土壤环境质量可满足《土壤环境质量 建设用地土壤污染风险管控标准》（GB36600-2018）筛选值第二类用地要求。</w:t>
      </w:r>
    </w:p>
    <w:bookmarkEnd w:id="39"/>
    <w:bookmarkEnd w:id="40"/>
    <w:p w14:paraId="047C4A70">
      <w:pPr>
        <w:pStyle w:val="7"/>
        <w:spacing w:before="240" w:beforeLines="100"/>
        <w:rPr>
          <w:rFonts w:cs="Times New Roman"/>
          <w:color w:val="000000" w:themeColor="text1"/>
          <w14:textFill>
            <w14:solidFill>
              <w14:schemeClr w14:val="tx1"/>
            </w14:solidFill>
          </w14:textFill>
        </w:rPr>
      </w:pPr>
      <w:bookmarkStart w:id="41" w:name="_Toc15505"/>
      <w:r>
        <w:rPr>
          <w:rFonts w:hint="eastAsia" w:cs="Times New Roman"/>
          <w:color w:val="000000" w:themeColor="text1"/>
          <w:lang w:val="en-US" w:eastAsia="zh-CN"/>
          <w14:textFill>
            <w14:solidFill>
              <w14:schemeClr w14:val="tx1"/>
            </w14:solidFill>
          </w14:textFill>
        </w:rPr>
        <w:t>3.2</w:t>
      </w:r>
      <w:r>
        <w:rPr>
          <w:rFonts w:cs="Times New Roman"/>
          <w:color w:val="000000" w:themeColor="text1"/>
          <w14:textFill>
            <w14:solidFill>
              <w14:schemeClr w14:val="tx1"/>
            </w14:solidFill>
          </w14:textFill>
        </w:rPr>
        <w:t>企业周边环境风险受体情况</w:t>
      </w:r>
      <w:bookmarkEnd w:id="41"/>
    </w:p>
    <w:p w14:paraId="5AED4BFC">
      <w:pPr>
        <w:pStyle w:val="123"/>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环境风险受体分为大气环境风险受体、土壤环境风险受体和水环境风险受体。其中，大气环境风险受体主要包括居住、医疗卫生、文化教育、科研、行政办公、重要基础设施</w:t>
      </w:r>
      <w:r>
        <w:rPr>
          <w:rFonts w:hint="eastAsia"/>
          <w:color w:val="000000" w:themeColor="text1"/>
          <w:lang w:eastAsia="zh-CN"/>
          <w14:textFill>
            <w14:solidFill>
              <w14:schemeClr w14:val="tx1"/>
            </w14:solidFill>
          </w14:textFill>
        </w:rPr>
        <w:t>、山东隆信药业有限公司、山东隆盛和助剂有限公司、淄博鲁格宝化工有限公司</w:t>
      </w:r>
      <w:r>
        <w:rPr>
          <w:color w:val="000000" w:themeColor="text1"/>
          <w:lang w:eastAsia="zh-CN"/>
          <w14:textFill>
            <w14:solidFill>
              <w14:schemeClr w14:val="tx1"/>
            </w14:solidFill>
          </w14:textFill>
        </w:rPr>
        <w:t>等主要功能区域内的人群、保护单位、植被等，按人口数量进行指标量化；土壤环境风险受体主要为企业周边的基本农田保护区、居住商用地等区域；水环境风险受体主要包括饮用水水源保护区、自来水厂取水口、自然保护区、重要湿地、特殊生态系统、水产养殖区、鱼虾产卵场、天然渔场等区域，可按其脆弱性和敏感性进行级别划分。</w:t>
      </w:r>
    </w:p>
    <w:p w14:paraId="411BB7DC">
      <w:pPr>
        <w:pStyle w:val="123"/>
        <w:rPr>
          <w:color w:val="000000" w:themeColor="text1"/>
          <w:spacing w:val="-2"/>
          <w:lang w:eastAsia="zh-CN"/>
          <w14:textFill>
            <w14:solidFill>
              <w14:schemeClr w14:val="tx1"/>
            </w14:solidFill>
          </w14:textFill>
        </w:rPr>
      </w:pPr>
      <w:r>
        <w:rPr>
          <w:color w:val="000000" w:themeColor="text1"/>
          <w:spacing w:val="-2"/>
          <w:lang w:eastAsia="zh-CN"/>
          <w14:textFill>
            <w14:solidFill>
              <w14:schemeClr w14:val="tx1"/>
            </w14:solidFill>
          </w14:textFill>
        </w:rPr>
        <w:t>企业周边环境风险受体见</w:t>
      </w:r>
      <w:r>
        <w:rPr>
          <w:color w:val="000000" w:themeColor="text1"/>
          <w:spacing w:val="-2"/>
          <w14:textFill>
            <w14:solidFill>
              <w14:schemeClr w14:val="tx1"/>
            </w14:solidFill>
          </w14:textFill>
        </w:rPr>
        <w:fldChar w:fldCharType="begin"/>
      </w:r>
      <w:r>
        <w:rPr>
          <w:color w:val="000000" w:themeColor="text1"/>
          <w:spacing w:val="-2"/>
          <w:lang w:eastAsia="zh-CN"/>
          <w14:textFill>
            <w14:solidFill>
              <w14:schemeClr w14:val="tx1"/>
            </w14:solidFill>
          </w14:textFill>
        </w:rPr>
        <w:instrText xml:space="preserve"> REF _Ref95201769 \h  \* MERGEFORMAT </w:instrText>
      </w:r>
      <w:r>
        <w:rPr>
          <w:color w:val="000000" w:themeColor="text1"/>
          <w:spacing w:val="-2"/>
          <w14:textFill>
            <w14:solidFill>
              <w14:schemeClr w14:val="tx1"/>
            </w14:solidFill>
          </w14:textFill>
        </w:rPr>
        <w:fldChar w:fldCharType="separate"/>
      </w:r>
      <w:r>
        <w:rPr>
          <w:color w:val="000000" w:themeColor="text1"/>
          <w:lang w:eastAsia="zh-CN"/>
          <w14:textFill>
            <w14:solidFill>
              <w14:schemeClr w14:val="tx1"/>
            </w14:solidFill>
          </w14:textFill>
        </w:rPr>
        <w:t>表3.2</w:t>
      </w:r>
      <w:r>
        <w:rPr>
          <w:color w:val="000000" w:themeColor="text1"/>
          <w:lang w:eastAsia="zh-CN"/>
          <w14:textFill>
            <w14:solidFill>
              <w14:schemeClr w14:val="tx1"/>
            </w14:solidFill>
          </w14:textFill>
        </w:rPr>
        <w:noBreakHyphen/>
      </w:r>
      <w:r>
        <w:rPr>
          <w:color w:val="000000" w:themeColor="text1"/>
          <w:lang w:eastAsia="zh-CN"/>
          <w14:textFill>
            <w14:solidFill>
              <w14:schemeClr w14:val="tx1"/>
            </w14:solidFill>
          </w14:textFill>
        </w:rPr>
        <w:t>1</w:t>
      </w:r>
      <w:r>
        <w:rPr>
          <w:color w:val="000000" w:themeColor="text1"/>
          <w:spacing w:val="-2"/>
          <w14:textFill>
            <w14:solidFill>
              <w14:schemeClr w14:val="tx1"/>
            </w14:solidFill>
          </w14:textFill>
        </w:rPr>
        <w:fldChar w:fldCharType="end"/>
      </w:r>
      <w:r>
        <w:rPr>
          <w:color w:val="000000" w:themeColor="text1"/>
          <w:spacing w:val="-2"/>
          <w:lang w:eastAsia="zh-CN"/>
          <w14:textFill>
            <w14:solidFill>
              <w14:schemeClr w14:val="tx1"/>
            </w14:solidFill>
          </w14:textFill>
        </w:rPr>
        <w:t>。</w:t>
      </w:r>
      <w:bookmarkStart w:id="42" w:name="_Toc127256774"/>
      <w:bookmarkStart w:id="43" w:name="_Toc73285817"/>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2750"/>
        <w:gridCol w:w="1000"/>
        <w:gridCol w:w="1122"/>
        <w:gridCol w:w="911"/>
        <w:gridCol w:w="2298"/>
      </w:tblGrid>
      <w:tr w14:paraId="24A1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DE99B30">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序号</w:t>
            </w:r>
          </w:p>
        </w:tc>
        <w:tc>
          <w:tcPr>
            <w:tcW w:w="1612" w:type="pct"/>
            <w:noWrap w:val="0"/>
            <w:vAlign w:val="center"/>
          </w:tcPr>
          <w:p w14:paraId="751F4FAA">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目标名称</w:t>
            </w:r>
          </w:p>
        </w:tc>
        <w:tc>
          <w:tcPr>
            <w:tcW w:w="586" w:type="pct"/>
            <w:noWrap w:val="0"/>
            <w:vAlign w:val="center"/>
          </w:tcPr>
          <w:p w14:paraId="003E3DFB">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位于该项目相对方位</w:t>
            </w:r>
          </w:p>
        </w:tc>
        <w:tc>
          <w:tcPr>
            <w:tcW w:w="657" w:type="pct"/>
            <w:noWrap w:val="0"/>
            <w:vAlign w:val="center"/>
          </w:tcPr>
          <w:p w14:paraId="63670B56">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与该项目距离（m）</w:t>
            </w:r>
          </w:p>
        </w:tc>
        <w:tc>
          <w:tcPr>
            <w:tcW w:w="534" w:type="pct"/>
            <w:noWrap w:val="0"/>
            <w:vAlign w:val="center"/>
          </w:tcPr>
          <w:p w14:paraId="3C8ECB78">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default" w:ascii="Times New Roman" w:hAnsi="Times New Roman" w:eastAsia="宋体" w:cs="Times New Roman"/>
                <w:b/>
                <w:bCs/>
                <w:caps w:val="0"/>
                <w:smallCaps w:val="0"/>
                <w:color w:val="auto"/>
                <w:spacing w:val="0"/>
                <w:position w:val="0"/>
                <w:sz w:val="21"/>
                <w:szCs w:val="21"/>
                <w:lang w:eastAsia="zh-CN"/>
              </w:rPr>
              <w:t>人</w:t>
            </w:r>
            <w:r>
              <w:rPr>
                <w:rFonts w:hint="eastAsia" w:ascii="Times New Roman" w:hAnsi="Times New Roman" w:eastAsia="宋体" w:cs="Times New Roman"/>
                <w:b/>
                <w:bCs/>
                <w:caps w:val="0"/>
                <w:smallCaps w:val="0"/>
                <w:color w:val="auto"/>
                <w:spacing w:val="0"/>
                <w:position w:val="0"/>
                <w:sz w:val="21"/>
                <w:szCs w:val="21"/>
                <w:lang w:eastAsia="zh-CN"/>
              </w:rPr>
              <w:t>口</w:t>
            </w:r>
            <w:r>
              <w:rPr>
                <w:rFonts w:hint="default" w:ascii="Times New Roman" w:hAnsi="Times New Roman" w:eastAsia="宋体" w:cs="Times New Roman"/>
                <w:b/>
                <w:bCs/>
                <w:caps w:val="0"/>
                <w:smallCaps w:val="0"/>
                <w:color w:val="auto"/>
                <w:spacing w:val="0"/>
                <w:position w:val="0"/>
                <w:sz w:val="21"/>
                <w:szCs w:val="21"/>
                <w:lang w:eastAsia="zh-CN"/>
              </w:rPr>
              <w:t>数</w:t>
            </w:r>
          </w:p>
        </w:tc>
        <w:tc>
          <w:tcPr>
            <w:tcW w:w="1347" w:type="pct"/>
            <w:noWrap w:val="0"/>
            <w:vAlign w:val="center"/>
          </w:tcPr>
          <w:p w14:paraId="79F8672C">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eastAsia" w:ascii="Times New Roman" w:hAnsi="Times New Roman" w:eastAsia="宋体" w:cs="Times New Roman"/>
                <w:b/>
                <w:bCs/>
                <w:caps w:val="0"/>
                <w:smallCaps w:val="0"/>
                <w:color w:val="auto"/>
                <w:spacing w:val="0"/>
                <w:position w:val="0"/>
                <w:sz w:val="21"/>
                <w:szCs w:val="21"/>
                <w:lang w:eastAsia="zh-CN"/>
              </w:rPr>
              <w:t>执行标准</w:t>
            </w:r>
          </w:p>
        </w:tc>
      </w:tr>
      <w:tr w14:paraId="3FD3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62" w:type="pct"/>
            <w:noWrap w:val="0"/>
            <w:vAlign w:val="center"/>
          </w:tcPr>
          <w:p w14:paraId="4C6A1599">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w:t>
            </w:r>
          </w:p>
        </w:tc>
        <w:tc>
          <w:tcPr>
            <w:tcW w:w="1612" w:type="pct"/>
            <w:noWrap w:val="0"/>
            <w:vAlign w:val="center"/>
          </w:tcPr>
          <w:p w14:paraId="449326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金岭一村</w:t>
            </w:r>
          </w:p>
        </w:tc>
        <w:tc>
          <w:tcPr>
            <w:tcW w:w="586" w:type="pct"/>
            <w:noWrap w:val="0"/>
            <w:vAlign w:val="center"/>
          </w:tcPr>
          <w:p w14:paraId="63A290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CBC82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1900</w:t>
            </w:r>
          </w:p>
        </w:tc>
        <w:tc>
          <w:tcPr>
            <w:tcW w:w="911" w:type="dxa"/>
            <w:noWrap w:val="0"/>
            <w:vAlign w:val="center"/>
          </w:tcPr>
          <w:p w14:paraId="568A12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1421</w:t>
            </w:r>
          </w:p>
        </w:tc>
        <w:tc>
          <w:tcPr>
            <w:tcW w:w="1347" w:type="pct"/>
            <w:vMerge w:val="restart"/>
            <w:noWrap w:val="0"/>
            <w:vAlign w:val="center"/>
          </w:tcPr>
          <w:p w14:paraId="3F41E4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4C92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F2F9BAC">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w:t>
            </w:r>
          </w:p>
        </w:tc>
        <w:tc>
          <w:tcPr>
            <w:tcW w:w="1612" w:type="pct"/>
            <w:noWrap w:val="0"/>
            <w:vAlign w:val="center"/>
          </w:tcPr>
          <w:p w14:paraId="204292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金岭三村</w:t>
            </w:r>
          </w:p>
        </w:tc>
        <w:tc>
          <w:tcPr>
            <w:tcW w:w="586" w:type="pct"/>
            <w:noWrap w:val="0"/>
            <w:vAlign w:val="center"/>
          </w:tcPr>
          <w:p w14:paraId="2CD6C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4F4643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1800</w:t>
            </w:r>
          </w:p>
        </w:tc>
        <w:tc>
          <w:tcPr>
            <w:tcW w:w="911" w:type="dxa"/>
            <w:noWrap w:val="0"/>
            <w:vAlign w:val="center"/>
          </w:tcPr>
          <w:p w14:paraId="0DA60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1502</w:t>
            </w:r>
          </w:p>
        </w:tc>
        <w:tc>
          <w:tcPr>
            <w:tcW w:w="1347" w:type="pct"/>
            <w:vMerge w:val="continue"/>
            <w:noWrap w:val="0"/>
            <w:vAlign w:val="center"/>
          </w:tcPr>
          <w:p w14:paraId="43C48D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073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2744BFB">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3</w:t>
            </w:r>
          </w:p>
        </w:tc>
        <w:tc>
          <w:tcPr>
            <w:tcW w:w="1612" w:type="pct"/>
            <w:noWrap w:val="0"/>
            <w:vAlign w:val="center"/>
          </w:tcPr>
          <w:p w14:paraId="0454B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金岭二村</w:t>
            </w:r>
          </w:p>
        </w:tc>
        <w:tc>
          <w:tcPr>
            <w:tcW w:w="586" w:type="pct"/>
            <w:noWrap w:val="0"/>
            <w:vAlign w:val="center"/>
          </w:tcPr>
          <w:p w14:paraId="511DB0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6F4E86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2500</w:t>
            </w:r>
          </w:p>
        </w:tc>
        <w:tc>
          <w:tcPr>
            <w:tcW w:w="911" w:type="dxa"/>
            <w:noWrap w:val="0"/>
            <w:vAlign w:val="center"/>
          </w:tcPr>
          <w:p w14:paraId="63185C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473</w:t>
            </w:r>
          </w:p>
        </w:tc>
        <w:tc>
          <w:tcPr>
            <w:tcW w:w="1347" w:type="pct"/>
            <w:vMerge w:val="continue"/>
            <w:noWrap w:val="0"/>
            <w:vAlign w:val="center"/>
          </w:tcPr>
          <w:p w14:paraId="631DDC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67C9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38D16B7">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4</w:t>
            </w:r>
          </w:p>
        </w:tc>
        <w:tc>
          <w:tcPr>
            <w:tcW w:w="1612" w:type="pct"/>
            <w:noWrap w:val="0"/>
            <w:vAlign w:val="center"/>
          </w:tcPr>
          <w:p w14:paraId="408ED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金岭南村</w:t>
            </w:r>
          </w:p>
        </w:tc>
        <w:tc>
          <w:tcPr>
            <w:tcW w:w="586" w:type="pct"/>
            <w:noWrap w:val="0"/>
            <w:vAlign w:val="center"/>
          </w:tcPr>
          <w:p w14:paraId="414218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NW</w:t>
            </w:r>
          </w:p>
        </w:tc>
        <w:tc>
          <w:tcPr>
            <w:tcW w:w="1122" w:type="dxa"/>
            <w:noWrap w:val="0"/>
            <w:vAlign w:val="center"/>
          </w:tcPr>
          <w:p w14:paraId="1312C8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2200</w:t>
            </w:r>
          </w:p>
        </w:tc>
        <w:tc>
          <w:tcPr>
            <w:tcW w:w="911" w:type="dxa"/>
            <w:noWrap w:val="0"/>
            <w:vAlign w:val="center"/>
          </w:tcPr>
          <w:p w14:paraId="19D975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2990</w:t>
            </w:r>
          </w:p>
        </w:tc>
        <w:tc>
          <w:tcPr>
            <w:tcW w:w="1347" w:type="pct"/>
            <w:vMerge w:val="continue"/>
            <w:noWrap w:val="0"/>
            <w:vAlign w:val="center"/>
          </w:tcPr>
          <w:p w14:paraId="7526CE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001F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C3ADAB6">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5</w:t>
            </w:r>
          </w:p>
        </w:tc>
        <w:tc>
          <w:tcPr>
            <w:tcW w:w="1612" w:type="pct"/>
            <w:noWrap w:val="0"/>
            <w:vAlign w:val="center"/>
          </w:tcPr>
          <w:p w14:paraId="28C97D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金岭四村</w:t>
            </w:r>
          </w:p>
        </w:tc>
        <w:tc>
          <w:tcPr>
            <w:tcW w:w="586" w:type="pct"/>
            <w:noWrap w:val="0"/>
            <w:vAlign w:val="center"/>
          </w:tcPr>
          <w:p w14:paraId="42199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BDD51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300</w:t>
            </w:r>
          </w:p>
        </w:tc>
        <w:tc>
          <w:tcPr>
            <w:tcW w:w="911" w:type="dxa"/>
            <w:noWrap w:val="0"/>
            <w:vAlign w:val="center"/>
          </w:tcPr>
          <w:p w14:paraId="3990DA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1371</w:t>
            </w:r>
          </w:p>
        </w:tc>
        <w:tc>
          <w:tcPr>
            <w:tcW w:w="1347" w:type="pct"/>
            <w:vMerge w:val="continue"/>
            <w:noWrap w:val="0"/>
            <w:vAlign w:val="center"/>
          </w:tcPr>
          <w:p w14:paraId="48D091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3E91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3B1494D">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6</w:t>
            </w:r>
          </w:p>
        </w:tc>
        <w:tc>
          <w:tcPr>
            <w:tcW w:w="1612" w:type="pct"/>
            <w:noWrap w:val="0"/>
            <w:vAlign w:val="center"/>
          </w:tcPr>
          <w:p w14:paraId="0CFDBA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金岭五村</w:t>
            </w:r>
          </w:p>
        </w:tc>
        <w:tc>
          <w:tcPr>
            <w:tcW w:w="586" w:type="pct"/>
            <w:noWrap w:val="0"/>
            <w:vAlign w:val="center"/>
          </w:tcPr>
          <w:p w14:paraId="0A03D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4B9BB8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75</w:t>
            </w:r>
            <w:r>
              <w:rPr>
                <w:rFonts w:hint="default"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22CCDB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1256</w:t>
            </w:r>
          </w:p>
        </w:tc>
        <w:tc>
          <w:tcPr>
            <w:tcW w:w="1347" w:type="pct"/>
            <w:vMerge w:val="continue"/>
            <w:noWrap w:val="0"/>
            <w:vAlign w:val="center"/>
          </w:tcPr>
          <w:p w14:paraId="1B35B9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6380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38F90E6">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7</w:t>
            </w:r>
          </w:p>
        </w:tc>
        <w:tc>
          <w:tcPr>
            <w:tcW w:w="1612" w:type="pct"/>
            <w:noWrap w:val="0"/>
            <w:vAlign w:val="center"/>
          </w:tcPr>
          <w:p w14:paraId="38555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金岭六村</w:t>
            </w:r>
          </w:p>
        </w:tc>
        <w:tc>
          <w:tcPr>
            <w:tcW w:w="586" w:type="pct"/>
            <w:noWrap w:val="0"/>
            <w:vAlign w:val="center"/>
          </w:tcPr>
          <w:p w14:paraId="6EF2E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54C72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2880</w:t>
            </w:r>
          </w:p>
        </w:tc>
        <w:tc>
          <w:tcPr>
            <w:tcW w:w="911" w:type="dxa"/>
            <w:noWrap w:val="0"/>
            <w:vAlign w:val="center"/>
          </w:tcPr>
          <w:p w14:paraId="5C0200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379</w:t>
            </w:r>
          </w:p>
        </w:tc>
        <w:tc>
          <w:tcPr>
            <w:tcW w:w="1347" w:type="pct"/>
            <w:vMerge w:val="continue"/>
            <w:noWrap w:val="0"/>
            <w:vAlign w:val="center"/>
          </w:tcPr>
          <w:p w14:paraId="514D12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1F29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2B3588EA">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8</w:t>
            </w:r>
          </w:p>
        </w:tc>
        <w:tc>
          <w:tcPr>
            <w:tcW w:w="1612" w:type="pct"/>
            <w:noWrap w:val="0"/>
            <w:vAlign w:val="center"/>
          </w:tcPr>
          <w:p w14:paraId="1D5AA3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朱家庄</w:t>
            </w:r>
          </w:p>
        </w:tc>
        <w:tc>
          <w:tcPr>
            <w:tcW w:w="586" w:type="pct"/>
            <w:noWrap w:val="0"/>
            <w:vAlign w:val="center"/>
          </w:tcPr>
          <w:p w14:paraId="38D675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yellow"/>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621CCB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46</w:t>
            </w:r>
            <w:r>
              <w:rPr>
                <w:rFonts w:hint="eastAsia" w:cs="Times New Roman"/>
                <w:color w:val="auto"/>
                <w:spacing w:val="0"/>
                <w:position w:val="0"/>
                <w:sz w:val="21"/>
                <w:szCs w:val="21"/>
                <w:highlight w:val="none"/>
                <w:lang w:val="en-US" w:eastAsia="zh-CN"/>
              </w:rPr>
              <w:t>80</w:t>
            </w:r>
          </w:p>
        </w:tc>
        <w:tc>
          <w:tcPr>
            <w:tcW w:w="911" w:type="dxa"/>
            <w:noWrap w:val="0"/>
            <w:vAlign w:val="center"/>
          </w:tcPr>
          <w:p w14:paraId="6292E7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8</w:t>
            </w:r>
            <w:r>
              <w:rPr>
                <w:rFonts w:hint="default" w:ascii="Times New Roman" w:hAnsi="Times New Roman" w:eastAsia="宋体" w:cs="Times New Roman"/>
                <w:color w:val="auto"/>
                <w:spacing w:val="0"/>
                <w:position w:val="0"/>
                <w:sz w:val="21"/>
                <w:szCs w:val="21"/>
                <w:highlight w:val="none"/>
                <w:lang w:val="en-US" w:eastAsia="zh-CN"/>
              </w:rPr>
              <w:t>59</w:t>
            </w:r>
          </w:p>
        </w:tc>
        <w:tc>
          <w:tcPr>
            <w:tcW w:w="1347" w:type="pct"/>
            <w:vMerge w:val="restart"/>
            <w:noWrap w:val="0"/>
            <w:vAlign w:val="center"/>
          </w:tcPr>
          <w:p w14:paraId="5F1FDB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56DC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6A8F2137">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9</w:t>
            </w:r>
          </w:p>
        </w:tc>
        <w:tc>
          <w:tcPr>
            <w:tcW w:w="1612" w:type="pct"/>
            <w:noWrap w:val="0"/>
            <w:vAlign w:val="center"/>
          </w:tcPr>
          <w:p w14:paraId="1FEFB3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于家村</w:t>
            </w:r>
          </w:p>
        </w:tc>
        <w:tc>
          <w:tcPr>
            <w:tcW w:w="586" w:type="pct"/>
            <w:noWrap w:val="0"/>
            <w:vAlign w:val="center"/>
          </w:tcPr>
          <w:p w14:paraId="553564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75C125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2900</w:t>
            </w:r>
          </w:p>
        </w:tc>
        <w:tc>
          <w:tcPr>
            <w:tcW w:w="911" w:type="dxa"/>
            <w:noWrap w:val="0"/>
            <w:vAlign w:val="center"/>
          </w:tcPr>
          <w:p w14:paraId="60B04C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70</w:t>
            </w:r>
          </w:p>
        </w:tc>
        <w:tc>
          <w:tcPr>
            <w:tcW w:w="1347" w:type="pct"/>
            <w:vMerge w:val="continue"/>
            <w:noWrap w:val="0"/>
            <w:vAlign w:val="center"/>
          </w:tcPr>
          <w:p w14:paraId="22C8A7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70E7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F8DB49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10</w:t>
            </w:r>
          </w:p>
        </w:tc>
        <w:tc>
          <w:tcPr>
            <w:tcW w:w="1612" w:type="pct"/>
            <w:noWrap w:val="0"/>
            <w:vAlign w:val="center"/>
          </w:tcPr>
          <w:p w14:paraId="0A753B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矮槐村</w:t>
            </w:r>
          </w:p>
        </w:tc>
        <w:tc>
          <w:tcPr>
            <w:tcW w:w="586" w:type="pct"/>
            <w:noWrap w:val="0"/>
            <w:vAlign w:val="center"/>
          </w:tcPr>
          <w:p w14:paraId="4762CA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714CBF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3680</w:t>
            </w:r>
          </w:p>
        </w:tc>
        <w:tc>
          <w:tcPr>
            <w:tcW w:w="911" w:type="dxa"/>
            <w:noWrap w:val="0"/>
            <w:vAlign w:val="center"/>
          </w:tcPr>
          <w:p w14:paraId="13E607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8</w:t>
            </w: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644C4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5BB4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37C446A3">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11</w:t>
            </w:r>
          </w:p>
        </w:tc>
        <w:tc>
          <w:tcPr>
            <w:tcW w:w="1612" w:type="pct"/>
            <w:noWrap w:val="0"/>
            <w:vAlign w:val="center"/>
          </w:tcPr>
          <w:p w14:paraId="1839EF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董褚村</w:t>
            </w:r>
          </w:p>
        </w:tc>
        <w:tc>
          <w:tcPr>
            <w:tcW w:w="586" w:type="pct"/>
            <w:noWrap w:val="0"/>
            <w:vAlign w:val="center"/>
          </w:tcPr>
          <w:p w14:paraId="1D4290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57041D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30</w:t>
            </w:r>
          </w:p>
        </w:tc>
        <w:tc>
          <w:tcPr>
            <w:tcW w:w="911" w:type="dxa"/>
            <w:noWrap w:val="0"/>
            <w:vAlign w:val="center"/>
          </w:tcPr>
          <w:p w14:paraId="6DC071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40</w:t>
            </w:r>
          </w:p>
        </w:tc>
        <w:tc>
          <w:tcPr>
            <w:tcW w:w="1347" w:type="pct"/>
            <w:vMerge w:val="continue"/>
            <w:noWrap w:val="0"/>
            <w:vAlign w:val="center"/>
          </w:tcPr>
          <w:p w14:paraId="65D842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3250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E5E28B3">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12</w:t>
            </w:r>
          </w:p>
        </w:tc>
        <w:tc>
          <w:tcPr>
            <w:tcW w:w="1612" w:type="pct"/>
            <w:noWrap w:val="0"/>
            <w:vAlign w:val="center"/>
          </w:tcPr>
          <w:p w14:paraId="79330B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闫家村</w:t>
            </w:r>
          </w:p>
        </w:tc>
        <w:tc>
          <w:tcPr>
            <w:tcW w:w="586" w:type="pct"/>
            <w:noWrap w:val="0"/>
            <w:vAlign w:val="center"/>
          </w:tcPr>
          <w:p w14:paraId="3F051F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25E183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4700</w:t>
            </w:r>
          </w:p>
        </w:tc>
        <w:tc>
          <w:tcPr>
            <w:tcW w:w="911" w:type="dxa"/>
            <w:noWrap w:val="0"/>
            <w:vAlign w:val="center"/>
          </w:tcPr>
          <w:p w14:paraId="37DC68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0</w:t>
            </w:r>
            <w:r>
              <w:rPr>
                <w:rFonts w:hint="eastAsia" w:cs="Times New Roman"/>
                <w:color w:val="auto"/>
                <w:spacing w:val="0"/>
                <w:position w:val="0"/>
                <w:sz w:val="21"/>
                <w:szCs w:val="21"/>
                <w:highlight w:val="none"/>
                <w:lang w:val="en-US" w:eastAsia="zh-CN"/>
              </w:rPr>
              <w:t>6</w:t>
            </w:r>
          </w:p>
        </w:tc>
        <w:tc>
          <w:tcPr>
            <w:tcW w:w="1347" w:type="pct"/>
            <w:vMerge w:val="continue"/>
            <w:noWrap w:val="0"/>
            <w:vAlign w:val="center"/>
          </w:tcPr>
          <w:p w14:paraId="22531A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4897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673D18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13</w:t>
            </w:r>
          </w:p>
        </w:tc>
        <w:tc>
          <w:tcPr>
            <w:tcW w:w="1612" w:type="pct"/>
            <w:noWrap w:val="0"/>
            <w:vAlign w:val="center"/>
          </w:tcPr>
          <w:p w14:paraId="48EAED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高家庄</w:t>
            </w:r>
          </w:p>
        </w:tc>
        <w:tc>
          <w:tcPr>
            <w:tcW w:w="586" w:type="pct"/>
            <w:noWrap w:val="0"/>
            <w:vAlign w:val="center"/>
          </w:tcPr>
          <w:p w14:paraId="578EDE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79038D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700</w:t>
            </w:r>
          </w:p>
        </w:tc>
        <w:tc>
          <w:tcPr>
            <w:tcW w:w="911" w:type="dxa"/>
            <w:noWrap w:val="0"/>
            <w:vAlign w:val="center"/>
          </w:tcPr>
          <w:p w14:paraId="11112E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92</w:t>
            </w:r>
          </w:p>
        </w:tc>
        <w:tc>
          <w:tcPr>
            <w:tcW w:w="1347" w:type="pct"/>
            <w:vMerge w:val="continue"/>
            <w:noWrap w:val="0"/>
            <w:vAlign w:val="center"/>
          </w:tcPr>
          <w:p w14:paraId="5D3F1B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1410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DD23A3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14</w:t>
            </w:r>
          </w:p>
        </w:tc>
        <w:tc>
          <w:tcPr>
            <w:tcW w:w="1612" w:type="pct"/>
            <w:noWrap w:val="0"/>
            <w:vAlign w:val="center"/>
          </w:tcPr>
          <w:p w14:paraId="107797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曹家社区</w:t>
            </w:r>
          </w:p>
        </w:tc>
        <w:tc>
          <w:tcPr>
            <w:tcW w:w="586" w:type="pct"/>
            <w:noWrap w:val="0"/>
            <w:vAlign w:val="center"/>
          </w:tcPr>
          <w:p w14:paraId="4DE7F8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5AA07D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2800</w:t>
            </w:r>
          </w:p>
        </w:tc>
        <w:tc>
          <w:tcPr>
            <w:tcW w:w="911" w:type="dxa"/>
            <w:noWrap w:val="0"/>
            <w:vAlign w:val="center"/>
          </w:tcPr>
          <w:p w14:paraId="1C62E7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10</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4DDB65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40EB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4DB747A">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15</w:t>
            </w:r>
          </w:p>
        </w:tc>
        <w:tc>
          <w:tcPr>
            <w:tcW w:w="1612" w:type="pct"/>
            <w:noWrap w:val="0"/>
            <w:vAlign w:val="center"/>
          </w:tcPr>
          <w:p w14:paraId="1DDE03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毛托村</w:t>
            </w:r>
          </w:p>
        </w:tc>
        <w:tc>
          <w:tcPr>
            <w:tcW w:w="586" w:type="pct"/>
            <w:noWrap w:val="0"/>
            <w:vAlign w:val="center"/>
          </w:tcPr>
          <w:p w14:paraId="736FAB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w:t>
            </w:r>
          </w:p>
        </w:tc>
        <w:tc>
          <w:tcPr>
            <w:tcW w:w="1122" w:type="dxa"/>
            <w:noWrap w:val="0"/>
            <w:vAlign w:val="center"/>
          </w:tcPr>
          <w:p w14:paraId="5DBE16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900</w:t>
            </w:r>
          </w:p>
        </w:tc>
        <w:tc>
          <w:tcPr>
            <w:tcW w:w="911" w:type="dxa"/>
            <w:noWrap w:val="0"/>
            <w:vAlign w:val="center"/>
          </w:tcPr>
          <w:p w14:paraId="32866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208</w:t>
            </w:r>
          </w:p>
        </w:tc>
        <w:tc>
          <w:tcPr>
            <w:tcW w:w="1347" w:type="pct"/>
            <w:vMerge w:val="continue"/>
            <w:noWrap w:val="0"/>
            <w:vAlign w:val="center"/>
          </w:tcPr>
          <w:p w14:paraId="00675D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0D68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6F4DB64">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16</w:t>
            </w:r>
          </w:p>
        </w:tc>
        <w:tc>
          <w:tcPr>
            <w:tcW w:w="1612" w:type="pct"/>
            <w:noWrap w:val="0"/>
            <w:vAlign w:val="center"/>
          </w:tcPr>
          <w:p w14:paraId="0197DA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傅家庄</w:t>
            </w:r>
          </w:p>
        </w:tc>
        <w:tc>
          <w:tcPr>
            <w:tcW w:w="586" w:type="pct"/>
            <w:noWrap w:val="0"/>
            <w:vAlign w:val="center"/>
          </w:tcPr>
          <w:p w14:paraId="5EA45D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4DA860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4140</w:t>
            </w:r>
          </w:p>
        </w:tc>
        <w:tc>
          <w:tcPr>
            <w:tcW w:w="911" w:type="dxa"/>
            <w:noWrap w:val="0"/>
            <w:vAlign w:val="center"/>
          </w:tcPr>
          <w:p w14:paraId="193AEF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650</w:t>
            </w:r>
          </w:p>
        </w:tc>
        <w:tc>
          <w:tcPr>
            <w:tcW w:w="1347" w:type="pct"/>
            <w:vMerge w:val="continue"/>
            <w:noWrap w:val="0"/>
            <w:vAlign w:val="center"/>
          </w:tcPr>
          <w:p w14:paraId="1D71CB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4C65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F006CEC">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17</w:t>
            </w:r>
          </w:p>
        </w:tc>
        <w:tc>
          <w:tcPr>
            <w:tcW w:w="1612" w:type="pct"/>
            <w:noWrap w:val="0"/>
            <w:vAlign w:val="center"/>
          </w:tcPr>
          <w:p w14:paraId="28D3F1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段家庄</w:t>
            </w:r>
          </w:p>
        </w:tc>
        <w:tc>
          <w:tcPr>
            <w:tcW w:w="586" w:type="pct"/>
            <w:noWrap w:val="0"/>
            <w:vAlign w:val="center"/>
          </w:tcPr>
          <w:p w14:paraId="299C76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15D61E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4550</w:t>
            </w:r>
          </w:p>
        </w:tc>
        <w:tc>
          <w:tcPr>
            <w:tcW w:w="911" w:type="dxa"/>
            <w:noWrap w:val="0"/>
            <w:vAlign w:val="center"/>
          </w:tcPr>
          <w:p w14:paraId="368CDA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582</w:t>
            </w:r>
          </w:p>
        </w:tc>
        <w:tc>
          <w:tcPr>
            <w:tcW w:w="1347" w:type="pct"/>
            <w:vMerge w:val="continue"/>
            <w:noWrap w:val="0"/>
            <w:vAlign w:val="center"/>
          </w:tcPr>
          <w:p w14:paraId="548953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1AC9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484AC7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18</w:t>
            </w:r>
          </w:p>
        </w:tc>
        <w:tc>
          <w:tcPr>
            <w:tcW w:w="1612" w:type="pct"/>
            <w:noWrap w:val="0"/>
            <w:vAlign w:val="center"/>
          </w:tcPr>
          <w:p w14:paraId="697215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槐行村</w:t>
            </w:r>
          </w:p>
        </w:tc>
        <w:tc>
          <w:tcPr>
            <w:tcW w:w="586" w:type="pct"/>
            <w:noWrap w:val="0"/>
            <w:vAlign w:val="center"/>
          </w:tcPr>
          <w:p w14:paraId="0393B2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2EFB52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4000</w:t>
            </w:r>
          </w:p>
        </w:tc>
        <w:tc>
          <w:tcPr>
            <w:tcW w:w="911" w:type="dxa"/>
            <w:noWrap w:val="0"/>
            <w:vAlign w:val="center"/>
          </w:tcPr>
          <w:p w14:paraId="170C8A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56436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656E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1B58B8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19</w:t>
            </w:r>
          </w:p>
        </w:tc>
        <w:tc>
          <w:tcPr>
            <w:tcW w:w="1612" w:type="pct"/>
            <w:noWrap w:val="0"/>
            <w:vAlign w:val="center"/>
          </w:tcPr>
          <w:p w14:paraId="6E690C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大杨庄村</w:t>
            </w:r>
          </w:p>
        </w:tc>
        <w:tc>
          <w:tcPr>
            <w:tcW w:w="586" w:type="pct"/>
            <w:noWrap w:val="0"/>
            <w:vAlign w:val="center"/>
          </w:tcPr>
          <w:p w14:paraId="3E60C0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06835E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3600</w:t>
            </w:r>
          </w:p>
        </w:tc>
        <w:tc>
          <w:tcPr>
            <w:tcW w:w="911" w:type="dxa"/>
            <w:noWrap w:val="0"/>
            <w:vAlign w:val="center"/>
          </w:tcPr>
          <w:p w14:paraId="573ABB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804</w:t>
            </w:r>
          </w:p>
        </w:tc>
        <w:tc>
          <w:tcPr>
            <w:tcW w:w="1347" w:type="pct"/>
            <w:vMerge w:val="continue"/>
            <w:noWrap w:val="0"/>
            <w:vAlign w:val="center"/>
          </w:tcPr>
          <w:p w14:paraId="2E14FD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203E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8B3703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20</w:t>
            </w:r>
          </w:p>
        </w:tc>
        <w:tc>
          <w:tcPr>
            <w:tcW w:w="1612" w:type="pct"/>
            <w:noWrap w:val="0"/>
            <w:vAlign w:val="center"/>
          </w:tcPr>
          <w:p w14:paraId="798684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小杨庄村</w:t>
            </w:r>
          </w:p>
        </w:tc>
        <w:tc>
          <w:tcPr>
            <w:tcW w:w="586" w:type="pct"/>
            <w:noWrap w:val="0"/>
            <w:vAlign w:val="center"/>
          </w:tcPr>
          <w:p w14:paraId="133D28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7CA137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3500</w:t>
            </w:r>
          </w:p>
        </w:tc>
        <w:tc>
          <w:tcPr>
            <w:tcW w:w="911" w:type="dxa"/>
            <w:noWrap w:val="0"/>
            <w:vAlign w:val="center"/>
          </w:tcPr>
          <w:p w14:paraId="7BA26A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681C11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55F5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DA5B015">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21</w:t>
            </w:r>
          </w:p>
        </w:tc>
        <w:tc>
          <w:tcPr>
            <w:tcW w:w="1612" w:type="pct"/>
            <w:noWrap w:val="0"/>
            <w:vAlign w:val="center"/>
          </w:tcPr>
          <w:p w14:paraId="1A34C0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侯家屯</w:t>
            </w:r>
          </w:p>
        </w:tc>
        <w:tc>
          <w:tcPr>
            <w:tcW w:w="586" w:type="pct"/>
            <w:noWrap w:val="0"/>
            <w:vAlign w:val="center"/>
          </w:tcPr>
          <w:p w14:paraId="3C77EE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4AD848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eastAsia" w:cs="Times New Roman"/>
                <w:caps w:val="0"/>
                <w:smallCaps w:val="0"/>
                <w:color w:val="auto"/>
                <w:spacing w:val="0"/>
                <w:position w:val="0"/>
                <w:sz w:val="21"/>
                <w:szCs w:val="21"/>
                <w:highlight w:val="none"/>
                <w:lang w:val="en-US" w:eastAsia="zh-CN"/>
              </w:rPr>
              <w:t>5</w:t>
            </w:r>
            <w:r>
              <w:rPr>
                <w:rFonts w:hint="default" w:ascii="Times New Roman" w:hAnsi="Times New Roman" w:eastAsia="宋体" w:cs="Times New Roman"/>
                <w:caps w:val="0"/>
                <w:smallCaps w:val="0"/>
                <w:color w:val="auto"/>
                <w:spacing w:val="0"/>
                <w:position w:val="0"/>
                <w:sz w:val="21"/>
                <w:szCs w:val="21"/>
                <w:highlight w:val="none"/>
                <w:lang w:val="en-US" w:eastAsia="zh-CN"/>
              </w:rPr>
              <w:t>170</w:t>
            </w:r>
          </w:p>
        </w:tc>
        <w:tc>
          <w:tcPr>
            <w:tcW w:w="911" w:type="dxa"/>
            <w:noWrap w:val="0"/>
            <w:vAlign w:val="center"/>
          </w:tcPr>
          <w:p w14:paraId="4CFE38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3000</w:t>
            </w:r>
          </w:p>
        </w:tc>
        <w:tc>
          <w:tcPr>
            <w:tcW w:w="1347" w:type="pct"/>
            <w:vMerge w:val="continue"/>
            <w:noWrap w:val="0"/>
            <w:vAlign w:val="center"/>
          </w:tcPr>
          <w:p w14:paraId="521E4F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3AFA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33E5847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22</w:t>
            </w:r>
          </w:p>
        </w:tc>
        <w:tc>
          <w:tcPr>
            <w:tcW w:w="1612" w:type="pct"/>
            <w:noWrap w:val="0"/>
            <w:vAlign w:val="center"/>
          </w:tcPr>
          <w:p w14:paraId="16B12E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李家屯</w:t>
            </w:r>
          </w:p>
        </w:tc>
        <w:tc>
          <w:tcPr>
            <w:tcW w:w="586" w:type="pct"/>
            <w:noWrap w:val="0"/>
            <w:vAlign w:val="center"/>
          </w:tcPr>
          <w:p w14:paraId="60428B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70F2BF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4350</w:t>
            </w:r>
          </w:p>
        </w:tc>
        <w:tc>
          <w:tcPr>
            <w:tcW w:w="911" w:type="dxa"/>
            <w:noWrap w:val="0"/>
            <w:vAlign w:val="center"/>
          </w:tcPr>
          <w:p w14:paraId="7B49E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350</w:t>
            </w:r>
          </w:p>
        </w:tc>
        <w:tc>
          <w:tcPr>
            <w:tcW w:w="1347" w:type="pct"/>
            <w:vMerge w:val="continue"/>
            <w:noWrap w:val="0"/>
            <w:vAlign w:val="center"/>
          </w:tcPr>
          <w:p w14:paraId="0A0116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536F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8DB776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23</w:t>
            </w:r>
          </w:p>
        </w:tc>
        <w:tc>
          <w:tcPr>
            <w:tcW w:w="1612" w:type="pct"/>
            <w:noWrap w:val="0"/>
            <w:vAlign w:val="center"/>
          </w:tcPr>
          <w:p w14:paraId="066D14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乌河</w:t>
            </w:r>
          </w:p>
        </w:tc>
        <w:tc>
          <w:tcPr>
            <w:tcW w:w="586" w:type="pct"/>
            <w:noWrap w:val="0"/>
            <w:vAlign w:val="center"/>
          </w:tcPr>
          <w:p w14:paraId="0AC6DD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NE</w:t>
            </w:r>
          </w:p>
        </w:tc>
        <w:tc>
          <w:tcPr>
            <w:tcW w:w="1122" w:type="dxa"/>
            <w:noWrap w:val="0"/>
            <w:vAlign w:val="center"/>
          </w:tcPr>
          <w:p w14:paraId="4795A7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eastAsia" w:cs="Times New Roman"/>
                <w:caps w:val="0"/>
                <w:smallCaps w:val="0"/>
                <w:color w:val="auto"/>
                <w:spacing w:val="0"/>
                <w:position w:val="0"/>
                <w:sz w:val="21"/>
                <w:szCs w:val="21"/>
                <w:lang w:val="en-US" w:eastAsia="zh-CN"/>
              </w:rPr>
              <w:t>4200</w:t>
            </w:r>
          </w:p>
        </w:tc>
        <w:tc>
          <w:tcPr>
            <w:tcW w:w="911" w:type="dxa"/>
            <w:noWrap w:val="0"/>
            <w:vAlign w:val="center"/>
          </w:tcPr>
          <w:p w14:paraId="2F6E0A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w:t>
            </w:r>
          </w:p>
        </w:tc>
        <w:tc>
          <w:tcPr>
            <w:tcW w:w="1347" w:type="pct"/>
            <w:vMerge w:val="continue"/>
            <w:noWrap w:val="0"/>
            <w:vAlign w:val="center"/>
          </w:tcPr>
          <w:p w14:paraId="74997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5082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C895898">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24</w:t>
            </w:r>
          </w:p>
        </w:tc>
        <w:tc>
          <w:tcPr>
            <w:tcW w:w="1612" w:type="pct"/>
            <w:noWrap w:val="0"/>
            <w:vAlign w:val="center"/>
          </w:tcPr>
          <w:p w14:paraId="52C3FD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山东隆信药业有限公司</w:t>
            </w:r>
          </w:p>
        </w:tc>
        <w:tc>
          <w:tcPr>
            <w:tcW w:w="586" w:type="pct"/>
            <w:noWrap w:val="0"/>
            <w:vAlign w:val="center"/>
          </w:tcPr>
          <w:p w14:paraId="5F7A2F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kern w:val="0"/>
                <w:sz w:val="21"/>
                <w:szCs w:val="21"/>
                <w:highlight w:val="none"/>
                <w:lang w:val="en-US" w:eastAsia="zh-CN" w:bidi="ar"/>
              </w:rPr>
              <w:t>W</w:t>
            </w:r>
          </w:p>
        </w:tc>
        <w:tc>
          <w:tcPr>
            <w:tcW w:w="1122" w:type="dxa"/>
            <w:noWrap w:val="0"/>
            <w:vAlign w:val="center"/>
          </w:tcPr>
          <w:p w14:paraId="0B65E0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50</w:t>
            </w:r>
          </w:p>
        </w:tc>
        <w:tc>
          <w:tcPr>
            <w:tcW w:w="911" w:type="dxa"/>
            <w:noWrap w:val="0"/>
            <w:vAlign w:val="center"/>
          </w:tcPr>
          <w:p w14:paraId="530BC5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240</w:t>
            </w:r>
          </w:p>
        </w:tc>
        <w:tc>
          <w:tcPr>
            <w:tcW w:w="1347" w:type="pct"/>
            <w:vMerge w:val="continue"/>
            <w:noWrap w:val="0"/>
            <w:vAlign w:val="center"/>
          </w:tcPr>
          <w:p w14:paraId="7D279D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701D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20C182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25</w:t>
            </w:r>
          </w:p>
        </w:tc>
        <w:tc>
          <w:tcPr>
            <w:tcW w:w="1612" w:type="pct"/>
            <w:noWrap w:val="0"/>
            <w:vAlign w:val="center"/>
          </w:tcPr>
          <w:p w14:paraId="52A709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山东隆盛和助剂有限公司</w:t>
            </w:r>
          </w:p>
        </w:tc>
        <w:tc>
          <w:tcPr>
            <w:tcW w:w="586" w:type="pct"/>
            <w:noWrap w:val="0"/>
            <w:vAlign w:val="center"/>
          </w:tcPr>
          <w:p w14:paraId="257651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N</w:t>
            </w:r>
          </w:p>
        </w:tc>
        <w:tc>
          <w:tcPr>
            <w:tcW w:w="1122" w:type="dxa"/>
            <w:noWrap w:val="0"/>
            <w:vAlign w:val="center"/>
          </w:tcPr>
          <w:p w14:paraId="1E301B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w:t>
            </w:r>
            <w:r>
              <w:rPr>
                <w:rFonts w:hint="eastAsia"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1A478B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140</w:t>
            </w:r>
          </w:p>
        </w:tc>
        <w:tc>
          <w:tcPr>
            <w:tcW w:w="1347" w:type="pct"/>
            <w:vMerge w:val="continue"/>
            <w:noWrap w:val="0"/>
            <w:vAlign w:val="center"/>
          </w:tcPr>
          <w:p w14:paraId="7F874E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37A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CFF7067">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26</w:t>
            </w:r>
          </w:p>
        </w:tc>
        <w:tc>
          <w:tcPr>
            <w:tcW w:w="1612" w:type="pct"/>
            <w:noWrap w:val="0"/>
            <w:vAlign w:val="center"/>
          </w:tcPr>
          <w:p w14:paraId="2054F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000000" w:themeColor="text1"/>
                <w:lang w:eastAsia="zh-CN"/>
                <w14:textFill>
                  <w14:solidFill>
                    <w14:schemeClr w14:val="tx1"/>
                  </w14:solidFill>
                </w14:textFill>
              </w:rPr>
              <w:t>淄博鲁格宝化工有限公司</w:t>
            </w:r>
          </w:p>
        </w:tc>
        <w:tc>
          <w:tcPr>
            <w:tcW w:w="586" w:type="pct"/>
            <w:noWrap w:val="0"/>
            <w:vAlign w:val="center"/>
          </w:tcPr>
          <w:p w14:paraId="655016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081106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443</w:t>
            </w:r>
          </w:p>
        </w:tc>
        <w:tc>
          <w:tcPr>
            <w:tcW w:w="911" w:type="dxa"/>
            <w:noWrap w:val="0"/>
            <w:vAlign w:val="center"/>
          </w:tcPr>
          <w:p w14:paraId="2D0FFC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22</w:t>
            </w:r>
          </w:p>
        </w:tc>
        <w:tc>
          <w:tcPr>
            <w:tcW w:w="1347" w:type="pct"/>
            <w:vMerge w:val="continue"/>
            <w:noWrap w:val="0"/>
            <w:vAlign w:val="center"/>
          </w:tcPr>
          <w:p w14:paraId="3747AD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0BC1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A1868F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27</w:t>
            </w:r>
          </w:p>
        </w:tc>
        <w:tc>
          <w:tcPr>
            <w:tcW w:w="1612" w:type="pct"/>
            <w:noWrap w:val="0"/>
            <w:vAlign w:val="center"/>
          </w:tcPr>
          <w:p w14:paraId="23D4A9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山东旭益强化工有限公司</w:t>
            </w:r>
          </w:p>
        </w:tc>
        <w:tc>
          <w:tcPr>
            <w:tcW w:w="586" w:type="pct"/>
            <w:noWrap w:val="0"/>
            <w:vAlign w:val="center"/>
          </w:tcPr>
          <w:p w14:paraId="4C41A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W</w:t>
            </w:r>
            <w:r>
              <w:rPr>
                <w:rFonts w:hint="eastAsia" w:ascii="Times New Roman" w:hAnsi="Times New Roman" w:eastAsia="宋体" w:cs="Times New Roman"/>
                <w:caps w:val="0"/>
                <w:smallCaps w:val="0"/>
                <w:color w:val="auto"/>
                <w:spacing w:val="0"/>
                <w:position w:val="0"/>
                <w:sz w:val="21"/>
                <w:szCs w:val="21"/>
                <w:highlight w:val="none"/>
                <w:lang w:val="en-US" w:eastAsia="zh-CN"/>
              </w:rPr>
              <w:t>S</w:t>
            </w:r>
          </w:p>
        </w:tc>
        <w:tc>
          <w:tcPr>
            <w:tcW w:w="1122" w:type="dxa"/>
            <w:noWrap w:val="0"/>
            <w:vAlign w:val="center"/>
          </w:tcPr>
          <w:p w14:paraId="7C7472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289</w:t>
            </w:r>
          </w:p>
        </w:tc>
        <w:tc>
          <w:tcPr>
            <w:tcW w:w="911" w:type="dxa"/>
            <w:noWrap w:val="0"/>
            <w:vAlign w:val="center"/>
          </w:tcPr>
          <w:p w14:paraId="46A16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30</w:t>
            </w:r>
          </w:p>
        </w:tc>
        <w:tc>
          <w:tcPr>
            <w:tcW w:w="1347" w:type="pct"/>
            <w:vMerge w:val="continue"/>
            <w:noWrap w:val="0"/>
            <w:vAlign w:val="center"/>
          </w:tcPr>
          <w:p w14:paraId="53D11E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098A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24FBE0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地表水</w:t>
            </w:r>
          </w:p>
        </w:tc>
        <w:tc>
          <w:tcPr>
            <w:tcW w:w="586" w:type="pct"/>
            <w:noWrap w:val="0"/>
            <w:vAlign w:val="center"/>
          </w:tcPr>
          <w:p w14:paraId="2FC2CB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lang w:eastAsia="zh-CN"/>
              </w:rPr>
              <w:t>淄</w:t>
            </w:r>
            <w:r>
              <w:rPr>
                <w:rFonts w:hint="eastAsia"/>
              </w:rPr>
              <w:t>河</w:t>
            </w:r>
          </w:p>
        </w:tc>
        <w:tc>
          <w:tcPr>
            <w:tcW w:w="2538" w:type="pct"/>
            <w:gridSpan w:val="3"/>
            <w:noWrap w:val="0"/>
            <w:vAlign w:val="center"/>
          </w:tcPr>
          <w:p w14:paraId="7222D2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 xml:space="preserve">《地表水环境质量标准》(GB3838-2002) </w:t>
            </w:r>
            <w:r>
              <w:rPr>
                <w:rFonts w:hint="eastAsia" w:ascii="宋体" w:hAnsi="宋体" w:eastAsia="宋体" w:cs="宋体"/>
                <w:color w:val="000000" w:themeColor="text1"/>
                <w:sz w:val="24"/>
                <w:szCs w:val="24"/>
                <w:lang w:eastAsia="zh-CN"/>
                <w14:textFill>
                  <w14:solidFill>
                    <w14:schemeClr w14:val="tx1"/>
                  </w14:solidFill>
                </w14:textFill>
              </w:rPr>
              <w:t>Ⅳ</w:t>
            </w:r>
            <w:r>
              <w:rPr>
                <w:rFonts w:hint="default" w:ascii="Times New Roman" w:hAnsi="Times New Roman" w:eastAsia="宋体" w:cs="Times New Roman"/>
                <w:caps w:val="0"/>
                <w:smallCaps w:val="0"/>
                <w:color w:val="auto"/>
                <w:spacing w:val="0"/>
                <w:position w:val="0"/>
                <w:sz w:val="21"/>
                <w:szCs w:val="21"/>
                <w:lang w:val="en-US" w:eastAsia="zh-CN"/>
              </w:rPr>
              <w:t xml:space="preserve"> 类标准</w:t>
            </w:r>
          </w:p>
        </w:tc>
      </w:tr>
      <w:tr w14:paraId="4CDE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28BB52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地下水</w:t>
            </w:r>
          </w:p>
        </w:tc>
        <w:tc>
          <w:tcPr>
            <w:tcW w:w="586" w:type="pct"/>
            <w:noWrap w:val="0"/>
            <w:vAlign w:val="center"/>
          </w:tcPr>
          <w:p w14:paraId="5965A6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自备井</w:t>
            </w:r>
          </w:p>
        </w:tc>
        <w:tc>
          <w:tcPr>
            <w:tcW w:w="2538" w:type="pct"/>
            <w:gridSpan w:val="3"/>
            <w:noWrap w:val="0"/>
            <w:vAlign w:val="center"/>
          </w:tcPr>
          <w:p w14:paraId="2C3E0F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《地下水质量标准》（GB/T14848-2017）III 类区</w:t>
            </w:r>
          </w:p>
        </w:tc>
      </w:tr>
      <w:tr w14:paraId="7B39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4300D9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土壤</w:t>
            </w:r>
          </w:p>
        </w:tc>
        <w:tc>
          <w:tcPr>
            <w:tcW w:w="586" w:type="pct"/>
            <w:noWrap w:val="0"/>
            <w:vAlign w:val="center"/>
          </w:tcPr>
          <w:p w14:paraId="7B8133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厂界周边</w:t>
            </w:r>
          </w:p>
        </w:tc>
        <w:tc>
          <w:tcPr>
            <w:tcW w:w="2538" w:type="pct"/>
            <w:gridSpan w:val="3"/>
            <w:noWrap w:val="0"/>
            <w:vAlign w:val="center"/>
          </w:tcPr>
          <w:p w14:paraId="5653C8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《土壤环境质量标准》（GB36600-2018）第二类用地筛选值</w:t>
            </w:r>
          </w:p>
        </w:tc>
      </w:tr>
    </w:tbl>
    <w:p w14:paraId="73885EAC">
      <w:pPr>
        <w:keepNext w:val="0"/>
        <w:keepLines w:val="0"/>
        <w:pageBreakBefore w:val="0"/>
        <w:widowControl w:val="0"/>
        <w:kinsoku/>
        <w:wordWrap/>
        <w:overflowPunct/>
        <w:topLinePunct w:val="0"/>
        <w:autoSpaceDE/>
        <w:autoSpaceDN/>
        <w:bidi w:val="0"/>
        <w:adjustRightInd/>
        <w:snapToGrid/>
        <w:spacing w:before="240" w:beforeLines="100" w:line="360" w:lineRule="auto"/>
        <w:ind w:firstLine="480" w:firstLineChars="200"/>
        <w:textAlignment w:val="auto"/>
        <w:outlineLvl w:val="9"/>
        <w:rPr>
          <w:rFonts w:hint="eastAsia" w:cs="Times New Roman"/>
          <w:b/>
          <w:bCs/>
          <w:color w:val="000000" w:themeColor="text1"/>
          <w:sz w:val="28"/>
          <w:szCs w:val="28"/>
          <w:lang w:val="en-US" w:eastAsia="zh-CN"/>
          <w14:textFill>
            <w14:solidFill>
              <w14:schemeClr w14:val="tx1"/>
            </w14:solidFill>
          </w14:textFill>
        </w:rPr>
      </w:pPr>
      <w:bookmarkStart w:id="44" w:name="_Toc20534"/>
      <w:r>
        <w:rPr>
          <w:rFonts w:hint="eastAsia" w:cs="Times New Roman"/>
          <w:b w:val="0"/>
          <w:bCs/>
          <w:color w:val="000000" w:themeColor="text1"/>
          <w:sz w:val="24"/>
          <w:szCs w:val="18"/>
          <w:lang w:val="en-US" w:eastAsia="zh-CN"/>
          <w14:textFill>
            <w14:solidFill>
              <w14:schemeClr w14:val="tx1"/>
            </w14:solidFill>
          </w14:textFill>
        </w:rPr>
        <w:t>通过现场勘查，淄博元齐生物有限公司主要周边500米风险受体影响人数为432人，5km风险受体影响人数为24683人。</w:t>
      </w:r>
    </w:p>
    <w:p w14:paraId="7593802A">
      <w:pPr>
        <w:pStyle w:val="123"/>
        <w:keepNext w:val="0"/>
        <w:keepLines w:val="0"/>
        <w:pageBreakBefore w:val="0"/>
        <w:widowControl/>
        <w:kinsoku/>
        <w:wordWrap/>
        <w:overflowPunct/>
        <w:topLinePunct w:val="0"/>
        <w:autoSpaceDE/>
        <w:autoSpaceDN/>
        <w:bidi w:val="0"/>
        <w:adjustRightInd/>
        <w:snapToGrid/>
        <w:ind w:left="0" w:leftChars="0" w:firstLine="0" w:firstLineChars="0"/>
        <w:textAlignment w:val="auto"/>
        <w:outlineLvl w:val="1"/>
        <w:rPr>
          <w:rFonts w:cs="Times New Roman"/>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3.3</w:t>
      </w:r>
      <w:r>
        <w:rPr>
          <w:rFonts w:cs="Times New Roman"/>
          <w:b/>
          <w:bCs/>
          <w:color w:val="000000" w:themeColor="text1"/>
          <w:sz w:val="28"/>
          <w:szCs w:val="28"/>
          <w14:textFill>
            <w14:solidFill>
              <w14:schemeClr w14:val="tx1"/>
            </w14:solidFill>
          </w14:textFill>
        </w:rPr>
        <w:t>涉及环境风险物质情况</w:t>
      </w:r>
      <w:bookmarkEnd w:id="42"/>
      <w:bookmarkEnd w:id="43"/>
      <w:bookmarkEnd w:id="44"/>
    </w:p>
    <w:p w14:paraId="4CF63396">
      <w:pPr>
        <w:pStyle w:val="123"/>
        <w:rPr>
          <w:color w:val="000000" w:themeColor="text1"/>
          <w:lang w:eastAsia="zh-CN"/>
          <w14:textFill>
            <w14:solidFill>
              <w14:schemeClr w14:val="tx1"/>
            </w14:solidFill>
          </w14:textFill>
        </w:rPr>
      </w:pPr>
      <w:bookmarkStart w:id="45" w:name="_Hlk73514848"/>
      <w:r>
        <w:rPr>
          <w:color w:val="000000" w:themeColor="text1"/>
          <w:lang w:eastAsia="zh-CN"/>
          <w14:textFill>
            <w14:solidFill>
              <w14:schemeClr w14:val="tx1"/>
            </w14:solidFill>
          </w14:textFill>
        </w:rPr>
        <w:t>公司</w:t>
      </w:r>
      <w:r>
        <w:rPr>
          <w:rFonts w:hint="eastAsia"/>
          <w:color w:val="000000" w:themeColor="text1"/>
          <w:lang w:eastAsia="zh-CN"/>
          <w14:textFill>
            <w14:solidFill>
              <w14:schemeClr w14:val="tx1"/>
            </w14:solidFill>
          </w14:textFill>
        </w:rPr>
        <w:t>涉及环境</w:t>
      </w:r>
      <w:r>
        <w:rPr>
          <w:color w:val="000000" w:themeColor="text1"/>
          <w:lang w:eastAsia="zh-CN"/>
          <w14:textFill>
            <w14:solidFill>
              <w14:schemeClr w14:val="tx1"/>
            </w14:solidFill>
          </w14:textFill>
        </w:rPr>
        <w:t>风险物质</w:t>
      </w:r>
      <w:r>
        <w:rPr>
          <w:rFonts w:hint="eastAsia"/>
          <w:color w:val="000000" w:themeColor="text1"/>
          <w:lang w:eastAsia="zh-CN"/>
          <w14:textFill>
            <w14:solidFill>
              <w14:schemeClr w14:val="tx1"/>
            </w14:solidFill>
          </w14:textFill>
        </w:rPr>
        <w:t>情况</w:t>
      </w:r>
      <w:r>
        <w:rPr>
          <w:color w:val="000000" w:themeColor="text1"/>
          <w:lang w:eastAsia="zh-CN"/>
          <w14:textFill>
            <w14:solidFill>
              <w14:schemeClr w14:val="tx1"/>
            </w14:solidFill>
          </w14:textFill>
        </w:rPr>
        <w:t>见</w:t>
      </w:r>
      <w:r>
        <w:rPr>
          <w:color w:val="000000" w:themeColor="text1"/>
          <w:lang w:eastAsia="zh-CN"/>
          <w14:textFill>
            <w14:solidFill>
              <w14:schemeClr w14:val="tx1"/>
            </w14:solidFill>
          </w14:textFill>
        </w:rPr>
        <w:fldChar w:fldCharType="begin"/>
      </w:r>
      <w:r>
        <w:rPr>
          <w:color w:val="000000" w:themeColor="text1"/>
          <w:lang w:eastAsia="zh-CN"/>
          <w14:textFill>
            <w14:solidFill>
              <w14:schemeClr w14:val="tx1"/>
            </w14:solidFill>
          </w14:textFill>
        </w:rPr>
        <w:instrText xml:space="preserve"> REF _Ref95201787 \h  \* MERGEFORMAT </w:instrText>
      </w:r>
      <w:r>
        <w:rPr>
          <w:color w:val="000000" w:themeColor="text1"/>
          <w:lang w:eastAsia="zh-CN"/>
          <w14:textFill>
            <w14:solidFill>
              <w14:schemeClr w14:val="tx1"/>
            </w14:solidFill>
          </w14:textFill>
        </w:rPr>
        <w:fldChar w:fldCharType="separate"/>
      </w:r>
      <w:r>
        <w:rPr>
          <w:color w:val="000000" w:themeColor="text1"/>
          <w:lang w:eastAsia="zh-CN"/>
          <w14:textFill>
            <w14:solidFill>
              <w14:schemeClr w14:val="tx1"/>
            </w14:solidFill>
          </w14:textFill>
        </w:rPr>
        <w:t>表3.3</w:t>
      </w:r>
      <w:r>
        <w:rPr>
          <w:color w:val="000000" w:themeColor="text1"/>
          <w:lang w:eastAsia="zh-CN"/>
          <w14:textFill>
            <w14:solidFill>
              <w14:schemeClr w14:val="tx1"/>
            </w14:solidFill>
          </w14:textFill>
        </w:rPr>
        <w:noBreakHyphen/>
      </w:r>
      <w:r>
        <w:rPr>
          <w:color w:val="000000" w:themeColor="text1"/>
          <w:lang w:eastAsia="zh-CN"/>
          <w14:textFill>
            <w14:solidFill>
              <w14:schemeClr w14:val="tx1"/>
            </w14:solidFill>
          </w14:textFill>
        </w:rPr>
        <w:t>1</w:t>
      </w:r>
      <w:r>
        <w:rPr>
          <w:color w:val="000000" w:themeColor="text1"/>
          <w:lang w:eastAsia="zh-CN"/>
          <w14:textFill>
            <w14:solidFill>
              <w14:schemeClr w14:val="tx1"/>
            </w14:solidFill>
          </w14:textFill>
        </w:rPr>
        <w:fldChar w:fldCharType="end"/>
      </w:r>
      <w:r>
        <w:rPr>
          <w:color w:val="000000" w:themeColor="text1"/>
          <w:lang w:eastAsia="zh-CN"/>
          <w14:textFill>
            <w14:solidFill>
              <w14:schemeClr w14:val="tx1"/>
            </w14:solidFill>
          </w14:textFill>
        </w:rPr>
        <w:t>。</w:t>
      </w:r>
    </w:p>
    <w:bookmarkEnd w:id="45"/>
    <w:p w14:paraId="44D831FE">
      <w:pPr>
        <w:pStyle w:val="127"/>
        <w:spacing w:before="240" w:beforeLines="100" w:after="120" w:afterLines="50"/>
        <w:rPr>
          <w:rFonts w:hint="eastAsia"/>
          <w:color w:val="000000" w:themeColor="text1"/>
          <w:sz w:val="24"/>
          <w:szCs w:val="24"/>
          <w14:textFill>
            <w14:solidFill>
              <w14:schemeClr w14:val="tx1"/>
            </w14:solidFill>
          </w14:textFill>
        </w:rPr>
      </w:pPr>
      <w:bookmarkStart w:id="46" w:name="_Ref95201787"/>
      <w:bookmarkStart w:id="47" w:name="_Hlk73514921"/>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3.3</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fldChar w:fldCharType="end"/>
      </w:r>
      <w:bookmarkEnd w:id="46"/>
      <w:r>
        <w:rPr>
          <w:color w:val="000000" w:themeColor="text1"/>
          <w:sz w:val="24"/>
          <w:szCs w:val="24"/>
          <w14:textFill>
            <w14:solidFill>
              <w14:schemeClr w14:val="tx1"/>
            </w14:solidFill>
          </w14:textFill>
        </w:rPr>
        <w:t xml:space="preserve"> </w:t>
      </w:r>
      <w:bookmarkEnd w:id="47"/>
      <w:r>
        <w:rPr>
          <w:rFonts w:hint="eastAsia"/>
          <w:color w:val="000000" w:themeColor="text1"/>
          <w:sz w:val="24"/>
          <w:szCs w:val="24"/>
          <w14:textFill>
            <w14:solidFill>
              <w14:schemeClr w14:val="tx1"/>
            </w14:solidFill>
          </w14:textFill>
        </w:rPr>
        <w:t>公司涉及风险物质情况一览表</w:t>
      </w:r>
    </w:p>
    <w:tbl>
      <w:tblPr>
        <w:tblStyle w:val="33"/>
        <w:tblW w:w="488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98"/>
        <w:gridCol w:w="1079"/>
        <w:gridCol w:w="942"/>
        <w:gridCol w:w="1034"/>
        <w:gridCol w:w="924"/>
        <w:gridCol w:w="895"/>
        <w:gridCol w:w="655"/>
        <w:gridCol w:w="1244"/>
      </w:tblGrid>
      <w:tr w14:paraId="2C4F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tblHeader/>
          <w:jc w:val="center"/>
        </w:trPr>
        <w:tc>
          <w:tcPr>
            <w:tcW w:w="5000" w:type="pct"/>
            <w:gridSpan w:val="8"/>
            <w:tcBorders>
              <w:tl2br w:val="nil"/>
              <w:tr2bl w:val="nil"/>
            </w:tcBorders>
            <w:noWrap/>
            <w:vAlign w:val="center"/>
          </w:tcPr>
          <w:p w14:paraId="1A7A8043">
            <w:pPr>
              <w:pStyle w:val="128"/>
              <w:keepNext w:val="0"/>
              <w:keepLines w:val="0"/>
              <w:suppressLineNumbers w:val="0"/>
              <w:spacing w:before="0" w:beforeAutospacing="0" w:after="0" w:afterAutospacing="0" w:line="360" w:lineRule="auto"/>
              <w:ind w:right="0"/>
              <w:jc w:val="center"/>
              <w:rPr>
                <w:rFonts w:hint="eastAsia" w:eastAsia="宋体"/>
                <w:b w:val="0"/>
                <w:bCs/>
                <w:lang w:eastAsia="zh-CN"/>
              </w:rPr>
            </w:pPr>
            <w:r>
              <w:rPr>
                <w:rFonts w:hint="eastAsia" w:eastAsia="宋体"/>
                <w:b w:val="0"/>
                <w:bCs/>
                <w:lang w:eastAsia="zh-CN"/>
              </w:rPr>
              <w:t>糠醇装置</w:t>
            </w:r>
          </w:p>
        </w:tc>
      </w:tr>
      <w:tr w14:paraId="545EC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2" w:hRule="atLeast"/>
          <w:tblHeader/>
          <w:jc w:val="center"/>
        </w:trPr>
        <w:tc>
          <w:tcPr>
            <w:tcW w:w="855" w:type="pct"/>
            <w:tcBorders>
              <w:tl2br w:val="nil"/>
              <w:tr2bl w:val="nil"/>
            </w:tcBorders>
            <w:noWrap/>
            <w:vAlign w:val="center"/>
          </w:tcPr>
          <w:p w14:paraId="192CFD3D">
            <w:pPr>
              <w:pStyle w:val="128"/>
              <w:keepNext w:val="0"/>
              <w:keepLines w:val="0"/>
              <w:suppressLineNumbers w:val="0"/>
              <w:spacing w:before="0" w:beforeAutospacing="0" w:after="0" w:afterAutospacing="0" w:line="360" w:lineRule="auto"/>
              <w:ind w:left="6" w:leftChars="0" w:right="0" w:hanging="6" w:hangingChars="3"/>
              <w:jc w:val="center"/>
              <w:rPr>
                <w:rFonts w:hint="eastAsia" w:ascii="Times New Roman" w:hAnsi="Times New Roman" w:eastAsia="宋体" w:cs="Times New Roman"/>
                <w:b/>
                <w:color w:val="000000"/>
                <w:kern w:val="2"/>
                <w:sz w:val="24"/>
                <w:szCs w:val="21"/>
                <w:lang w:val="zh-CN" w:eastAsia="zh-CN" w:bidi="ar-SA"/>
              </w:rPr>
            </w:pPr>
            <w:r>
              <w:rPr>
                <w:rFonts w:hint="eastAsia" w:eastAsia="宋体"/>
                <w:b w:val="0"/>
                <w:bCs/>
              </w:rPr>
              <w:t>风险物质名称</w:t>
            </w:r>
          </w:p>
        </w:tc>
        <w:tc>
          <w:tcPr>
            <w:tcW w:w="660" w:type="pct"/>
            <w:tcBorders>
              <w:tl2br w:val="nil"/>
              <w:tr2bl w:val="nil"/>
            </w:tcBorders>
            <w:noWrap w:val="0"/>
            <w:vAlign w:val="center"/>
          </w:tcPr>
          <w:p w14:paraId="4BF09AE1">
            <w:pPr>
              <w:pStyle w:val="126"/>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CAS号</w:t>
            </w:r>
          </w:p>
        </w:tc>
        <w:tc>
          <w:tcPr>
            <w:tcW w:w="576" w:type="pct"/>
            <w:tcBorders>
              <w:tl2br w:val="nil"/>
              <w:tr2bl w:val="nil"/>
            </w:tcBorders>
            <w:shd w:val="clear" w:color="auto" w:fill="auto"/>
            <w:noWrap w:val="0"/>
            <w:vAlign w:val="center"/>
          </w:tcPr>
          <w:p w14:paraId="16AB7B11">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SA"/>
              </w:rPr>
            </w:pPr>
            <w:r>
              <w:rPr>
                <w:rFonts w:hint="eastAsia"/>
                <w:color w:val="auto"/>
              </w:rPr>
              <w:t>储存位置</w:t>
            </w:r>
          </w:p>
        </w:tc>
        <w:tc>
          <w:tcPr>
            <w:tcW w:w="632" w:type="pct"/>
            <w:tcBorders>
              <w:tl2br w:val="nil"/>
              <w:tr2bl w:val="nil"/>
            </w:tcBorders>
            <w:shd w:val="clear" w:color="auto" w:fill="auto"/>
            <w:noWrap w:val="0"/>
            <w:vAlign w:val="center"/>
          </w:tcPr>
          <w:p w14:paraId="68129E11">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zh-CN" w:eastAsia="zh-CN" w:bidi="ar-SA"/>
              </w:rPr>
            </w:pPr>
            <w:r>
              <w:rPr>
                <w:rFonts w:hint="eastAsia"/>
                <w:color w:val="auto"/>
              </w:rPr>
              <w:t>储存方式</w:t>
            </w:r>
          </w:p>
        </w:tc>
        <w:tc>
          <w:tcPr>
            <w:tcW w:w="565" w:type="pct"/>
            <w:tcBorders>
              <w:tl2br w:val="nil"/>
              <w:tr2bl w:val="nil"/>
            </w:tcBorders>
            <w:shd w:val="clear" w:color="auto" w:fill="auto"/>
            <w:noWrap w:val="0"/>
            <w:vAlign w:val="center"/>
          </w:tcPr>
          <w:p w14:paraId="129CE7F5">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储罐数量</w:t>
            </w:r>
          </w:p>
        </w:tc>
        <w:tc>
          <w:tcPr>
            <w:tcW w:w="547" w:type="pct"/>
            <w:tcBorders>
              <w:tl2br w:val="nil"/>
              <w:tr2bl w:val="nil"/>
            </w:tcBorders>
            <w:shd w:val="clear" w:color="auto" w:fill="auto"/>
            <w:noWrap w:val="0"/>
            <w:vAlign w:val="center"/>
          </w:tcPr>
          <w:p w14:paraId="68D247E4">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m³</w:t>
            </w:r>
          </w:p>
        </w:tc>
        <w:tc>
          <w:tcPr>
            <w:tcW w:w="400" w:type="pct"/>
            <w:tcBorders>
              <w:tl2br w:val="nil"/>
              <w:tr2bl w:val="nil"/>
            </w:tcBorders>
            <w:shd w:val="clear" w:color="auto" w:fill="auto"/>
            <w:noWrap w:val="0"/>
            <w:vAlign w:val="center"/>
          </w:tcPr>
          <w:p w14:paraId="37713647">
            <w:pPr>
              <w:pStyle w:val="128"/>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761" w:type="pct"/>
            <w:tcBorders>
              <w:tl2br w:val="nil"/>
              <w:tr2bl w:val="nil"/>
            </w:tcBorders>
            <w:shd w:val="clear" w:color="auto" w:fill="auto"/>
            <w:noWrap w:val="0"/>
            <w:vAlign w:val="center"/>
          </w:tcPr>
          <w:p w14:paraId="44F4871F">
            <w:pPr>
              <w:pStyle w:val="128"/>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r>
      <w:tr w14:paraId="0C6B9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2D99A80F">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660" w:type="pct"/>
            <w:tcBorders>
              <w:tl2br w:val="nil"/>
              <w:tr2bl w:val="nil"/>
            </w:tcBorders>
            <w:noWrap/>
            <w:vAlign w:val="center"/>
          </w:tcPr>
          <w:p w14:paraId="3512FC22">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24"/>
                <w:szCs w:val="21"/>
                <w:lang w:val="en-US" w:eastAsia="zh-CN"/>
              </w:rPr>
            </w:pPr>
            <w:r>
              <w:rPr>
                <w:rFonts w:hint="eastAsia" w:ascii="宋体" w:hAnsi="宋体" w:eastAsia="宋体" w:cs="宋体"/>
                <w:color w:val="000000"/>
                <w:kern w:val="0"/>
                <w:sz w:val="20"/>
                <w:szCs w:val="20"/>
                <w:lang w:val="en-US" w:eastAsia="zh-CN" w:bidi="ar"/>
              </w:rPr>
              <w:t>98-01-1</w:t>
            </w:r>
          </w:p>
        </w:tc>
        <w:tc>
          <w:tcPr>
            <w:tcW w:w="576" w:type="pct"/>
            <w:tcBorders>
              <w:tl2br w:val="nil"/>
              <w:tr2bl w:val="nil"/>
            </w:tcBorders>
            <w:shd w:val="clear" w:color="auto" w:fill="auto"/>
            <w:noWrap/>
            <w:vAlign w:val="center"/>
          </w:tcPr>
          <w:p w14:paraId="0FF4F809">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color w:val="auto"/>
              </w:rPr>
              <w:t>罐区</w:t>
            </w:r>
          </w:p>
        </w:tc>
        <w:tc>
          <w:tcPr>
            <w:tcW w:w="632" w:type="pct"/>
            <w:tcBorders>
              <w:tl2br w:val="nil"/>
              <w:tr2bl w:val="nil"/>
            </w:tcBorders>
            <w:shd w:val="clear" w:color="auto" w:fill="auto"/>
            <w:noWrap/>
            <w:vAlign w:val="center"/>
          </w:tcPr>
          <w:p w14:paraId="522AADDD">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1CA691E7">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547" w:type="pct"/>
            <w:tcBorders>
              <w:tl2br w:val="nil"/>
              <w:tr2bl w:val="nil"/>
            </w:tcBorders>
            <w:shd w:val="clear" w:color="auto" w:fill="auto"/>
            <w:noWrap/>
            <w:vAlign w:val="center"/>
          </w:tcPr>
          <w:p w14:paraId="2A14CF0B">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400" w:type="pct"/>
            <w:tcBorders>
              <w:tl2br w:val="nil"/>
              <w:tr2bl w:val="nil"/>
            </w:tcBorders>
            <w:shd w:val="clear" w:color="auto" w:fill="auto"/>
            <w:noWrap/>
            <w:vAlign w:val="center"/>
          </w:tcPr>
          <w:p w14:paraId="0AA27A1E">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761" w:type="pct"/>
            <w:tcBorders>
              <w:tl2br w:val="nil"/>
              <w:tr2bl w:val="nil"/>
            </w:tcBorders>
            <w:shd w:val="clear" w:color="auto" w:fill="auto"/>
            <w:noWrap/>
            <w:vAlign w:val="center"/>
          </w:tcPr>
          <w:p w14:paraId="7BD7EC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cs="Times New Roman"/>
                <w:color w:val="000000"/>
                <w:kern w:val="24"/>
                <w:sz w:val="21"/>
                <w:szCs w:val="21"/>
                <w:highlight w:val="none"/>
                <w:lang w:val="en-US" w:eastAsia="zh-CN" w:bidi="ar-SA"/>
              </w:rPr>
              <w:t>290</w:t>
            </w:r>
          </w:p>
        </w:tc>
      </w:tr>
      <w:tr w14:paraId="08CE9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6273AA56">
            <w:pPr>
              <w:keepNext w:val="0"/>
              <w:keepLines w:val="0"/>
              <w:suppressLineNumbers w:val="0"/>
              <w:spacing w:before="0" w:beforeAutospacing="0" w:after="0" w:afterAutospacing="0" w:line="240" w:lineRule="auto"/>
              <w:ind w:left="0" w:right="0" w:firstLine="0" w:firstLineChars="0"/>
              <w:jc w:val="center"/>
              <w:rPr>
                <w:rStyle w:val="35"/>
                <w:rFonts w:hint="default" w:ascii="Times New Roman" w:hAnsi="Times New Roman" w:eastAsia="宋体" w:cs="Times New Roman"/>
                <w:color w:val="000000"/>
                <w:kern w:val="2"/>
                <w:sz w:val="21"/>
                <w:szCs w:val="20"/>
                <w:lang w:val="en-US" w:eastAsia="zh-CN" w:bidi="ar-SA"/>
              </w:rPr>
            </w:pPr>
            <w:r>
              <w:rPr>
                <w:rStyle w:val="35"/>
                <w:rFonts w:hint="eastAsia" w:ascii="Times New Roman" w:hAnsi="Times New Roman" w:cs="Times New Roman"/>
                <w:color w:val="000000"/>
                <w:kern w:val="2"/>
                <w:sz w:val="21"/>
                <w:szCs w:val="20"/>
                <w:lang w:val="en-US" w:eastAsia="zh-CN" w:bidi="ar-SA"/>
              </w:rPr>
              <w:t>氢气</w:t>
            </w:r>
          </w:p>
        </w:tc>
        <w:tc>
          <w:tcPr>
            <w:tcW w:w="660" w:type="pct"/>
            <w:tcBorders>
              <w:tl2br w:val="nil"/>
              <w:tr2bl w:val="nil"/>
            </w:tcBorders>
            <w:noWrap/>
            <w:vAlign w:val="center"/>
          </w:tcPr>
          <w:p w14:paraId="779EB813">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val="en-US" w:eastAsia="zh-CN" w:bidi="ar"/>
              </w:rPr>
            </w:pPr>
          </w:p>
        </w:tc>
        <w:tc>
          <w:tcPr>
            <w:tcW w:w="576" w:type="pct"/>
            <w:tcBorders>
              <w:tl2br w:val="nil"/>
              <w:tr2bl w:val="nil"/>
            </w:tcBorders>
            <w:shd w:val="clear" w:color="auto" w:fill="auto"/>
            <w:noWrap/>
            <w:vAlign w:val="center"/>
          </w:tcPr>
          <w:p w14:paraId="7D9E1FD7">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eastAsia="宋体"/>
                <w:color w:val="auto"/>
                <w:lang w:eastAsia="zh-CN"/>
              </w:rPr>
            </w:pPr>
            <w:r>
              <w:rPr>
                <w:rFonts w:hint="eastAsia"/>
                <w:color w:val="auto"/>
                <w:lang w:eastAsia="zh-CN"/>
              </w:rPr>
              <w:t>无储存</w:t>
            </w:r>
          </w:p>
        </w:tc>
        <w:tc>
          <w:tcPr>
            <w:tcW w:w="632" w:type="pct"/>
            <w:tcBorders>
              <w:tl2br w:val="nil"/>
              <w:tr2bl w:val="nil"/>
            </w:tcBorders>
            <w:shd w:val="clear" w:color="auto" w:fill="auto"/>
            <w:noWrap/>
            <w:vAlign w:val="center"/>
          </w:tcPr>
          <w:p w14:paraId="1E9324E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Cs w:val="21"/>
                <w:lang w:val="en-US" w:eastAsia="zh-CN"/>
              </w:rPr>
            </w:pPr>
            <w:r>
              <w:rPr>
                <w:rFonts w:hint="eastAsia" w:cs="Times New Roman"/>
                <w:color w:val="000000"/>
                <w:kern w:val="24"/>
                <w:szCs w:val="21"/>
                <w:lang w:val="en-US" w:eastAsia="zh-CN"/>
              </w:rPr>
              <w:t>--</w:t>
            </w:r>
          </w:p>
        </w:tc>
        <w:tc>
          <w:tcPr>
            <w:tcW w:w="565" w:type="pct"/>
            <w:tcBorders>
              <w:tl2br w:val="nil"/>
              <w:tr2bl w:val="nil"/>
            </w:tcBorders>
            <w:shd w:val="clear" w:color="auto" w:fill="auto"/>
            <w:noWrap/>
            <w:vAlign w:val="center"/>
          </w:tcPr>
          <w:p w14:paraId="1BF8A49C">
            <w:pPr>
              <w:pStyle w:val="126"/>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w:t>
            </w:r>
          </w:p>
        </w:tc>
        <w:tc>
          <w:tcPr>
            <w:tcW w:w="547" w:type="pct"/>
            <w:tcBorders>
              <w:tl2br w:val="nil"/>
              <w:tr2bl w:val="nil"/>
            </w:tcBorders>
            <w:shd w:val="clear" w:color="auto" w:fill="auto"/>
            <w:noWrap/>
            <w:vAlign w:val="center"/>
          </w:tcPr>
          <w:p w14:paraId="12A8E0E9">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400" w:type="pct"/>
            <w:tcBorders>
              <w:tl2br w:val="nil"/>
              <w:tr2bl w:val="nil"/>
            </w:tcBorders>
            <w:shd w:val="clear" w:color="auto" w:fill="auto"/>
            <w:noWrap/>
            <w:vAlign w:val="center"/>
          </w:tcPr>
          <w:p w14:paraId="07434D55">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Cs w:val="21"/>
                <w:lang w:val="en-US" w:eastAsia="zh-CN"/>
              </w:rPr>
            </w:pPr>
            <w:r>
              <w:rPr>
                <w:rFonts w:hint="eastAsia" w:cs="Times New Roman"/>
                <w:color w:val="000000"/>
                <w:kern w:val="24"/>
                <w:szCs w:val="21"/>
                <w:lang w:val="en-US" w:eastAsia="zh-CN"/>
              </w:rPr>
              <w:t>--</w:t>
            </w:r>
          </w:p>
        </w:tc>
        <w:tc>
          <w:tcPr>
            <w:tcW w:w="761" w:type="pct"/>
            <w:tcBorders>
              <w:tl2br w:val="nil"/>
              <w:tr2bl w:val="nil"/>
            </w:tcBorders>
            <w:shd w:val="clear" w:color="auto" w:fill="auto"/>
            <w:noWrap/>
            <w:vAlign w:val="center"/>
          </w:tcPr>
          <w:p w14:paraId="1456DDDE">
            <w:pPr>
              <w:keepNext w:val="0"/>
              <w:keepLines w:val="0"/>
              <w:suppressLineNumbers w:val="0"/>
              <w:spacing w:before="0" w:beforeAutospacing="0" w:after="0" w:afterAutospacing="0"/>
              <w:ind w:left="0" w:leftChars="0" w:right="0" w:rightChars="0"/>
              <w:jc w:val="center"/>
              <w:rPr>
                <w:rFonts w:hint="default" w:cs="Times New Roman"/>
                <w:color w:val="000000"/>
                <w:kern w:val="24"/>
                <w:sz w:val="21"/>
                <w:szCs w:val="21"/>
                <w:highlight w:val="none"/>
                <w:lang w:val="en-US" w:eastAsia="zh-CN" w:bidi="ar-SA"/>
              </w:rPr>
            </w:pPr>
            <w:r>
              <w:rPr>
                <w:rFonts w:hint="eastAsia" w:cs="Times New Roman"/>
                <w:color w:val="000000"/>
                <w:kern w:val="24"/>
                <w:sz w:val="21"/>
                <w:szCs w:val="21"/>
                <w:highlight w:val="none"/>
                <w:lang w:val="en-US" w:eastAsia="zh-CN" w:bidi="ar-SA"/>
              </w:rPr>
              <w:t>--</w:t>
            </w:r>
          </w:p>
        </w:tc>
      </w:tr>
      <w:tr w14:paraId="63C85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8" w:hRule="atLeast"/>
          <w:tblHeader/>
          <w:jc w:val="center"/>
        </w:trPr>
        <w:tc>
          <w:tcPr>
            <w:tcW w:w="5000" w:type="pct"/>
            <w:gridSpan w:val="8"/>
            <w:tcBorders>
              <w:tl2br w:val="nil"/>
              <w:tr2bl w:val="nil"/>
            </w:tcBorders>
            <w:noWrap/>
            <w:vAlign w:val="center"/>
          </w:tcPr>
          <w:p w14:paraId="1B46078B">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highlight w:val="none"/>
                <w:lang w:val="en-US" w:eastAsia="zh-CN" w:bidi="ar-SA"/>
              </w:rPr>
            </w:pPr>
            <w:r>
              <w:rPr>
                <w:rFonts w:hint="eastAsia"/>
                <w:b w:val="0"/>
                <w:bCs/>
                <w:lang w:eastAsia="zh-CN"/>
              </w:rPr>
              <w:t>二甲基呋喃</w:t>
            </w:r>
            <w:r>
              <w:rPr>
                <w:rFonts w:hint="eastAsia" w:eastAsia="宋体"/>
                <w:b w:val="0"/>
                <w:bCs/>
                <w:lang w:eastAsia="zh-CN"/>
              </w:rPr>
              <w:t>装置</w:t>
            </w:r>
          </w:p>
        </w:tc>
      </w:tr>
      <w:tr w14:paraId="18F25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7" w:hRule="atLeast"/>
          <w:tblHeader/>
          <w:jc w:val="center"/>
        </w:trPr>
        <w:tc>
          <w:tcPr>
            <w:tcW w:w="855" w:type="pct"/>
            <w:tcBorders>
              <w:tl2br w:val="nil"/>
              <w:tr2bl w:val="nil"/>
            </w:tcBorders>
            <w:noWrap/>
            <w:vAlign w:val="center"/>
          </w:tcPr>
          <w:p w14:paraId="4BA9AFB3">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660" w:type="pct"/>
            <w:tcBorders>
              <w:tl2br w:val="nil"/>
              <w:tr2bl w:val="nil"/>
            </w:tcBorders>
            <w:noWrap/>
            <w:vAlign w:val="center"/>
          </w:tcPr>
          <w:p w14:paraId="1876D9A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24"/>
                <w:szCs w:val="21"/>
                <w:lang w:val="en-US" w:eastAsia="zh-CN"/>
              </w:rPr>
            </w:pPr>
            <w:r>
              <w:rPr>
                <w:rFonts w:hint="eastAsia" w:ascii="宋体" w:hAnsi="宋体" w:eastAsia="宋体" w:cs="宋体"/>
                <w:color w:val="000000"/>
                <w:kern w:val="0"/>
                <w:sz w:val="20"/>
                <w:szCs w:val="20"/>
                <w:lang w:val="en-US" w:eastAsia="zh-CN" w:bidi="ar"/>
              </w:rPr>
              <w:t>98-01-1</w:t>
            </w:r>
          </w:p>
        </w:tc>
        <w:tc>
          <w:tcPr>
            <w:tcW w:w="576" w:type="pct"/>
            <w:tcBorders>
              <w:tl2br w:val="nil"/>
              <w:tr2bl w:val="nil"/>
            </w:tcBorders>
            <w:shd w:val="clear" w:color="auto" w:fill="auto"/>
            <w:noWrap/>
            <w:vAlign w:val="center"/>
          </w:tcPr>
          <w:p w14:paraId="50D4E12A">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color w:val="auto"/>
              </w:rPr>
              <w:t>罐区</w:t>
            </w:r>
          </w:p>
        </w:tc>
        <w:tc>
          <w:tcPr>
            <w:tcW w:w="632" w:type="pct"/>
            <w:tcBorders>
              <w:tl2br w:val="nil"/>
              <w:tr2bl w:val="nil"/>
            </w:tcBorders>
            <w:shd w:val="clear" w:color="auto" w:fill="auto"/>
            <w:noWrap/>
            <w:vAlign w:val="center"/>
          </w:tcPr>
          <w:p w14:paraId="30B2CC71">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70DF364D">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547" w:type="pct"/>
            <w:tcBorders>
              <w:tl2br w:val="nil"/>
              <w:tr2bl w:val="nil"/>
            </w:tcBorders>
            <w:shd w:val="clear" w:color="auto" w:fill="auto"/>
            <w:noWrap/>
            <w:vAlign w:val="center"/>
          </w:tcPr>
          <w:p w14:paraId="3585DDC1">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400" w:type="pct"/>
            <w:tcBorders>
              <w:tl2br w:val="nil"/>
              <w:tr2bl w:val="nil"/>
            </w:tcBorders>
            <w:shd w:val="clear" w:color="auto" w:fill="auto"/>
            <w:noWrap/>
            <w:vAlign w:val="center"/>
          </w:tcPr>
          <w:p w14:paraId="7B625869">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761" w:type="pct"/>
            <w:tcBorders>
              <w:tl2br w:val="nil"/>
              <w:tr2bl w:val="nil"/>
            </w:tcBorders>
            <w:shd w:val="clear" w:color="auto" w:fill="auto"/>
            <w:noWrap/>
            <w:vAlign w:val="center"/>
          </w:tcPr>
          <w:p w14:paraId="2AFC3E6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cs="Times New Roman"/>
                <w:color w:val="000000"/>
                <w:kern w:val="24"/>
                <w:sz w:val="21"/>
                <w:szCs w:val="21"/>
                <w:highlight w:val="none"/>
                <w:lang w:val="en-US" w:eastAsia="zh-CN" w:bidi="ar-SA"/>
              </w:rPr>
              <w:t>232</w:t>
            </w:r>
          </w:p>
        </w:tc>
      </w:tr>
      <w:tr w14:paraId="58536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7" w:hRule="atLeast"/>
          <w:tblHeader/>
          <w:jc w:val="center"/>
        </w:trPr>
        <w:tc>
          <w:tcPr>
            <w:tcW w:w="855" w:type="pct"/>
            <w:tcBorders>
              <w:tl2br w:val="nil"/>
              <w:tr2bl w:val="nil"/>
            </w:tcBorders>
            <w:noWrap/>
            <w:vAlign w:val="center"/>
          </w:tcPr>
          <w:p w14:paraId="4615F938">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cs="Times New Roman"/>
                <w:color w:val="000000"/>
                <w:kern w:val="2"/>
                <w:sz w:val="21"/>
                <w:szCs w:val="20"/>
                <w:lang w:val="en-US" w:eastAsia="zh-CN" w:bidi="ar-SA"/>
              </w:rPr>
              <w:t>氢气</w:t>
            </w:r>
          </w:p>
        </w:tc>
        <w:tc>
          <w:tcPr>
            <w:tcW w:w="660" w:type="pct"/>
            <w:tcBorders>
              <w:tl2br w:val="nil"/>
              <w:tr2bl w:val="nil"/>
            </w:tcBorders>
            <w:noWrap/>
            <w:vAlign w:val="center"/>
          </w:tcPr>
          <w:p w14:paraId="402A2E01">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val="en-US" w:eastAsia="zh-CN" w:bidi="ar"/>
              </w:rPr>
            </w:pPr>
          </w:p>
        </w:tc>
        <w:tc>
          <w:tcPr>
            <w:tcW w:w="576" w:type="pct"/>
            <w:tcBorders>
              <w:tl2br w:val="nil"/>
              <w:tr2bl w:val="nil"/>
            </w:tcBorders>
            <w:shd w:val="clear" w:color="auto" w:fill="auto"/>
            <w:noWrap/>
            <w:vAlign w:val="center"/>
          </w:tcPr>
          <w:p w14:paraId="56E2322E">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color w:val="auto"/>
              </w:rPr>
            </w:pPr>
            <w:r>
              <w:rPr>
                <w:rFonts w:hint="eastAsia"/>
                <w:color w:val="auto"/>
                <w:lang w:eastAsia="zh-CN"/>
              </w:rPr>
              <w:t>无储存</w:t>
            </w:r>
          </w:p>
        </w:tc>
        <w:tc>
          <w:tcPr>
            <w:tcW w:w="632" w:type="pct"/>
            <w:tcBorders>
              <w:tl2br w:val="nil"/>
              <w:tr2bl w:val="nil"/>
            </w:tcBorders>
            <w:shd w:val="clear" w:color="auto" w:fill="auto"/>
            <w:noWrap/>
            <w:vAlign w:val="center"/>
          </w:tcPr>
          <w:p w14:paraId="6A6E21FC">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Cs w:val="21"/>
                <w:lang w:val="en-US" w:eastAsia="zh-CN"/>
              </w:rPr>
            </w:pPr>
            <w:r>
              <w:rPr>
                <w:rFonts w:hint="eastAsia" w:cs="Times New Roman"/>
                <w:color w:val="000000"/>
                <w:kern w:val="24"/>
                <w:szCs w:val="21"/>
                <w:lang w:val="en-US" w:eastAsia="zh-CN"/>
              </w:rPr>
              <w:t>--</w:t>
            </w:r>
          </w:p>
        </w:tc>
        <w:tc>
          <w:tcPr>
            <w:tcW w:w="565" w:type="pct"/>
            <w:tcBorders>
              <w:tl2br w:val="nil"/>
              <w:tr2bl w:val="nil"/>
            </w:tcBorders>
            <w:shd w:val="clear" w:color="auto" w:fill="auto"/>
            <w:noWrap/>
            <w:vAlign w:val="center"/>
          </w:tcPr>
          <w:p w14:paraId="3EDA46B5">
            <w:pPr>
              <w:pStyle w:val="126"/>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w:t>
            </w:r>
          </w:p>
        </w:tc>
        <w:tc>
          <w:tcPr>
            <w:tcW w:w="547" w:type="pct"/>
            <w:tcBorders>
              <w:tl2br w:val="nil"/>
              <w:tr2bl w:val="nil"/>
            </w:tcBorders>
            <w:shd w:val="clear" w:color="auto" w:fill="auto"/>
            <w:noWrap/>
            <w:vAlign w:val="center"/>
          </w:tcPr>
          <w:p w14:paraId="53BB9518">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400" w:type="pct"/>
            <w:tcBorders>
              <w:tl2br w:val="nil"/>
              <w:tr2bl w:val="nil"/>
            </w:tcBorders>
            <w:shd w:val="clear" w:color="auto" w:fill="auto"/>
            <w:noWrap/>
            <w:vAlign w:val="center"/>
          </w:tcPr>
          <w:p w14:paraId="232AF4ED">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Cs w:val="21"/>
                <w:lang w:val="en-US" w:eastAsia="zh-CN"/>
              </w:rPr>
            </w:pPr>
            <w:r>
              <w:rPr>
                <w:rFonts w:hint="eastAsia" w:cs="Times New Roman"/>
                <w:color w:val="000000"/>
                <w:kern w:val="24"/>
                <w:szCs w:val="21"/>
                <w:lang w:val="en-US" w:eastAsia="zh-CN"/>
              </w:rPr>
              <w:t>--</w:t>
            </w:r>
          </w:p>
        </w:tc>
        <w:tc>
          <w:tcPr>
            <w:tcW w:w="761" w:type="pct"/>
            <w:tcBorders>
              <w:tl2br w:val="nil"/>
              <w:tr2bl w:val="nil"/>
            </w:tcBorders>
            <w:shd w:val="clear" w:color="auto" w:fill="auto"/>
            <w:noWrap/>
            <w:vAlign w:val="center"/>
          </w:tcPr>
          <w:p w14:paraId="587DF77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cs="Times New Roman"/>
                <w:color w:val="000000"/>
                <w:kern w:val="24"/>
                <w:sz w:val="21"/>
                <w:szCs w:val="21"/>
                <w:highlight w:val="none"/>
                <w:lang w:val="en-US" w:eastAsia="zh-CN" w:bidi="ar-SA"/>
              </w:rPr>
            </w:pPr>
            <w:r>
              <w:rPr>
                <w:rFonts w:hint="eastAsia" w:cs="Times New Roman"/>
                <w:color w:val="000000"/>
                <w:kern w:val="24"/>
                <w:sz w:val="21"/>
                <w:szCs w:val="21"/>
                <w:highlight w:val="none"/>
                <w:lang w:val="en-US" w:eastAsia="zh-CN" w:bidi="ar-SA"/>
              </w:rPr>
              <w:t>--</w:t>
            </w:r>
          </w:p>
        </w:tc>
      </w:tr>
      <w:tr w14:paraId="3C7D4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5000" w:type="pct"/>
            <w:gridSpan w:val="8"/>
            <w:tcBorders>
              <w:tl2br w:val="nil"/>
              <w:tr2bl w:val="nil"/>
            </w:tcBorders>
            <w:noWrap/>
            <w:vAlign w:val="center"/>
          </w:tcPr>
          <w:p w14:paraId="01689973">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000000"/>
                <w:kern w:val="24"/>
                <w:szCs w:val="21"/>
                <w:highlight w:val="none"/>
                <w:lang w:val="en-US" w:eastAsia="zh-CN"/>
              </w:rPr>
            </w:pPr>
            <w:r>
              <w:rPr>
                <w:rFonts w:hint="eastAsia" w:ascii="Times New Roman" w:hAnsi="Times New Roman" w:eastAsia="宋体" w:cs="Times New Roman"/>
                <w:color w:val="000000"/>
                <w:kern w:val="24"/>
                <w:szCs w:val="21"/>
                <w:highlight w:val="none"/>
                <w:lang w:val="en-US" w:eastAsia="zh-CN"/>
              </w:rPr>
              <w:t>危险废物</w:t>
            </w:r>
          </w:p>
        </w:tc>
      </w:tr>
      <w:tr w14:paraId="79A18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47B691A4">
            <w:pPr>
              <w:keepNext w:val="0"/>
              <w:keepLines w:val="0"/>
              <w:suppressLineNumbers w:val="0"/>
              <w:spacing w:before="0" w:beforeAutospacing="0" w:after="0" w:afterAutospacing="0" w:line="240" w:lineRule="auto"/>
              <w:ind w:left="0" w:right="0" w:firstLine="0" w:firstLineChars="0"/>
              <w:jc w:val="center"/>
              <w:rPr>
                <w:rStyle w:val="35"/>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5"/>
                <w:rFonts w:hint="eastAsia" w:ascii="Times New Roman" w:hAnsi="Times New Roman" w:eastAsia="宋体" w:cs="Times New Roman"/>
                <w:color w:val="000000"/>
                <w:kern w:val="2"/>
                <w:sz w:val="21"/>
                <w:szCs w:val="20"/>
                <w:lang w:val="en-US" w:eastAsia="zh-CN" w:bidi="ar-SA"/>
              </w:rPr>
              <w:t>名称</w:t>
            </w:r>
          </w:p>
        </w:tc>
        <w:tc>
          <w:tcPr>
            <w:tcW w:w="660" w:type="pct"/>
            <w:tcBorders>
              <w:tl2br w:val="nil"/>
              <w:tr2bl w:val="nil"/>
            </w:tcBorders>
            <w:noWrap/>
            <w:vAlign w:val="center"/>
          </w:tcPr>
          <w:p w14:paraId="581AEFA1">
            <w:pPr>
              <w:pStyle w:val="126"/>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576" w:type="pct"/>
            <w:tcBorders>
              <w:tl2br w:val="nil"/>
              <w:tr2bl w:val="nil"/>
            </w:tcBorders>
            <w:shd w:val="clear" w:color="auto" w:fill="auto"/>
            <w:noWrap/>
            <w:vAlign w:val="center"/>
          </w:tcPr>
          <w:p w14:paraId="1AF3C6F7">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632" w:type="pct"/>
            <w:tcBorders>
              <w:tl2br w:val="nil"/>
              <w:tr2bl w:val="nil"/>
            </w:tcBorders>
            <w:shd w:val="clear" w:color="auto" w:fill="auto"/>
            <w:noWrap/>
            <w:vAlign w:val="center"/>
          </w:tcPr>
          <w:p w14:paraId="066DE7C3">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65" w:type="pct"/>
            <w:tcBorders>
              <w:tl2br w:val="nil"/>
              <w:tr2bl w:val="nil"/>
            </w:tcBorders>
            <w:shd w:val="clear" w:color="auto" w:fill="auto"/>
            <w:noWrap/>
            <w:vAlign w:val="center"/>
          </w:tcPr>
          <w:p w14:paraId="74C627A5">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rPr>
              <w:t>产生量（t</w:t>
            </w:r>
            <w:r>
              <w:rPr>
                <w:rFonts w:hint="default"/>
                <w:color w:val="auto"/>
              </w:rPr>
              <w:t>/</w:t>
            </w:r>
            <w:r>
              <w:rPr>
                <w:rFonts w:hint="eastAsia"/>
                <w:color w:val="auto"/>
              </w:rPr>
              <w:t>a）</w:t>
            </w:r>
          </w:p>
        </w:tc>
        <w:tc>
          <w:tcPr>
            <w:tcW w:w="547" w:type="pct"/>
            <w:tcBorders>
              <w:tl2br w:val="nil"/>
              <w:tr2bl w:val="nil"/>
            </w:tcBorders>
            <w:shd w:val="clear" w:color="auto" w:fill="auto"/>
            <w:noWrap/>
            <w:vAlign w:val="center"/>
          </w:tcPr>
          <w:p w14:paraId="7CF79D64">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L</w:t>
            </w:r>
          </w:p>
        </w:tc>
        <w:tc>
          <w:tcPr>
            <w:tcW w:w="400" w:type="pct"/>
            <w:tcBorders>
              <w:tl2br w:val="nil"/>
              <w:tr2bl w:val="nil"/>
            </w:tcBorders>
            <w:shd w:val="clear" w:color="auto" w:fill="auto"/>
            <w:noWrap/>
            <w:vAlign w:val="center"/>
          </w:tcPr>
          <w:p w14:paraId="799B4C2A">
            <w:pPr>
              <w:pStyle w:val="128"/>
              <w:keepNext w:val="0"/>
              <w:keepLines w:val="0"/>
              <w:suppressLineNumbers w:val="0"/>
              <w:spacing w:before="0" w:beforeAutospacing="0" w:after="0" w:afterAutospacing="0" w:line="360" w:lineRule="auto"/>
              <w:ind w:left="6" w:leftChars="0" w:right="0" w:rightChars="0" w:hanging="6" w:hangingChars="3"/>
              <w:jc w:val="center"/>
              <w:rPr>
                <w:rFonts w:hint="eastAsia"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761" w:type="pct"/>
            <w:tcBorders>
              <w:tl2br w:val="nil"/>
              <w:tr2bl w:val="nil"/>
            </w:tcBorders>
            <w:shd w:val="clear" w:color="auto" w:fill="auto"/>
            <w:noWrap/>
            <w:vAlign w:val="center"/>
          </w:tcPr>
          <w:p w14:paraId="31ADE860">
            <w:pPr>
              <w:pStyle w:val="128"/>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r>
      <w:tr w14:paraId="5907C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5AC07DF5">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糠醇废催化剂</w:t>
            </w:r>
          </w:p>
        </w:tc>
        <w:tc>
          <w:tcPr>
            <w:tcW w:w="660" w:type="pct"/>
            <w:vMerge w:val="restart"/>
            <w:tcBorders>
              <w:tl2br w:val="nil"/>
              <w:tr2bl w:val="nil"/>
            </w:tcBorders>
            <w:noWrap/>
            <w:vAlign w:val="center"/>
          </w:tcPr>
          <w:p w14:paraId="5671126B">
            <w:pPr>
              <w:pStyle w:val="126"/>
              <w:keepNext w:val="0"/>
              <w:keepLines w:val="0"/>
              <w:widowControl/>
              <w:suppressLineNumbers w:val="0"/>
              <w:spacing w:before="0" w:beforeAutospacing="0" w:after="0" w:afterAutospacing="0"/>
              <w:ind w:left="0" w:right="0"/>
              <w:jc w:val="center"/>
              <w:rPr>
                <w:rFonts w:hint="eastAsia"/>
                <w:color w:val="auto"/>
                <w:lang w:val="en-US" w:eastAsia="zh-CN"/>
              </w:rPr>
            </w:pPr>
          </w:p>
          <w:p w14:paraId="2490CC11">
            <w:pPr>
              <w:pStyle w:val="126"/>
              <w:keepNext w:val="0"/>
              <w:keepLines w:val="0"/>
              <w:widowControl/>
              <w:suppressLineNumbers w:val="0"/>
              <w:spacing w:before="0" w:beforeAutospacing="0" w:after="0" w:afterAutospacing="0"/>
              <w:ind w:left="0" w:right="0"/>
              <w:jc w:val="center"/>
              <w:rPr>
                <w:rFonts w:hint="eastAsia"/>
                <w:color w:val="auto"/>
                <w:lang w:val="en-US" w:eastAsia="zh-CN"/>
              </w:rPr>
            </w:pPr>
          </w:p>
          <w:p w14:paraId="4B9A6A45">
            <w:pPr>
              <w:pStyle w:val="126"/>
              <w:keepNext w:val="0"/>
              <w:keepLines w:val="0"/>
              <w:widowControl/>
              <w:suppressLineNumbers w:val="0"/>
              <w:spacing w:before="0" w:beforeAutospacing="0" w:after="0" w:afterAutospacing="0"/>
              <w:ind w:left="0" w:right="0"/>
              <w:jc w:val="center"/>
              <w:rPr>
                <w:rFonts w:hint="eastAsia"/>
                <w:color w:val="auto"/>
                <w:lang w:val="en-US" w:eastAsia="zh-CN"/>
              </w:rPr>
            </w:pPr>
          </w:p>
          <w:p w14:paraId="60DDDBD7">
            <w:pPr>
              <w:pStyle w:val="126"/>
              <w:keepNext w:val="0"/>
              <w:keepLines w:val="0"/>
              <w:widowControl/>
              <w:suppressLineNumbers w:val="0"/>
              <w:spacing w:before="0" w:beforeAutospacing="0" w:after="0" w:afterAutospacing="0"/>
              <w:ind w:left="0" w:right="0"/>
              <w:jc w:val="center"/>
              <w:rPr>
                <w:rFonts w:hint="eastAsia"/>
                <w:color w:val="auto"/>
                <w:lang w:val="en-US" w:eastAsia="zh-CN"/>
              </w:rPr>
            </w:pPr>
          </w:p>
          <w:p w14:paraId="7B4C3C09">
            <w:pPr>
              <w:pStyle w:val="126"/>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color w:val="auto"/>
                <w:lang w:val="en-US" w:eastAsia="zh-CN"/>
              </w:rPr>
              <w:t>/</w:t>
            </w:r>
          </w:p>
        </w:tc>
        <w:tc>
          <w:tcPr>
            <w:tcW w:w="576" w:type="pct"/>
            <w:vMerge w:val="restart"/>
            <w:tcBorders>
              <w:tl2br w:val="nil"/>
              <w:tr2bl w:val="nil"/>
            </w:tcBorders>
            <w:shd w:val="clear" w:color="auto" w:fill="auto"/>
            <w:noWrap/>
            <w:vAlign w:val="center"/>
          </w:tcPr>
          <w:p w14:paraId="6071A323">
            <w:pPr>
              <w:pStyle w:val="126"/>
              <w:keepNext w:val="0"/>
              <w:keepLines w:val="0"/>
              <w:widowControl/>
              <w:suppressLineNumbers w:val="0"/>
              <w:spacing w:before="0" w:beforeAutospacing="0" w:after="0" w:afterAutospacing="0"/>
              <w:ind w:left="0" w:leftChars="0" w:right="0" w:rightChars="0"/>
              <w:jc w:val="center"/>
              <w:rPr>
                <w:rFonts w:hint="eastAsia"/>
                <w:color w:val="auto"/>
              </w:rPr>
            </w:pPr>
          </w:p>
          <w:p w14:paraId="686B2990">
            <w:pPr>
              <w:pStyle w:val="126"/>
              <w:keepNext w:val="0"/>
              <w:keepLines w:val="0"/>
              <w:widowControl/>
              <w:suppressLineNumbers w:val="0"/>
              <w:spacing w:before="0" w:beforeAutospacing="0" w:after="0" w:afterAutospacing="0"/>
              <w:ind w:left="0" w:leftChars="0" w:right="0" w:rightChars="0"/>
              <w:jc w:val="center"/>
              <w:rPr>
                <w:rFonts w:hint="eastAsia"/>
                <w:color w:val="auto"/>
              </w:rPr>
            </w:pPr>
          </w:p>
          <w:p w14:paraId="46A09618">
            <w:pPr>
              <w:pStyle w:val="126"/>
              <w:keepNext w:val="0"/>
              <w:keepLines w:val="0"/>
              <w:widowControl/>
              <w:suppressLineNumbers w:val="0"/>
              <w:spacing w:before="0" w:beforeAutospacing="0" w:after="0" w:afterAutospacing="0"/>
              <w:ind w:left="0" w:leftChars="0" w:right="0" w:rightChars="0"/>
              <w:jc w:val="center"/>
              <w:rPr>
                <w:rFonts w:hint="eastAsia"/>
                <w:color w:val="auto"/>
              </w:rPr>
            </w:pPr>
          </w:p>
          <w:p w14:paraId="1E6D873F">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危废</w:t>
            </w:r>
            <w:r>
              <w:rPr>
                <w:rFonts w:hint="eastAsia"/>
                <w:color w:val="auto"/>
                <w:lang w:eastAsia="zh-CN"/>
              </w:rPr>
              <w:t>暂存间</w:t>
            </w:r>
          </w:p>
        </w:tc>
        <w:tc>
          <w:tcPr>
            <w:tcW w:w="632" w:type="pct"/>
            <w:tcBorders>
              <w:tl2br w:val="nil"/>
              <w:tr2bl w:val="nil"/>
            </w:tcBorders>
            <w:shd w:val="clear" w:color="auto" w:fill="auto"/>
            <w:noWrap/>
            <w:vAlign w:val="center"/>
          </w:tcPr>
          <w:p w14:paraId="218ACABF">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65" w:type="pct"/>
            <w:tcBorders>
              <w:tl2br w:val="nil"/>
              <w:tr2bl w:val="nil"/>
            </w:tcBorders>
            <w:shd w:val="clear" w:color="auto" w:fill="auto"/>
            <w:noWrap/>
            <w:vAlign w:val="center"/>
          </w:tcPr>
          <w:p w14:paraId="152A2FA0">
            <w:pPr>
              <w:pStyle w:val="126"/>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90</w:t>
            </w:r>
          </w:p>
        </w:tc>
        <w:tc>
          <w:tcPr>
            <w:tcW w:w="547" w:type="pct"/>
            <w:tcBorders>
              <w:tl2br w:val="nil"/>
              <w:tr2bl w:val="nil"/>
            </w:tcBorders>
            <w:shd w:val="clear" w:color="auto" w:fill="auto"/>
            <w:noWrap/>
            <w:vAlign w:val="center"/>
          </w:tcPr>
          <w:p w14:paraId="5380FFFB">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270</w:t>
            </w:r>
          </w:p>
        </w:tc>
        <w:tc>
          <w:tcPr>
            <w:tcW w:w="400" w:type="pct"/>
            <w:tcBorders>
              <w:tl2br w:val="nil"/>
              <w:tr2bl w:val="nil"/>
            </w:tcBorders>
            <w:shd w:val="clear" w:color="auto" w:fill="auto"/>
            <w:noWrap/>
            <w:vAlign w:val="center"/>
          </w:tcPr>
          <w:p w14:paraId="739D6368">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761" w:type="pct"/>
            <w:tcBorders>
              <w:tl2br w:val="nil"/>
              <w:tr2bl w:val="nil"/>
            </w:tcBorders>
            <w:shd w:val="clear" w:color="auto" w:fill="auto"/>
            <w:noWrap/>
            <w:vAlign w:val="center"/>
          </w:tcPr>
          <w:p w14:paraId="1A0E02F6">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240</w:t>
            </w:r>
          </w:p>
        </w:tc>
      </w:tr>
      <w:tr w14:paraId="1C4FE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76716BF1">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二甲基呋喃废催化剂</w:t>
            </w:r>
          </w:p>
        </w:tc>
        <w:tc>
          <w:tcPr>
            <w:tcW w:w="660" w:type="pct"/>
            <w:vMerge w:val="continue"/>
            <w:tcBorders>
              <w:tl2br w:val="nil"/>
              <w:tr2bl w:val="nil"/>
            </w:tcBorders>
            <w:noWrap/>
            <w:vAlign w:val="center"/>
          </w:tcPr>
          <w:p w14:paraId="59A3B0AB">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45215C86">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192742FC">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65" w:type="pct"/>
            <w:tcBorders>
              <w:tl2br w:val="nil"/>
              <w:tr2bl w:val="nil"/>
            </w:tcBorders>
            <w:shd w:val="clear" w:color="auto" w:fill="auto"/>
            <w:noWrap/>
            <w:vAlign w:val="center"/>
          </w:tcPr>
          <w:p w14:paraId="7412D459">
            <w:pPr>
              <w:pStyle w:val="126"/>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12</w:t>
            </w:r>
          </w:p>
        </w:tc>
        <w:tc>
          <w:tcPr>
            <w:tcW w:w="547" w:type="pct"/>
            <w:tcBorders>
              <w:tl2br w:val="nil"/>
              <w:tr2bl w:val="nil"/>
            </w:tcBorders>
            <w:shd w:val="clear" w:color="auto" w:fill="auto"/>
            <w:noWrap/>
            <w:vAlign w:val="center"/>
          </w:tcPr>
          <w:p w14:paraId="602124F4">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00" w:type="pct"/>
            <w:tcBorders>
              <w:tl2br w:val="nil"/>
              <w:tr2bl w:val="nil"/>
            </w:tcBorders>
            <w:shd w:val="clear" w:color="auto" w:fill="auto"/>
            <w:noWrap/>
            <w:vAlign w:val="center"/>
          </w:tcPr>
          <w:p w14:paraId="6883CCD2">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761" w:type="pct"/>
            <w:tcBorders>
              <w:tl2br w:val="nil"/>
              <w:tr2bl w:val="nil"/>
            </w:tcBorders>
            <w:shd w:val="clear" w:color="auto" w:fill="auto"/>
            <w:noWrap/>
            <w:vAlign w:val="center"/>
          </w:tcPr>
          <w:p w14:paraId="64DC90E1">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7E7FF8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12BB49B1">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废活性炭</w:t>
            </w:r>
          </w:p>
        </w:tc>
        <w:tc>
          <w:tcPr>
            <w:tcW w:w="660" w:type="pct"/>
            <w:vMerge w:val="continue"/>
            <w:tcBorders>
              <w:tl2br w:val="nil"/>
              <w:tr2bl w:val="nil"/>
            </w:tcBorders>
            <w:noWrap/>
            <w:vAlign w:val="center"/>
          </w:tcPr>
          <w:p w14:paraId="409784CF">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435899E3">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77B8AA16">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65" w:type="pct"/>
            <w:tcBorders>
              <w:tl2br w:val="nil"/>
              <w:tr2bl w:val="nil"/>
            </w:tcBorders>
            <w:shd w:val="clear" w:color="auto" w:fill="auto"/>
            <w:noWrap/>
            <w:vAlign w:val="center"/>
          </w:tcPr>
          <w:p w14:paraId="60FE070C">
            <w:pPr>
              <w:pStyle w:val="126"/>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2.0</w:t>
            </w:r>
          </w:p>
        </w:tc>
        <w:tc>
          <w:tcPr>
            <w:tcW w:w="547" w:type="pct"/>
            <w:tcBorders>
              <w:tl2br w:val="nil"/>
              <w:tr2bl w:val="nil"/>
            </w:tcBorders>
            <w:shd w:val="clear" w:color="auto" w:fill="auto"/>
            <w:noWrap/>
            <w:vAlign w:val="center"/>
          </w:tcPr>
          <w:p w14:paraId="188A301B">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00" w:type="pct"/>
            <w:tcBorders>
              <w:tl2br w:val="nil"/>
              <w:tr2bl w:val="nil"/>
            </w:tcBorders>
            <w:shd w:val="clear" w:color="auto" w:fill="auto"/>
            <w:noWrap/>
            <w:vAlign w:val="center"/>
          </w:tcPr>
          <w:p w14:paraId="1790B31D">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761" w:type="pct"/>
            <w:tcBorders>
              <w:tl2br w:val="nil"/>
              <w:tr2bl w:val="nil"/>
            </w:tcBorders>
            <w:shd w:val="clear" w:color="auto" w:fill="auto"/>
            <w:noWrap/>
            <w:vAlign w:val="center"/>
          </w:tcPr>
          <w:p w14:paraId="3887AE82">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1A3C6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93" w:hRule="atLeast"/>
          <w:tblHeader/>
          <w:jc w:val="center"/>
        </w:trPr>
        <w:tc>
          <w:tcPr>
            <w:tcW w:w="855" w:type="pct"/>
            <w:tcBorders>
              <w:tl2br w:val="nil"/>
              <w:tr2bl w:val="nil"/>
            </w:tcBorders>
            <w:noWrap/>
            <w:vAlign w:val="center"/>
          </w:tcPr>
          <w:p w14:paraId="4ED89667">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废氯化钙</w:t>
            </w:r>
          </w:p>
        </w:tc>
        <w:tc>
          <w:tcPr>
            <w:tcW w:w="660" w:type="pct"/>
            <w:vMerge w:val="continue"/>
            <w:tcBorders>
              <w:tl2br w:val="nil"/>
              <w:tr2bl w:val="nil"/>
            </w:tcBorders>
            <w:noWrap/>
            <w:vAlign w:val="center"/>
          </w:tcPr>
          <w:p w14:paraId="7899A286">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7A53982E">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1719FB8F">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65" w:type="pct"/>
            <w:tcBorders>
              <w:tl2br w:val="nil"/>
              <w:tr2bl w:val="nil"/>
            </w:tcBorders>
            <w:shd w:val="clear" w:color="auto" w:fill="auto"/>
            <w:noWrap/>
            <w:vAlign w:val="center"/>
          </w:tcPr>
          <w:p w14:paraId="48BCAFE9">
            <w:pPr>
              <w:pStyle w:val="126"/>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8.4</w:t>
            </w:r>
          </w:p>
        </w:tc>
        <w:tc>
          <w:tcPr>
            <w:tcW w:w="547" w:type="pct"/>
            <w:tcBorders>
              <w:tl2br w:val="nil"/>
              <w:tr2bl w:val="nil"/>
            </w:tcBorders>
            <w:shd w:val="clear" w:color="auto" w:fill="auto"/>
            <w:noWrap/>
            <w:vAlign w:val="center"/>
          </w:tcPr>
          <w:p w14:paraId="55B359A8">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250</w:t>
            </w:r>
          </w:p>
        </w:tc>
        <w:tc>
          <w:tcPr>
            <w:tcW w:w="400" w:type="pct"/>
            <w:tcBorders>
              <w:tl2br w:val="nil"/>
              <w:tr2bl w:val="nil"/>
            </w:tcBorders>
            <w:shd w:val="clear" w:color="auto" w:fill="auto"/>
            <w:noWrap/>
            <w:vAlign w:val="center"/>
          </w:tcPr>
          <w:p w14:paraId="5F97202E">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761" w:type="pct"/>
            <w:tcBorders>
              <w:tl2br w:val="nil"/>
              <w:tr2bl w:val="nil"/>
            </w:tcBorders>
            <w:shd w:val="clear" w:color="auto" w:fill="auto"/>
            <w:noWrap/>
            <w:vAlign w:val="center"/>
          </w:tcPr>
          <w:p w14:paraId="4D9C3DEB">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3F295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1C54D4F6">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糠醛聚合物</w:t>
            </w:r>
          </w:p>
        </w:tc>
        <w:tc>
          <w:tcPr>
            <w:tcW w:w="660" w:type="pct"/>
            <w:vMerge w:val="continue"/>
            <w:tcBorders>
              <w:tl2br w:val="nil"/>
              <w:tr2bl w:val="nil"/>
            </w:tcBorders>
            <w:noWrap/>
            <w:vAlign w:val="center"/>
          </w:tcPr>
          <w:p w14:paraId="2BBF3E28">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68ED0F10">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17D85733">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桶装</w:t>
            </w:r>
          </w:p>
        </w:tc>
        <w:tc>
          <w:tcPr>
            <w:tcW w:w="565" w:type="pct"/>
            <w:tcBorders>
              <w:tl2br w:val="nil"/>
              <w:tr2bl w:val="nil"/>
            </w:tcBorders>
            <w:shd w:val="clear" w:color="auto" w:fill="auto"/>
            <w:noWrap/>
            <w:vAlign w:val="center"/>
          </w:tcPr>
          <w:p w14:paraId="42CA094D">
            <w:pPr>
              <w:pStyle w:val="126"/>
              <w:keepNext w:val="0"/>
              <w:keepLines w:val="0"/>
              <w:widowControl/>
              <w:suppressLineNumbers w:val="0"/>
              <w:spacing w:before="0" w:beforeAutospacing="0" w:after="0" w:afterAutospacing="0"/>
              <w:ind w:left="0" w:leftChars="0" w:right="0" w:rightChars="0"/>
              <w:rPr>
                <w:rFonts w:hint="eastAsia"/>
                <w:color w:val="auto"/>
                <w:lang w:val="en-US" w:eastAsia="zh-CN"/>
              </w:rPr>
            </w:pPr>
            <w:r>
              <w:rPr>
                <w:rFonts w:hint="eastAsia"/>
                <w:color w:val="auto"/>
                <w:lang w:val="en-US" w:eastAsia="zh-CN"/>
              </w:rPr>
              <w:t>24.6</w:t>
            </w:r>
          </w:p>
        </w:tc>
        <w:tc>
          <w:tcPr>
            <w:tcW w:w="547" w:type="pct"/>
            <w:tcBorders>
              <w:tl2br w:val="nil"/>
              <w:tr2bl w:val="nil"/>
            </w:tcBorders>
            <w:shd w:val="clear" w:color="auto" w:fill="auto"/>
            <w:noWrap/>
            <w:vAlign w:val="center"/>
          </w:tcPr>
          <w:p w14:paraId="7FB48C2B">
            <w:pPr>
              <w:pStyle w:val="126"/>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250</w:t>
            </w:r>
          </w:p>
        </w:tc>
        <w:tc>
          <w:tcPr>
            <w:tcW w:w="400" w:type="pct"/>
            <w:tcBorders>
              <w:tl2br w:val="nil"/>
              <w:tr2bl w:val="nil"/>
            </w:tcBorders>
            <w:shd w:val="clear" w:color="auto" w:fill="auto"/>
            <w:noWrap/>
            <w:vAlign w:val="center"/>
          </w:tcPr>
          <w:p w14:paraId="7B80997E">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固</w:t>
            </w:r>
          </w:p>
        </w:tc>
        <w:tc>
          <w:tcPr>
            <w:tcW w:w="761" w:type="pct"/>
            <w:tcBorders>
              <w:tl2br w:val="nil"/>
              <w:tr2bl w:val="nil"/>
            </w:tcBorders>
            <w:shd w:val="clear" w:color="auto" w:fill="auto"/>
            <w:noWrap/>
            <w:vAlign w:val="center"/>
          </w:tcPr>
          <w:p w14:paraId="2DFC9723">
            <w:pPr>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w:t>
            </w:r>
          </w:p>
        </w:tc>
      </w:tr>
      <w:tr w14:paraId="410F8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shd w:val="clear" w:color="auto" w:fill="auto"/>
            <w:noWrap/>
            <w:vAlign w:val="center"/>
          </w:tcPr>
          <w:p w14:paraId="0388721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废机油</w:t>
            </w:r>
          </w:p>
        </w:tc>
        <w:tc>
          <w:tcPr>
            <w:tcW w:w="660" w:type="pct"/>
            <w:vMerge w:val="continue"/>
            <w:tcBorders>
              <w:tl2br w:val="nil"/>
              <w:tr2bl w:val="nil"/>
            </w:tcBorders>
            <w:noWrap/>
            <w:vAlign w:val="center"/>
          </w:tcPr>
          <w:p w14:paraId="3367D987">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6403B6E5">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66D63004">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桶装</w:t>
            </w:r>
          </w:p>
        </w:tc>
        <w:tc>
          <w:tcPr>
            <w:tcW w:w="565" w:type="pct"/>
            <w:tcBorders>
              <w:tl2br w:val="nil"/>
              <w:tr2bl w:val="nil"/>
            </w:tcBorders>
            <w:shd w:val="clear" w:color="auto" w:fill="auto"/>
            <w:noWrap/>
            <w:vAlign w:val="center"/>
          </w:tcPr>
          <w:p w14:paraId="09A05FC2">
            <w:pPr>
              <w:pStyle w:val="126"/>
              <w:keepNext w:val="0"/>
              <w:keepLines w:val="0"/>
              <w:widowControl/>
              <w:suppressLineNumbers w:val="0"/>
              <w:spacing w:before="0" w:beforeAutospacing="0" w:after="0" w:afterAutospacing="0"/>
              <w:ind w:left="0" w:leftChars="0" w:right="0" w:rightChars="0"/>
              <w:rPr>
                <w:rFonts w:hint="eastAsia"/>
                <w:color w:val="auto"/>
                <w:lang w:val="en-US" w:eastAsia="zh-CN"/>
              </w:rPr>
            </w:pPr>
            <w:r>
              <w:rPr>
                <w:rFonts w:hint="eastAsia"/>
                <w:color w:val="auto"/>
                <w:lang w:val="en-US" w:eastAsia="zh-CN"/>
              </w:rPr>
              <w:t>1.0</w:t>
            </w:r>
          </w:p>
        </w:tc>
        <w:tc>
          <w:tcPr>
            <w:tcW w:w="547" w:type="pct"/>
            <w:tcBorders>
              <w:tl2br w:val="nil"/>
              <w:tr2bl w:val="nil"/>
            </w:tcBorders>
            <w:shd w:val="clear" w:color="auto" w:fill="auto"/>
            <w:noWrap/>
            <w:vAlign w:val="center"/>
          </w:tcPr>
          <w:p w14:paraId="1352ACA2">
            <w:pPr>
              <w:pStyle w:val="126"/>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w:t>
            </w:r>
          </w:p>
        </w:tc>
        <w:tc>
          <w:tcPr>
            <w:tcW w:w="400" w:type="pct"/>
            <w:tcBorders>
              <w:tl2br w:val="nil"/>
              <w:tr2bl w:val="nil"/>
            </w:tcBorders>
            <w:shd w:val="clear" w:color="auto" w:fill="auto"/>
            <w:noWrap/>
            <w:vAlign w:val="center"/>
          </w:tcPr>
          <w:p w14:paraId="1DAF9DE3">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ascii="Times New Roman" w:hAnsi="Times New Roman" w:eastAsia="宋体" w:cs="Times New Roman"/>
                <w:color w:val="000000"/>
                <w:kern w:val="24"/>
                <w:szCs w:val="21"/>
                <w:lang w:val="en-US" w:eastAsia="zh-CN"/>
              </w:rPr>
              <w:t>液</w:t>
            </w:r>
          </w:p>
        </w:tc>
        <w:tc>
          <w:tcPr>
            <w:tcW w:w="761" w:type="pct"/>
            <w:tcBorders>
              <w:tl2br w:val="nil"/>
              <w:tr2bl w:val="nil"/>
            </w:tcBorders>
            <w:shd w:val="clear" w:color="auto" w:fill="auto"/>
            <w:noWrap/>
            <w:vAlign w:val="center"/>
          </w:tcPr>
          <w:p w14:paraId="669DBE31">
            <w:pPr>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w:t>
            </w:r>
          </w:p>
        </w:tc>
      </w:tr>
      <w:tr w14:paraId="10546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shd w:val="clear" w:color="auto" w:fill="auto"/>
            <w:noWrap/>
            <w:vAlign w:val="center"/>
          </w:tcPr>
          <w:p w14:paraId="45AC6877">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660" w:type="pct"/>
            <w:vMerge w:val="continue"/>
            <w:tcBorders>
              <w:tl2br w:val="nil"/>
              <w:tr2bl w:val="nil"/>
            </w:tcBorders>
            <w:noWrap/>
            <w:vAlign w:val="center"/>
          </w:tcPr>
          <w:p w14:paraId="55FCEA14">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4AC89F3E">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336F3BFB">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袋装</w:t>
            </w:r>
          </w:p>
          <w:p w14:paraId="1A317F53">
            <w:pPr>
              <w:pStyle w:val="126"/>
              <w:keepNext w:val="0"/>
              <w:keepLines w:val="0"/>
              <w:widowControl/>
              <w:suppressLineNumbers w:val="0"/>
              <w:spacing w:before="0" w:beforeAutospacing="0" w:after="0" w:afterAutospacing="0"/>
              <w:ind w:left="0" w:right="0"/>
              <w:jc w:val="center"/>
              <w:rPr>
                <w:rFonts w:hint="default" w:eastAsia="宋体"/>
                <w:color w:val="auto"/>
                <w:lang w:val="en-US" w:eastAsia="zh-CN"/>
              </w:rPr>
            </w:pPr>
          </w:p>
        </w:tc>
        <w:tc>
          <w:tcPr>
            <w:tcW w:w="565" w:type="pct"/>
            <w:tcBorders>
              <w:tl2br w:val="nil"/>
              <w:tr2bl w:val="nil"/>
            </w:tcBorders>
            <w:shd w:val="clear" w:color="auto" w:fill="auto"/>
            <w:noWrap/>
            <w:vAlign w:val="center"/>
          </w:tcPr>
          <w:p w14:paraId="753BFD70">
            <w:pPr>
              <w:pStyle w:val="126"/>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0.05</w:t>
            </w:r>
          </w:p>
        </w:tc>
        <w:tc>
          <w:tcPr>
            <w:tcW w:w="547" w:type="pct"/>
            <w:tcBorders>
              <w:tl2br w:val="nil"/>
              <w:tr2bl w:val="nil"/>
            </w:tcBorders>
            <w:shd w:val="clear" w:color="auto" w:fill="auto"/>
            <w:noWrap/>
            <w:vAlign w:val="center"/>
          </w:tcPr>
          <w:p w14:paraId="0A67322F">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00" w:type="pct"/>
            <w:tcBorders>
              <w:tl2br w:val="nil"/>
              <w:tr2bl w:val="nil"/>
            </w:tcBorders>
            <w:shd w:val="clear" w:color="auto" w:fill="auto"/>
            <w:noWrap/>
            <w:vAlign w:val="center"/>
          </w:tcPr>
          <w:p w14:paraId="7F845ABD">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761" w:type="pct"/>
            <w:tcBorders>
              <w:tl2br w:val="nil"/>
              <w:tr2bl w:val="nil"/>
            </w:tcBorders>
            <w:shd w:val="clear" w:color="auto" w:fill="auto"/>
            <w:noWrap/>
            <w:vAlign w:val="center"/>
          </w:tcPr>
          <w:p w14:paraId="78922EDA">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22FCA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shd w:val="clear" w:color="auto" w:fill="auto"/>
            <w:noWrap/>
            <w:vAlign w:val="center"/>
          </w:tcPr>
          <w:p w14:paraId="47D8F99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高沸物</w:t>
            </w:r>
          </w:p>
        </w:tc>
        <w:tc>
          <w:tcPr>
            <w:tcW w:w="660" w:type="pct"/>
            <w:vMerge w:val="continue"/>
            <w:tcBorders>
              <w:tl2br w:val="nil"/>
              <w:tr2bl w:val="nil"/>
            </w:tcBorders>
            <w:noWrap/>
            <w:vAlign w:val="center"/>
          </w:tcPr>
          <w:p w14:paraId="6216E109">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23E4B63D">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30BEF38E">
            <w:pPr>
              <w:pStyle w:val="126"/>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6B03F235">
            <w:pPr>
              <w:pStyle w:val="126"/>
              <w:keepNext w:val="0"/>
              <w:keepLines w:val="0"/>
              <w:widowControl/>
              <w:suppressLineNumbers w:val="0"/>
              <w:spacing w:before="0" w:beforeAutospacing="0" w:after="0" w:afterAutospacing="0"/>
              <w:ind w:left="0" w:leftChars="0" w:right="0" w:rightChars="0"/>
              <w:rPr>
                <w:rFonts w:hint="eastAsia"/>
                <w:color w:val="auto"/>
                <w:lang w:val="en-US" w:eastAsia="zh-CN"/>
              </w:rPr>
            </w:pPr>
            <w:r>
              <w:rPr>
                <w:rFonts w:hint="eastAsia"/>
                <w:color w:val="auto"/>
                <w:lang w:val="en-US" w:eastAsia="zh-CN"/>
              </w:rPr>
              <w:t>200</w:t>
            </w:r>
          </w:p>
        </w:tc>
        <w:tc>
          <w:tcPr>
            <w:tcW w:w="547" w:type="pct"/>
            <w:tcBorders>
              <w:tl2br w:val="nil"/>
              <w:tr2bl w:val="nil"/>
            </w:tcBorders>
            <w:shd w:val="clear" w:color="auto" w:fill="auto"/>
            <w:noWrap/>
            <w:vAlign w:val="center"/>
          </w:tcPr>
          <w:p w14:paraId="5F80766B">
            <w:pPr>
              <w:pStyle w:val="126"/>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50m³</w:t>
            </w:r>
          </w:p>
        </w:tc>
        <w:tc>
          <w:tcPr>
            <w:tcW w:w="400" w:type="pct"/>
            <w:tcBorders>
              <w:tl2br w:val="nil"/>
              <w:tr2bl w:val="nil"/>
            </w:tcBorders>
            <w:shd w:val="clear" w:color="auto" w:fill="auto"/>
            <w:noWrap/>
            <w:vAlign w:val="center"/>
          </w:tcPr>
          <w:p w14:paraId="6487B964">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ascii="Times New Roman" w:hAnsi="Times New Roman" w:eastAsia="宋体" w:cs="Times New Roman"/>
                <w:color w:val="000000"/>
                <w:kern w:val="24"/>
                <w:szCs w:val="21"/>
                <w:lang w:val="en-US" w:eastAsia="zh-CN"/>
              </w:rPr>
              <w:t>液</w:t>
            </w:r>
          </w:p>
        </w:tc>
        <w:tc>
          <w:tcPr>
            <w:tcW w:w="761" w:type="pct"/>
            <w:tcBorders>
              <w:tl2br w:val="nil"/>
              <w:tr2bl w:val="nil"/>
            </w:tcBorders>
            <w:shd w:val="clear" w:color="auto" w:fill="auto"/>
            <w:noWrap/>
            <w:vAlign w:val="center"/>
          </w:tcPr>
          <w:p w14:paraId="44CB7C60">
            <w:pPr>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45</w:t>
            </w:r>
          </w:p>
        </w:tc>
      </w:tr>
      <w:tr w14:paraId="3FA00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shd w:val="clear" w:color="auto" w:fill="auto"/>
            <w:noWrap/>
            <w:vAlign w:val="center"/>
          </w:tcPr>
          <w:p w14:paraId="4EAB4453">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废有机溶剂</w:t>
            </w:r>
          </w:p>
        </w:tc>
        <w:tc>
          <w:tcPr>
            <w:tcW w:w="660" w:type="pct"/>
            <w:vMerge w:val="continue"/>
            <w:tcBorders>
              <w:tl2br w:val="nil"/>
              <w:tr2bl w:val="nil"/>
            </w:tcBorders>
            <w:noWrap/>
            <w:vAlign w:val="center"/>
          </w:tcPr>
          <w:p w14:paraId="14AED9BD">
            <w:pPr>
              <w:pStyle w:val="126"/>
              <w:keepNext w:val="0"/>
              <w:keepLines w:val="0"/>
              <w:widowControl/>
              <w:suppressLineNumbers w:val="0"/>
              <w:spacing w:before="0" w:beforeAutospacing="0" w:after="0" w:afterAutospacing="0"/>
              <w:ind w:left="0" w:right="0"/>
              <w:jc w:val="center"/>
              <w:rPr>
                <w:rFonts w:hint="eastAsia"/>
                <w:color w:val="auto"/>
              </w:rPr>
            </w:pPr>
          </w:p>
        </w:tc>
        <w:tc>
          <w:tcPr>
            <w:tcW w:w="576" w:type="pct"/>
            <w:vMerge w:val="continue"/>
            <w:tcBorders>
              <w:tl2br w:val="nil"/>
              <w:tr2bl w:val="nil"/>
            </w:tcBorders>
            <w:noWrap/>
            <w:vAlign w:val="center"/>
          </w:tcPr>
          <w:p w14:paraId="63EEEF21">
            <w:pPr>
              <w:pStyle w:val="126"/>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shd w:val="clear" w:color="auto" w:fill="auto"/>
            <w:noWrap/>
            <w:vAlign w:val="center"/>
          </w:tcPr>
          <w:p w14:paraId="35FE4644">
            <w:pPr>
              <w:pStyle w:val="126"/>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1FE79A3C">
            <w:pPr>
              <w:pStyle w:val="126"/>
              <w:keepNext w:val="0"/>
              <w:keepLines w:val="0"/>
              <w:widowControl/>
              <w:suppressLineNumbers w:val="0"/>
              <w:spacing w:before="0" w:beforeAutospacing="0" w:after="0" w:afterAutospacing="0"/>
              <w:ind w:left="0" w:leftChars="0" w:right="0" w:rightChars="0"/>
              <w:rPr>
                <w:rFonts w:hint="eastAsia"/>
                <w:color w:val="auto"/>
                <w:lang w:val="en-US" w:eastAsia="zh-CN"/>
              </w:rPr>
            </w:pPr>
            <w:r>
              <w:rPr>
                <w:rFonts w:hint="eastAsia"/>
                <w:color w:val="auto"/>
                <w:lang w:val="en-US" w:eastAsia="zh-CN"/>
              </w:rPr>
              <w:t>800</w:t>
            </w:r>
          </w:p>
        </w:tc>
        <w:tc>
          <w:tcPr>
            <w:tcW w:w="547" w:type="pct"/>
            <w:tcBorders>
              <w:tl2br w:val="nil"/>
              <w:tr2bl w:val="nil"/>
            </w:tcBorders>
            <w:shd w:val="clear" w:color="auto" w:fill="auto"/>
            <w:noWrap/>
            <w:vAlign w:val="center"/>
          </w:tcPr>
          <w:p w14:paraId="259D8325">
            <w:pPr>
              <w:pStyle w:val="126"/>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450m³</w:t>
            </w:r>
          </w:p>
        </w:tc>
        <w:tc>
          <w:tcPr>
            <w:tcW w:w="400" w:type="pct"/>
            <w:tcBorders>
              <w:tl2br w:val="nil"/>
              <w:tr2bl w:val="nil"/>
            </w:tcBorders>
            <w:shd w:val="clear" w:color="auto" w:fill="auto"/>
            <w:noWrap/>
            <w:vAlign w:val="center"/>
          </w:tcPr>
          <w:p w14:paraId="74918632">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ascii="Times New Roman" w:hAnsi="Times New Roman" w:eastAsia="宋体" w:cs="Times New Roman"/>
                <w:color w:val="000000"/>
                <w:kern w:val="24"/>
                <w:szCs w:val="21"/>
                <w:lang w:val="en-US" w:eastAsia="zh-CN"/>
              </w:rPr>
              <w:t>液</w:t>
            </w:r>
          </w:p>
        </w:tc>
        <w:tc>
          <w:tcPr>
            <w:tcW w:w="761" w:type="pct"/>
            <w:tcBorders>
              <w:tl2br w:val="nil"/>
              <w:tr2bl w:val="nil"/>
            </w:tcBorders>
            <w:shd w:val="clear" w:color="auto" w:fill="auto"/>
            <w:noWrap/>
            <w:vAlign w:val="center"/>
          </w:tcPr>
          <w:p w14:paraId="30505803">
            <w:pPr>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300</w:t>
            </w:r>
          </w:p>
        </w:tc>
      </w:tr>
      <w:tr w14:paraId="380B8B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5000" w:type="pct"/>
            <w:gridSpan w:val="8"/>
            <w:tcBorders>
              <w:tl2br w:val="nil"/>
              <w:tr2bl w:val="nil"/>
            </w:tcBorders>
            <w:noWrap/>
            <w:vAlign w:val="center"/>
          </w:tcPr>
          <w:p w14:paraId="4713E37E">
            <w:pPr>
              <w:pStyle w:val="126"/>
              <w:keepNext w:val="0"/>
              <w:keepLines w:val="0"/>
              <w:widowControl/>
              <w:suppressLineNumbers w:val="0"/>
              <w:spacing w:before="0" w:beforeAutospacing="0" w:after="0" w:afterAutospacing="0"/>
              <w:ind w:left="0" w:right="0"/>
              <w:jc w:val="center"/>
              <w:rPr>
                <w:rFonts w:hint="eastAsia"/>
                <w:color w:val="auto"/>
                <w:lang w:eastAsia="zh-CN"/>
              </w:rPr>
            </w:pPr>
            <w:r>
              <w:rPr>
                <w:rFonts w:hint="eastAsia"/>
                <w:color w:val="auto"/>
                <w:lang w:eastAsia="zh-CN"/>
              </w:rPr>
              <w:t>产品</w:t>
            </w:r>
          </w:p>
        </w:tc>
      </w:tr>
      <w:tr w14:paraId="64148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noWrap/>
            <w:vAlign w:val="center"/>
          </w:tcPr>
          <w:p w14:paraId="0250F44D">
            <w:pPr>
              <w:keepNext w:val="0"/>
              <w:keepLines w:val="0"/>
              <w:suppressLineNumbers w:val="0"/>
              <w:spacing w:before="0" w:beforeAutospacing="0" w:after="0" w:afterAutospacing="0" w:line="240" w:lineRule="auto"/>
              <w:ind w:left="0" w:right="0" w:firstLine="0" w:firstLineChars="0"/>
              <w:jc w:val="center"/>
              <w:rPr>
                <w:rStyle w:val="35"/>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5"/>
                <w:rFonts w:hint="eastAsia" w:cs="Times New Roman"/>
                <w:color w:val="000000"/>
                <w:kern w:val="2"/>
                <w:sz w:val="21"/>
                <w:szCs w:val="20"/>
                <w:lang w:val="en-US" w:eastAsia="zh-CN" w:bidi="ar-SA"/>
              </w:rPr>
              <w:t>名称</w:t>
            </w:r>
          </w:p>
        </w:tc>
        <w:tc>
          <w:tcPr>
            <w:tcW w:w="660" w:type="pct"/>
            <w:tcBorders>
              <w:tl2br w:val="nil"/>
              <w:tr2bl w:val="nil"/>
            </w:tcBorders>
            <w:shd w:val="clear" w:color="auto" w:fill="auto"/>
            <w:noWrap/>
            <w:vAlign w:val="center"/>
          </w:tcPr>
          <w:p w14:paraId="64FF8896">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576" w:type="pct"/>
            <w:tcBorders>
              <w:tl2br w:val="nil"/>
              <w:tr2bl w:val="nil"/>
            </w:tcBorders>
            <w:shd w:val="clear" w:color="auto" w:fill="auto"/>
            <w:noWrap/>
            <w:vAlign w:val="center"/>
          </w:tcPr>
          <w:p w14:paraId="29E0EBBF">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632" w:type="pct"/>
            <w:tcBorders>
              <w:tl2br w:val="nil"/>
              <w:tr2bl w:val="nil"/>
            </w:tcBorders>
            <w:shd w:val="clear" w:color="auto" w:fill="auto"/>
            <w:noWrap/>
            <w:vAlign w:val="center"/>
          </w:tcPr>
          <w:p w14:paraId="1D65E044">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65" w:type="pct"/>
            <w:tcBorders>
              <w:tl2br w:val="nil"/>
              <w:tr2bl w:val="nil"/>
            </w:tcBorders>
            <w:shd w:val="clear" w:color="auto" w:fill="auto"/>
            <w:noWrap/>
            <w:vAlign w:val="center"/>
          </w:tcPr>
          <w:p w14:paraId="63790270">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zh-CN" w:eastAsia="zh-CN"/>
              </w:rPr>
              <w:t>储罐数量</w:t>
            </w:r>
          </w:p>
        </w:tc>
        <w:tc>
          <w:tcPr>
            <w:tcW w:w="547" w:type="pct"/>
            <w:tcBorders>
              <w:tl2br w:val="nil"/>
              <w:tr2bl w:val="nil"/>
            </w:tcBorders>
            <w:shd w:val="clear" w:color="auto" w:fill="auto"/>
            <w:noWrap/>
            <w:vAlign w:val="center"/>
          </w:tcPr>
          <w:p w14:paraId="408C681B">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m³</w:t>
            </w:r>
          </w:p>
        </w:tc>
        <w:tc>
          <w:tcPr>
            <w:tcW w:w="400" w:type="pct"/>
            <w:tcBorders>
              <w:tl2br w:val="nil"/>
              <w:tr2bl w:val="nil"/>
            </w:tcBorders>
            <w:shd w:val="clear" w:color="auto" w:fill="auto"/>
            <w:noWrap/>
            <w:vAlign w:val="center"/>
          </w:tcPr>
          <w:p w14:paraId="3D4EE93B">
            <w:pPr>
              <w:pStyle w:val="128"/>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761" w:type="pct"/>
            <w:tcBorders>
              <w:tl2br w:val="nil"/>
              <w:tr2bl w:val="nil"/>
            </w:tcBorders>
            <w:shd w:val="clear" w:color="auto" w:fill="auto"/>
            <w:noWrap/>
            <w:vAlign w:val="center"/>
          </w:tcPr>
          <w:p w14:paraId="2DE0D44A">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lang w:val="en-US" w:eastAsia="zh-CN" w:bidi="ar-SA"/>
              </w:rPr>
            </w:pPr>
            <w:r>
              <w:rPr>
                <w:rFonts w:hint="default" w:eastAsia="宋体"/>
                <w:b w:val="0"/>
                <w:bCs/>
              </w:rPr>
              <w:t>最大储量t</w:t>
            </w:r>
          </w:p>
        </w:tc>
      </w:tr>
      <w:tr w14:paraId="40B10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vMerge w:val="restart"/>
            <w:tcBorders>
              <w:tl2br w:val="nil"/>
              <w:tr2bl w:val="nil"/>
            </w:tcBorders>
            <w:shd w:val="clear" w:color="auto" w:fill="auto"/>
            <w:noWrap/>
            <w:vAlign w:val="center"/>
          </w:tcPr>
          <w:p w14:paraId="59C4F24E">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糠醇</w:t>
            </w:r>
          </w:p>
        </w:tc>
        <w:tc>
          <w:tcPr>
            <w:tcW w:w="660" w:type="pct"/>
            <w:vMerge w:val="restart"/>
            <w:tcBorders>
              <w:tl2br w:val="nil"/>
              <w:tr2bl w:val="nil"/>
            </w:tcBorders>
            <w:shd w:val="clear" w:color="auto" w:fill="auto"/>
            <w:noWrap/>
            <w:vAlign w:val="center"/>
          </w:tcPr>
          <w:p w14:paraId="6E4EB965">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color w:val="000000"/>
                <w:kern w:val="0"/>
                <w:sz w:val="20"/>
                <w:szCs w:val="20"/>
                <w:lang w:val="en-US" w:eastAsia="zh-CN" w:bidi="ar"/>
              </w:rPr>
              <w:t>98-00-0</w:t>
            </w:r>
          </w:p>
        </w:tc>
        <w:tc>
          <w:tcPr>
            <w:tcW w:w="576" w:type="pct"/>
            <w:vMerge w:val="restart"/>
            <w:tcBorders>
              <w:tl2br w:val="nil"/>
              <w:tr2bl w:val="nil"/>
            </w:tcBorders>
            <w:shd w:val="clear" w:color="auto" w:fill="auto"/>
            <w:noWrap/>
            <w:vAlign w:val="center"/>
          </w:tcPr>
          <w:p w14:paraId="4CC6F06E">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储罐</w:t>
            </w:r>
          </w:p>
        </w:tc>
        <w:tc>
          <w:tcPr>
            <w:tcW w:w="632" w:type="pct"/>
            <w:vMerge w:val="restart"/>
            <w:tcBorders>
              <w:tl2br w:val="nil"/>
              <w:tr2bl w:val="nil"/>
            </w:tcBorders>
            <w:shd w:val="clear" w:color="auto" w:fill="auto"/>
            <w:noWrap/>
            <w:vAlign w:val="center"/>
          </w:tcPr>
          <w:p w14:paraId="4CD7B8DE">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2B4A7E9C">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c>
          <w:tcPr>
            <w:tcW w:w="547" w:type="pct"/>
            <w:tcBorders>
              <w:tl2br w:val="nil"/>
              <w:tr2bl w:val="nil"/>
            </w:tcBorders>
            <w:shd w:val="clear" w:color="auto" w:fill="auto"/>
            <w:noWrap/>
            <w:vAlign w:val="center"/>
          </w:tcPr>
          <w:p w14:paraId="7406DCE4">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60</w:t>
            </w:r>
          </w:p>
        </w:tc>
        <w:tc>
          <w:tcPr>
            <w:tcW w:w="400" w:type="pct"/>
            <w:vMerge w:val="restart"/>
            <w:tcBorders>
              <w:tl2br w:val="nil"/>
              <w:tr2bl w:val="nil"/>
            </w:tcBorders>
            <w:shd w:val="clear" w:color="auto" w:fill="auto"/>
            <w:noWrap/>
            <w:vAlign w:val="center"/>
          </w:tcPr>
          <w:p w14:paraId="629D8813">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液</w:t>
            </w:r>
          </w:p>
        </w:tc>
        <w:tc>
          <w:tcPr>
            <w:tcW w:w="761" w:type="pct"/>
            <w:vMerge w:val="restart"/>
            <w:tcBorders>
              <w:tl2br w:val="nil"/>
              <w:tr2bl w:val="nil"/>
            </w:tcBorders>
            <w:shd w:val="clear" w:color="auto" w:fill="auto"/>
            <w:noWrap/>
            <w:vAlign w:val="center"/>
          </w:tcPr>
          <w:p w14:paraId="5EEA031F">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sz w:val="21"/>
                <w:szCs w:val="21"/>
                <w:lang w:val="en-US" w:eastAsia="zh-CN"/>
              </w:rPr>
              <w:t>452</w:t>
            </w:r>
          </w:p>
        </w:tc>
      </w:tr>
      <w:tr w14:paraId="4B1B3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vMerge w:val="continue"/>
            <w:tcBorders>
              <w:tl2br w:val="nil"/>
              <w:tr2bl w:val="nil"/>
            </w:tcBorders>
            <w:shd w:val="clear" w:color="auto" w:fill="auto"/>
            <w:noWrap/>
            <w:vAlign w:val="center"/>
          </w:tcPr>
          <w:p w14:paraId="77B7A6A3">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p>
        </w:tc>
        <w:tc>
          <w:tcPr>
            <w:tcW w:w="660" w:type="pct"/>
            <w:vMerge w:val="continue"/>
            <w:tcBorders>
              <w:tl2br w:val="nil"/>
              <w:tr2bl w:val="nil"/>
            </w:tcBorders>
            <w:shd w:val="clear" w:color="auto" w:fill="auto"/>
            <w:noWrap/>
            <w:vAlign w:val="center"/>
          </w:tcPr>
          <w:p w14:paraId="443B9556">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val="en-US" w:eastAsia="zh-CN" w:bidi="ar"/>
              </w:rPr>
            </w:pPr>
          </w:p>
        </w:tc>
        <w:tc>
          <w:tcPr>
            <w:tcW w:w="576" w:type="pct"/>
            <w:vMerge w:val="continue"/>
            <w:tcBorders>
              <w:tl2br w:val="nil"/>
              <w:tr2bl w:val="nil"/>
            </w:tcBorders>
            <w:shd w:val="clear" w:color="auto" w:fill="auto"/>
            <w:noWrap/>
            <w:vAlign w:val="center"/>
          </w:tcPr>
          <w:p w14:paraId="23BFDBD1">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p>
        </w:tc>
        <w:tc>
          <w:tcPr>
            <w:tcW w:w="632" w:type="pct"/>
            <w:vMerge w:val="continue"/>
            <w:tcBorders>
              <w:tl2br w:val="nil"/>
              <w:tr2bl w:val="nil"/>
            </w:tcBorders>
            <w:shd w:val="clear" w:color="auto" w:fill="auto"/>
            <w:noWrap/>
            <w:vAlign w:val="center"/>
          </w:tcPr>
          <w:p w14:paraId="383A06D0">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4"/>
                <w:szCs w:val="21"/>
                <w:lang w:eastAsia="zh-CN"/>
              </w:rPr>
            </w:pPr>
          </w:p>
        </w:tc>
        <w:tc>
          <w:tcPr>
            <w:tcW w:w="565" w:type="pct"/>
            <w:tcBorders>
              <w:tl2br w:val="nil"/>
              <w:tr2bl w:val="nil"/>
            </w:tcBorders>
            <w:shd w:val="clear" w:color="auto" w:fill="auto"/>
            <w:noWrap/>
            <w:vAlign w:val="center"/>
          </w:tcPr>
          <w:p w14:paraId="43F2A938">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47" w:type="pct"/>
            <w:tcBorders>
              <w:tl2br w:val="nil"/>
              <w:tr2bl w:val="nil"/>
            </w:tcBorders>
            <w:shd w:val="clear" w:color="auto" w:fill="auto"/>
            <w:noWrap/>
            <w:vAlign w:val="center"/>
          </w:tcPr>
          <w:p w14:paraId="52C04FCE">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150</w:t>
            </w:r>
          </w:p>
        </w:tc>
        <w:tc>
          <w:tcPr>
            <w:tcW w:w="400" w:type="pct"/>
            <w:vMerge w:val="continue"/>
            <w:tcBorders>
              <w:tl2br w:val="nil"/>
              <w:tr2bl w:val="nil"/>
            </w:tcBorders>
            <w:shd w:val="clear" w:color="auto" w:fill="auto"/>
            <w:noWrap/>
            <w:vAlign w:val="center"/>
          </w:tcPr>
          <w:p w14:paraId="3CE47266">
            <w:pPr>
              <w:pStyle w:val="126"/>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p>
        </w:tc>
        <w:tc>
          <w:tcPr>
            <w:tcW w:w="761" w:type="pct"/>
            <w:vMerge w:val="continue"/>
            <w:tcBorders>
              <w:tl2br w:val="nil"/>
              <w:tr2bl w:val="nil"/>
            </w:tcBorders>
            <w:shd w:val="clear" w:color="auto" w:fill="auto"/>
            <w:noWrap/>
            <w:vAlign w:val="center"/>
          </w:tcPr>
          <w:p w14:paraId="74116F17">
            <w:pPr>
              <w:pStyle w:val="126"/>
              <w:keepNext w:val="0"/>
              <w:keepLines w:val="0"/>
              <w:widowControl/>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rPr>
            </w:pPr>
          </w:p>
        </w:tc>
      </w:tr>
      <w:tr w14:paraId="72287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vMerge w:val="continue"/>
            <w:tcBorders>
              <w:tl2br w:val="nil"/>
              <w:tr2bl w:val="nil"/>
            </w:tcBorders>
            <w:shd w:val="clear" w:color="auto" w:fill="auto"/>
            <w:noWrap/>
            <w:vAlign w:val="center"/>
          </w:tcPr>
          <w:p w14:paraId="460DD18A">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p>
        </w:tc>
        <w:tc>
          <w:tcPr>
            <w:tcW w:w="660" w:type="pct"/>
            <w:vMerge w:val="continue"/>
            <w:tcBorders>
              <w:tl2br w:val="nil"/>
              <w:tr2bl w:val="nil"/>
            </w:tcBorders>
            <w:shd w:val="clear" w:color="auto" w:fill="auto"/>
            <w:noWrap/>
            <w:vAlign w:val="center"/>
          </w:tcPr>
          <w:p w14:paraId="1F04FE8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val="en-US" w:eastAsia="zh-CN" w:bidi="ar"/>
              </w:rPr>
            </w:pPr>
          </w:p>
        </w:tc>
        <w:tc>
          <w:tcPr>
            <w:tcW w:w="576" w:type="pct"/>
            <w:vMerge w:val="continue"/>
            <w:tcBorders>
              <w:tl2br w:val="nil"/>
              <w:tr2bl w:val="nil"/>
            </w:tcBorders>
            <w:shd w:val="clear" w:color="auto" w:fill="auto"/>
            <w:noWrap/>
            <w:vAlign w:val="center"/>
          </w:tcPr>
          <w:p w14:paraId="264C66A8">
            <w:pPr>
              <w:pStyle w:val="126"/>
              <w:keepNext w:val="0"/>
              <w:keepLines w:val="0"/>
              <w:widowControl/>
              <w:suppressLineNumbers w:val="0"/>
              <w:spacing w:before="0" w:beforeAutospacing="0" w:after="0" w:afterAutospacing="0"/>
              <w:ind w:left="0" w:leftChars="0" w:right="0" w:rightChars="0"/>
              <w:jc w:val="center"/>
              <w:rPr>
                <w:rFonts w:hint="eastAsia"/>
                <w:color w:val="auto"/>
                <w:lang w:eastAsia="zh-CN"/>
              </w:rPr>
            </w:pPr>
          </w:p>
        </w:tc>
        <w:tc>
          <w:tcPr>
            <w:tcW w:w="632" w:type="pct"/>
            <w:vMerge w:val="continue"/>
            <w:tcBorders>
              <w:tl2br w:val="nil"/>
              <w:tr2bl w:val="nil"/>
            </w:tcBorders>
            <w:shd w:val="clear" w:color="auto" w:fill="auto"/>
            <w:noWrap/>
            <w:vAlign w:val="center"/>
          </w:tcPr>
          <w:p w14:paraId="09C250E0">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4"/>
                <w:szCs w:val="21"/>
                <w:lang w:eastAsia="zh-CN"/>
              </w:rPr>
            </w:pPr>
          </w:p>
        </w:tc>
        <w:tc>
          <w:tcPr>
            <w:tcW w:w="565" w:type="pct"/>
            <w:tcBorders>
              <w:tl2br w:val="nil"/>
              <w:tr2bl w:val="nil"/>
            </w:tcBorders>
            <w:shd w:val="clear" w:color="auto" w:fill="auto"/>
            <w:noWrap/>
            <w:vAlign w:val="center"/>
          </w:tcPr>
          <w:p w14:paraId="15B27C62">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47" w:type="pct"/>
            <w:tcBorders>
              <w:tl2br w:val="nil"/>
              <w:tr2bl w:val="nil"/>
            </w:tcBorders>
            <w:shd w:val="clear" w:color="auto" w:fill="auto"/>
            <w:noWrap/>
            <w:vAlign w:val="center"/>
          </w:tcPr>
          <w:p w14:paraId="6C3C152A">
            <w:pPr>
              <w:pStyle w:val="126"/>
              <w:keepNext w:val="0"/>
              <w:keepLines w:val="0"/>
              <w:widowControl/>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400" w:type="pct"/>
            <w:vMerge w:val="continue"/>
            <w:tcBorders>
              <w:tl2br w:val="nil"/>
              <w:tr2bl w:val="nil"/>
            </w:tcBorders>
            <w:shd w:val="clear" w:color="auto" w:fill="auto"/>
            <w:noWrap/>
            <w:vAlign w:val="center"/>
          </w:tcPr>
          <w:p w14:paraId="6A98FC0C">
            <w:pPr>
              <w:pStyle w:val="126"/>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p>
        </w:tc>
        <w:tc>
          <w:tcPr>
            <w:tcW w:w="761" w:type="pct"/>
            <w:vMerge w:val="continue"/>
            <w:tcBorders>
              <w:tl2br w:val="nil"/>
              <w:tr2bl w:val="nil"/>
            </w:tcBorders>
            <w:shd w:val="clear" w:color="auto" w:fill="auto"/>
            <w:noWrap/>
            <w:vAlign w:val="center"/>
          </w:tcPr>
          <w:p w14:paraId="56EDDDA6">
            <w:pPr>
              <w:pStyle w:val="126"/>
              <w:keepNext w:val="0"/>
              <w:keepLines w:val="0"/>
              <w:widowControl/>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rPr>
            </w:pPr>
          </w:p>
        </w:tc>
      </w:tr>
      <w:tr w14:paraId="49EC9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55" w:type="pct"/>
            <w:tcBorders>
              <w:tl2br w:val="nil"/>
              <w:tr2bl w:val="nil"/>
            </w:tcBorders>
            <w:shd w:val="clear" w:color="auto" w:fill="auto"/>
            <w:noWrap/>
            <w:vAlign w:val="center"/>
          </w:tcPr>
          <w:p w14:paraId="632BEAED">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二甲基呋喃</w:t>
            </w:r>
          </w:p>
        </w:tc>
        <w:tc>
          <w:tcPr>
            <w:tcW w:w="660" w:type="pct"/>
            <w:tcBorders>
              <w:tl2br w:val="nil"/>
              <w:tr2bl w:val="nil"/>
            </w:tcBorders>
            <w:shd w:val="clear" w:color="auto" w:fill="auto"/>
            <w:noWrap/>
            <w:vAlign w:val="center"/>
          </w:tcPr>
          <w:p w14:paraId="393CFDBE">
            <w:pPr>
              <w:keepNext w:val="0"/>
              <w:keepLines w:val="0"/>
              <w:widowControl/>
              <w:suppressLineNumbers w:val="0"/>
              <w:spacing w:before="0" w:beforeAutospacing="0" w:after="0" w:afterAutospacing="0"/>
              <w:ind w:left="0" w:right="0"/>
              <w:jc w:val="left"/>
              <w:rPr>
                <w:rFonts w:hint="eastAsia"/>
                <w:color w:val="auto"/>
                <w:lang w:eastAsia="zh-CN"/>
              </w:rPr>
            </w:pPr>
            <w:r>
              <w:rPr>
                <w:rFonts w:hint="eastAsia" w:ascii="宋体" w:hAnsi="宋体" w:eastAsia="宋体" w:cs="宋体"/>
                <w:color w:val="000000"/>
                <w:kern w:val="0"/>
                <w:sz w:val="20"/>
                <w:szCs w:val="20"/>
                <w:lang w:val="en-US" w:eastAsia="zh-CN" w:bidi="ar"/>
              </w:rPr>
              <w:t>534-22-5</w:t>
            </w:r>
          </w:p>
        </w:tc>
        <w:tc>
          <w:tcPr>
            <w:tcW w:w="576" w:type="pct"/>
            <w:tcBorders>
              <w:tl2br w:val="nil"/>
              <w:tr2bl w:val="nil"/>
            </w:tcBorders>
            <w:shd w:val="clear" w:color="auto" w:fill="auto"/>
            <w:noWrap/>
            <w:vAlign w:val="center"/>
          </w:tcPr>
          <w:p w14:paraId="26BC5A7C">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储罐</w:t>
            </w:r>
          </w:p>
        </w:tc>
        <w:tc>
          <w:tcPr>
            <w:tcW w:w="632" w:type="pct"/>
            <w:tcBorders>
              <w:tl2br w:val="nil"/>
              <w:tr2bl w:val="nil"/>
            </w:tcBorders>
            <w:shd w:val="clear" w:color="auto" w:fill="auto"/>
            <w:noWrap/>
            <w:vAlign w:val="center"/>
          </w:tcPr>
          <w:p w14:paraId="42767FD4">
            <w:pPr>
              <w:pStyle w:val="126"/>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65" w:type="pct"/>
            <w:tcBorders>
              <w:tl2br w:val="nil"/>
              <w:tr2bl w:val="nil"/>
            </w:tcBorders>
            <w:shd w:val="clear" w:color="auto" w:fill="auto"/>
            <w:noWrap/>
            <w:vAlign w:val="center"/>
          </w:tcPr>
          <w:p w14:paraId="2F0853DC">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47" w:type="pct"/>
            <w:tcBorders>
              <w:tl2br w:val="nil"/>
              <w:tr2bl w:val="nil"/>
            </w:tcBorders>
            <w:shd w:val="clear" w:color="auto" w:fill="auto"/>
            <w:noWrap/>
            <w:vAlign w:val="center"/>
          </w:tcPr>
          <w:p w14:paraId="24AD5025">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400" w:type="pct"/>
            <w:tcBorders>
              <w:tl2br w:val="nil"/>
              <w:tr2bl w:val="nil"/>
            </w:tcBorders>
            <w:shd w:val="clear" w:color="auto" w:fill="auto"/>
            <w:noWrap/>
            <w:vAlign w:val="center"/>
          </w:tcPr>
          <w:p w14:paraId="0AF5DEB9">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液</w:t>
            </w:r>
          </w:p>
        </w:tc>
        <w:tc>
          <w:tcPr>
            <w:tcW w:w="761" w:type="pct"/>
            <w:tcBorders>
              <w:tl2br w:val="nil"/>
              <w:tr2bl w:val="nil"/>
            </w:tcBorders>
            <w:shd w:val="clear" w:color="auto" w:fill="auto"/>
            <w:noWrap/>
            <w:vAlign w:val="center"/>
          </w:tcPr>
          <w:p w14:paraId="57910933">
            <w:pPr>
              <w:pStyle w:val="126"/>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257</w:t>
            </w:r>
          </w:p>
        </w:tc>
      </w:tr>
    </w:tbl>
    <w:p w14:paraId="4BF90C44">
      <w:pPr>
        <w:pStyle w:val="127"/>
        <w:spacing w:before="240" w:beforeLines="100" w:after="48"/>
        <w:ind w:firstLine="2400" w:firstLineChars="1000"/>
        <w:jc w:val="both"/>
        <w:rPr>
          <w:rFonts w:hint="eastAsia"/>
          <w:sz w:val="24"/>
          <w:szCs w:val="24"/>
        </w:rPr>
      </w:pPr>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3.3</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 xml:space="preserve"> 环境风</w:t>
      </w:r>
      <w:r>
        <w:rPr>
          <w:rFonts w:hint="eastAsia"/>
          <w:sz w:val="24"/>
          <w:szCs w:val="24"/>
        </w:rPr>
        <w:t>险单元一览表</w:t>
      </w:r>
    </w:p>
    <w:tbl>
      <w:tblPr>
        <w:tblStyle w:val="33"/>
        <w:tblW w:w="5891" w:type="pct"/>
        <w:jc w:val="center"/>
        <w:tblLayout w:type="autofit"/>
        <w:tblCellMar>
          <w:top w:w="0" w:type="dxa"/>
          <w:left w:w="0" w:type="dxa"/>
          <w:bottom w:w="0" w:type="dxa"/>
          <w:right w:w="0" w:type="dxa"/>
        </w:tblCellMar>
      </w:tblPr>
      <w:tblGrid>
        <w:gridCol w:w="449"/>
        <w:gridCol w:w="1451"/>
        <w:gridCol w:w="2312"/>
        <w:gridCol w:w="1792"/>
        <w:gridCol w:w="1366"/>
        <w:gridCol w:w="860"/>
        <w:gridCol w:w="1576"/>
      </w:tblGrid>
      <w:tr w14:paraId="05937855">
        <w:tblPrEx>
          <w:tblCellMar>
            <w:top w:w="0" w:type="dxa"/>
            <w:left w:w="0" w:type="dxa"/>
            <w:bottom w:w="0" w:type="dxa"/>
            <w:right w:w="0" w:type="dxa"/>
          </w:tblCellMar>
        </w:tblPrEx>
        <w:trPr>
          <w:trHeight w:val="397" w:hRule="atLeast"/>
          <w:jc w:val="center"/>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6F120286">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739" w:type="pct"/>
            <w:tcBorders>
              <w:top w:val="single" w:color="000000" w:sz="4" w:space="0"/>
              <w:left w:val="single" w:color="000000" w:sz="4" w:space="0"/>
              <w:bottom w:val="single" w:color="000000" w:sz="4" w:space="0"/>
              <w:right w:val="single" w:color="000000" w:sz="4" w:space="0"/>
            </w:tcBorders>
            <w:noWrap w:val="0"/>
            <w:vAlign w:val="center"/>
          </w:tcPr>
          <w:p w14:paraId="224561AD">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14:paraId="3B533F07">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12A5D72">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09D8A206">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438" w:type="pct"/>
            <w:tcBorders>
              <w:top w:val="single" w:color="000000" w:sz="4" w:space="0"/>
              <w:left w:val="single" w:color="000000" w:sz="4" w:space="0"/>
              <w:bottom w:val="single" w:color="000000" w:sz="4" w:space="0"/>
              <w:right w:val="single" w:color="000000" w:sz="4" w:space="0"/>
            </w:tcBorders>
            <w:noWrap w:val="0"/>
            <w:vAlign w:val="center"/>
          </w:tcPr>
          <w:p w14:paraId="67D1B08B">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c>
          <w:tcPr>
            <w:tcW w:w="803" w:type="pct"/>
            <w:tcBorders>
              <w:top w:val="single" w:color="000000" w:sz="4" w:space="0"/>
              <w:left w:val="single" w:color="000000" w:sz="4" w:space="0"/>
              <w:bottom w:val="single" w:color="000000" w:sz="4" w:space="0"/>
              <w:right w:val="single" w:color="000000" w:sz="4" w:space="0"/>
            </w:tcBorders>
            <w:noWrap w:val="0"/>
            <w:vAlign w:val="center"/>
          </w:tcPr>
          <w:p w14:paraId="20EF6163">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事故触发因素</w:t>
            </w:r>
          </w:p>
        </w:tc>
      </w:tr>
      <w:tr w14:paraId="7CBD3764">
        <w:tblPrEx>
          <w:tblCellMar>
            <w:top w:w="0" w:type="dxa"/>
            <w:left w:w="0" w:type="dxa"/>
            <w:bottom w:w="0" w:type="dxa"/>
            <w:right w:w="0" w:type="dxa"/>
          </w:tblCellMar>
        </w:tblPrEx>
        <w:trPr>
          <w:trHeight w:val="397" w:hRule="atLeast"/>
          <w:jc w:val="center"/>
        </w:trPr>
        <w:tc>
          <w:tcPr>
            <w:tcW w:w="229" w:type="pct"/>
            <w:vMerge w:val="restart"/>
            <w:tcBorders>
              <w:top w:val="single" w:color="000000" w:sz="4" w:space="0"/>
              <w:left w:val="single" w:color="000000" w:sz="4" w:space="0"/>
              <w:right w:val="single" w:color="000000" w:sz="4" w:space="0"/>
            </w:tcBorders>
            <w:noWrap w:val="0"/>
            <w:vAlign w:val="center"/>
          </w:tcPr>
          <w:p w14:paraId="29605C34">
            <w:pPr>
              <w:pStyle w:val="126"/>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739" w:type="pct"/>
            <w:vMerge w:val="restart"/>
            <w:tcBorders>
              <w:top w:val="single" w:color="000000" w:sz="4" w:space="0"/>
              <w:left w:val="single" w:color="000000" w:sz="4" w:space="0"/>
              <w:right w:val="single" w:color="000000" w:sz="4" w:space="0"/>
            </w:tcBorders>
            <w:noWrap w:val="0"/>
            <w:vAlign w:val="center"/>
          </w:tcPr>
          <w:p w14:paraId="2B51C3A9">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14:paraId="2F20FC25">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（糠醇装置）</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7ECDF8BE">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p>
        </w:tc>
        <w:tc>
          <w:tcPr>
            <w:tcW w:w="696" w:type="pct"/>
            <w:vMerge w:val="restart"/>
            <w:tcBorders>
              <w:top w:val="single" w:color="000000" w:sz="4" w:space="0"/>
              <w:left w:val="single" w:color="000000" w:sz="4" w:space="0"/>
              <w:right w:val="single" w:color="000000" w:sz="4" w:space="0"/>
            </w:tcBorders>
            <w:noWrap w:val="0"/>
            <w:vAlign w:val="center"/>
          </w:tcPr>
          <w:p w14:paraId="33F9397A">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r>
              <w:rPr>
                <w:rFonts w:hint="eastAsia"/>
                <w:color w:val="000000"/>
                <w:lang w:eastAsia="zh-CN"/>
              </w:rPr>
              <w:t>、火灾</w:t>
            </w:r>
          </w:p>
        </w:tc>
        <w:tc>
          <w:tcPr>
            <w:tcW w:w="438" w:type="pct"/>
            <w:vMerge w:val="restart"/>
            <w:tcBorders>
              <w:top w:val="single" w:color="000000" w:sz="4" w:space="0"/>
              <w:left w:val="single" w:color="000000" w:sz="4" w:space="0"/>
              <w:right w:val="single" w:color="000000" w:sz="4" w:space="0"/>
            </w:tcBorders>
            <w:noWrap w:val="0"/>
            <w:vAlign w:val="center"/>
          </w:tcPr>
          <w:p w14:paraId="17BE2A0B">
            <w:pPr>
              <w:pStyle w:val="126"/>
              <w:keepNext w:val="0"/>
              <w:keepLines w:val="0"/>
              <w:widowControl/>
              <w:suppressLineNumbers w:val="0"/>
              <w:spacing w:before="0" w:beforeAutospacing="0" w:after="0" w:afterAutospacing="0"/>
              <w:ind w:left="0" w:right="0"/>
              <w:rPr>
                <w:rFonts w:hint="default"/>
                <w:color w:val="000000"/>
              </w:rPr>
            </w:pPr>
          </w:p>
        </w:tc>
        <w:tc>
          <w:tcPr>
            <w:tcW w:w="803" w:type="pct"/>
            <w:tcBorders>
              <w:top w:val="single" w:color="000000" w:sz="4" w:space="0"/>
              <w:left w:val="single" w:color="000000" w:sz="4" w:space="0"/>
              <w:right w:val="single" w:color="000000" w:sz="4" w:space="0"/>
            </w:tcBorders>
            <w:noWrap w:val="0"/>
            <w:vAlign w:val="top"/>
          </w:tcPr>
          <w:p w14:paraId="71928B23">
            <w:pPr>
              <w:pStyle w:val="126"/>
              <w:keepNext w:val="0"/>
              <w:keepLines w:val="0"/>
              <w:widowControl/>
              <w:suppressLineNumbers w:val="0"/>
              <w:spacing w:before="0" w:beforeAutospacing="0" w:after="0" w:afterAutospacing="0"/>
              <w:ind w:left="0" w:right="0"/>
              <w:jc w:val="both"/>
              <w:rPr>
                <w:rFonts w:hint="default"/>
                <w:color w:val="000000"/>
              </w:rPr>
            </w:pPr>
          </w:p>
        </w:tc>
      </w:tr>
      <w:tr w14:paraId="1D23CD4B">
        <w:tblPrEx>
          <w:tblCellMar>
            <w:top w:w="0" w:type="dxa"/>
            <w:left w:w="0" w:type="dxa"/>
            <w:bottom w:w="0" w:type="dxa"/>
            <w:right w:w="0" w:type="dxa"/>
          </w:tblCellMar>
        </w:tblPrEx>
        <w:trPr>
          <w:trHeight w:val="1029" w:hRule="atLeast"/>
          <w:jc w:val="center"/>
        </w:trPr>
        <w:tc>
          <w:tcPr>
            <w:tcW w:w="229" w:type="pct"/>
            <w:vMerge w:val="continue"/>
            <w:tcBorders>
              <w:left w:val="single" w:color="000000" w:sz="4" w:space="0"/>
              <w:right w:val="single" w:color="000000" w:sz="4" w:space="0"/>
            </w:tcBorders>
            <w:noWrap w:val="0"/>
            <w:vAlign w:val="center"/>
          </w:tcPr>
          <w:p w14:paraId="6AF50724">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left w:val="single" w:color="000000" w:sz="4" w:space="0"/>
              <w:bottom w:val="single" w:color="auto" w:sz="4" w:space="0"/>
              <w:right w:val="single" w:color="000000" w:sz="4" w:space="0"/>
            </w:tcBorders>
            <w:noWrap w:val="0"/>
            <w:vAlign w:val="center"/>
          </w:tcPr>
          <w:p w14:paraId="53B3F38C">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tcBorders>
              <w:top w:val="single" w:color="000000" w:sz="4" w:space="0"/>
              <w:left w:val="single" w:color="000000" w:sz="4" w:space="0"/>
              <w:bottom w:val="single" w:color="000000" w:sz="4" w:space="0"/>
              <w:right w:val="single" w:color="000000" w:sz="4" w:space="0"/>
            </w:tcBorders>
            <w:noWrap w:val="0"/>
            <w:vAlign w:val="center"/>
          </w:tcPr>
          <w:p w14:paraId="17C04027">
            <w:pPr>
              <w:pStyle w:val="126"/>
              <w:keepNext w:val="0"/>
              <w:keepLines w:val="0"/>
              <w:widowControl/>
              <w:suppressLineNumbers w:val="0"/>
              <w:spacing w:before="0" w:beforeAutospacing="0" w:after="0" w:afterAutospacing="0"/>
              <w:ind w:left="0" w:right="0"/>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（二甲基呋喃装置）</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0EB0C7B3">
            <w:pPr>
              <w:pStyle w:val="126"/>
              <w:keepNext w:val="0"/>
              <w:keepLines w:val="0"/>
              <w:widowControl/>
              <w:suppressLineNumbers w:val="0"/>
              <w:spacing w:before="0" w:beforeAutospacing="0" w:after="0" w:afterAutospacing="0"/>
              <w:ind w:left="0" w:right="0"/>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糠醛</w:t>
            </w:r>
          </w:p>
        </w:tc>
        <w:tc>
          <w:tcPr>
            <w:tcW w:w="696" w:type="pct"/>
            <w:vMerge w:val="continue"/>
            <w:tcBorders>
              <w:left w:val="single" w:color="000000" w:sz="4" w:space="0"/>
              <w:bottom w:val="single" w:color="auto" w:sz="4" w:space="0"/>
              <w:right w:val="single" w:color="000000" w:sz="4" w:space="0"/>
            </w:tcBorders>
            <w:noWrap w:val="0"/>
            <w:vAlign w:val="center"/>
          </w:tcPr>
          <w:p w14:paraId="1B35F39B">
            <w:pPr>
              <w:pStyle w:val="126"/>
              <w:keepNext w:val="0"/>
              <w:keepLines w:val="0"/>
              <w:widowControl/>
              <w:suppressLineNumbers w:val="0"/>
              <w:spacing w:before="0" w:beforeAutospacing="0" w:after="0" w:afterAutospacing="0"/>
              <w:ind w:left="0" w:right="0"/>
              <w:rPr>
                <w:rFonts w:hint="eastAsia"/>
                <w:color w:val="000000"/>
              </w:rPr>
            </w:pPr>
          </w:p>
        </w:tc>
        <w:tc>
          <w:tcPr>
            <w:tcW w:w="438" w:type="pct"/>
            <w:vMerge w:val="continue"/>
            <w:tcBorders>
              <w:left w:val="single" w:color="000000" w:sz="4" w:space="0"/>
              <w:right w:val="single" w:color="000000" w:sz="4" w:space="0"/>
            </w:tcBorders>
            <w:noWrap w:val="0"/>
            <w:vAlign w:val="center"/>
          </w:tcPr>
          <w:p w14:paraId="6FE282B8">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bottom w:val="single" w:color="auto" w:sz="4" w:space="0"/>
              <w:right w:val="single" w:color="000000" w:sz="4" w:space="0"/>
            </w:tcBorders>
            <w:noWrap w:val="0"/>
            <w:vAlign w:val="top"/>
          </w:tcPr>
          <w:p w14:paraId="51100C78">
            <w:pPr>
              <w:pStyle w:val="126"/>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设备超压爆炸、泄漏及遇火源发生燃烧</w:t>
            </w:r>
          </w:p>
        </w:tc>
      </w:tr>
      <w:tr w14:paraId="671CBF64">
        <w:tblPrEx>
          <w:tblCellMar>
            <w:top w:w="0" w:type="dxa"/>
            <w:left w:w="0" w:type="dxa"/>
            <w:bottom w:w="0" w:type="dxa"/>
            <w:right w:w="0" w:type="dxa"/>
          </w:tblCellMar>
        </w:tblPrEx>
        <w:trPr>
          <w:trHeight w:val="397" w:hRule="atLeast"/>
          <w:jc w:val="center"/>
        </w:trPr>
        <w:tc>
          <w:tcPr>
            <w:tcW w:w="229" w:type="pct"/>
            <w:vMerge w:val="restart"/>
            <w:tcBorders>
              <w:left w:val="single" w:color="000000" w:sz="4" w:space="0"/>
              <w:right w:val="single" w:color="000000" w:sz="4" w:space="0"/>
            </w:tcBorders>
            <w:noWrap w:val="0"/>
            <w:vAlign w:val="center"/>
          </w:tcPr>
          <w:p w14:paraId="3DB52C51">
            <w:pPr>
              <w:pStyle w:val="126"/>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739" w:type="pct"/>
            <w:vMerge w:val="restart"/>
            <w:tcBorders>
              <w:top w:val="single" w:color="auto" w:sz="4" w:space="0"/>
              <w:left w:val="single" w:color="000000" w:sz="4" w:space="0"/>
              <w:bottom w:val="single" w:color="auto" w:sz="4" w:space="0"/>
              <w:right w:val="single" w:color="000000" w:sz="4" w:space="0"/>
            </w:tcBorders>
            <w:noWrap w:val="0"/>
            <w:vAlign w:val="center"/>
          </w:tcPr>
          <w:p w14:paraId="45573563">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危废暂存</w:t>
            </w:r>
            <w:r>
              <w:rPr>
                <w:rFonts w:hint="eastAsia"/>
                <w:color w:val="000000"/>
                <w:lang w:eastAsia="zh-CN"/>
              </w:rPr>
              <w:t>间</w:t>
            </w:r>
            <w:r>
              <w:rPr>
                <w:rFonts w:hint="eastAsia"/>
                <w:color w:val="000000"/>
              </w:rPr>
              <w:t>库</w:t>
            </w:r>
          </w:p>
          <w:p w14:paraId="47444FAC">
            <w:pPr>
              <w:pStyle w:val="126"/>
              <w:keepNext w:val="0"/>
              <w:keepLines w:val="0"/>
              <w:widowControl/>
              <w:suppressLineNumbers w:val="0"/>
              <w:spacing w:before="0" w:beforeAutospacing="0" w:after="0" w:afterAutospacing="0"/>
              <w:ind w:left="0" w:right="0"/>
              <w:rPr>
                <w:rFonts w:hint="eastAsia"/>
                <w:color w:val="000000"/>
              </w:rPr>
            </w:pPr>
          </w:p>
          <w:p w14:paraId="24F5A1C9">
            <w:pPr>
              <w:pStyle w:val="126"/>
              <w:keepNext w:val="0"/>
              <w:keepLines w:val="0"/>
              <w:widowControl/>
              <w:suppressLineNumbers w:val="0"/>
              <w:spacing w:before="0" w:beforeAutospacing="0" w:after="0" w:afterAutospacing="0"/>
              <w:ind w:left="0" w:right="0"/>
              <w:rPr>
                <w:rFonts w:hint="eastAsia"/>
                <w:color w:val="000000"/>
              </w:rPr>
            </w:pPr>
          </w:p>
          <w:p w14:paraId="2034B12C">
            <w:pPr>
              <w:pStyle w:val="126"/>
              <w:keepNext w:val="0"/>
              <w:keepLines w:val="0"/>
              <w:widowControl/>
              <w:suppressLineNumbers w:val="0"/>
              <w:spacing w:before="0" w:beforeAutospacing="0" w:after="0" w:afterAutospacing="0"/>
              <w:ind w:left="0" w:right="0"/>
              <w:rPr>
                <w:rFonts w:hint="eastAsia"/>
                <w:color w:val="000000"/>
              </w:rPr>
            </w:pPr>
          </w:p>
          <w:p w14:paraId="2706BD99">
            <w:pPr>
              <w:pStyle w:val="126"/>
              <w:keepNext w:val="0"/>
              <w:keepLines w:val="0"/>
              <w:widowControl/>
              <w:suppressLineNumbers w:val="0"/>
              <w:spacing w:before="0" w:beforeAutospacing="0" w:after="0" w:afterAutospacing="0"/>
              <w:ind w:left="0" w:right="0"/>
              <w:rPr>
                <w:rFonts w:hint="eastAsia"/>
                <w:color w:val="000000"/>
              </w:rPr>
            </w:pPr>
          </w:p>
          <w:p w14:paraId="6833D81A">
            <w:pPr>
              <w:pStyle w:val="126"/>
              <w:keepNext w:val="0"/>
              <w:keepLines w:val="0"/>
              <w:widowControl/>
              <w:suppressLineNumbers w:val="0"/>
              <w:spacing w:before="0" w:beforeAutospacing="0" w:after="0" w:afterAutospacing="0"/>
              <w:ind w:left="0" w:right="0"/>
              <w:rPr>
                <w:rFonts w:hint="default"/>
                <w:color w:val="000000"/>
              </w:rPr>
            </w:pPr>
          </w:p>
        </w:tc>
        <w:tc>
          <w:tcPr>
            <w:tcW w:w="1178" w:type="pct"/>
            <w:vMerge w:val="restart"/>
            <w:tcBorders>
              <w:top w:val="single" w:color="000000" w:sz="4" w:space="0"/>
              <w:left w:val="single" w:color="000000" w:sz="4" w:space="0"/>
              <w:right w:val="single" w:color="000000" w:sz="4" w:space="0"/>
            </w:tcBorders>
            <w:noWrap w:val="0"/>
            <w:vAlign w:val="center"/>
          </w:tcPr>
          <w:p w14:paraId="1515EAC3">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1555A6EA">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糠醇废催化剂</w:t>
            </w:r>
          </w:p>
        </w:tc>
        <w:tc>
          <w:tcPr>
            <w:tcW w:w="696" w:type="pct"/>
            <w:tcBorders>
              <w:top w:val="single" w:color="auto" w:sz="4" w:space="0"/>
              <w:left w:val="single" w:color="000000" w:sz="4" w:space="0"/>
              <w:bottom w:val="single" w:color="auto" w:sz="4" w:space="0"/>
              <w:right w:val="single" w:color="000000" w:sz="4" w:space="0"/>
            </w:tcBorders>
            <w:noWrap w:val="0"/>
            <w:vAlign w:val="center"/>
          </w:tcPr>
          <w:p w14:paraId="68E835EA">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438" w:type="pct"/>
            <w:vMerge w:val="restart"/>
            <w:tcBorders>
              <w:left w:val="single" w:color="000000" w:sz="4" w:space="0"/>
              <w:right w:val="single" w:color="000000" w:sz="4" w:space="0"/>
            </w:tcBorders>
            <w:noWrap w:val="0"/>
            <w:vAlign w:val="center"/>
          </w:tcPr>
          <w:p w14:paraId="4E80AF6C">
            <w:pPr>
              <w:pStyle w:val="126"/>
              <w:keepNext w:val="0"/>
              <w:keepLines w:val="0"/>
              <w:widowControl/>
              <w:suppressLineNumbers w:val="0"/>
              <w:tabs>
                <w:tab w:val="left" w:pos="232"/>
              </w:tabs>
              <w:spacing w:before="0" w:beforeAutospacing="0" w:after="0" w:afterAutospacing="0"/>
              <w:ind w:left="0" w:right="0"/>
              <w:jc w:val="left"/>
              <w:rPr>
                <w:rFonts w:hint="eastAsia" w:eastAsia="宋体"/>
                <w:color w:val="000000"/>
                <w:lang w:eastAsia="zh-CN"/>
              </w:rPr>
            </w:pPr>
            <w:r>
              <w:rPr>
                <w:rFonts w:hint="eastAsia"/>
                <w:color w:val="000000"/>
                <w:lang w:eastAsia="zh-CN"/>
              </w:rPr>
              <w:t>大气、土壤、水环境</w:t>
            </w:r>
          </w:p>
        </w:tc>
        <w:tc>
          <w:tcPr>
            <w:tcW w:w="803" w:type="pct"/>
            <w:tcBorders>
              <w:top w:val="single" w:color="auto" w:sz="4" w:space="0"/>
              <w:left w:val="single" w:color="000000" w:sz="4" w:space="0"/>
              <w:bottom w:val="single" w:color="auto" w:sz="4" w:space="0"/>
              <w:right w:val="single" w:color="000000" w:sz="4" w:space="0"/>
            </w:tcBorders>
            <w:noWrap w:val="0"/>
            <w:vAlign w:val="center"/>
          </w:tcPr>
          <w:p w14:paraId="5CD2A277">
            <w:pPr>
              <w:pStyle w:val="126"/>
              <w:keepNext w:val="0"/>
              <w:keepLines w:val="0"/>
              <w:widowControl/>
              <w:suppressLineNumbers w:val="0"/>
              <w:tabs>
                <w:tab w:val="left" w:pos="232"/>
              </w:tabs>
              <w:spacing w:before="0" w:beforeAutospacing="0" w:after="0" w:afterAutospacing="0"/>
              <w:ind w:left="0" w:right="0"/>
              <w:jc w:val="left"/>
              <w:rPr>
                <w:rFonts w:hint="eastAsia"/>
                <w:color w:val="000000"/>
                <w:lang w:eastAsia="zh-CN"/>
              </w:rPr>
            </w:pPr>
            <w:r>
              <w:rPr>
                <w:rFonts w:hint="eastAsia"/>
                <w:color w:val="000000"/>
                <w:lang w:eastAsia="zh-CN"/>
              </w:rPr>
              <w:t>分解放热后自燃</w:t>
            </w:r>
          </w:p>
        </w:tc>
      </w:tr>
      <w:tr w14:paraId="415FDF85">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22936DEA">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17D7BE05">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vMerge w:val="continue"/>
            <w:tcBorders>
              <w:left w:val="single" w:color="000000" w:sz="4" w:space="0"/>
              <w:right w:val="single" w:color="000000" w:sz="4" w:space="0"/>
            </w:tcBorders>
            <w:noWrap w:val="0"/>
            <w:vAlign w:val="center"/>
          </w:tcPr>
          <w:p w14:paraId="58A990F6">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0468BD3">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二甲基呋喃废催化剂</w:t>
            </w:r>
          </w:p>
        </w:tc>
        <w:tc>
          <w:tcPr>
            <w:tcW w:w="696" w:type="pct"/>
            <w:tcBorders>
              <w:top w:val="single" w:color="auto" w:sz="4" w:space="0"/>
              <w:left w:val="single" w:color="000000" w:sz="4" w:space="0"/>
              <w:bottom w:val="single" w:color="auto" w:sz="4" w:space="0"/>
              <w:right w:val="single" w:color="000000" w:sz="4" w:space="0"/>
            </w:tcBorders>
            <w:noWrap w:val="0"/>
            <w:vAlign w:val="center"/>
          </w:tcPr>
          <w:p w14:paraId="39EBE023">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438" w:type="pct"/>
            <w:vMerge w:val="continue"/>
            <w:tcBorders>
              <w:left w:val="single" w:color="000000" w:sz="4" w:space="0"/>
              <w:right w:val="single" w:color="000000" w:sz="4" w:space="0"/>
            </w:tcBorders>
            <w:noWrap w:val="0"/>
            <w:vAlign w:val="center"/>
          </w:tcPr>
          <w:p w14:paraId="025845C3">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top w:val="single" w:color="auto" w:sz="4" w:space="0"/>
              <w:left w:val="single" w:color="000000" w:sz="4" w:space="0"/>
              <w:bottom w:val="single" w:color="auto" w:sz="4" w:space="0"/>
              <w:right w:val="single" w:color="000000" w:sz="4" w:space="0"/>
            </w:tcBorders>
            <w:noWrap w:val="0"/>
            <w:vAlign w:val="center"/>
          </w:tcPr>
          <w:p w14:paraId="2D62F4DB">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分解放热后自燃</w:t>
            </w:r>
          </w:p>
        </w:tc>
      </w:tr>
      <w:tr w14:paraId="2D038FDB">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40306A3F">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2885AC43">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vMerge w:val="continue"/>
            <w:tcBorders>
              <w:left w:val="single" w:color="000000" w:sz="4" w:space="0"/>
              <w:right w:val="single" w:color="000000" w:sz="4" w:space="0"/>
            </w:tcBorders>
            <w:noWrap w:val="0"/>
            <w:vAlign w:val="center"/>
          </w:tcPr>
          <w:p w14:paraId="54E05491">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A99A49D">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废活性炭</w:t>
            </w:r>
          </w:p>
        </w:tc>
        <w:tc>
          <w:tcPr>
            <w:tcW w:w="696" w:type="pct"/>
            <w:tcBorders>
              <w:top w:val="single" w:color="auto" w:sz="4" w:space="0"/>
              <w:left w:val="single" w:color="000000" w:sz="4" w:space="0"/>
              <w:bottom w:val="single" w:color="auto" w:sz="4" w:space="0"/>
              <w:right w:val="single" w:color="000000" w:sz="4" w:space="0"/>
            </w:tcBorders>
            <w:noWrap w:val="0"/>
            <w:vAlign w:val="center"/>
          </w:tcPr>
          <w:p w14:paraId="4BCFBF7B">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438" w:type="pct"/>
            <w:vMerge w:val="continue"/>
            <w:tcBorders>
              <w:left w:val="single" w:color="000000" w:sz="4" w:space="0"/>
              <w:right w:val="single" w:color="000000" w:sz="4" w:space="0"/>
            </w:tcBorders>
            <w:noWrap w:val="0"/>
            <w:vAlign w:val="center"/>
          </w:tcPr>
          <w:p w14:paraId="737361D2">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top w:val="single" w:color="auto" w:sz="4" w:space="0"/>
              <w:left w:val="single" w:color="000000" w:sz="4" w:space="0"/>
              <w:right w:val="single" w:color="000000" w:sz="4" w:space="0"/>
            </w:tcBorders>
            <w:noWrap w:val="0"/>
            <w:vAlign w:val="center"/>
          </w:tcPr>
          <w:p w14:paraId="0501FD61">
            <w:pPr>
              <w:pStyle w:val="126"/>
              <w:keepNext w:val="0"/>
              <w:keepLines w:val="0"/>
              <w:widowControl/>
              <w:suppressLineNumbers w:val="0"/>
              <w:spacing w:before="0" w:beforeAutospacing="0" w:after="0" w:afterAutospacing="0"/>
              <w:ind w:left="0" w:right="0"/>
              <w:rPr>
                <w:rFonts w:hint="eastAsia"/>
                <w:color w:val="000000"/>
                <w:lang w:eastAsia="zh-CN"/>
              </w:rPr>
            </w:pPr>
            <w:r>
              <w:rPr>
                <w:rFonts w:hint="default"/>
                <w:sz w:val="21"/>
              </w:rPr>
              <mc:AlternateContent>
                <mc:Choice Requires="wps">
                  <w:drawing>
                    <wp:anchor distT="0" distB="0" distL="114300" distR="114300" simplePos="0" relativeHeight="251672576" behindDoc="0" locked="0" layoutInCell="1" allowOverlap="1">
                      <wp:simplePos x="0" y="0"/>
                      <wp:positionH relativeFrom="column">
                        <wp:posOffset>8255</wp:posOffset>
                      </wp:positionH>
                      <wp:positionV relativeFrom="paragraph">
                        <wp:posOffset>598170</wp:posOffset>
                      </wp:positionV>
                      <wp:extent cx="986155" cy="635"/>
                      <wp:effectExtent l="0" t="0" r="0" b="0"/>
                      <wp:wrapNone/>
                      <wp:docPr id="13" name="直接连接符 13"/>
                      <wp:cNvGraphicFramePr/>
                      <a:graphic xmlns:a="http://schemas.openxmlformats.org/drawingml/2006/main">
                        <a:graphicData uri="http://schemas.microsoft.com/office/word/2010/wordprocessingShape">
                          <wps:wsp>
                            <wps:cNvCnPr/>
                            <wps:spPr>
                              <a:xfrm>
                                <a:off x="6014085" y="6439535"/>
                                <a:ext cx="986155" cy="63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65pt;margin-top:47.1pt;height:0.05pt;width:77.65pt;z-index:251672576;mso-width-relative:page;mso-height-relative:page;" filled="f" stroked="t" coordsize="21600,21600" o:gfxdata="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kNZoLSAAAABwEAAA8A&#10;AAAAAAAAAQAgAAAAIgAAAGRycy9kb3ducmV2LnhtbFBLAQIUABQAAAAIAIdO4kCmgTFX5AEAAKkD&#10;AAAOAAAAAAAAAAEAIAAAACEBAABkcnMvZTJvRG9jLnhtbFBLBQYAAAAABgAGAFkBAAB3BQAAAAA=&#10;">
                      <v:fill on="f" focussize="0,0"/>
                      <v:stroke weight="0.5pt" color="#000000 [3213]" joinstyle="round"/>
                      <v:imagedata o:title=""/>
                      <o:lock v:ext="edit" aspectratio="f"/>
                    </v:line>
                  </w:pict>
                </mc:Fallback>
              </mc:AlternateContent>
            </w:r>
            <w:r>
              <w:rPr>
                <w:rFonts w:hint="eastAsia"/>
                <w:color w:val="000000"/>
                <w:lang w:eastAsia="zh-CN"/>
              </w:rPr>
              <w:t>热量积聚导致自燃，遇点火源引发燃爆</w:t>
            </w:r>
          </w:p>
        </w:tc>
      </w:tr>
      <w:tr w14:paraId="0E25F36E">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4B0C43BA">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296450BF">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vMerge w:val="continue"/>
            <w:tcBorders>
              <w:left w:val="single" w:color="000000" w:sz="4" w:space="0"/>
              <w:right w:val="single" w:color="000000" w:sz="4" w:space="0"/>
            </w:tcBorders>
            <w:noWrap w:val="0"/>
            <w:vAlign w:val="center"/>
          </w:tcPr>
          <w:p w14:paraId="1E6A0C5B">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7F4794E4">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废氯化钙</w:t>
            </w:r>
          </w:p>
        </w:tc>
        <w:tc>
          <w:tcPr>
            <w:tcW w:w="696" w:type="pct"/>
            <w:tcBorders>
              <w:top w:val="single" w:color="auto" w:sz="4" w:space="0"/>
              <w:left w:val="single" w:color="000000" w:sz="4" w:space="0"/>
              <w:bottom w:val="single" w:color="auto" w:sz="4" w:space="0"/>
              <w:right w:val="single" w:color="000000" w:sz="4" w:space="0"/>
            </w:tcBorders>
            <w:noWrap w:val="0"/>
            <w:vAlign w:val="center"/>
          </w:tcPr>
          <w:p w14:paraId="206BFB76">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438" w:type="pct"/>
            <w:vMerge w:val="continue"/>
            <w:tcBorders>
              <w:left w:val="single" w:color="000000" w:sz="4" w:space="0"/>
              <w:right w:val="single" w:color="000000" w:sz="4" w:space="0"/>
            </w:tcBorders>
            <w:noWrap w:val="0"/>
            <w:vAlign w:val="center"/>
          </w:tcPr>
          <w:p w14:paraId="52F001F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3EA49DE3">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2B98525A">
        <w:tblPrEx>
          <w:tblCellMar>
            <w:top w:w="0" w:type="dxa"/>
            <w:left w:w="0" w:type="dxa"/>
            <w:bottom w:w="0" w:type="dxa"/>
            <w:right w:w="0" w:type="dxa"/>
          </w:tblCellMar>
        </w:tblPrEx>
        <w:trPr>
          <w:trHeight w:val="392" w:hRule="atLeast"/>
          <w:jc w:val="center"/>
        </w:trPr>
        <w:tc>
          <w:tcPr>
            <w:tcW w:w="229" w:type="pct"/>
            <w:vMerge w:val="continue"/>
            <w:tcBorders>
              <w:left w:val="single" w:color="000000" w:sz="4" w:space="0"/>
              <w:right w:val="single" w:color="000000" w:sz="4" w:space="0"/>
            </w:tcBorders>
            <w:noWrap w:val="0"/>
            <w:vAlign w:val="center"/>
          </w:tcPr>
          <w:p w14:paraId="5435C9AF">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757F9C2D">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vMerge w:val="continue"/>
            <w:tcBorders>
              <w:left w:val="single" w:color="000000" w:sz="4" w:space="0"/>
              <w:right w:val="single" w:color="000000" w:sz="4" w:space="0"/>
            </w:tcBorders>
            <w:noWrap w:val="0"/>
            <w:vAlign w:val="center"/>
          </w:tcPr>
          <w:p w14:paraId="341F651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79163D8">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糠醛聚合物</w:t>
            </w:r>
          </w:p>
        </w:tc>
        <w:tc>
          <w:tcPr>
            <w:tcW w:w="696" w:type="pct"/>
            <w:tcBorders>
              <w:top w:val="single" w:color="auto" w:sz="4" w:space="0"/>
              <w:left w:val="single" w:color="000000" w:sz="4" w:space="0"/>
              <w:bottom w:val="single" w:color="auto" w:sz="4" w:space="0"/>
              <w:right w:val="single" w:color="000000" w:sz="4" w:space="0"/>
            </w:tcBorders>
            <w:noWrap w:val="0"/>
            <w:vAlign w:val="center"/>
          </w:tcPr>
          <w:p w14:paraId="18238D1F">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438" w:type="pct"/>
            <w:vMerge w:val="continue"/>
            <w:tcBorders>
              <w:left w:val="single" w:color="000000" w:sz="4" w:space="0"/>
              <w:right w:val="single" w:color="000000" w:sz="4" w:space="0"/>
            </w:tcBorders>
            <w:noWrap w:val="0"/>
            <w:vAlign w:val="center"/>
          </w:tcPr>
          <w:p w14:paraId="26E13CDA">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418D5B20">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1B241C04">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6CD03AB4">
            <w:pPr>
              <w:pStyle w:val="126"/>
              <w:keepNext w:val="0"/>
              <w:keepLines w:val="0"/>
              <w:widowControl/>
              <w:suppressLineNumbers w:val="0"/>
              <w:spacing w:before="0" w:beforeAutospacing="0" w:after="0" w:afterAutospacing="0"/>
              <w:ind w:left="0" w:right="0"/>
              <w:rPr>
                <w:rFonts w:hint="eastAsia" w:eastAsia="宋体" w:cs="Times New Roman"/>
                <w:color w:val="000000"/>
                <w:lang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2A3A8C58">
            <w:pPr>
              <w:pStyle w:val="126"/>
              <w:keepNext w:val="0"/>
              <w:keepLines w:val="0"/>
              <w:widowControl/>
              <w:suppressLineNumbers w:val="0"/>
              <w:spacing w:before="0" w:beforeAutospacing="0" w:after="0" w:afterAutospacing="0"/>
              <w:ind w:left="0" w:right="0"/>
              <w:rPr>
                <w:rFonts w:hint="default"/>
                <w:color w:val="000000"/>
              </w:rPr>
            </w:pPr>
          </w:p>
        </w:tc>
        <w:tc>
          <w:tcPr>
            <w:tcW w:w="1178" w:type="pct"/>
            <w:vMerge w:val="continue"/>
            <w:tcBorders>
              <w:left w:val="single" w:color="000000" w:sz="4" w:space="0"/>
              <w:right w:val="single" w:color="000000" w:sz="4" w:space="0"/>
            </w:tcBorders>
            <w:noWrap w:val="0"/>
            <w:vAlign w:val="center"/>
          </w:tcPr>
          <w:p w14:paraId="5E3A2E8B">
            <w:pPr>
              <w:pStyle w:val="126"/>
              <w:keepNext w:val="0"/>
              <w:keepLines w:val="0"/>
              <w:widowControl/>
              <w:suppressLineNumbers w:val="0"/>
              <w:spacing w:before="0" w:beforeAutospacing="0" w:after="0" w:afterAutospacing="0"/>
              <w:ind w:left="0" w:right="0"/>
              <w:rPr>
                <w:rFonts w:hint="default"/>
                <w:color w:val="000000"/>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3FECED8A">
            <w:pPr>
              <w:keepNext w:val="0"/>
              <w:keepLines w:val="0"/>
              <w:suppressLineNumbers w:val="0"/>
              <w:spacing w:before="0" w:beforeAutospacing="0" w:after="0" w:afterAutospacing="0" w:line="240" w:lineRule="auto"/>
              <w:ind w:left="0" w:leftChars="0" w:right="0" w:rightChars="0" w:firstLine="0" w:firstLineChars="0"/>
              <w:jc w:val="center"/>
              <w:rPr>
                <w:rFonts w:hint="default"/>
                <w:color w:val="000000"/>
              </w:rPr>
            </w:pPr>
            <w:r>
              <w:rPr>
                <w:rStyle w:val="35"/>
                <w:rFonts w:hint="eastAsia" w:ascii="Times New Roman" w:hAnsi="Times New Roman" w:eastAsia="宋体" w:cs="Times New Roman"/>
                <w:color w:val="000000"/>
                <w:kern w:val="2"/>
                <w:sz w:val="21"/>
                <w:szCs w:val="20"/>
                <w:lang w:val="en-US" w:eastAsia="zh-CN" w:bidi="ar-SA"/>
              </w:rPr>
              <w:t>废机油</w:t>
            </w:r>
          </w:p>
        </w:tc>
        <w:tc>
          <w:tcPr>
            <w:tcW w:w="696" w:type="pct"/>
            <w:vMerge w:val="restart"/>
            <w:tcBorders>
              <w:top w:val="single" w:color="auto" w:sz="4" w:space="0"/>
              <w:left w:val="single" w:color="000000" w:sz="4" w:space="0"/>
              <w:bottom w:val="single" w:color="auto" w:sz="4" w:space="0"/>
              <w:right w:val="single" w:color="000000" w:sz="4" w:space="0"/>
            </w:tcBorders>
            <w:noWrap w:val="0"/>
            <w:vAlign w:val="center"/>
          </w:tcPr>
          <w:p w14:paraId="59F77C62">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438" w:type="pct"/>
            <w:vMerge w:val="continue"/>
            <w:tcBorders>
              <w:left w:val="single" w:color="000000" w:sz="4" w:space="0"/>
              <w:right w:val="single" w:color="000000" w:sz="4" w:space="0"/>
            </w:tcBorders>
            <w:noWrap w:val="0"/>
            <w:vAlign w:val="center"/>
          </w:tcPr>
          <w:p w14:paraId="5F4BEF09">
            <w:pPr>
              <w:pStyle w:val="126"/>
              <w:keepNext w:val="0"/>
              <w:keepLines w:val="0"/>
              <w:widowControl/>
              <w:suppressLineNumbers w:val="0"/>
              <w:spacing w:before="0" w:beforeAutospacing="0" w:after="0" w:afterAutospacing="0"/>
              <w:ind w:left="0" w:right="0"/>
              <w:rPr>
                <w:rFonts w:hint="default"/>
                <w:color w:val="000000"/>
              </w:rPr>
            </w:pPr>
          </w:p>
        </w:tc>
        <w:tc>
          <w:tcPr>
            <w:tcW w:w="803" w:type="pct"/>
            <w:tcBorders>
              <w:left w:val="single" w:color="000000" w:sz="4" w:space="0"/>
              <w:right w:val="single" w:color="000000" w:sz="4" w:space="0"/>
            </w:tcBorders>
            <w:noWrap w:val="0"/>
            <w:vAlign w:val="center"/>
          </w:tcPr>
          <w:p w14:paraId="213CE81D">
            <w:pPr>
              <w:pStyle w:val="126"/>
              <w:keepNext w:val="0"/>
              <w:keepLines w:val="0"/>
              <w:widowControl/>
              <w:suppressLineNumbers w:val="0"/>
              <w:spacing w:before="0" w:beforeAutospacing="0" w:after="0" w:afterAutospacing="0"/>
              <w:ind w:left="0" w:right="0"/>
              <w:rPr>
                <w:rFonts w:hint="default"/>
                <w:color w:val="000000"/>
              </w:rPr>
            </w:pPr>
            <w:r>
              <w:rPr>
                <w:rFonts w:hint="default"/>
                <w:sz w:val="21"/>
              </w:rPr>
              <mc:AlternateContent>
                <mc:Choice Requires="wps">
                  <w:drawing>
                    <wp:anchor distT="0" distB="0" distL="114300" distR="114300" simplePos="0" relativeHeight="251673600" behindDoc="0" locked="0" layoutInCell="1" allowOverlap="1">
                      <wp:simplePos x="0" y="0"/>
                      <wp:positionH relativeFrom="column">
                        <wp:posOffset>3810</wp:posOffset>
                      </wp:positionH>
                      <wp:positionV relativeFrom="paragraph">
                        <wp:posOffset>-1270</wp:posOffset>
                      </wp:positionV>
                      <wp:extent cx="971550" cy="11430"/>
                      <wp:effectExtent l="0" t="4445" r="0" b="12700"/>
                      <wp:wrapNone/>
                      <wp:docPr id="15" name="直接连接符 15"/>
                      <wp:cNvGraphicFramePr/>
                      <a:graphic xmlns:a="http://schemas.openxmlformats.org/drawingml/2006/main">
                        <a:graphicData uri="http://schemas.microsoft.com/office/word/2010/wordprocessingShape">
                          <wps:wsp>
                            <wps:cNvCnPr/>
                            <wps:spPr>
                              <a:xfrm flipV="1">
                                <a:off x="0" y="0"/>
                                <a:ext cx="971550" cy="1143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3pt;margin-top:-0.1pt;height:0.9pt;width:76.5pt;z-index:251673600;mso-width-relative:page;mso-height-relative:page;" filled="f" stroked="t" coordsize="21600,21600" o:gfxdata="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EkrVS1AAAAAQBAAAP&#10;AAAAAAAAAAEAIAAAACIAAABkcnMvZG93bnJldi54bWxQSwECFAAUAAAACACHTuJAbu7ptuMBAACp&#10;AwAADgAAAAAAAAABACAAAAAjAQAAZHJzL2Uyb0RvYy54bWxQSwUGAAAAAAYABgBZAQAAeAUAAAAA&#10;">
                      <v:fill on="f" focussize="0,0"/>
                      <v:stroke weight="0.5pt" color="#000000 [3213]" joinstyle="round"/>
                      <v:imagedata o:title=""/>
                      <o:lock v:ext="edit" aspectratio="f"/>
                    </v:line>
                  </w:pict>
                </mc:Fallback>
              </mc:AlternateContent>
            </w:r>
            <w:r>
              <w:rPr>
                <w:rFonts w:hint="default"/>
                <w:sz w:val="21"/>
              </w:rPr>
              <mc:AlternateContent>
                <mc:Choice Requires="wps">
                  <w:drawing>
                    <wp:anchor distT="0" distB="0" distL="114300" distR="114300" simplePos="0" relativeHeight="251674624" behindDoc="0" locked="0" layoutInCell="1" allowOverlap="1">
                      <wp:simplePos x="0" y="0"/>
                      <wp:positionH relativeFrom="column">
                        <wp:posOffset>8255</wp:posOffset>
                      </wp:positionH>
                      <wp:positionV relativeFrom="paragraph">
                        <wp:posOffset>373380</wp:posOffset>
                      </wp:positionV>
                      <wp:extent cx="986155" cy="14605"/>
                      <wp:effectExtent l="0" t="4445" r="4445" b="9525"/>
                      <wp:wrapNone/>
                      <wp:docPr id="16" name="直接连接符 16"/>
                      <wp:cNvGraphicFramePr/>
                      <a:graphic xmlns:a="http://schemas.openxmlformats.org/drawingml/2006/main">
                        <a:graphicData uri="http://schemas.microsoft.com/office/word/2010/wordprocessingShape">
                          <wps:wsp>
                            <wps:cNvCnPr/>
                            <wps:spPr>
                              <a:xfrm flipV="1">
                                <a:off x="0" y="0"/>
                                <a:ext cx="986155" cy="1460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5pt;margin-top:29.4pt;height:1.15pt;width:77.65pt;z-index:251674624;mso-width-relative:page;mso-height-relative:page;" filled="f" stroked="t" coordsize="21600,21600" o:gfxdata="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ZTDV9gAAAAH&#10;AQAADwAAAAAAAAABACAAAAAiAAAAZHJzL2Rvd25yZXYueG1sUEsBAhQAFAAAAAgAh07iQEXgePHj&#10;AQAAqQMAAA4AAAAAAAAAAQAgAAAAJwEAAGRycy9lMm9Eb2MueG1sUEsFBgAAAAAGAAYAWQEAAHwF&#10;AAAAAA==&#10;">
                      <v:fill on="f" focussize="0,0"/>
                      <v:stroke weight="0.5pt" color="#000000 [3213]" joinstyle="round"/>
                      <v:imagedata o:title=""/>
                      <o:lock v:ext="edit" aspectratio="f"/>
                    </v:line>
                  </w:pict>
                </mc:Fallback>
              </mc:AlternateContent>
            </w:r>
            <w:r>
              <w:rPr>
                <w:rFonts w:hint="eastAsia"/>
                <w:color w:val="000000"/>
                <w:lang w:eastAsia="zh-CN"/>
              </w:rPr>
              <w:t>遇明火、切割火花等</w:t>
            </w:r>
          </w:p>
        </w:tc>
      </w:tr>
      <w:tr w14:paraId="5DFBB613">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1FA27B36">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367AC8E1">
            <w:pPr>
              <w:pStyle w:val="126"/>
              <w:keepNext w:val="0"/>
              <w:keepLines w:val="0"/>
              <w:widowControl/>
              <w:suppressLineNumbers w:val="0"/>
              <w:spacing w:before="0" w:beforeAutospacing="0" w:after="0" w:afterAutospacing="0"/>
              <w:ind w:left="0" w:right="0"/>
              <w:rPr>
                <w:rFonts w:hint="eastAsia"/>
                <w:color w:val="000000"/>
              </w:rPr>
            </w:pPr>
          </w:p>
        </w:tc>
        <w:tc>
          <w:tcPr>
            <w:tcW w:w="1178" w:type="pct"/>
            <w:vMerge w:val="continue"/>
            <w:tcBorders>
              <w:left w:val="single" w:color="000000" w:sz="4" w:space="0"/>
              <w:right w:val="single" w:color="000000" w:sz="4" w:space="0"/>
            </w:tcBorders>
            <w:noWrap w:val="0"/>
            <w:vAlign w:val="center"/>
          </w:tcPr>
          <w:p w14:paraId="001611A9">
            <w:pPr>
              <w:pStyle w:val="126"/>
              <w:keepNext w:val="0"/>
              <w:keepLines w:val="0"/>
              <w:widowControl/>
              <w:suppressLineNumbers w:val="0"/>
              <w:spacing w:before="0" w:beforeAutospacing="0" w:after="0" w:afterAutospacing="0"/>
              <w:ind w:left="0" w:right="0"/>
              <w:rPr>
                <w:rFonts w:hint="eastAsia"/>
                <w:color w:val="000000"/>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5D55BDE9">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696" w:type="pct"/>
            <w:vMerge w:val="continue"/>
            <w:tcBorders>
              <w:top w:val="single" w:color="auto" w:sz="4" w:space="0"/>
              <w:left w:val="single" w:color="000000" w:sz="4" w:space="0"/>
              <w:bottom w:val="single" w:color="auto" w:sz="4" w:space="0"/>
              <w:right w:val="single" w:color="000000" w:sz="4" w:space="0"/>
            </w:tcBorders>
            <w:noWrap w:val="0"/>
            <w:vAlign w:val="center"/>
          </w:tcPr>
          <w:p w14:paraId="1E83994A">
            <w:pPr>
              <w:pStyle w:val="126"/>
              <w:keepNext w:val="0"/>
              <w:keepLines w:val="0"/>
              <w:widowControl/>
              <w:suppressLineNumbers w:val="0"/>
              <w:spacing w:before="0" w:beforeAutospacing="0" w:after="0" w:afterAutospacing="0"/>
              <w:ind w:left="0" w:right="0"/>
              <w:rPr>
                <w:rFonts w:hint="eastAsia"/>
                <w:color w:val="000000"/>
              </w:rPr>
            </w:pPr>
          </w:p>
        </w:tc>
        <w:tc>
          <w:tcPr>
            <w:tcW w:w="438" w:type="pct"/>
            <w:vMerge w:val="continue"/>
            <w:tcBorders>
              <w:left w:val="single" w:color="000000" w:sz="4" w:space="0"/>
              <w:right w:val="single" w:color="000000" w:sz="4" w:space="0"/>
            </w:tcBorders>
            <w:noWrap w:val="0"/>
            <w:vAlign w:val="center"/>
          </w:tcPr>
          <w:p w14:paraId="011E46C0">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4069E104">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6F5D8F7E">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5F050EEB">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6471CA43">
            <w:pPr>
              <w:pStyle w:val="126"/>
              <w:keepNext w:val="0"/>
              <w:keepLines w:val="0"/>
              <w:widowControl/>
              <w:suppressLineNumbers w:val="0"/>
              <w:spacing w:before="0" w:beforeAutospacing="0" w:after="0" w:afterAutospacing="0"/>
              <w:ind w:left="0" w:right="0"/>
              <w:rPr>
                <w:rFonts w:hint="eastAsia"/>
                <w:color w:val="000000"/>
              </w:rPr>
            </w:pPr>
          </w:p>
        </w:tc>
        <w:tc>
          <w:tcPr>
            <w:tcW w:w="1178" w:type="pct"/>
            <w:vMerge w:val="continue"/>
            <w:tcBorders>
              <w:left w:val="single" w:color="000000" w:sz="4" w:space="0"/>
              <w:right w:val="single" w:color="000000" w:sz="4" w:space="0"/>
            </w:tcBorders>
            <w:noWrap w:val="0"/>
            <w:vAlign w:val="center"/>
          </w:tcPr>
          <w:p w14:paraId="594D3003">
            <w:pPr>
              <w:pStyle w:val="126"/>
              <w:keepNext w:val="0"/>
              <w:keepLines w:val="0"/>
              <w:widowControl/>
              <w:suppressLineNumbers w:val="0"/>
              <w:spacing w:before="0" w:beforeAutospacing="0" w:after="0" w:afterAutospacing="0"/>
              <w:ind w:left="0" w:right="0"/>
              <w:rPr>
                <w:rFonts w:hint="eastAsia"/>
                <w:color w:val="000000"/>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73D086A1">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高沸物</w:t>
            </w:r>
          </w:p>
        </w:tc>
        <w:tc>
          <w:tcPr>
            <w:tcW w:w="696" w:type="pct"/>
            <w:vMerge w:val="continue"/>
            <w:tcBorders>
              <w:top w:val="single" w:color="auto" w:sz="4" w:space="0"/>
              <w:left w:val="single" w:color="000000" w:sz="4" w:space="0"/>
              <w:bottom w:val="single" w:color="auto" w:sz="4" w:space="0"/>
              <w:right w:val="single" w:color="000000" w:sz="4" w:space="0"/>
            </w:tcBorders>
            <w:noWrap w:val="0"/>
            <w:vAlign w:val="center"/>
          </w:tcPr>
          <w:p w14:paraId="0CDDC801">
            <w:pPr>
              <w:pStyle w:val="126"/>
              <w:keepNext w:val="0"/>
              <w:keepLines w:val="0"/>
              <w:widowControl/>
              <w:suppressLineNumbers w:val="0"/>
              <w:spacing w:before="0" w:beforeAutospacing="0" w:after="0" w:afterAutospacing="0"/>
              <w:ind w:left="0" w:right="0"/>
              <w:rPr>
                <w:rFonts w:hint="eastAsia"/>
                <w:color w:val="000000"/>
              </w:rPr>
            </w:pPr>
          </w:p>
        </w:tc>
        <w:tc>
          <w:tcPr>
            <w:tcW w:w="438" w:type="pct"/>
            <w:vMerge w:val="continue"/>
            <w:tcBorders>
              <w:left w:val="single" w:color="000000" w:sz="4" w:space="0"/>
              <w:right w:val="single" w:color="000000" w:sz="4" w:space="0"/>
            </w:tcBorders>
            <w:noWrap w:val="0"/>
            <w:vAlign w:val="center"/>
          </w:tcPr>
          <w:p w14:paraId="400B6DC4">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2EBD3846">
            <w:pPr>
              <w:pStyle w:val="126"/>
              <w:keepNext w:val="0"/>
              <w:keepLines w:val="0"/>
              <w:widowControl/>
              <w:suppressLineNumbers w:val="0"/>
              <w:spacing w:before="0" w:beforeAutospacing="0" w:after="0" w:afterAutospacing="0"/>
              <w:ind w:left="0" w:right="0"/>
              <w:rPr>
                <w:rFonts w:hint="eastAsia"/>
                <w:color w:val="000000"/>
                <w:lang w:eastAsia="zh-CN"/>
              </w:rPr>
            </w:pPr>
            <w:r>
              <w:rPr>
                <w:rFonts w:hint="default"/>
                <w:sz w:val="21"/>
              </w:rPr>
              <mc:AlternateContent>
                <mc:Choice Requires="wps">
                  <w:drawing>
                    <wp:anchor distT="0" distB="0" distL="114300" distR="114300" simplePos="0" relativeHeight="251675648" behindDoc="0" locked="0" layoutInCell="1" allowOverlap="1">
                      <wp:simplePos x="0" y="0"/>
                      <wp:positionH relativeFrom="column">
                        <wp:posOffset>27305</wp:posOffset>
                      </wp:positionH>
                      <wp:positionV relativeFrom="paragraph">
                        <wp:posOffset>113665</wp:posOffset>
                      </wp:positionV>
                      <wp:extent cx="986155" cy="14605"/>
                      <wp:effectExtent l="0" t="4445" r="4445" b="9525"/>
                      <wp:wrapNone/>
                      <wp:docPr id="17" name="直接连接符 17"/>
                      <wp:cNvGraphicFramePr/>
                      <a:graphic xmlns:a="http://schemas.openxmlformats.org/drawingml/2006/main">
                        <a:graphicData uri="http://schemas.microsoft.com/office/word/2010/wordprocessingShape">
                          <wps:wsp>
                            <wps:cNvCnPr/>
                            <wps:spPr>
                              <a:xfrm flipV="1">
                                <a:off x="0" y="0"/>
                                <a:ext cx="986155" cy="1460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5pt;margin-top:8.95pt;height:1.15pt;width:77.65pt;z-index:251675648;mso-width-relative:page;mso-height-relative:page;" filled="f" stroked="t" coordsize="21600,21600" o:gfxdata="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WWKTs1wAAAAcB&#10;AAAPAAAAAAAAAAEAIAAAACIAAABkcnMvZG93bnJldi54bWxQSwECFAAUAAAACACHTuJAlcn1heMB&#10;AACpAwAADgAAAAAAAAABACAAAAAmAQAAZHJzL2Uyb0RvYy54bWxQSwUGAAAAAAYABgBZAQAAewUA&#10;AAAA&#10;">
                      <v:fill on="f" focussize="0,0"/>
                      <v:stroke weight="0.5pt" color="#000000 [3213]" joinstyle="round"/>
                      <v:imagedata o:title=""/>
                      <o:lock v:ext="edit" aspectratio="f"/>
                    </v:line>
                  </w:pict>
                </mc:Fallback>
              </mc:AlternateContent>
            </w:r>
          </w:p>
        </w:tc>
      </w:tr>
      <w:tr w14:paraId="4F9EF35D">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bottom w:val="single" w:color="000000" w:sz="4" w:space="0"/>
              <w:right w:val="single" w:color="000000" w:sz="4" w:space="0"/>
            </w:tcBorders>
            <w:noWrap w:val="0"/>
            <w:vAlign w:val="center"/>
          </w:tcPr>
          <w:p w14:paraId="25778545">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4DE7B115">
            <w:pPr>
              <w:pStyle w:val="126"/>
              <w:keepNext w:val="0"/>
              <w:keepLines w:val="0"/>
              <w:widowControl/>
              <w:suppressLineNumbers w:val="0"/>
              <w:spacing w:before="0" w:beforeAutospacing="0" w:after="0" w:afterAutospacing="0"/>
              <w:ind w:left="0" w:right="0"/>
              <w:rPr>
                <w:rFonts w:hint="eastAsia"/>
                <w:color w:val="000000"/>
              </w:rPr>
            </w:pPr>
          </w:p>
        </w:tc>
        <w:tc>
          <w:tcPr>
            <w:tcW w:w="1178" w:type="pct"/>
            <w:vMerge w:val="continue"/>
            <w:tcBorders>
              <w:left w:val="single" w:color="000000" w:sz="4" w:space="0"/>
              <w:bottom w:val="single" w:color="auto" w:sz="4" w:space="0"/>
              <w:right w:val="single" w:color="000000" w:sz="4" w:space="0"/>
            </w:tcBorders>
            <w:noWrap w:val="0"/>
            <w:vAlign w:val="center"/>
          </w:tcPr>
          <w:p w14:paraId="509C78B8">
            <w:pPr>
              <w:pStyle w:val="126"/>
              <w:keepNext w:val="0"/>
              <w:keepLines w:val="0"/>
              <w:widowControl/>
              <w:suppressLineNumbers w:val="0"/>
              <w:spacing w:before="0" w:beforeAutospacing="0" w:after="0" w:afterAutospacing="0"/>
              <w:ind w:left="0" w:right="0"/>
              <w:rPr>
                <w:rFonts w:hint="eastAsia"/>
                <w:color w:val="000000"/>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5B02B38C">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废有机溶剂</w:t>
            </w:r>
          </w:p>
        </w:tc>
        <w:tc>
          <w:tcPr>
            <w:tcW w:w="696" w:type="pct"/>
            <w:vMerge w:val="continue"/>
            <w:tcBorders>
              <w:top w:val="single" w:color="auto" w:sz="4" w:space="0"/>
              <w:left w:val="single" w:color="000000" w:sz="4" w:space="0"/>
              <w:bottom w:val="single" w:color="auto" w:sz="4" w:space="0"/>
              <w:right w:val="single" w:color="000000" w:sz="4" w:space="0"/>
            </w:tcBorders>
            <w:noWrap w:val="0"/>
            <w:vAlign w:val="center"/>
          </w:tcPr>
          <w:p w14:paraId="3468B70E">
            <w:pPr>
              <w:pStyle w:val="126"/>
              <w:keepNext w:val="0"/>
              <w:keepLines w:val="0"/>
              <w:widowControl/>
              <w:suppressLineNumbers w:val="0"/>
              <w:spacing w:before="0" w:beforeAutospacing="0" w:after="0" w:afterAutospacing="0"/>
              <w:ind w:left="0" w:right="0"/>
              <w:rPr>
                <w:rFonts w:hint="eastAsia"/>
                <w:color w:val="000000"/>
              </w:rPr>
            </w:pPr>
          </w:p>
        </w:tc>
        <w:tc>
          <w:tcPr>
            <w:tcW w:w="438" w:type="pct"/>
            <w:vMerge w:val="continue"/>
            <w:tcBorders>
              <w:left w:val="single" w:color="000000" w:sz="4" w:space="0"/>
              <w:bottom w:val="single" w:color="000000" w:sz="4" w:space="0"/>
              <w:right w:val="single" w:color="000000" w:sz="4" w:space="0"/>
            </w:tcBorders>
            <w:noWrap w:val="0"/>
            <w:vAlign w:val="center"/>
          </w:tcPr>
          <w:p w14:paraId="09F5CDC1">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bottom w:val="single" w:color="000000" w:sz="4" w:space="0"/>
              <w:right w:val="single" w:color="000000" w:sz="4" w:space="0"/>
            </w:tcBorders>
            <w:noWrap w:val="0"/>
            <w:vAlign w:val="center"/>
          </w:tcPr>
          <w:p w14:paraId="52CF76AD">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泄漏及遇火源发生燃烧</w:t>
            </w:r>
          </w:p>
        </w:tc>
      </w:tr>
      <w:tr w14:paraId="19AE30F3">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right w:val="single" w:color="000000" w:sz="4" w:space="0"/>
            </w:tcBorders>
            <w:noWrap w:val="0"/>
            <w:vAlign w:val="center"/>
          </w:tcPr>
          <w:p w14:paraId="13A43EB9">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restart"/>
            <w:tcBorders>
              <w:top w:val="single" w:color="auto" w:sz="4" w:space="0"/>
              <w:left w:val="single" w:color="000000" w:sz="4" w:space="0"/>
              <w:right w:val="single" w:color="000000" w:sz="4" w:space="0"/>
            </w:tcBorders>
            <w:noWrap w:val="0"/>
            <w:vAlign w:val="center"/>
          </w:tcPr>
          <w:p w14:paraId="142B8420">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1178"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6AAEF56">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（糠醇装置）</w:t>
            </w:r>
          </w:p>
        </w:tc>
        <w:tc>
          <w:tcPr>
            <w:tcW w:w="9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E48CC">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696" w:type="pct"/>
            <w:tcBorders>
              <w:top w:val="single" w:color="000000" w:sz="4" w:space="0"/>
              <w:left w:val="single" w:color="000000" w:sz="4" w:space="0"/>
              <w:bottom w:val="single" w:color="auto" w:sz="4" w:space="0"/>
              <w:right w:val="single" w:color="000000" w:sz="4" w:space="0"/>
            </w:tcBorders>
            <w:noWrap w:val="0"/>
            <w:vAlign w:val="center"/>
          </w:tcPr>
          <w:p w14:paraId="7A760436">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rPr>
              <w:t>泄露</w:t>
            </w:r>
            <w:r>
              <w:rPr>
                <w:rFonts w:hint="eastAsia"/>
                <w:color w:val="000000"/>
                <w:lang w:eastAsia="zh-CN"/>
              </w:rPr>
              <w:t>、火灾爆炸</w:t>
            </w:r>
          </w:p>
        </w:tc>
        <w:tc>
          <w:tcPr>
            <w:tcW w:w="438" w:type="pct"/>
            <w:vMerge w:val="continue"/>
            <w:tcBorders>
              <w:left w:val="single" w:color="000000" w:sz="4" w:space="0"/>
              <w:right w:val="single" w:color="000000" w:sz="4" w:space="0"/>
            </w:tcBorders>
            <w:noWrap w:val="0"/>
            <w:vAlign w:val="center"/>
          </w:tcPr>
          <w:p w14:paraId="25186EB5">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2062185E">
            <w:pPr>
              <w:pStyle w:val="126"/>
              <w:keepNext w:val="0"/>
              <w:keepLines w:val="0"/>
              <w:widowControl/>
              <w:suppressLineNumbers w:val="0"/>
              <w:spacing w:before="0" w:beforeAutospacing="0" w:after="0" w:afterAutospacing="0"/>
              <w:ind w:left="0" w:right="0"/>
              <w:jc w:val="both"/>
              <w:rPr>
                <w:rFonts w:hint="eastAsia"/>
                <w:color w:val="000000"/>
                <w:lang w:eastAsia="zh-CN"/>
              </w:rPr>
            </w:pPr>
          </w:p>
        </w:tc>
      </w:tr>
      <w:tr w14:paraId="13BC0A71">
        <w:tblPrEx>
          <w:tblCellMar>
            <w:top w:w="0" w:type="dxa"/>
            <w:left w:w="0" w:type="dxa"/>
            <w:bottom w:w="0" w:type="dxa"/>
            <w:right w:w="0" w:type="dxa"/>
          </w:tblCellMar>
        </w:tblPrEx>
        <w:trPr>
          <w:trHeight w:val="557" w:hRule="atLeast"/>
          <w:jc w:val="center"/>
        </w:trPr>
        <w:tc>
          <w:tcPr>
            <w:tcW w:w="229" w:type="pct"/>
            <w:vMerge w:val="continue"/>
            <w:tcBorders>
              <w:left w:val="single" w:color="000000" w:sz="4" w:space="0"/>
              <w:right w:val="single" w:color="000000" w:sz="4" w:space="0"/>
            </w:tcBorders>
            <w:noWrap w:val="0"/>
            <w:vAlign w:val="center"/>
          </w:tcPr>
          <w:p w14:paraId="5A71E4D2">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050CCACE">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AADF9F">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（二甲基呋喃装置）</w:t>
            </w:r>
          </w:p>
        </w:tc>
        <w:tc>
          <w:tcPr>
            <w:tcW w:w="91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B98E7">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696" w:type="pct"/>
            <w:tcBorders>
              <w:top w:val="single" w:color="auto" w:sz="4" w:space="0"/>
              <w:left w:val="single" w:color="000000" w:sz="4" w:space="0"/>
              <w:bottom w:val="single" w:color="000000" w:sz="4" w:space="0"/>
              <w:right w:val="single" w:color="000000" w:sz="4" w:space="0"/>
            </w:tcBorders>
            <w:noWrap w:val="0"/>
            <w:vAlign w:val="center"/>
          </w:tcPr>
          <w:p w14:paraId="208AA10F">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、火灾爆炸</w:t>
            </w:r>
          </w:p>
        </w:tc>
        <w:tc>
          <w:tcPr>
            <w:tcW w:w="438" w:type="pct"/>
            <w:vMerge w:val="continue"/>
            <w:tcBorders>
              <w:left w:val="single" w:color="000000" w:sz="4" w:space="0"/>
              <w:right w:val="single" w:color="000000" w:sz="4" w:space="0"/>
            </w:tcBorders>
            <w:noWrap w:val="0"/>
            <w:vAlign w:val="center"/>
          </w:tcPr>
          <w:p w14:paraId="2D8A1225">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right w:val="single" w:color="000000" w:sz="4" w:space="0"/>
            </w:tcBorders>
            <w:noWrap w:val="0"/>
            <w:vAlign w:val="center"/>
          </w:tcPr>
          <w:p w14:paraId="5D7C7971">
            <w:pPr>
              <w:pStyle w:val="126"/>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泄漏及遇火源发生燃烧</w:t>
            </w:r>
          </w:p>
        </w:tc>
      </w:tr>
      <w:tr w14:paraId="0617CEE6">
        <w:tblPrEx>
          <w:tblCellMar>
            <w:top w:w="0" w:type="dxa"/>
            <w:left w:w="0" w:type="dxa"/>
            <w:bottom w:w="0" w:type="dxa"/>
            <w:right w:w="0" w:type="dxa"/>
          </w:tblCellMar>
        </w:tblPrEx>
        <w:trPr>
          <w:trHeight w:val="397" w:hRule="atLeast"/>
          <w:jc w:val="center"/>
        </w:trPr>
        <w:tc>
          <w:tcPr>
            <w:tcW w:w="229" w:type="pct"/>
            <w:vMerge w:val="restart"/>
            <w:tcBorders>
              <w:top w:val="single" w:color="000000" w:sz="4" w:space="0"/>
              <w:left w:val="single" w:color="000000" w:sz="4" w:space="0"/>
              <w:right w:val="single" w:color="000000" w:sz="4" w:space="0"/>
            </w:tcBorders>
            <w:noWrap w:val="0"/>
            <w:vAlign w:val="center"/>
          </w:tcPr>
          <w:p w14:paraId="385D8733">
            <w:pPr>
              <w:pStyle w:val="126"/>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4</w:t>
            </w:r>
          </w:p>
        </w:tc>
        <w:tc>
          <w:tcPr>
            <w:tcW w:w="739" w:type="pct"/>
            <w:vMerge w:val="restart"/>
            <w:tcBorders>
              <w:top w:val="single" w:color="auto" w:sz="4" w:space="0"/>
              <w:left w:val="single" w:color="000000" w:sz="4" w:space="0"/>
              <w:bottom w:val="single" w:color="auto" w:sz="4" w:space="0"/>
              <w:right w:val="single" w:color="000000" w:sz="4" w:space="0"/>
            </w:tcBorders>
            <w:noWrap w:val="0"/>
            <w:vAlign w:val="center"/>
          </w:tcPr>
          <w:p w14:paraId="037260EF">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产品</w:t>
            </w:r>
          </w:p>
        </w:tc>
        <w:tc>
          <w:tcPr>
            <w:tcW w:w="1178" w:type="pct"/>
            <w:tcBorders>
              <w:top w:val="single" w:color="000000" w:sz="4" w:space="0"/>
              <w:left w:val="single" w:color="000000" w:sz="4" w:space="0"/>
              <w:bottom w:val="single" w:color="000000" w:sz="4" w:space="0"/>
              <w:right w:val="single" w:color="000000" w:sz="4" w:space="0"/>
            </w:tcBorders>
            <w:noWrap w:val="0"/>
            <w:vAlign w:val="center"/>
          </w:tcPr>
          <w:p w14:paraId="5AB5E37B">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糠醇</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1018F683">
            <w:pPr>
              <w:keepNext w:val="0"/>
              <w:keepLines w:val="0"/>
              <w:suppressLineNumbers w:val="0"/>
              <w:spacing w:before="0" w:beforeAutospacing="0" w:after="0" w:afterAutospacing="0" w:line="240" w:lineRule="auto"/>
              <w:ind w:left="0" w:leftChars="0" w:right="0" w:rightChars="0" w:firstLine="0" w:firstLineChars="0"/>
              <w:jc w:val="center"/>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糠醇</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6EA52B44">
            <w:pPr>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r>
              <w:rPr>
                <w:rFonts w:hint="eastAsia"/>
                <w:color w:val="000000"/>
                <w:lang w:eastAsia="zh-CN"/>
              </w:rPr>
              <w:t>、火灾爆炸</w:t>
            </w:r>
          </w:p>
        </w:tc>
        <w:tc>
          <w:tcPr>
            <w:tcW w:w="438" w:type="pct"/>
            <w:vMerge w:val="restart"/>
            <w:tcBorders>
              <w:top w:val="single" w:color="000000" w:sz="4" w:space="0"/>
              <w:left w:val="single" w:color="000000" w:sz="4" w:space="0"/>
              <w:right w:val="single" w:color="000000" w:sz="4" w:space="0"/>
            </w:tcBorders>
            <w:noWrap w:val="0"/>
            <w:vAlign w:val="center"/>
          </w:tcPr>
          <w:p w14:paraId="6297EAFD">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803" w:type="pct"/>
            <w:tcBorders>
              <w:top w:val="single" w:color="000000" w:sz="4" w:space="0"/>
              <w:left w:val="single" w:color="000000" w:sz="4" w:space="0"/>
              <w:right w:val="single" w:color="000000" w:sz="4" w:space="0"/>
            </w:tcBorders>
            <w:noWrap w:val="0"/>
            <w:vAlign w:val="center"/>
          </w:tcPr>
          <w:p w14:paraId="55F06B8A">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泄漏及遇明火高热发生燃烧爆炸</w:t>
            </w:r>
          </w:p>
        </w:tc>
      </w:tr>
      <w:tr w14:paraId="25315F0D">
        <w:tblPrEx>
          <w:tblCellMar>
            <w:top w:w="0" w:type="dxa"/>
            <w:left w:w="0" w:type="dxa"/>
            <w:bottom w:w="0" w:type="dxa"/>
            <w:right w:w="0" w:type="dxa"/>
          </w:tblCellMar>
        </w:tblPrEx>
        <w:trPr>
          <w:trHeight w:val="397" w:hRule="atLeast"/>
          <w:jc w:val="center"/>
        </w:trPr>
        <w:tc>
          <w:tcPr>
            <w:tcW w:w="229" w:type="pct"/>
            <w:vMerge w:val="continue"/>
            <w:tcBorders>
              <w:left w:val="single" w:color="000000" w:sz="4" w:space="0"/>
              <w:bottom w:val="single" w:color="000000" w:sz="4" w:space="0"/>
              <w:right w:val="single" w:color="000000" w:sz="4" w:space="0"/>
            </w:tcBorders>
            <w:noWrap w:val="0"/>
            <w:vAlign w:val="center"/>
          </w:tcPr>
          <w:p w14:paraId="4D28C7EC">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739" w:type="pct"/>
            <w:vMerge w:val="continue"/>
            <w:tcBorders>
              <w:top w:val="single" w:color="auto" w:sz="4" w:space="0"/>
              <w:left w:val="single" w:color="000000" w:sz="4" w:space="0"/>
              <w:bottom w:val="single" w:color="auto" w:sz="4" w:space="0"/>
              <w:right w:val="single" w:color="000000" w:sz="4" w:space="0"/>
            </w:tcBorders>
            <w:noWrap w:val="0"/>
            <w:vAlign w:val="center"/>
          </w:tcPr>
          <w:p w14:paraId="55D211C9">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1178" w:type="pct"/>
            <w:tcBorders>
              <w:top w:val="single" w:color="000000" w:sz="4" w:space="0"/>
              <w:left w:val="single" w:color="000000" w:sz="4" w:space="0"/>
              <w:bottom w:val="single" w:color="000000" w:sz="4" w:space="0"/>
              <w:right w:val="single" w:color="000000" w:sz="4" w:space="0"/>
            </w:tcBorders>
            <w:noWrap w:val="0"/>
            <w:vAlign w:val="center"/>
          </w:tcPr>
          <w:p w14:paraId="603F473A">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二甲基呋喃</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DBBD520">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二甲基呋喃</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1364F225">
            <w:pPr>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r>
              <w:rPr>
                <w:rFonts w:hint="eastAsia"/>
                <w:color w:val="000000"/>
                <w:lang w:eastAsia="zh-CN"/>
              </w:rPr>
              <w:t>、火灾爆炸</w:t>
            </w:r>
          </w:p>
        </w:tc>
        <w:tc>
          <w:tcPr>
            <w:tcW w:w="438" w:type="pct"/>
            <w:vMerge w:val="continue"/>
            <w:tcBorders>
              <w:left w:val="single" w:color="000000" w:sz="4" w:space="0"/>
              <w:bottom w:val="single" w:color="000000" w:sz="4" w:space="0"/>
              <w:right w:val="single" w:color="000000" w:sz="4" w:space="0"/>
            </w:tcBorders>
            <w:noWrap w:val="0"/>
            <w:vAlign w:val="center"/>
          </w:tcPr>
          <w:p w14:paraId="0594ACE5">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03" w:type="pct"/>
            <w:tcBorders>
              <w:left w:val="single" w:color="000000" w:sz="4" w:space="0"/>
              <w:bottom w:val="single" w:color="000000" w:sz="4" w:space="0"/>
              <w:right w:val="single" w:color="000000" w:sz="4" w:space="0"/>
            </w:tcBorders>
            <w:noWrap w:val="0"/>
            <w:vAlign w:val="center"/>
          </w:tcPr>
          <w:p w14:paraId="40A49CBA">
            <w:pPr>
              <w:pStyle w:val="126"/>
              <w:keepNext w:val="0"/>
              <w:keepLines w:val="0"/>
              <w:widowControl/>
              <w:suppressLineNumbers w:val="0"/>
              <w:spacing w:before="0" w:beforeAutospacing="0" w:after="0" w:afterAutospacing="0"/>
              <w:ind w:left="0" w:right="0"/>
              <w:rPr>
                <w:rFonts w:hint="eastAsia"/>
                <w:color w:val="000000"/>
                <w:lang w:eastAsia="zh-CN"/>
              </w:rPr>
            </w:pPr>
          </w:p>
        </w:tc>
      </w:tr>
    </w:tbl>
    <w:p w14:paraId="744DF0A5">
      <w:pPr>
        <w:pStyle w:val="7"/>
        <w:pageBreakBefore w:val="0"/>
        <w:kinsoku/>
        <w:wordWrap/>
        <w:overflowPunct/>
        <w:topLinePunct w:val="0"/>
        <w:autoSpaceDE/>
        <w:autoSpaceDN/>
        <w:bidi w:val="0"/>
        <w:adjustRightInd/>
        <w:snapToGrid/>
        <w:spacing w:before="0" w:beforeLines="0" w:after="0" w:afterLines="0" w:line="360" w:lineRule="auto"/>
        <w:textAlignment w:val="auto"/>
      </w:pPr>
      <w:bookmarkStart w:id="48" w:name="_Toc18768"/>
      <w:r>
        <w:rPr>
          <w:rFonts w:hint="eastAsia"/>
          <w:lang w:val="en-US" w:eastAsia="zh-CN"/>
        </w:rPr>
        <w:t>3.4</w:t>
      </w:r>
      <w:r>
        <w:rPr>
          <w:rFonts w:hint="eastAsia"/>
        </w:rPr>
        <w:t>生产工艺</w:t>
      </w:r>
      <w:bookmarkEnd w:id="48"/>
    </w:p>
    <w:p w14:paraId="758B3927">
      <w:pPr>
        <w:pStyle w:val="123"/>
        <w:keepNext w:val="0"/>
        <w:keepLines w:val="0"/>
        <w:pageBreakBefore w:val="0"/>
        <w:widowControl/>
        <w:kinsoku/>
        <w:wordWrap/>
        <w:overflowPunct/>
        <w:topLinePunct w:val="0"/>
        <w:autoSpaceDE/>
        <w:autoSpaceDN/>
        <w:bidi w:val="0"/>
        <w:adjustRightInd/>
        <w:snapToGrid/>
        <w:spacing w:line="360" w:lineRule="auto"/>
        <w:ind w:firstLine="0"/>
        <w:textAlignment w:val="auto"/>
        <w:outlineLvl w:val="9"/>
        <w:rPr>
          <w:b/>
          <w:bCs/>
        </w:rPr>
      </w:pPr>
      <w:r>
        <w:rPr>
          <w:rFonts w:hint="eastAsia"/>
          <w:b/>
          <w:bCs/>
        </w:rPr>
        <w:t>一、工艺流程</w:t>
      </w:r>
    </w:p>
    <w:p w14:paraId="5935975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color w:val="000000"/>
          <w:sz w:val="24"/>
          <w:highlight w:val="none"/>
        </w:rPr>
        <w:t>糠醇生产装置工艺流程介绍</w:t>
      </w:r>
    </w:p>
    <w:p w14:paraId="741E64B3">
      <w:pPr>
        <w:spacing w:line="360" w:lineRule="auto"/>
        <w:ind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目前制备糠醇的主要方法是糠醛加氢，工业上按加工方法可分为连续加氢和间歇加氢。</w:t>
      </w:r>
      <w:r>
        <w:rPr>
          <w:rFonts w:hint="default" w:ascii="Times New Roman" w:hAnsi="Times New Roman" w:eastAsia="宋体" w:cs="Times New Roman"/>
          <w:sz w:val="24"/>
          <w:szCs w:val="24"/>
          <w:highlight w:val="none"/>
          <w:lang w:val="zh-CN"/>
        </w:rPr>
        <w:t>公司目前采用的是</w:t>
      </w:r>
      <w:r>
        <w:rPr>
          <w:rFonts w:hint="default" w:ascii="Times New Roman" w:hAnsi="Times New Roman" w:eastAsia="宋体" w:cs="Times New Roman"/>
          <w:bCs/>
          <w:sz w:val="24"/>
          <w:szCs w:val="24"/>
          <w:highlight w:val="none"/>
        </w:rPr>
        <w:t>连续高压加氢生成法，糠醇装置总收率为98.5%。糠醇生产工艺主要分为四个工序：</w:t>
      </w:r>
    </w:p>
    <w:p w14:paraId="0987CFBE">
      <w:pPr>
        <w:spacing w:line="360" w:lineRule="auto"/>
        <w:ind w:left="105" w:leftChars="50"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1、混料：将原料糠醛经计量后用泵送至混料釜，催化剂同时加入混料釜内。与催化剂按照配比配制，充分用机械搅拌混和，再经高压泵打入反应器。此工序会产生混料废气（G1-1），主要成分为糠醛。</w:t>
      </w:r>
    </w:p>
    <w:p w14:paraId="0868B282">
      <w:pPr>
        <w:spacing w:line="360" w:lineRule="auto"/>
        <w:ind w:left="105" w:leftChars="50"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2、加氢反应：与催化剂混合好的糠醇和经压缩机压缩后的氢气同时打入反应器，反应过程在反应器内完成。</w:t>
      </w:r>
      <w:r>
        <w:rPr>
          <w:rFonts w:hint="default" w:ascii="Times New Roman" w:hAnsi="Times New Roman" w:eastAsia="宋体" w:cs="Times New Roman"/>
          <w:sz w:val="24"/>
          <w:highlight w:val="none"/>
        </w:rPr>
        <w:t>反应温度200-210℃，压力8MPa。反应完全后物料冷却到80℃以下时进入气液分离器，顶部分离出未反应的氢气及少量惰性气体和低沸点成分。此工段产生的废气主要为加氢驰放气和分离器系统排外废气（G1-2），主要成分为氢气、氮气、糠醛和糠醇。</w:t>
      </w:r>
    </w:p>
    <w:p w14:paraId="0805BAA4">
      <w:pPr>
        <w:spacing w:line="360" w:lineRule="auto"/>
        <w:ind w:left="105" w:leftChars="50"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糠醛加氢制备糠醇的主反应方程式如下：</w:t>
      </w:r>
    </w:p>
    <w:p w14:paraId="5955E655">
      <w:pPr>
        <w:spacing w:line="360" w:lineRule="auto"/>
        <w:ind w:left="105" w:leftChars="50"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kern w:val="0"/>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2412365</wp:posOffset>
                </wp:positionH>
                <wp:positionV relativeFrom="paragraph">
                  <wp:posOffset>264795</wp:posOffset>
                </wp:positionV>
                <wp:extent cx="546100" cy="742950"/>
                <wp:effectExtent l="4445" t="4445" r="20955" b="14605"/>
                <wp:wrapNone/>
                <wp:docPr id="28" name="矩形 28"/>
                <wp:cNvGraphicFramePr/>
                <a:graphic xmlns:a="http://schemas.openxmlformats.org/drawingml/2006/main">
                  <a:graphicData uri="http://schemas.microsoft.com/office/word/2010/wordprocessingShape">
                    <wps:wsp>
                      <wps:cNvSpPr/>
                      <wps:spPr>
                        <a:xfrm>
                          <a:off x="0" y="0"/>
                          <a:ext cx="546100" cy="7429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8A1A80">
                            <w:pPr>
                              <w:spacing w:line="120" w:lineRule="auto"/>
                              <w:rPr>
                                <w:rFonts w:hint="eastAsia"/>
                                <w:szCs w:val="21"/>
                              </w:rPr>
                            </w:pPr>
                            <w:r>
                              <w:rPr>
                                <w:rFonts w:hint="eastAsia"/>
                                <w:sz w:val="28"/>
                                <w:szCs w:val="28"/>
                              </w:rPr>
                              <w:t>c</w:t>
                            </w:r>
                            <w:r>
                              <w:rPr>
                                <w:szCs w:val="21"/>
                              </w:rPr>
                              <w:t>u</w:t>
                            </w:r>
                            <w:r>
                              <w:rPr>
                                <w:rFonts w:hint="eastAsia"/>
                                <w:szCs w:val="21"/>
                              </w:rPr>
                              <w:t>-Cr</w:t>
                            </w:r>
                          </w:p>
                          <w:p w14:paraId="0D22E8D8">
                            <w:pPr>
                              <w:spacing w:line="120" w:lineRule="auto"/>
                              <w:rPr>
                                <w:szCs w:val="21"/>
                              </w:rPr>
                            </w:pPr>
                            <w:r>
                              <w:t>230</w:t>
                            </w:r>
                            <w:r>
                              <w:rPr>
                                <w:rFonts w:hint="eastAsia" w:ascii="宋体" w:hAnsi="宋体" w:cs="宋体"/>
                              </w:rPr>
                              <w:t>℃</w:t>
                            </w:r>
                          </w:p>
                        </w:txbxContent>
                      </wps:txbx>
                      <wps:bodyPr upright="1"/>
                    </wps:wsp>
                  </a:graphicData>
                </a:graphic>
              </wp:anchor>
            </w:drawing>
          </mc:Choice>
          <mc:Fallback>
            <w:pict>
              <v:rect id="_x0000_s1026" o:spid="_x0000_s1026" o:spt="1" style="position:absolute;left:0pt;margin-left:189.95pt;margin-top:20.85pt;height:58.5pt;width:43pt;z-index:251664384;mso-width-relative:page;mso-height-relative:page;" fillcolor="#FFFFFF" filled="t" stroked="t" coordsize="21600,21600" o:gfxdata="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gocU2AAAAAoBAAAPAAAAAAAAAAEAIAAAACIA&#10;AABkcnMvZG93bnJldi54bWxQSwECFAAUAAAACACHTuJAL0jzugkCAAA4BAAADgAAAAAAAAABACAA&#10;AAAnAQAAZHJzL2Uyb0RvYy54bWxQSwUGAAAAAAYABgBZAQAAogUAAAAA&#10;">
                <v:fill on="t" focussize="0,0"/>
                <v:stroke color="#000000" joinstyle="miter"/>
                <v:imagedata o:title=""/>
                <o:lock v:ext="edit" aspectratio="f"/>
                <v:textbox>
                  <w:txbxContent>
                    <w:p w14:paraId="738A1A80">
                      <w:pPr>
                        <w:spacing w:line="120" w:lineRule="auto"/>
                        <w:rPr>
                          <w:rFonts w:hint="eastAsia"/>
                          <w:szCs w:val="21"/>
                        </w:rPr>
                      </w:pPr>
                      <w:r>
                        <w:rPr>
                          <w:rFonts w:hint="eastAsia"/>
                          <w:sz w:val="28"/>
                          <w:szCs w:val="28"/>
                        </w:rPr>
                        <w:t>c</w:t>
                      </w:r>
                      <w:r>
                        <w:rPr>
                          <w:szCs w:val="21"/>
                        </w:rPr>
                        <w:t>u</w:t>
                      </w:r>
                      <w:r>
                        <w:rPr>
                          <w:rFonts w:hint="eastAsia"/>
                          <w:szCs w:val="21"/>
                        </w:rPr>
                        <w:t>-Cr</w:t>
                      </w:r>
                    </w:p>
                    <w:p w14:paraId="0D22E8D8">
                      <w:pPr>
                        <w:spacing w:line="120" w:lineRule="auto"/>
                        <w:rPr>
                          <w:szCs w:val="21"/>
                        </w:rPr>
                      </w:pPr>
                      <w:r>
                        <w:t>230</w:t>
                      </w:r>
                      <w:r>
                        <w:rPr>
                          <w:rFonts w:hint="eastAsia" w:ascii="宋体" w:hAnsi="宋体" w:cs="宋体"/>
                        </w:rPr>
                        <w:t>℃</w:t>
                      </w:r>
                    </w:p>
                  </w:txbxContent>
                </v:textbox>
              </v:rect>
            </w:pict>
          </mc:Fallback>
        </mc:AlternateContent>
      </w:r>
    </w:p>
    <w:p w14:paraId="0A8F3E50">
      <w:pPr>
        <w:spacing w:line="360" w:lineRule="auto"/>
        <w:ind w:left="105" w:leftChars="50" w:firstLine="360" w:firstLineChars="150"/>
        <w:jc w:val="center"/>
        <w:rPr>
          <w:rFonts w:hint="default" w:ascii="Times New Roman" w:hAnsi="Times New Roman" w:eastAsia="宋体" w:cs="Times New Roman"/>
          <w:bCs/>
          <w:sz w:val="24"/>
          <w:szCs w:val="24"/>
          <w:highlight w:val="none"/>
        </w:rPr>
      </w:pPr>
      <w:r>
        <w:rPr>
          <w:rFonts w:hint="default" w:ascii="Times New Roman" w:hAnsi="Times New Roman" w:eastAsia="宋体" w:cs="Times New Roman"/>
          <w:kern w:val="0"/>
          <w:sz w:val="24"/>
          <w:szCs w:val="24"/>
          <w:highlight w:val="none"/>
        </w:rPr>
        <mc:AlternateContent>
          <mc:Choice Requires="wps">
            <w:drawing>
              <wp:anchor distT="0" distB="0" distL="114300" distR="114300" simplePos="0" relativeHeight="251665408" behindDoc="0" locked="0" layoutInCell="1" allowOverlap="1">
                <wp:simplePos x="0" y="0"/>
                <wp:positionH relativeFrom="column">
                  <wp:posOffset>2528570</wp:posOffset>
                </wp:positionH>
                <wp:positionV relativeFrom="paragraph">
                  <wp:posOffset>383540</wp:posOffset>
                </wp:positionV>
                <wp:extent cx="342900" cy="0"/>
                <wp:effectExtent l="0" t="38100" r="0" b="38100"/>
                <wp:wrapNone/>
                <wp:docPr id="3" name="直接连接符 3"/>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99.1pt;margin-top:30.2pt;height:0pt;width:27pt;z-index:251665408;mso-width-relative:page;mso-height-relative:page;" filled="f" stroked="t" coordsize="21600,21600" o:gfxdata="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XU8dQ2AAAAAkBAAAPAAAAAAAAAAEAIAAAACIAAABkcnMvZG93&#10;bnJldi54bWxQSwECFAAUAAAACACHTuJAQRTk1QACAAD1AwAADgAAAAAAAAABACAAAAAnAQAAZHJz&#10;L2Uyb0RvYy54bWxQSwUGAAAAAAYABgBZAQAAmQU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0"/>
          <w:sz w:val="24"/>
          <w:szCs w:val="24"/>
          <w:highlight w:val="none"/>
        </w:rPr>
        <w:fldChar w:fldCharType="begin"/>
      </w:r>
      <w:r>
        <w:rPr>
          <w:rFonts w:hint="default" w:ascii="Times New Roman" w:hAnsi="Times New Roman" w:eastAsia="宋体" w:cs="Times New Roman"/>
          <w:kern w:val="0"/>
          <w:sz w:val="24"/>
          <w:szCs w:val="24"/>
          <w:highlight w:val="none"/>
        </w:rPr>
        <w:instrText xml:space="preserve"> INCLUDEPICTURE "../Application%20Data/Tencent/Users/395934635/QQ/WinTemp/RichOle/AZOXNITMPMOYDXUIAK7Z8%60A.jpg" \* MERGEFORMAT </w:instrText>
      </w:r>
      <w:r>
        <w:rPr>
          <w:rFonts w:hint="default" w:ascii="Times New Roman" w:hAnsi="Times New Roman" w:eastAsia="宋体" w:cs="Times New Roman"/>
          <w:kern w:val="0"/>
          <w:sz w:val="24"/>
          <w:szCs w:val="24"/>
          <w:highlight w:val="none"/>
        </w:rPr>
        <w:fldChar w:fldCharType="separate"/>
      </w:r>
      <w:r>
        <w:rPr>
          <w:rFonts w:hint="default" w:ascii="Times New Roman" w:hAnsi="Times New Roman" w:eastAsia="宋体" w:cs="Times New Roman"/>
          <w:kern w:val="0"/>
          <w:sz w:val="24"/>
          <w:szCs w:val="24"/>
          <w:highlight w:val="none"/>
        </w:rPr>
        <w:drawing>
          <wp:inline distT="0" distB="0" distL="114300" distR="114300">
            <wp:extent cx="864235" cy="471805"/>
            <wp:effectExtent l="0" t="0" r="12065" b="4445"/>
            <wp:docPr id="1" name="图片 5" descr="AZOXNITMPMOYDXUIAK7Z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AZOXNITMPMOYDXUIAK7Z8`A"/>
                    <pic:cNvPicPr>
                      <a:picLocks noChangeAspect="1"/>
                    </pic:cNvPicPr>
                  </pic:nvPicPr>
                  <pic:blipFill>
                    <a:blip r:embed="rId11"/>
                    <a:stretch>
                      <a:fillRect/>
                    </a:stretch>
                  </pic:blipFill>
                  <pic:spPr>
                    <a:xfrm>
                      <a:off x="0" y="0"/>
                      <a:ext cx="864235" cy="471805"/>
                    </a:xfrm>
                    <a:prstGeom prst="rect">
                      <a:avLst/>
                    </a:prstGeom>
                    <a:noFill/>
                    <a:ln>
                      <a:noFill/>
                    </a:ln>
                  </pic:spPr>
                </pic:pic>
              </a:graphicData>
            </a:graphic>
          </wp:inline>
        </w:drawing>
      </w:r>
      <w:r>
        <w:rPr>
          <w:rFonts w:hint="default" w:ascii="Times New Roman" w:hAnsi="Times New Roman" w:eastAsia="宋体" w:cs="Times New Roman"/>
          <w:kern w:val="0"/>
          <w:sz w:val="24"/>
          <w:szCs w:val="24"/>
          <w:highlight w:val="none"/>
        </w:rPr>
        <w:fldChar w:fldCharType="end"/>
      </w:r>
      <w:r>
        <w:rPr>
          <w:rFonts w:hint="default" w:ascii="Times New Roman" w:hAnsi="Times New Roman" w:eastAsia="宋体" w:cs="Times New Roman"/>
          <w:bCs/>
          <w:sz w:val="24"/>
          <w:szCs w:val="24"/>
          <w:highlight w:val="none"/>
        </w:rPr>
        <w:t>+H</w:t>
      </w:r>
      <w:r>
        <w:rPr>
          <w:rFonts w:hint="default" w:ascii="Times New Roman" w:hAnsi="Times New Roman" w:eastAsia="宋体" w:cs="Times New Roman"/>
          <w:bCs/>
          <w:sz w:val="24"/>
          <w:szCs w:val="24"/>
          <w:highlight w:val="none"/>
          <w:vertAlign w:val="subscript"/>
        </w:rPr>
        <w:t>2</w:t>
      </w:r>
      <w:r>
        <w:rPr>
          <w:rFonts w:hint="default" w:ascii="Times New Roman" w:hAnsi="Times New Roman" w:eastAsia="宋体" w:cs="Times New Roman"/>
          <w:bCs/>
          <w:sz w:val="24"/>
          <w:szCs w:val="24"/>
          <w:highlight w:val="none"/>
        </w:rPr>
        <w:t xml:space="preserve">         </w:t>
      </w:r>
      <w:r>
        <w:rPr>
          <w:rFonts w:hint="default" w:ascii="Times New Roman" w:hAnsi="Times New Roman" w:eastAsia="宋体" w:cs="Times New Roman"/>
          <w:kern w:val="0"/>
          <w:sz w:val="24"/>
          <w:szCs w:val="24"/>
          <w:highlight w:val="none"/>
        </w:rPr>
        <w:fldChar w:fldCharType="begin"/>
      </w:r>
      <w:r>
        <w:rPr>
          <w:rFonts w:hint="default" w:ascii="Times New Roman" w:hAnsi="Times New Roman" w:eastAsia="宋体" w:cs="Times New Roman"/>
          <w:kern w:val="0"/>
          <w:sz w:val="24"/>
          <w:szCs w:val="24"/>
          <w:highlight w:val="none"/>
        </w:rPr>
        <w:instrText xml:space="preserve"> INCLUDEPICTURE "../Application%20Data/Tencent/Users/395934635/QQ/WinTemp/RichOle/%25KCF$7%605%7dH$89Q(6%5d_J%5bZC8.jpg" \* MERGEFORMAT </w:instrText>
      </w:r>
      <w:r>
        <w:rPr>
          <w:rFonts w:hint="default" w:ascii="Times New Roman" w:hAnsi="Times New Roman" w:eastAsia="宋体" w:cs="Times New Roman"/>
          <w:kern w:val="0"/>
          <w:sz w:val="24"/>
          <w:szCs w:val="24"/>
          <w:highlight w:val="none"/>
        </w:rPr>
        <w:fldChar w:fldCharType="separate"/>
      </w:r>
      <w:r>
        <w:rPr>
          <w:rFonts w:hint="default" w:ascii="Times New Roman" w:hAnsi="Times New Roman" w:eastAsia="宋体" w:cs="Times New Roman"/>
          <w:kern w:val="0"/>
          <w:sz w:val="24"/>
          <w:szCs w:val="24"/>
          <w:highlight w:val="none"/>
        </w:rPr>
        <w:drawing>
          <wp:inline distT="0" distB="0" distL="114300" distR="114300">
            <wp:extent cx="1091565" cy="457835"/>
            <wp:effectExtent l="0" t="0" r="13335" b="18415"/>
            <wp:docPr id="4" name="图片 6" descr="%KCF$7`5}H$89Q(6]_J[Z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KCF$7`5}H$89Q(6]_J[ZC8"/>
                    <pic:cNvPicPr>
                      <a:picLocks noChangeAspect="1"/>
                    </pic:cNvPicPr>
                  </pic:nvPicPr>
                  <pic:blipFill>
                    <a:blip r:embed="rId12"/>
                    <a:stretch>
                      <a:fillRect/>
                    </a:stretch>
                  </pic:blipFill>
                  <pic:spPr>
                    <a:xfrm>
                      <a:off x="0" y="0"/>
                      <a:ext cx="1091565" cy="457835"/>
                    </a:xfrm>
                    <a:prstGeom prst="rect">
                      <a:avLst/>
                    </a:prstGeom>
                    <a:noFill/>
                    <a:ln>
                      <a:noFill/>
                    </a:ln>
                  </pic:spPr>
                </pic:pic>
              </a:graphicData>
            </a:graphic>
          </wp:inline>
        </w:drawing>
      </w:r>
      <w:r>
        <w:rPr>
          <w:rFonts w:hint="default" w:ascii="Times New Roman" w:hAnsi="Times New Roman" w:eastAsia="宋体" w:cs="Times New Roman"/>
          <w:kern w:val="0"/>
          <w:sz w:val="24"/>
          <w:szCs w:val="24"/>
          <w:highlight w:val="none"/>
        </w:rPr>
        <w:fldChar w:fldCharType="end"/>
      </w:r>
    </w:p>
    <w:p w14:paraId="10C9A356">
      <w:pPr>
        <w:spacing w:line="360" w:lineRule="auto"/>
        <w:ind w:left="105" w:leftChars="50" w:firstLine="480" w:firstLineChars="200"/>
        <w:rPr>
          <w:rFonts w:hint="default" w:ascii="Times New Roman" w:hAnsi="Times New Roman" w:eastAsia="宋体" w:cs="Times New Roman"/>
          <w:bCs/>
          <w:sz w:val="24"/>
          <w:szCs w:val="24"/>
          <w:highlight w:val="none"/>
        </w:rPr>
      </w:pPr>
    </w:p>
    <w:p w14:paraId="79CF9DE5">
      <w:pPr>
        <w:spacing w:line="360" w:lineRule="auto"/>
        <w:ind w:left="105" w:leftChars="50"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bCs/>
          <w:sz w:val="24"/>
          <w:szCs w:val="24"/>
          <w:highlight w:val="none"/>
        </w:rPr>
        <w:t>3、沉降：</w:t>
      </w:r>
      <w:r>
        <w:rPr>
          <w:rFonts w:hint="default" w:ascii="Times New Roman" w:hAnsi="Times New Roman" w:eastAsia="宋体" w:cs="Times New Roman"/>
          <w:sz w:val="24"/>
          <w:highlight w:val="none"/>
        </w:rPr>
        <w:t>分离器中液相利用压力排到沉降槽中，进行充分静止沉降，催化剂沉降到槽底部，粗糠醇与催化剂分层而分开。此工段产生糠醇废气（G1-3）和固废（S1-1），废气主要成分为糠醛和糠醇，固废主要为使用过的废催化剂。</w:t>
      </w:r>
    </w:p>
    <w:p w14:paraId="5BA13E0A">
      <w:pPr>
        <w:spacing w:line="360" w:lineRule="auto"/>
        <w:ind w:left="105" w:leftChars="50"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bCs/>
          <w:sz w:val="24"/>
          <w:szCs w:val="24"/>
          <w:highlight w:val="none"/>
        </w:rPr>
        <w:t>4、精馏：沉降槽</w:t>
      </w:r>
      <w:r>
        <w:rPr>
          <w:rFonts w:hint="default" w:ascii="Times New Roman" w:hAnsi="Times New Roman" w:eastAsia="宋体" w:cs="Times New Roman"/>
          <w:sz w:val="24"/>
          <w:highlight w:val="none"/>
        </w:rPr>
        <w:t>上部的清液进入精馏塔，精馏温度约为85℃。精馏塔顶得到</w:t>
      </w:r>
      <w:r>
        <w:rPr>
          <w:rFonts w:hint="default" w:ascii="Times New Roman" w:hAnsi="Times New Roman" w:eastAsia="宋体" w:cs="Times New Roman"/>
          <w:sz w:val="24"/>
          <w:szCs w:val="24"/>
          <w:highlight w:val="none"/>
        </w:rPr>
        <w:t>粗品的含量比为：粗醇97.8%、</w:t>
      </w:r>
      <w:r>
        <w:rPr>
          <w:rFonts w:hint="default" w:ascii="Times New Roman" w:hAnsi="Times New Roman" w:eastAsia="宋体" w:cs="Times New Roman"/>
          <w:sz w:val="24"/>
          <w:szCs w:val="24"/>
          <w:highlight w:val="none"/>
          <w:lang w:eastAsia="zh-CN"/>
        </w:rPr>
        <w:t>二甲基呋喃</w:t>
      </w:r>
      <w:r>
        <w:rPr>
          <w:rFonts w:hint="default" w:ascii="Times New Roman" w:hAnsi="Times New Roman" w:eastAsia="宋体" w:cs="Times New Roman"/>
          <w:sz w:val="24"/>
          <w:szCs w:val="24"/>
          <w:highlight w:val="none"/>
        </w:rPr>
        <w:t>0.8%、残醛0.25%、水1.15%。其中，水与呋喃的沸点比较低，被真空泵抽取后冷凝回收至周转桶内去往呋喃装置；粗醇与残醛和0.23±0.05%的水作为产品采出</w:t>
      </w:r>
      <w:r>
        <w:rPr>
          <w:rFonts w:hint="default" w:ascii="Times New Roman" w:hAnsi="Times New Roman" w:eastAsia="宋体" w:cs="Times New Roman"/>
          <w:sz w:val="24"/>
          <w:highlight w:val="none"/>
        </w:rPr>
        <w:t>，进入产品冷凝器，经过冷凝后的产品再用泵送入成品罐</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highlight w:val="none"/>
        </w:rPr>
        <w:t>塔底重组分（S1-2）为釜底残渣，主要成分为甲基呋喃、水分、四氢糠醇和五甲基糠醇等，进入高沸物储罐。</w:t>
      </w:r>
      <w:r>
        <w:rPr>
          <w:rFonts w:hint="default" w:ascii="Times New Roman" w:hAnsi="Times New Roman" w:eastAsia="宋体" w:cs="Times New Roman"/>
          <w:sz w:val="24"/>
          <w:szCs w:val="24"/>
          <w:highlight w:val="none"/>
        </w:rPr>
        <w:t>此</w:t>
      </w:r>
      <w:r>
        <w:rPr>
          <w:rFonts w:hint="default" w:ascii="Times New Roman" w:hAnsi="Times New Roman" w:eastAsia="宋体" w:cs="Times New Roman"/>
          <w:sz w:val="24"/>
          <w:highlight w:val="none"/>
        </w:rPr>
        <w:t>工段会产生精馏不凝气（G1-4），主要成分为二甲基呋喃。</w:t>
      </w:r>
    </w:p>
    <w:p w14:paraId="6BA1272F">
      <w:pPr>
        <w:spacing w:line="360" w:lineRule="auto"/>
        <w:ind w:left="105" w:leftChars="50" w:firstLine="480" w:firstLineChars="200"/>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糠醇生产工艺及产污环节见图2.</w:t>
      </w:r>
      <w:r>
        <w:rPr>
          <w:rFonts w:hint="eastAsia" w:ascii="Times New Roman" w:hAnsi="Times New Roman" w:eastAsia="宋体" w:cs="Times New Roman"/>
          <w:sz w:val="24"/>
          <w:highlight w:val="none"/>
          <w:lang w:val="en-US" w:eastAsia="zh-CN"/>
        </w:rPr>
        <w:t>2</w:t>
      </w:r>
      <w:r>
        <w:rPr>
          <w:rFonts w:hint="default" w:ascii="Times New Roman" w:hAnsi="Times New Roman" w:eastAsia="宋体" w:cs="Times New Roman"/>
          <w:sz w:val="24"/>
          <w:highlight w:val="none"/>
        </w:rPr>
        <w:t>-1。</w:t>
      </w:r>
    </w:p>
    <w:p w14:paraId="2B9AB5DC">
      <w:pPr>
        <w:spacing w:line="360" w:lineRule="auto"/>
        <w:ind w:right="23" w:rightChars="11"/>
        <w:rPr>
          <w:rFonts w:hint="default" w:ascii="Times New Roman" w:hAnsi="Times New Roman" w:eastAsia="宋体" w:cs="Times New Roman"/>
          <w:sz w:val="24"/>
          <w:highlight w:val="none"/>
        </w:rPr>
      </w:pPr>
    </w:p>
    <w:p w14:paraId="59436BA6">
      <w:pPr>
        <w:pStyle w:val="2"/>
        <w:rPr>
          <w:rFonts w:hint="default" w:ascii="Times New Roman" w:hAnsi="Times New Roman" w:eastAsia="宋体" w:cs="Times New Roman"/>
          <w:sz w:val="24"/>
          <w:highlight w:val="none"/>
        </w:rPr>
        <w:sectPr>
          <w:footerReference r:id="rId6" w:type="default"/>
          <w:pgSz w:w="11907" w:h="16840"/>
          <w:pgMar w:top="1440" w:right="1797" w:bottom="1440" w:left="1797" w:header="851" w:footer="992" w:gutter="0"/>
          <w:cols w:space="720" w:num="1"/>
          <w:docGrid w:type="linesAndChars" w:linePitch="312" w:charSpace="0"/>
        </w:sectPr>
      </w:pPr>
    </w:p>
    <w:p w14:paraId="624182DE">
      <w:pPr>
        <w:pStyle w:val="2"/>
        <w:ind w:left="0" w:leftChars="0" w:firstLine="0" w:firstLineChars="0"/>
        <w:rPr>
          <w:rFonts w:hint="default" w:ascii="Times New Roman" w:hAnsi="Times New Roman" w:eastAsia="宋体" w:cs="Times New Roman"/>
          <w:highlight w:val="none"/>
        </w:rPr>
      </w:pPr>
      <w:r>
        <w:rPr>
          <w:rFonts w:hint="default" w:ascii="Times New Roman" w:hAnsi="Times New Roman" w:eastAsia="宋体" w:cs="Times New Roman"/>
          <w:highlight w:val="none"/>
        </w:rPr>
        <w:object>
          <v:shape id="_x0000_i1025" o:spt="75" type="#_x0000_t75" style="height:196.35pt;width:724.5pt;" o:ole="t" filled="f" o:preferrelative="t" stroked="f" coordsize="21600,21600">
            <v:path/>
            <v:fill on="f" alignshape="1" focussize="0,0"/>
            <v:stroke on="f"/>
            <v:imagedata r:id="rId14" o:title=""/>
            <o:lock v:ext="edit" aspectratio="t"/>
            <w10:wrap type="none"/>
            <w10:anchorlock/>
          </v:shape>
          <o:OLEObject Type="Embed" ProgID="Visio.Drawing.11" ShapeID="_x0000_i1025" DrawAspect="Content" ObjectID="_1468075725" r:id="rId13">
            <o:LockedField>false</o:LockedField>
          </o:OLEObject>
        </w:object>
      </w:r>
    </w:p>
    <w:p w14:paraId="1231C294">
      <w:pPr>
        <w:rPr>
          <w:rFonts w:hint="default" w:ascii="Times New Roman" w:hAnsi="Times New Roman" w:eastAsia="宋体" w:cs="Times New Roman"/>
          <w:highlight w:val="none"/>
        </w:rPr>
      </w:pPr>
    </w:p>
    <w:p w14:paraId="1756FBC1">
      <w:pPr>
        <w:spacing w:line="360" w:lineRule="auto"/>
        <w:jc w:val="center"/>
        <w:rPr>
          <w:rFonts w:hint="default" w:ascii="Times New Roman" w:hAnsi="Times New Roman" w:eastAsia="宋体" w:cs="Times New Roman"/>
          <w:b/>
          <w:sz w:val="24"/>
          <w:highlight w:val="none"/>
        </w:rPr>
      </w:pPr>
    </w:p>
    <w:p w14:paraId="72AA8447">
      <w:pPr>
        <w:spacing w:line="360" w:lineRule="auto"/>
        <w:jc w:val="center"/>
        <w:rPr>
          <w:rFonts w:hint="default" w:ascii="Times New Roman" w:hAnsi="Times New Roman" w:eastAsia="宋体" w:cs="Times New Roman"/>
          <w:b/>
          <w:sz w:val="24"/>
          <w:highlight w:val="none"/>
        </w:rPr>
      </w:pPr>
    </w:p>
    <w:p w14:paraId="530964E0">
      <w:pPr>
        <w:spacing w:line="360" w:lineRule="auto"/>
        <w:jc w:val="center"/>
        <w:rPr>
          <w:rFonts w:hint="default" w:ascii="Times New Roman" w:hAnsi="Times New Roman" w:eastAsia="宋体" w:cs="Times New Roman"/>
          <w:b/>
          <w:sz w:val="24"/>
          <w:highlight w:val="none"/>
        </w:rPr>
      </w:pPr>
    </w:p>
    <w:p w14:paraId="14CA5856">
      <w:pPr>
        <w:spacing w:line="360" w:lineRule="auto"/>
        <w:jc w:val="center"/>
        <w:rPr>
          <w:rFonts w:hint="default" w:ascii="Times New Roman" w:hAnsi="Times New Roman" w:eastAsia="宋体" w:cs="Times New Roman"/>
          <w:b/>
          <w:sz w:val="24"/>
          <w:highlight w:val="none"/>
        </w:rPr>
      </w:pPr>
    </w:p>
    <w:p w14:paraId="031E444A">
      <w:pPr>
        <w:spacing w:line="360" w:lineRule="auto"/>
        <w:jc w:val="center"/>
        <w:rPr>
          <w:rFonts w:hint="default" w:ascii="Times New Roman" w:hAnsi="Times New Roman" w:eastAsia="宋体" w:cs="Times New Roman"/>
          <w:b/>
          <w:sz w:val="24"/>
          <w:highlight w:val="none"/>
        </w:rPr>
        <w:sectPr>
          <w:pgSz w:w="16840" w:h="11907" w:orient="landscape"/>
          <w:pgMar w:top="1797" w:right="1440" w:bottom="1797" w:left="1440" w:header="851" w:footer="992" w:gutter="0"/>
          <w:cols w:space="720" w:num="1"/>
          <w:docGrid w:type="linesAndChars" w:linePitch="312" w:charSpace="0"/>
        </w:sectPr>
      </w:pPr>
      <w:r>
        <w:rPr>
          <w:rFonts w:hint="default" w:ascii="Times New Roman" w:hAnsi="Times New Roman" w:eastAsia="宋体" w:cs="Times New Roman"/>
          <w:b/>
          <w:sz w:val="24"/>
          <w:highlight w:val="none"/>
        </w:rPr>
        <w:t>糠醇生产工艺流程及产排污环节图</w:t>
      </w:r>
    </w:p>
    <w:p w14:paraId="717075F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color w:val="000000"/>
          <w:sz w:val="24"/>
          <w:highlight w:val="none"/>
        </w:rPr>
        <w:t>甲基呋喃生产装置工艺流程介绍</w:t>
      </w:r>
    </w:p>
    <w:p w14:paraId="701113C5">
      <w:pPr>
        <w:spacing w:line="360" w:lineRule="auto"/>
        <w:ind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highlight w:val="none"/>
        </w:rPr>
        <w:t>二甲基呋喃生产装置反应原理是以糠醛和氢气为主要原料经过缩合反应和精制提纯后制得二甲基呋喃，</w:t>
      </w:r>
      <w:r>
        <w:rPr>
          <w:rFonts w:hint="default" w:ascii="Times New Roman" w:hAnsi="Times New Roman" w:eastAsia="宋体" w:cs="Times New Roman"/>
          <w:bCs/>
          <w:sz w:val="24"/>
          <w:szCs w:val="24"/>
          <w:highlight w:val="none"/>
        </w:rPr>
        <w:t>糠醇装置总收率为98.5%。反应方程式如下：</w:t>
      </w:r>
    </w:p>
    <w:p w14:paraId="70601526">
      <w:pPr>
        <w:spacing w:line="360" w:lineRule="auto"/>
        <w:ind w:firstLine="480" w:firstLineChars="200"/>
        <w:rPr>
          <w:rFonts w:hint="default" w:ascii="Times New Roman" w:hAnsi="Times New Roman" w:eastAsia="宋体" w:cs="Times New Roman"/>
          <w:bCs/>
          <w:color w:val="FF0000"/>
          <w:sz w:val="24"/>
          <w:szCs w:val="24"/>
          <w:highlight w:val="none"/>
        </w:rPr>
      </w:pPr>
      <w:r>
        <w:rPr>
          <w:rFonts w:hint="default" w:ascii="Times New Roman" w:hAnsi="Times New Roman" w:eastAsia="宋体" w:cs="Times New Roman"/>
          <w:kern w:val="0"/>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2407285</wp:posOffset>
                </wp:positionH>
                <wp:positionV relativeFrom="paragraph">
                  <wp:posOffset>222885</wp:posOffset>
                </wp:positionV>
                <wp:extent cx="546100" cy="742950"/>
                <wp:effectExtent l="4445" t="4445" r="20955" b="14605"/>
                <wp:wrapNone/>
                <wp:docPr id="32" name="矩形 32"/>
                <wp:cNvGraphicFramePr/>
                <a:graphic xmlns:a="http://schemas.openxmlformats.org/drawingml/2006/main">
                  <a:graphicData uri="http://schemas.microsoft.com/office/word/2010/wordprocessingShape">
                    <wps:wsp>
                      <wps:cNvSpPr/>
                      <wps:spPr>
                        <a:xfrm>
                          <a:off x="0" y="0"/>
                          <a:ext cx="546100" cy="7429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8A6C2F2">
                            <w:pPr>
                              <w:spacing w:line="120" w:lineRule="auto"/>
                              <w:ind w:firstLine="140" w:firstLineChars="50"/>
                              <w:rPr>
                                <w:rFonts w:hint="eastAsia"/>
                                <w:szCs w:val="21"/>
                              </w:rPr>
                            </w:pPr>
                            <w:r>
                              <w:rPr>
                                <w:rFonts w:hint="eastAsia"/>
                                <w:sz w:val="28"/>
                                <w:szCs w:val="28"/>
                              </w:rPr>
                              <w:t>c</w:t>
                            </w:r>
                            <w:r>
                              <w:rPr>
                                <w:szCs w:val="21"/>
                              </w:rPr>
                              <w:t>u</w:t>
                            </w:r>
                          </w:p>
                          <w:p w14:paraId="7BAA4886">
                            <w:pPr>
                              <w:spacing w:line="120" w:lineRule="auto"/>
                              <w:rPr>
                                <w:szCs w:val="21"/>
                              </w:rPr>
                            </w:pPr>
                            <w:r>
                              <w:t>230</w:t>
                            </w:r>
                            <w:r>
                              <w:rPr>
                                <w:rFonts w:hint="eastAsia" w:ascii="宋体" w:hAnsi="宋体" w:cs="宋体"/>
                              </w:rPr>
                              <w:t>℃</w:t>
                            </w:r>
                          </w:p>
                        </w:txbxContent>
                      </wps:txbx>
                      <wps:bodyPr upright="1"/>
                    </wps:wsp>
                  </a:graphicData>
                </a:graphic>
              </wp:anchor>
            </w:drawing>
          </mc:Choice>
          <mc:Fallback>
            <w:pict>
              <v:rect id="_x0000_s1026" o:spid="_x0000_s1026" o:spt="1" style="position:absolute;left:0pt;margin-left:189.55pt;margin-top:17.55pt;height:58.5pt;width:43pt;z-index:251666432;mso-width-relative:page;mso-height-relative:page;" fillcolor="#FFFFFF" filled="t" stroked="t" coordsize="21600,21600" o:gfxdata="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wnuxLXAAAACgEAAA8AAAAAAAAAAQAgAAAAIgAA&#10;AGRycy9kb3ducmV2LnhtbFBLAQIUABQAAAAIAIdO4kCbyABWCQIAADgEAAAOAAAAAAAAAAEAIAAA&#10;ACYBAABkcnMvZTJvRG9jLnhtbFBLBQYAAAAABgAGAFkBAAChBQAAAAA=&#10;">
                <v:fill on="t" focussize="0,0"/>
                <v:stroke color="#000000" joinstyle="miter"/>
                <v:imagedata o:title=""/>
                <o:lock v:ext="edit" aspectratio="f"/>
                <v:textbox>
                  <w:txbxContent>
                    <w:p w14:paraId="38A6C2F2">
                      <w:pPr>
                        <w:spacing w:line="120" w:lineRule="auto"/>
                        <w:ind w:firstLine="140" w:firstLineChars="50"/>
                        <w:rPr>
                          <w:rFonts w:hint="eastAsia"/>
                          <w:szCs w:val="21"/>
                        </w:rPr>
                      </w:pPr>
                      <w:r>
                        <w:rPr>
                          <w:rFonts w:hint="eastAsia"/>
                          <w:sz w:val="28"/>
                          <w:szCs w:val="28"/>
                        </w:rPr>
                        <w:t>c</w:t>
                      </w:r>
                      <w:r>
                        <w:rPr>
                          <w:szCs w:val="21"/>
                        </w:rPr>
                        <w:t>u</w:t>
                      </w:r>
                    </w:p>
                    <w:p w14:paraId="7BAA4886">
                      <w:pPr>
                        <w:spacing w:line="120" w:lineRule="auto"/>
                        <w:rPr>
                          <w:szCs w:val="21"/>
                        </w:rPr>
                      </w:pPr>
                      <w:r>
                        <w:t>230</w:t>
                      </w:r>
                      <w:r>
                        <w:rPr>
                          <w:rFonts w:hint="eastAsia" w:ascii="宋体" w:hAnsi="宋体" w:cs="宋体"/>
                        </w:rPr>
                        <w:t>℃</w:t>
                      </w:r>
                    </w:p>
                  </w:txbxContent>
                </v:textbox>
              </v:rect>
            </w:pict>
          </mc:Fallback>
        </mc:AlternateContent>
      </w:r>
    </w:p>
    <w:p w14:paraId="3169CDD5">
      <w:pPr>
        <w:jc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2529840</wp:posOffset>
                </wp:positionH>
                <wp:positionV relativeFrom="paragraph">
                  <wp:posOffset>341630</wp:posOffset>
                </wp:positionV>
                <wp:extent cx="342900" cy="0"/>
                <wp:effectExtent l="0" t="38100" r="0" b="38100"/>
                <wp:wrapNone/>
                <wp:docPr id="27" name="直接连接符 27"/>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99.2pt;margin-top:26.9pt;height:0pt;width:27pt;z-index:251667456;mso-width-relative:page;mso-height-relative:page;" filled="f" stroked="t" coordsize="21600,21600" o:gfxdata="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JZpe9gAAAAJAQAADwAAAAAAAAABACAAAAAiAAAAZHJzL2Rv&#10;d25yZXYueG1sUEsBAhQAFAAAAAgAh07iQPnD12gBAgAA9wMAAA4AAAAAAAAAAQAgAAAAJwEAAGRy&#10;cy9lMm9Eb2MueG1sUEsFBgAAAAAGAAYAWQEAAJoFA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0"/>
          <w:sz w:val="24"/>
          <w:szCs w:val="24"/>
          <w:highlight w:val="none"/>
        </w:rPr>
        <w:fldChar w:fldCharType="begin"/>
      </w:r>
      <w:r>
        <w:rPr>
          <w:rFonts w:hint="default" w:ascii="Times New Roman" w:hAnsi="Times New Roman" w:eastAsia="宋体" w:cs="Times New Roman"/>
          <w:kern w:val="0"/>
          <w:sz w:val="24"/>
          <w:szCs w:val="24"/>
          <w:highlight w:val="none"/>
        </w:rPr>
        <w:instrText xml:space="preserve"> INCLUDEPICTURE "../Application%20Data/Tencent/Users/395934635/QQ/WinTemp/RichOle/AZOXNITMPMOYDXUIAK7Z8%60A.jpg" \* MERGEFORMAT </w:instrText>
      </w:r>
      <w:r>
        <w:rPr>
          <w:rFonts w:hint="default" w:ascii="Times New Roman" w:hAnsi="Times New Roman" w:eastAsia="宋体" w:cs="Times New Roman"/>
          <w:kern w:val="0"/>
          <w:sz w:val="24"/>
          <w:szCs w:val="24"/>
          <w:highlight w:val="none"/>
        </w:rPr>
        <w:fldChar w:fldCharType="separate"/>
      </w:r>
      <w:r>
        <w:rPr>
          <w:rFonts w:hint="default" w:ascii="Times New Roman" w:hAnsi="Times New Roman" w:eastAsia="宋体" w:cs="Times New Roman"/>
          <w:kern w:val="0"/>
          <w:sz w:val="24"/>
          <w:szCs w:val="24"/>
          <w:highlight w:val="none"/>
        </w:rPr>
        <w:drawing>
          <wp:inline distT="0" distB="0" distL="114300" distR="114300">
            <wp:extent cx="962660" cy="526415"/>
            <wp:effectExtent l="0" t="0" r="8890" b="6985"/>
            <wp:docPr id="6" name="图片 8" descr="AZOXNITMPMOYDXUIAK7Z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AZOXNITMPMOYDXUIAK7Z8`A"/>
                    <pic:cNvPicPr>
                      <a:picLocks noChangeAspect="1"/>
                    </pic:cNvPicPr>
                  </pic:nvPicPr>
                  <pic:blipFill>
                    <a:blip r:embed="rId11"/>
                    <a:stretch>
                      <a:fillRect/>
                    </a:stretch>
                  </pic:blipFill>
                  <pic:spPr>
                    <a:xfrm>
                      <a:off x="0" y="0"/>
                      <a:ext cx="962660" cy="526415"/>
                    </a:xfrm>
                    <a:prstGeom prst="rect">
                      <a:avLst/>
                    </a:prstGeom>
                    <a:noFill/>
                    <a:ln>
                      <a:noFill/>
                    </a:ln>
                  </pic:spPr>
                </pic:pic>
              </a:graphicData>
            </a:graphic>
          </wp:inline>
        </w:drawing>
      </w:r>
      <w:r>
        <w:rPr>
          <w:rFonts w:hint="default" w:ascii="Times New Roman" w:hAnsi="Times New Roman" w:eastAsia="宋体" w:cs="Times New Roman"/>
          <w:kern w:val="0"/>
          <w:sz w:val="24"/>
          <w:szCs w:val="24"/>
          <w:highlight w:val="none"/>
        </w:rPr>
        <w:fldChar w:fldCharType="end"/>
      </w:r>
      <w:r>
        <w:rPr>
          <w:rFonts w:hint="default" w:ascii="Times New Roman" w:hAnsi="Times New Roman" w:eastAsia="宋体" w:cs="Times New Roman"/>
          <w:bCs/>
          <w:sz w:val="24"/>
          <w:szCs w:val="24"/>
          <w:highlight w:val="none"/>
        </w:rPr>
        <w:t>+H</w:t>
      </w:r>
      <w:r>
        <w:rPr>
          <w:rFonts w:hint="default" w:ascii="Times New Roman" w:hAnsi="Times New Roman" w:eastAsia="宋体" w:cs="Times New Roman"/>
          <w:bCs/>
          <w:sz w:val="24"/>
          <w:szCs w:val="24"/>
          <w:highlight w:val="none"/>
          <w:vertAlign w:val="subscript"/>
        </w:rPr>
        <w:t xml:space="preserve">2              </w:t>
      </w:r>
      <w:r>
        <w:rPr>
          <w:rFonts w:hint="default" w:ascii="Times New Roman" w:hAnsi="Times New Roman" w:eastAsia="宋体" w:cs="Times New Roman"/>
          <w:bCs/>
          <w:sz w:val="28"/>
          <w:szCs w:val="36"/>
          <w:highlight w:val="none"/>
        </w:rPr>
        <w:t xml:space="preserve"> </w:t>
      </w:r>
      <w:r>
        <w:rPr>
          <w:rFonts w:hint="default" w:ascii="Times New Roman" w:hAnsi="Times New Roman" w:eastAsia="宋体" w:cs="Times New Roman"/>
          <w:kern w:val="0"/>
          <w:sz w:val="24"/>
          <w:szCs w:val="24"/>
          <w:highlight w:val="none"/>
        </w:rPr>
        <w:fldChar w:fldCharType="begin"/>
      </w:r>
      <w:r>
        <w:rPr>
          <w:rFonts w:hint="default" w:ascii="Times New Roman" w:hAnsi="Times New Roman" w:eastAsia="宋体" w:cs="Times New Roman"/>
          <w:kern w:val="0"/>
          <w:sz w:val="24"/>
          <w:szCs w:val="24"/>
          <w:highlight w:val="none"/>
        </w:rPr>
        <w:instrText xml:space="preserve"> INCLUDEPICTURE "C:\\Documents and Settings\\Administrator\\Application Data\\Tencent\\Users\\395934635\\QQ\\WinTemp\\RichOle\\98{LK`O(0C{UYV1FILHGV{U.jpg" \* MERGEFORMATINET </w:instrText>
      </w:r>
      <w:r>
        <w:rPr>
          <w:rFonts w:hint="default" w:ascii="Times New Roman" w:hAnsi="Times New Roman" w:eastAsia="宋体" w:cs="Times New Roman"/>
          <w:kern w:val="0"/>
          <w:sz w:val="24"/>
          <w:szCs w:val="24"/>
          <w:highlight w:val="none"/>
        </w:rPr>
        <w:fldChar w:fldCharType="separate"/>
      </w:r>
      <w:r>
        <w:rPr>
          <w:rFonts w:hint="default" w:ascii="Times New Roman" w:hAnsi="Times New Roman" w:eastAsia="宋体" w:cs="Times New Roman"/>
          <w:kern w:val="0"/>
          <w:sz w:val="24"/>
          <w:szCs w:val="24"/>
          <w:highlight w:val="none"/>
        </w:rPr>
        <w:drawing>
          <wp:inline distT="0" distB="0" distL="114300" distR="114300">
            <wp:extent cx="694055" cy="504825"/>
            <wp:effectExtent l="0" t="0" r="10795" b="9525"/>
            <wp:docPr id="5" name="图片 9" descr="98{LK`O(0C{UYV1FILHG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98{LK`O(0C{UYV1FILHGV{U"/>
                    <pic:cNvPicPr>
                      <a:picLocks noChangeAspect="1"/>
                    </pic:cNvPicPr>
                  </pic:nvPicPr>
                  <pic:blipFill>
                    <a:blip r:embed="rId15"/>
                    <a:stretch>
                      <a:fillRect/>
                    </a:stretch>
                  </pic:blipFill>
                  <pic:spPr>
                    <a:xfrm>
                      <a:off x="0" y="0"/>
                      <a:ext cx="694055" cy="504825"/>
                    </a:xfrm>
                    <a:prstGeom prst="rect">
                      <a:avLst/>
                    </a:prstGeom>
                    <a:noFill/>
                    <a:ln>
                      <a:noFill/>
                    </a:ln>
                  </pic:spPr>
                </pic:pic>
              </a:graphicData>
            </a:graphic>
          </wp:inline>
        </w:drawing>
      </w:r>
      <w:r>
        <w:rPr>
          <w:rFonts w:hint="default" w:ascii="Times New Roman" w:hAnsi="Times New Roman" w:eastAsia="宋体" w:cs="Times New Roman"/>
          <w:kern w:val="0"/>
          <w:sz w:val="24"/>
          <w:szCs w:val="24"/>
          <w:highlight w:val="none"/>
        </w:rPr>
        <w:fldChar w:fldCharType="end"/>
      </w:r>
      <w:r>
        <w:rPr>
          <w:rFonts w:hint="default" w:ascii="Times New Roman" w:hAnsi="Times New Roman" w:eastAsia="宋体" w:cs="Times New Roman"/>
          <w:bCs/>
          <w:sz w:val="24"/>
          <w:szCs w:val="24"/>
          <w:highlight w:val="none"/>
        </w:rPr>
        <w:t>+H</w:t>
      </w:r>
      <w:r>
        <w:rPr>
          <w:rFonts w:hint="default" w:ascii="Times New Roman" w:hAnsi="Times New Roman" w:eastAsia="宋体" w:cs="Times New Roman"/>
          <w:bCs/>
          <w:sz w:val="24"/>
          <w:szCs w:val="24"/>
          <w:highlight w:val="none"/>
          <w:vertAlign w:val="subscript"/>
        </w:rPr>
        <w:t>2</w:t>
      </w:r>
      <w:r>
        <w:rPr>
          <w:rFonts w:hint="default" w:ascii="Times New Roman" w:hAnsi="Times New Roman" w:eastAsia="宋体" w:cs="Times New Roman"/>
          <w:bCs/>
          <w:sz w:val="24"/>
          <w:szCs w:val="24"/>
          <w:highlight w:val="none"/>
        </w:rPr>
        <w:t>0</w:t>
      </w:r>
    </w:p>
    <w:p w14:paraId="44CF81D3">
      <w:pPr>
        <w:spacing w:line="360" w:lineRule="auto"/>
        <w:ind w:firstLine="480" w:firstLineChars="200"/>
        <w:rPr>
          <w:rFonts w:hint="default" w:ascii="Times New Roman" w:hAnsi="Times New Roman" w:eastAsia="宋体" w:cs="Times New Roman"/>
          <w:sz w:val="24"/>
          <w:szCs w:val="24"/>
          <w:highlight w:val="none"/>
        </w:rPr>
      </w:pPr>
    </w:p>
    <w:p w14:paraId="1484AAFE">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二甲基呋喃具体工艺流程如下：</w:t>
      </w:r>
    </w:p>
    <w:p w14:paraId="387CF95C">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1、加氢蒸馏：将来自罐内的原料糠醛经原料泵打入蒸发器底部，与循环氢气混合蒸发，热量由蒸发器循环加热器提供，蒸馏温度为120℃。此处会产生蒸发废气（G2-1）蒸发器底部会产生聚合物（S2-1）。</w:t>
      </w:r>
    </w:p>
    <w:p w14:paraId="13E6CB6E">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2、过热：蒸发后的糠醛与氢气的混合物经过蒸汽过热器进料加热器加热后进入反应器。</w:t>
      </w:r>
    </w:p>
    <w:p w14:paraId="643A2047">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反应合成：反应器为固定床列管式反应器。列管内装催化剂，糠醛与氢气的混合物在管内发生加氢反应。生成二甲基呋喃、水及部分副产物，转化率为97%，从反应器底部流出。整个反应过程为放热反应，反应放出的热量由反应管外的导热油循环到蒸汽发生器产生低压蒸汽而带走热量。反应器中有催化剂，使用后的产生废催化剂（S2-2）。</w:t>
      </w:r>
    </w:p>
    <w:p w14:paraId="67B3DC42">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粗产品冷凝：反应后的粗产物经加氢换热器与循环氢气换热，回收部分热量，换热后二甲基呋喃进入加氢冷凝器冷凝，冷凝后的产品进入气液分离罐，不凝气（G2-2）经循环风机增压，在风机出口补充部分新鲜氢气。循环氢气在换热后回到蒸发器。为维持系统内惰性气体的平衡，需放空少量循环气体。</w:t>
      </w:r>
    </w:p>
    <w:p w14:paraId="39F4C02D">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5、一次层析：液相粗产品进入一次层析层析器。在层析器内，粗产品与水实现沉降分离，污水排入污水罐，粗产品由泵打入精馏塔。此过程会产生一次层析废水（W2-1），</w:t>
      </w:r>
      <w:r>
        <w:rPr>
          <w:rFonts w:hint="default" w:ascii="Times New Roman" w:hAnsi="Times New Roman" w:eastAsia="宋体" w:cs="Times New Roman"/>
          <w:sz w:val="24"/>
          <w:highlight w:val="none"/>
        </w:rPr>
        <w:t>废水中主要污染物为二甲基呋喃、糠醇和糠醛等</w:t>
      </w:r>
      <w:r>
        <w:rPr>
          <w:rFonts w:hint="default" w:ascii="Times New Roman" w:hAnsi="Times New Roman" w:eastAsia="宋体" w:cs="Times New Roman"/>
          <w:sz w:val="24"/>
          <w:szCs w:val="24"/>
          <w:highlight w:val="none"/>
        </w:rPr>
        <w:t>。</w:t>
      </w:r>
    </w:p>
    <w:p w14:paraId="3DA44765">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6、精馏工序：粗产品经FIC控制后进入精馏塔。精馏温度约为85℃。所用热源由外循环加热器提供，加热介质为蒸汽。精馏塔顶得到二甲基呋喃产品，塔底为高沸物（S2-3），主要成分为</w:t>
      </w:r>
      <w:r>
        <w:rPr>
          <w:rFonts w:hint="default" w:ascii="Times New Roman" w:hAnsi="Times New Roman" w:eastAsia="宋体" w:cs="Times New Roman"/>
          <w:sz w:val="24"/>
          <w:highlight w:val="none"/>
        </w:rPr>
        <w:t>糠醛、糠醇、二甲基呋喃等，进入高沸物储罐储存。</w:t>
      </w:r>
      <w:r>
        <w:rPr>
          <w:rFonts w:hint="default" w:ascii="Times New Roman" w:hAnsi="Times New Roman" w:eastAsia="宋体" w:cs="Times New Roman"/>
          <w:sz w:val="24"/>
          <w:szCs w:val="24"/>
          <w:highlight w:val="none"/>
        </w:rPr>
        <w:t>精馏塔塔顶的产品经精馏塔塔顶冷凝器冷凝后进入回流罐，进行二次层析进一步脱水。此过程会有不凝气（G2-3）产生，主要成分为二甲基呋喃。</w:t>
      </w:r>
    </w:p>
    <w:p w14:paraId="17FD4355">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7、二次层析：塔顶组分进入二次层析器进一步脱水，实现水相与产品的沉降分离，污水排入污水罐，精产品由泵打入脱水塔。此过程会产生二次层析废水（W2-2），</w:t>
      </w:r>
      <w:r>
        <w:rPr>
          <w:rFonts w:hint="default" w:ascii="Times New Roman" w:hAnsi="Times New Roman" w:eastAsia="宋体" w:cs="Times New Roman"/>
          <w:sz w:val="24"/>
          <w:highlight w:val="none"/>
        </w:rPr>
        <w:t>废水中主要污染物为二甲基呋喃</w:t>
      </w:r>
      <w:r>
        <w:rPr>
          <w:rFonts w:hint="default" w:ascii="Times New Roman" w:hAnsi="Times New Roman" w:eastAsia="宋体" w:cs="Times New Roman"/>
          <w:sz w:val="24"/>
          <w:szCs w:val="24"/>
          <w:highlight w:val="none"/>
        </w:rPr>
        <w:t>。</w:t>
      </w:r>
    </w:p>
    <w:p w14:paraId="19CB6E66">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8、脱水：经二次层析后的精产品进入脱水塔，脱水塔内装吸水剂——无水氯化钙，利用氯化钙吸收残余的水分，使产品含水量达标后既得产品二甲基呋喃，送入罐区储存。氯化钙吸附饱和后会有废水（W2-3）产生，同时产生废氯化钙（S2-4）。</w:t>
      </w:r>
    </w:p>
    <w:p w14:paraId="6346B420">
      <w:pPr>
        <w:pStyle w:val="2"/>
        <w:ind w:left="0" w:leftChars="0" w:firstLine="1440" w:firstLineChars="6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二甲基呋喃生产工艺流程及产污环节见</w:t>
      </w:r>
      <w:r>
        <w:rPr>
          <w:rFonts w:hint="eastAsia" w:ascii="Times New Roman" w:hAnsi="Times New Roman" w:eastAsia="宋体" w:cs="Times New Roman"/>
          <w:sz w:val="24"/>
          <w:szCs w:val="24"/>
          <w:highlight w:val="none"/>
          <w:lang w:eastAsia="zh-CN"/>
        </w:rPr>
        <w:t>下</w:t>
      </w:r>
      <w:r>
        <w:rPr>
          <w:rFonts w:hint="default" w:ascii="Times New Roman" w:hAnsi="Times New Roman" w:eastAsia="宋体" w:cs="Times New Roman"/>
          <w:sz w:val="24"/>
          <w:szCs w:val="24"/>
          <w:highlight w:val="none"/>
        </w:rPr>
        <w:t>图2.</w:t>
      </w:r>
      <w:r>
        <w:rPr>
          <w:rFonts w:hint="eastAsia"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-2。</w:t>
      </w:r>
    </w:p>
    <w:p w14:paraId="40C0EE4B">
      <w:pPr>
        <w:spacing w:line="360" w:lineRule="auto"/>
        <w:ind w:firstLine="480" w:firstLineChars="200"/>
        <w:rPr>
          <w:rFonts w:hint="default" w:ascii="Times New Roman" w:hAnsi="Times New Roman" w:eastAsia="宋体" w:cs="Times New Roman"/>
          <w:sz w:val="24"/>
          <w:szCs w:val="24"/>
          <w:highlight w:val="none"/>
        </w:rPr>
        <w:sectPr>
          <w:pgSz w:w="11907" w:h="16840"/>
          <w:pgMar w:top="1440" w:right="1797" w:bottom="1440" w:left="1797" w:header="851" w:footer="992" w:gutter="0"/>
          <w:cols w:space="720" w:num="1"/>
          <w:docGrid w:type="linesAndChars" w:linePitch="312" w:charSpace="0"/>
        </w:sectPr>
      </w:pPr>
    </w:p>
    <w:p w14:paraId="19A61A90">
      <w:pPr>
        <w:pStyle w:val="2"/>
        <w:rPr>
          <w:rFonts w:hint="default"/>
          <w:lang w:val="en-US" w:eastAsia="zh-CN"/>
        </w:rPr>
      </w:pPr>
    </w:p>
    <w:p w14:paraId="5E89B782">
      <w:pPr>
        <w:rPr>
          <w:rFonts w:hint="default"/>
          <w:lang w:val="en-US" w:eastAsia="zh-CN"/>
        </w:rPr>
      </w:pPr>
    </w:p>
    <w:p w14:paraId="77E102B4">
      <w:pPr>
        <w:pStyle w:val="2"/>
        <w:rPr>
          <w:rFonts w:hint="default"/>
          <w:lang w:val="en-US" w:eastAsia="zh-CN"/>
        </w:rPr>
      </w:pPr>
    </w:p>
    <w:p w14:paraId="728C894A">
      <w:pPr>
        <w:rPr>
          <w:rFonts w:hint="default"/>
          <w:lang w:val="en-US" w:eastAsia="zh-CN"/>
        </w:rPr>
      </w:pPr>
    </w:p>
    <w:p w14:paraId="5DAE85CD">
      <w:pPr>
        <w:pStyle w:val="2"/>
        <w:rPr>
          <w:rFonts w:hint="default"/>
          <w:lang w:val="en-US" w:eastAsia="zh-CN"/>
        </w:rPr>
      </w:pPr>
      <w:r>
        <w:rPr>
          <w:rFonts w:hint="default" w:ascii="Times New Roman" w:hAnsi="Times New Roman" w:eastAsia="宋体" w:cs="Times New Roman"/>
          <w:highlight w:val="none"/>
        </w:rPr>
        <w:object>
          <v:shape id="_x0000_i1026" o:spt="75" type="#_x0000_t75" style="height:308.55pt;width:614.6pt;" o:ole="t" filled="f" o:preferrelative="t" stroked="f" coordsize="21600,21600">
            <v:path/>
            <v:fill on="f" focussize="0,0"/>
            <v:stroke on="f"/>
            <v:imagedata r:id="rId17" o:title=""/>
            <o:lock v:ext="edit" aspectratio="t"/>
            <w10:wrap type="none"/>
            <w10:anchorlock/>
          </v:shape>
          <o:OLEObject Type="Embed" ProgID="Visio.Drawing.11" ShapeID="_x0000_i1026" DrawAspect="Content" ObjectID="_1468075726" r:id="rId16">
            <o:LockedField>false</o:LockedField>
          </o:OLEObject>
        </w:object>
      </w:r>
    </w:p>
    <w:p w14:paraId="45FBAA28">
      <w:pPr>
        <w:autoSpaceDE w:val="0"/>
        <w:autoSpaceDN w:val="0"/>
        <w:spacing w:line="360" w:lineRule="auto"/>
        <w:jc w:val="center"/>
        <w:rPr>
          <w:rFonts w:hint="default" w:ascii="Times New Roman" w:hAnsi="Times New Roman" w:eastAsia="宋体" w:cs="Times New Roman"/>
          <w:b/>
          <w:sz w:val="24"/>
          <w:highlight w:val="none"/>
        </w:rPr>
        <w:sectPr>
          <w:pgSz w:w="16840" w:h="11907" w:orient="landscape"/>
          <w:pgMar w:top="1797" w:right="1440" w:bottom="1797" w:left="1440" w:header="851" w:footer="992" w:gutter="0"/>
          <w:cols w:space="720" w:num="1"/>
          <w:docGrid w:type="linesAndChars" w:linePitch="312" w:charSpace="0"/>
        </w:sectPr>
      </w:pPr>
      <w:r>
        <w:rPr>
          <w:rFonts w:hint="default" w:ascii="Times New Roman" w:hAnsi="Times New Roman" w:eastAsia="宋体" w:cs="Times New Roman"/>
          <w:b/>
          <w:sz w:val="24"/>
          <w:highlight w:val="none"/>
        </w:rPr>
        <w:t>二甲基呋喃生产工艺流程及产排污环节图</w:t>
      </w:r>
    </w:p>
    <w:p w14:paraId="270E63CE">
      <w:pPr>
        <w:pStyle w:val="11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outlineLvl w:val="9"/>
        <w:rPr>
          <w:rFonts w:hint="eastAsia"/>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二、</w:t>
      </w:r>
      <w:r>
        <w:rPr>
          <w:rFonts w:hint="eastAsia"/>
          <w:b/>
          <w:bCs/>
          <w:color w:val="000000" w:themeColor="text1"/>
          <w14:textFill>
            <w14:solidFill>
              <w14:schemeClr w14:val="tx1"/>
            </w14:solidFill>
          </w14:textFill>
        </w:rPr>
        <w:t>原辅材料</w:t>
      </w:r>
    </w:p>
    <w:p w14:paraId="2A8F73B4">
      <w:pPr>
        <w:pStyle w:val="127"/>
        <w:spacing w:before="72" w:after="48"/>
        <w:rPr>
          <w:rFonts w:hint="eastAsia"/>
          <w:sz w:val="24"/>
          <w:szCs w:val="24"/>
        </w:rPr>
      </w:pPr>
      <w:r>
        <w:rPr>
          <w:sz w:val="24"/>
          <w:szCs w:val="24"/>
        </w:rPr>
        <w:t xml:space="preserve">表 </w:t>
      </w:r>
      <w:r>
        <w:rPr>
          <w:sz w:val="24"/>
          <w:szCs w:val="24"/>
        </w:rPr>
        <w:fldChar w:fldCharType="begin"/>
      </w:r>
      <w:r>
        <w:rPr>
          <w:sz w:val="24"/>
          <w:szCs w:val="24"/>
        </w:rPr>
        <w:instrText xml:space="preserve"> STYLEREF 2 \s </w:instrText>
      </w:r>
      <w:r>
        <w:rPr>
          <w:sz w:val="24"/>
          <w:szCs w:val="24"/>
        </w:rPr>
        <w:fldChar w:fldCharType="separate"/>
      </w:r>
      <w:r>
        <w:rPr>
          <w:sz w:val="24"/>
          <w:szCs w:val="24"/>
        </w:rPr>
        <w:t>3.4</w:t>
      </w:r>
      <w:r>
        <w:rPr>
          <w:sz w:val="24"/>
          <w:szCs w:val="24"/>
        </w:rPr>
        <w:fldChar w:fldCharType="end"/>
      </w:r>
      <w:r>
        <w:rPr>
          <w:sz w:val="24"/>
          <w:szCs w:val="24"/>
        </w:rPr>
        <w:noBreakHyphen/>
      </w:r>
      <w:r>
        <w:rPr>
          <w:sz w:val="24"/>
          <w:szCs w:val="24"/>
        </w:rPr>
        <w:fldChar w:fldCharType="begin"/>
      </w:r>
      <w:r>
        <w:rPr>
          <w:sz w:val="24"/>
          <w:szCs w:val="24"/>
        </w:rPr>
        <w:instrText xml:space="preserve"> SEQ 表格 \* ARABIC \s 2 </w:instrText>
      </w:r>
      <w:r>
        <w:rPr>
          <w:sz w:val="24"/>
          <w:szCs w:val="24"/>
        </w:rPr>
        <w:fldChar w:fldCharType="separate"/>
      </w:r>
      <w:r>
        <w:rPr>
          <w:sz w:val="24"/>
          <w:szCs w:val="24"/>
        </w:rPr>
        <w:t>1</w:t>
      </w:r>
      <w:r>
        <w:rPr>
          <w:sz w:val="24"/>
          <w:szCs w:val="24"/>
        </w:rPr>
        <w:fldChar w:fldCharType="end"/>
      </w:r>
      <w:r>
        <w:rPr>
          <w:rFonts w:hint="eastAsia"/>
          <w:sz w:val="24"/>
          <w:szCs w:val="24"/>
        </w:rPr>
        <w:t>原辅材料情况一览表</w:t>
      </w:r>
    </w:p>
    <w:p w14:paraId="1061D49D">
      <w:pPr>
        <w:rPr>
          <w:rFonts w:hint="eastAsia"/>
        </w:rPr>
      </w:pPr>
    </w:p>
    <w:tbl>
      <w:tblPr>
        <w:tblStyle w:val="33"/>
        <w:tblW w:w="99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5"/>
        <w:gridCol w:w="555"/>
        <w:gridCol w:w="1351"/>
        <w:gridCol w:w="1664"/>
        <w:gridCol w:w="990"/>
        <w:gridCol w:w="1238"/>
        <w:gridCol w:w="975"/>
        <w:gridCol w:w="1215"/>
        <w:gridCol w:w="1080"/>
      </w:tblGrid>
      <w:tr w14:paraId="0A823C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noWrap w:val="0"/>
            <w:vAlign w:val="center"/>
          </w:tcPr>
          <w:p w14:paraId="3E755604">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装置名称</w:t>
            </w:r>
          </w:p>
        </w:tc>
        <w:tc>
          <w:tcPr>
            <w:tcW w:w="555" w:type="dxa"/>
            <w:noWrap w:val="0"/>
            <w:vAlign w:val="center"/>
          </w:tcPr>
          <w:p w14:paraId="120E8B31">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序号</w:t>
            </w:r>
          </w:p>
        </w:tc>
        <w:tc>
          <w:tcPr>
            <w:tcW w:w="1351" w:type="dxa"/>
            <w:noWrap w:val="0"/>
            <w:tcMar>
              <w:left w:w="0" w:type="dxa"/>
              <w:right w:w="0" w:type="dxa"/>
            </w:tcMar>
            <w:vAlign w:val="center"/>
          </w:tcPr>
          <w:p w14:paraId="75D7EC0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原辅料名称</w:t>
            </w:r>
          </w:p>
        </w:tc>
        <w:tc>
          <w:tcPr>
            <w:tcW w:w="1664" w:type="dxa"/>
            <w:noWrap w:val="0"/>
            <w:vAlign w:val="center"/>
          </w:tcPr>
          <w:p w14:paraId="58814287">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年消耗量</w:t>
            </w:r>
          </w:p>
        </w:tc>
        <w:tc>
          <w:tcPr>
            <w:tcW w:w="990" w:type="dxa"/>
            <w:noWrap w:val="0"/>
            <w:tcMar>
              <w:left w:w="0" w:type="dxa"/>
              <w:right w:w="0" w:type="dxa"/>
            </w:tcMar>
            <w:vAlign w:val="center"/>
          </w:tcPr>
          <w:p w14:paraId="09348FF6">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形态</w:t>
            </w:r>
          </w:p>
        </w:tc>
        <w:tc>
          <w:tcPr>
            <w:tcW w:w="1238" w:type="dxa"/>
            <w:noWrap w:val="0"/>
            <w:vAlign w:val="center"/>
          </w:tcPr>
          <w:p w14:paraId="1C02E9E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储存方式</w:t>
            </w:r>
          </w:p>
        </w:tc>
        <w:tc>
          <w:tcPr>
            <w:tcW w:w="975" w:type="dxa"/>
            <w:noWrap w:val="0"/>
            <w:tcMar>
              <w:left w:w="0" w:type="dxa"/>
              <w:right w:w="0" w:type="dxa"/>
            </w:tcMar>
            <w:vAlign w:val="center"/>
          </w:tcPr>
          <w:p w14:paraId="6E9A037B">
            <w:pPr>
              <w:keepNext w:val="0"/>
              <w:keepLines w:val="0"/>
              <w:suppressLineNumbers w:val="0"/>
              <w:spacing w:before="0" w:beforeAutospacing="0" w:after="0" w:afterAutospacing="0"/>
              <w:ind w:left="0" w:right="0"/>
              <w:jc w:val="center"/>
              <w:rPr>
                <w:rFonts w:hint="eastAsia" w:ascii="Times New Roman" w:hAnsi="Times New Roman" w:eastAsia="宋体"/>
                <w:szCs w:val="21"/>
                <w:lang w:eastAsia="zh-CN"/>
              </w:rPr>
            </w:pPr>
            <w:r>
              <w:rPr>
                <w:rFonts w:hint="eastAsia" w:ascii="Times New Roman" w:hAnsi="Times New Roman"/>
                <w:szCs w:val="21"/>
                <w:lang w:eastAsia="zh-CN"/>
              </w:rPr>
              <w:t>运输方式</w:t>
            </w:r>
          </w:p>
        </w:tc>
        <w:tc>
          <w:tcPr>
            <w:tcW w:w="1215" w:type="dxa"/>
            <w:noWrap w:val="0"/>
            <w:tcMar>
              <w:left w:w="0" w:type="dxa"/>
              <w:right w:w="0" w:type="dxa"/>
            </w:tcMar>
            <w:vAlign w:val="center"/>
          </w:tcPr>
          <w:p w14:paraId="4E827A0B">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最大储存量</w:t>
            </w:r>
          </w:p>
        </w:tc>
        <w:tc>
          <w:tcPr>
            <w:tcW w:w="1080" w:type="dxa"/>
            <w:noWrap w:val="0"/>
            <w:vAlign w:val="center"/>
          </w:tcPr>
          <w:p w14:paraId="2A19E1F1">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规格</w:t>
            </w:r>
          </w:p>
        </w:tc>
      </w:tr>
      <w:tr w14:paraId="1EA7C6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restart"/>
            <w:noWrap w:val="0"/>
            <w:vAlign w:val="center"/>
          </w:tcPr>
          <w:p w14:paraId="7579182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糠醇</w:t>
            </w:r>
          </w:p>
        </w:tc>
        <w:tc>
          <w:tcPr>
            <w:tcW w:w="555" w:type="dxa"/>
            <w:noWrap w:val="0"/>
            <w:vAlign w:val="center"/>
          </w:tcPr>
          <w:p w14:paraId="363B38F0">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1</w:t>
            </w:r>
          </w:p>
        </w:tc>
        <w:tc>
          <w:tcPr>
            <w:tcW w:w="1351" w:type="dxa"/>
            <w:noWrap w:val="0"/>
            <w:tcMar>
              <w:left w:w="0" w:type="dxa"/>
              <w:right w:w="0" w:type="dxa"/>
            </w:tcMar>
            <w:vAlign w:val="center"/>
          </w:tcPr>
          <w:p w14:paraId="633A41BF">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糠醛</w:t>
            </w:r>
          </w:p>
        </w:tc>
        <w:tc>
          <w:tcPr>
            <w:tcW w:w="1664" w:type="dxa"/>
            <w:noWrap w:val="0"/>
            <w:vAlign w:val="center"/>
          </w:tcPr>
          <w:p w14:paraId="12BF9C52">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rPr>
              <w:t>20372.77</w:t>
            </w:r>
            <w:r>
              <w:rPr>
                <w:rFonts w:hint="default" w:ascii="Times New Roman" w:hAnsi="Times New Roman"/>
                <w:szCs w:val="21"/>
              </w:rPr>
              <w:t xml:space="preserve"> t/a</w:t>
            </w:r>
          </w:p>
        </w:tc>
        <w:tc>
          <w:tcPr>
            <w:tcW w:w="990" w:type="dxa"/>
            <w:noWrap w:val="0"/>
            <w:tcMar>
              <w:left w:w="0" w:type="dxa"/>
              <w:right w:w="0" w:type="dxa"/>
            </w:tcMar>
            <w:vAlign w:val="center"/>
          </w:tcPr>
          <w:p w14:paraId="7021B179">
            <w:pPr>
              <w:keepNext w:val="0"/>
              <w:keepLines w:val="0"/>
              <w:suppressLineNumbers w:val="0"/>
              <w:spacing w:before="0" w:beforeAutospacing="0" w:after="0" w:afterAutospacing="0"/>
              <w:ind w:left="0" w:right="0"/>
              <w:jc w:val="center"/>
              <w:rPr>
                <w:rFonts w:hint="eastAsia" w:ascii="Times New Roman" w:hAnsi="Times New Roman" w:eastAsia="宋体"/>
                <w:szCs w:val="21"/>
                <w:lang w:eastAsia="zh-CN"/>
              </w:rPr>
            </w:pPr>
            <w:r>
              <w:rPr>
                <w:rFonts w:hint="default" w:ascii="Times New Roman" w:hAnsi="Times New Roman"/>
                <w:szCs w:val="21"/>
              </w:rPr>
              <w:t>液</w:t>
            </w:r>
            <w:r>
              <w:rPr>
                <w:rFonts w:hint="eastAsia" w:ascii="Times New Roman" w:hAnsi="Times New Roman"/>
                <w:szCs w:val="21"/>
                <w:lang w:eastAsia="zh-CN"/>
              </w:rPr>
              <w:t>态</w:t>
            </w:r>
          </w:p>
        </w:tc>
        <w:tc>
          <w:tcPr>
            <w:tcW w:w="1238" w:type="dxa"/>
            <w:noWrap w:val="0"/>
            <w:vAlign w:val="center"/>
          </w:tcPr>
          <w:p w14:paraId="309BBCB9">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储罐</w:t>
            </w:r>
          </w:p>
        </w:tc>
        <w:tc>
          <w:tcPr>
            <w:tcW w:w="975" w:type="dxa"/>
            <w:noWrap w:val="0"/>
            <w:tcMar>
              <w:left w:w="0" w:type="dxa"/>
              <w:right w:w="0" w:type="dxa"/>
            </w:tcMar>
            <w:vAlign w:val="center"/>
          </w:tcPr>
          <w:p w14:paraId="2738A94B">
            <w:pPr>
              <w:keepNext w:val="0"/>
              <w:keepLines w:val="0"/>
              <w:suppressLineNumbers w:val="0"/>
              <w:spacing w:before="0" w:beforeAutospacing="0" w:after="0" w:afterAutospacing="0"/>
              <w:ind w:left="0" w:right="0"/>
              <w:jc w:val="center"/>
              <w:rPr>
                <w:rFonts w:hint="eastAsia" w:ascii="Times New Roman" w:hAnsi="Times New Roman" w:eastAsia="宋体"/>
                <w:szCs w:val="21"/>
                <w:lang w:eastAsia="zh-CN"/>
              </w:rPr>
            </w:pPr>
            <w:r>
              <w:rPr>
                <w:rFonts w:hint="eastAsia" w:ascii="Times New Roman" w:hAnsi="Times New Roman"/>
                <w:szCs w:val="21"/>
                <w:lang w:eastAsia="zh-CN"/>
              </w:rPr>
              <w:t>汽运</w:t>
            </w:r>
          </w:p>
        </w:tc>
        <w:tc>
          <w:tcPr>
            <w:tcW w:w="1215" w:type="dxa"/>
            <w:noWrap w:val="0"/>
            <w:tcMar>
              <w:left w:w="0" w:type="dxa"/>
              <w:right w:w="0" w:type="dxa"/>
            </w:tcMar>
            <w:vAlign w:val="center"/>
          </w:tcPr>
          <w:p w14:paraId="3586AC95">
            <w:pPr>
              <w:keepNext w:val="0"/>
              <w:keepLines w:val="0"/>
              <w:suppressLineNumbers w:val="0"/>
              <w:spacing w:before="0" w:beforeAutospacing="0" w:after="0" w:afterAutospacing="0"/>
              <w:ind w:left="0" w:right="0"/>
              <w:jc w:val="center"/>
              <w:rPr>
                <w:rFonts w:hint="eastAsia" w:ascii="Times New Roman" w:hAnsi="Times New Roman" w:eastAsia="宋体"/>
                <w:szCs w:val="21"/>
                <w:lang w:eastAsia="zh-CN"/>
              </w:rPr>
            </w:pPr>
            <w:r>
              <w:rPr>
                <w:rFonts w:hint="eastAsia"/>
                <w:szCs w:val="21"/>
                <w:lang w:val="en-US" w:eastAsia="zh-CN"/>
              </w:rPr>
              <w:t>290t</w:t>
            </w:r>
          </w:p>
        </w:tc>
        <w:tc>
          <w:tcPr>
            <w:tcW w:w="1080" w:type="dxa"/>
            <w:noWrap w:val="0"/>
            <w:vAlign w:val="center"/>
          </w:tcPr>
          <w:p w14:paraId="37D8AE9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98.5%</w:t>
            </w:r>
          </w:p>
        </w:tc>
      </w:tr>
      <w:tr w14:paraId="40D9B6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095CF79E">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2BDB053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2</w:t>
            </w:r>
          </w:p>
        </w:tc>
        <w:tc>
          <w:tcPr>
            <w:tcW w:w="1351" w:type="dxa"/>
            <w:noWrap w:val="0"/>
            <w:tcMar>
              <w:left w:w="0" w:type="dxa"/>
              <w:right w:w="0" w:type="dxa"/>
            </w:tcMar>
            <w:vAlign w:val="center"/>
          </w:tcPr>
          <w:p w14:paraId="59B2703D">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氢气</w:t>
            </w:r>
          </w:p>
        </w:tc>
        <w:tc>
          <w:tcPr>
            <w:tcW w:w="1664" w:type="dxa"/>
            <w:noWrap w:val="0"/>
            <w:vAlign w:val="center"/>
          </w:tcPr>
          <w:p w14:paraId="7E08C5E7">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200万m³/a</w:t>
            </w:r>
          </w:p>
        </w:tc>
        <w:tc>
          <w:tcPr>
            <w:tcW w:w="990" w:type="dxa"/>
            <w:noWrap w:val="0"/>
            <w:tcMar>
              <w:left w:w="0" w:type="dxa"/>
              <w:right w:w="0" w:type="dxa"/>
            </w:tcMar>
            <w:vAlign w:val="center"/>
          </w:tcPr>
          <w:p w14:paraId="66A8F8F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气</w:t>
            </w:r>
            <w:r>
              <w:rPr>
                <w:rFonts w:hint="eastAsia" w:ascii="Times New Roman" w:hAnsi="Times New Roman"/>
                <w:szCs w:val="21"/>
                <w:lang w:eastAsia="zh-CN"/>
              </w:rPr>
              <w:t>态</w:t>
            </w:r>
          </w:p>
        </w:tc>
        <w:tc>
          <w:tcPr>
            <w:tcW w:w="1238" w:type="dxa"/>
            <w:noWrap w:val="0"/>
            <w:vAlign w:val="center"/>
          </w:tcPr>
          <w:p w14:paraId="78D2F83D">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无储存</w:t>
            </w:r>
          </w:p>
        </w:tc>
        <w:tc>
          <w:tcPr>
            <w:tcW w:w="975" w:type="dxa"/>
            <w:noWrap w:val="0"/>
            <w:tcMar>
              <w:left w:w="0" w:type="dxa"/>
              <w:right w:w="0" w:type="dxa"/>
            </w:tcMar>
            <w:vAlign w:val="center"/>
          </w:tcPr>
          <w:p w14:paraId="04FFCB21">
            <w:pPr>
              <w:keepNext w:val="0"/>
              <w:keepLines w:val="0"/>
              <w:suppressLineNumbers w:val="0"/>
              <w:spacing w:before="0" w:beforeAutospacing="0" w:after="0" w:afterAutospacing="0"/>
              <w:ind w:left="0" w:right="0"/>
              <w:jc w:val="center"/>
              <w:rPr>
                <w:rFonts w:hint="default" w:ascii="Times New Roman" w:hAnsi="Times New Roman"/>
                <w:szCs w:val="21"/>
                <w:lang w:val="en-US"/>
              </w:rPr>
            </w:pPr>
            <w:r>
              <w:rPr>
                <w:rFonts w:hint="eastAsia"/>
                <w:szCs w:val="21"/>
                <w:lang w:val="en-US" w:eastAsia="zh-CN"/>
              </w:rPr>
              <w:t>齐鲁石化管网</w:t>
            </w:r>
          </w:p>
        </w:tc>
        <w:tc>
          <w:tcPr>
            <w:tcW w:w="1215" w:type="dxa"/>
            <w:noWrap w:val="0"/>
            <w:tcMar>
              <w:left w:w="0" w:type="dxa"/>
              <w:right w:w="0" w:type="dxa"/>
            </w:tcMar>
            <w:vAlign w:val="center"/>
          </w:tcPr>
          <w:p w14:paraId="3C57952D">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无储存</w:t>
            </w:r>
          </w:p>
        </w:tc>
        <w:tc>
          <w:tcPr>
            <w:tcW w:w="1080" w:type="dxa"/>
            <w:noWrap w:val="0"/>
            <w:vAlign w:val="center"/>
          </w:tcPr>
          <w:p w14:paraId="4940AEF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99%</w:t>
            </w:r>
          </w:p>
        </w:tc>
      </w:tr>
      <w:tr w14:paraId="797869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5A0F6AFE">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71289EA9">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3</w:t>
            </w:r>
          </w:p>
        </w:tc>
        <w:tc>
          <w:tcPr>
            <w:tcW w:w="1351" w:type="dxa"/>
            <w:noWrap w:val="0"/>
            <w:tcMar>
              <w:left w:w="0" w:type="dxa"/>
              <w:right w:w="0" w:type="dxa"/>
            </w:tcMar>
            <w:vAlign w:val="center"/>
          </w:tcPr>
          <w:p w14:paraId="1E87618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催化剂</w:t>
            </w:r>
          </w:p>
        </w:tc>
        <w:tc>
          <w:tcPr>
            <w:tcW w:w="1664" w:type="dxa"/>
            <w:noWrap w:val="0"/>
            <w:vAlign w:val="center"/>
          </w:tcPr>
          <w:p w14:paraId="3C107E37">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90 t/a</w:t>
            </w:r>
          </w:p>
        </w:tc>
        <w:tc>
          <w:tcPr>
            <w:tcW w:w="990" w:type="dxa"/>
            <w:noWrap w:val="0"/>
            <w:tcMar>
              <w:left w:w="0" w:type="dxa"/>
              <w:right w:w="0" w:type="dxa"/>
            </w:tcMar>
            <w:vAlign w:val="center"/>
          </w:tcPr>
          <w:p w14:paraId="066AE2A1">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固</w:t>
            </w:r>
            <w:r>
              <w:rPr>
                <w:rFonts w:hint="eastAsia" w:ascii="Times New Roman" w:hAnsi="Times New Roman"/>
                <w:szCs w:val="21"/>
                <w:lang w:eastAsia="zh-CN"/>
              </w:rPr>
              <w:t>态</w:t>
            </w:r>
          </w:p>
        </w:tc>
        <w:tc>
          <w:tcPr>
            <w:tcW w:w="1238" w:type="dxa"/>
            <w:noWrap w:val="0"/>
            <w:vAlign w:val="center"/>
          </w:tcPr>
          <w:p w14:paraId="7DBE9BC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内衬塑料编织袋</w:t>
            </w:r>
          </w:p>
        </w:tc>
        <w:tc>
          <w:tcPr>
            <w:tcW w:w="975" w:type="dxa"/>
            <w:noWrap w:val="0"/>
            <w:tcMar>
              <w:left w:w="0" w:type="dxa"/>
              <w:right w:w="0" w:type="dxa"/>
            </w:tcMar>
            <w:vAlign w:val="center"/>
          </w:tcPr>
          <w:p w14:paraId="463E4B46">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lang w:eastAsia="zh-CN"/>
              </w:rPr>
              <w:t>汽运</w:t>
            </w:r>
          </w:p>
        </w:tc>
        <w:tc>
          <w:tcPr>
            <w:tcW w:w="1215" w:type="dxa"/>
            <w:noWrap w:val="0"/>
            <w:tcMar>
              <w:left w:w="0" w:type="dxa"/>
              <w:right w:w="0" w:type="dxa"/>
            </w:tcMar>
            <w:vAlign w:val="center"/>
          </w:tcPr>
          <w:p w14:paraId="11AF0806">
            <w:pPr>
              <w:keepNext w:val="0"/>
              <w:keepLines w:val="0"/>
              <w:suppressLineNumbers w:val="0"/>
              <w:spacing w:before="0" w:beforeAutospacing="0" w:after="0" w:afterAutospacing="0"/>
              <w:ind w:left="0" w:right="0"/>
              <w:jc w:val="center"/>
              <w:rPr>
                <w:rFonts w:hint="eastAsia" w:ascii="Times New Roman" w:hAnsi="Times New Roman" w:eastAsia="宋体"/>
                <w:szCs w:val="21"/>
                <w:lang w:eastAsia="zh-CN"/>
              </w:rPr>
            </w:pPr>
            <w:r>
              <w:rPr>
                <w:rFonts w:hint="eastAsia"/>
                <w:szCs w:val="21"/>
                <w:lang w:val="en-US" w:eastAsia="zh-CN"/>
              </w:rPr>
              <w:t>5t</w:t>
            </w:r>
          </w:p>
        </w:tc>
        <w:tc>
          <w:tcPr>
            <w:tcW w:w="1080" w:type="dxa"/>
            <w:noWrap w:val="0"/>
            <w:vAlign w:val="center"/>
          </w:tcPr>
          <w:p w14:paraId="1622BBC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Cu-Cr</w:t>
            </w:r>
          </w:p>
        </w:tc>
      </w:tr>
      <w:tr w14:paraId="286582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29E09EFA">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32268A91">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4</w:t>
            </w:r>
          </w:p>
        </w:tc>
        <w:tc>
          <w:tcPr>
            <w:tcW w:w="1351" w:type="dxa"/>
            <w:noWrap w:val="0"/>
            <w:tcMar>
              <w:left w:w="0" w:type="dxa"/>
              <w:right w:w="0" w:type="dxa"/>
            </w:tcMar>
            <w:vAlign w:val="center"/>
          </w:tcPr>
          <w:p w14:paraId="1146387D">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氮气</w:t>
            </w:r>
          </w:p>
        </w:tc>
        <w:tc>
          <w:tcPr>
            <w:tcW w:w="1664" w:type="dxa"/>
            <w:noWrap w:val="0"/>
            <w:vAlign w:val="center"/>
          </w:tcPr>
          <w:p w14:paraId="227F4D70">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20万m³/a</w:t>
            </w:r>
          </w:p>
        </w:tc>
        <w:tc>
          <w:tcPr>
            <w:tcW w:w="990" w:type="dxa"/>
            <w:noWrap w:val="0"/>
            <w:tcMar>
              <w:left w:w="0" w:type="dxa"/>
              <w:right w:w="0" w:type="dxa"/>
            </w:tcMar>
            <w:vAlign w:val="center"/>
          </w:tcPr>
          <w:p w14:paraId="73306158">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气</w:t>
            </w:r>
            <w:r>
              <w:rPr>
                <w:rFonts w:hint="eastAsia" w:ascii="Times New Roman" w:hAnsi="Times New Roman"/>
                <w:szCs w:val="21"/>
                <w:lang w:eastAsia="zh-CN"/>
              </w:rPr>
              <w:t>态</w:t>
            </w:r>
          </w:p>
        </w:tc>
        <w:tc>
          <w:tcPr>
            <w:tcW w:w="1238" w:type="dxa"/>
            <w:noWrap w:val="0"/>
            <w:vAlign w:val="center"/>
          </w:tcPr>
          <w:p w14:paraId="43EA72EB">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ascii="Times New Roman" w:hAnsi="Times New Roman"/>
                <w:szCs w:val="21"/>
                <w:lang w:val="en-US" w:eastAsia="zh-CN"/>
              </w:rPr>
              <w:t>---</w:t>
            </w:r>
          </w:p>
        </w:tc>
        <w:tc>
          <w:tcPr>
            <w:tcW w:w="975" w:type="dxa"/>
            <w:noWrap w:val="0"/>
            <w:tcMar>
              <w:left w:w="0" w:type="dxa"/>
              <w:right w:w="0" w:type="dxa"/>
            </w:tcMar>
            <w:vAlign w:val="center"/>
          </w:tcPr>
          <w:p w14:paraId="0C2531C6">
            <w:pPr>
              <w:keepNext w:val="0"/>
              <w:keepLines w:val="0"/>
              <w:suppressLineNumbers w:val="0"/>
              <w:spacing w:before="0" w:beforeAutospacing="0" w:after="0" w:afterAutospacing="0"/>
              <w:ind w:left="0" w:right="0"/>
              <w:jc w:val="center"/>
              <w:rPr>
                <w:rFonts w:hint="default" w:ascii="Times New Roman" w:hAnsi="Times New Roman"/>
                <w:szCs w:val="21"/>
                <w:lang w:val="en-US"/>
              </w:rPr>
            </w:pPr>
            <w:r>
              <w:rPr>
                <w:rFonts w:hint="eastAsia" w:ascii="Times New Roman" w:hAnsi="Times New Roman"/>
                <w:szCs w:val="21"/>
                <w:lang w:val="en-US" w:eastAsia="zh-CN"/>
              </w:rPr>
              <w:t>---</w:t>
            </w:r>
          </w:p>
        </w:tc>
        <w:tc>
          <w:tcPr>
            <w:tcW w:w="1215" w:type="dxa"/>
            <w:noWrap w:val="0"/>
            <w:tcMar>
              <w:left w:w="0" w:type="dxa"/>
              <w:right w:w="0" w:type="dxa"/>
            </w:tcMar>
            <w:vAlign w:val="center"/>
          </w:tcPr>
          <w:p w14:paraId="627D250B">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ascii="Times New Roman" w:hAnsi="Times New Roman"/>
                <w:szCs w:val="21"/>
                <w:lang w:val="en-US" w:eastAsia="zh-CN"/>
              </w:rPr>
              <w:t>---</w:t>
            </w:r>
          </w:p>
        </w:tc>
        <w:tc>
          <w:tcPr>
            <w:tcW w:w="1080" w:type="dxa"/>
            <w:noWrap w:val="0"/>
            <w:vAlign w:val="center"/>
          </w:tcPr>
          <w:p w14:paraId="23D36A1D">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0.8Mpa</w:t>
            </w:r>
          </w:p>
        </w:tc>
      </w:tr>
      <w:tr w14:paraId="1F2CCC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restart"/>
            <w:noWrap w:val="0"/>
            <w:vAlign w:val="center"/>
          </w:tcPr>
          <w:p w14:paraId="753946BE">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二甲基呋喃</w:t>
            </w:r>
          </w:p>
        </w:tc>
        <w:tc>
          <w:tcPr>
            <w:tcW w:w="555" w:type="dxa"/>
            <w:noWrap w:val="0"/>
            <w:vAlign w:val="center"/>
          </w:tcPr>
          <w:p w14:paraId="7FFDA1C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5</w:t>
            </w:r>
          </w:p>
        </w:tc>
        <w:tc>
          <w:tcPr>
            <w:tcW w:w="1351" w:type="dxa"/>
            <w:noWrap w:val="0"/>
            <w:tcMar>
              <w:left w:w="0" w:type="dxa"/>
              <w:right w:w="0" w:type="dxa"/>
            </w:tcMar>
            <w:vAlign w:val="center"/>
          </w:tcPr>
          <w:p w14:paraId="3E470AA2">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糠醛</w:t>
            </w:r>
          </w:p>
        </w:tc>
        <w:tc>
          <w:tcPr>
            <w:tcW w:w="1664" w:type="dxa"/>
            <w:noWrap w:val="0"/>
            <w:vAlign w:val="center"/>
          </w:tcPr>
          <w:p w14:paraId="692B6F8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3469.83 t/a</w:t>
            </w:r>
          </w:p>
        </w:tc>
        <w:tc>
          <w:tcPr>
            <w:tcW w:w="990" w:type="dxa"/>
            <w:noWrap w:val="0"/>
            <w:tcMar>
              <w:left w:w="0" w:type="dxa"/>
              <w:right w:w="0" w:type="dxa"/>
            </w:tcMar>
            <w:vAlign w:val="center"/>
          </w:tcPr>
          <w:p w14:paraId="4F3E3DE3">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液</w:t>
            </w:r>
            <w:r>
              <w:rPr>
                <w:rFonts w:hint="eastAsia" w:ascii="Times New Roman" w:hAnsi="Times New Roman"/>
                <w:szCs w:val="21"/>
                <w:lang w:eastAsia="zh-CN"/>
              </w:rPr>
              <w:t>态</w:t>
            </w:r>
          </w:p>
        </w:tc>
        <w:tc>
          <w:tcPr>
            <w:tcW w:w="1238" w:type="dxa"/>
            <w:noWrap w:val="0"/>
            <w:vAlign w:val="center"/>
          </w:tcPr>
          <w:p w14:paraId="215C5D2B">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储罐</w:t>
            </w:r>
          </w:p>
        </w:tc>
        <w:tc>
          <w:tcPr>
            <w:tcW w:w="975" w:type="dxa"/>
            <w:noWrap w:val="0"/>
            <w:tcMar>
              <w:left w:w="0" w:type="dxa"/>
              <w:right w:w="0" w:type="dxa"/>
            </w:tcMar>
            <w:vAlign w:val="center"/>
          </w:tcPr>
          <w:p w14:paraId="25757123">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lang w:eastAsia="zh-CN"/>
              </w:rPr>
              <w:t>汽运</w:t>
            </w:r>
          </w:p>
        </w:tc>
        <w:tc>
          <w:tcPr>
            <w:tcW w:w="1215" w:type="dxa"/>
            <w:noWrap w:val="0"/>
            <w:tcMar>
              <w:left w:w="0" w:type="dxa"/>
              <w:right w:w="0" w:type="dxa"/>
            </w:tcMar>
            <w:vAlign w:val="center"/>
          </w:tcPr>
          <w:p w14:paraId="0EA48EC0">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2</w:t>
            </w:r>
            <w:r>
              <w:rPr>
                <w:rFonts w:hint="eastAsia"/>
                <w:szCs w:val="21"/>
                <w:lang w:val="en-US" w:eastAsia="zh-CN"/>
              </w:rPr>
              <w:t>32</w:t>
            </w:r>
            <w:r>
              <w:rPr>
                <w:rFonts w:hint="default" w:ascii="Times New Roman" w:hAnsi="Times New Roman"/>
                <w:szCs w:val="21"/>
              </w:rPr>
              <w:t xml:space="preserve"> </w:t>
            </w:r>
            <w:r>
              <w:rPr>
                <w:rFonts w:hint="eastAsia"/>
                <w:szCs w:val="21"/>
                <w:lang w:val="en-US" w:eastAsia="zh-CN"/>
              </w:rPr>
              <w:t>t</w:t>
            </w:r>
          </w:p>
        </w:tc>
        <w:tc>
          <w:tcPr>
            <w:tcW w:w="1080" w:type="dxa"/>
            <w:noWrap w:val="0"/>
            <w:vAlign w:val="center"/>
          </w:tcPr>
          <w:p w14:paraId="6A255463">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98.5%</w:t>
            </w:r>
          </w:p>
        </w:tc>
      </w:tr>
      <w:tr w14:paraId="454FFE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7DBA5786">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5E9B942F">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6</w:t>
            </w:r>
          </w:p>
        </w:tc>
        <w:tc>
          <w:tcPr>
            <w:tcW w:w="1351" w:type="dxa"/>
            <w:noWrap w:val="0"/>
            <w:tcMar>
              <w:left w:w="0" w:type="dxa"/>
              <w:right w:w="0" w:type="dxa"/>
            </w:tcMar>
            <w:vAlign w:val="center"/>
          </w:tcPr>
          <w:p w14:paraId="67056887">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氢气</w:t>
            </w:r>
          </w:p>
        </w:tc>
        <w:tc>
          <w:tcPr>
            <w:tcW w:w="1664" w:type="dxa"/>
            <w:noWrap w:val="0"/>
            <w:vAlign w:val="center"/>
          </w:tcPr>
          <w:p w14:paraId="2D26767C">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rPr>
              <w:t>162.8</w:t>
            </w:r>
            <w:r>
              <w:rPr>
                <w:rFonts w:hint="default" w:ascii="Times New Roman" w:hAnsi="Times New Roman"/>
                <w:szCs w:val="21"/>
              </w:rPr>
              <w:t>万m³/a</w:t>
            </w:r>
          </w:p>
        </w:tc>
        <w:tc>
          <w:tcPr>
            <w:tcW w:w="990" w:type="dxa"/>
            <w:noWrap w:val="0"/>
            <w:tcMar>
              <w:left w:w="0" w:type="dxa"/>
              <w:right w:w="0" w:type="dxa"/>
            </w:tcMar>
            <w:vAlign w:val="center"/>
          </w:tcPr>
          <w:p w14:paraId="27A23AA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气</w:t>
            </w:r>
            <w:r>
              <w:rPr>
                <w:rFonts w:hint="eastAsia" w:ascii="Times New Roman" w:hAnsi="Times New Roman"/>
                <w:szCs w:val="21"/>
                <w:lang w:eastAsia="zh-CN"/>
              </w:rPr>
              <w:t>态</w:t>
            </w:r>
          </w:p>
        </w:tc>
        <w:tc>
          <w:tcPr>
            <w:tcW w:w="1238" w:type="dxa"/>
            <w:noWrap w:val="0"/>
            <w:vAlign w:val="center"/>
          </w:tcPr>
          <w:p w14:paraId="52BBB9BA">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无储存</w:t>
            </w:r>
          </w:p>
        </w:tc>
        <w:tc>
          <w:tcPr>
            <w:tcW w:w="975" w:type="dxa"/>
            <w:noWrap w:val="0"/>
            <w:tcMar>
              <w:left w:w="0" w:type="dxa"/>
              <w:right w:w="0" w:type="dxa"/>
            </w:tcMar>
            <w:vAlign w:val="center"/>
          </w:tcPr>
          <w:p w14:paraId="5815DC4D">
            <w:pPr>
              <w:keepNext w:val="0"/>
              <w:keepLines w:val="0"/>
              <w:suppressLineNumbers w:val="0"/>
              <w:spacing w:before="0" w:beforeAutospacing="0" w:after="0" w:afterAutospacing="0"/>
              <w:ind w:left="0" w:right="0"/>
              <w:jc w:val="center"/>
              <w:rPr>
                <w:rFonts w:hint="default" w:ascii="Times New Roman" w:hAnsi="Times New Roman"/>
                <w:szCs w:val="21"/>
                <w:lang w:val="en-US"/>
              </w:rPr>
            </w:pPr>
            <w:r>
              <w:rPr>
                <w:rFonts w:hint="eastAsia"/>
                <w:szCs w:val="21"/>
                <w:lang w:val="en-US" w:eastAsia="zh-CN"/>
              </w:rPr>
              <w:t>齐鲁石化管网</w:t>
            </w:r>
          </w:p>
        </w:tc>
        <w:tc>
          <w:tcPr>
            <w:tcW w:w="1215" w:type="dxa"/>
            <w:noWrap w:val="0"/>
            <w:tcMar>
              <w:left w:w="0" w:type="dxa"/>
              <w:right w:w="0" w:type="dxa"/>
            </w:tcMar>
            <w:vAlign w:val="center"/>
          </w:tcPr>
          <w:p w14:paraId="41304423">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无储存</w:t>
            </w:r>
          </w:p>
        </w:tc>
        <w:tc>
          <w:tcPr>
            <w:tcW w:w="1080" w:type="dxa"/>
            <w:noWrap w:val="0"/>
            <w:vAlign w:val="center"/>
          </w:tcPr>
          <w:p w14:paraId="5D61ADA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99%</w:t>
            </w:r>
          </w:p>
        </w:tc>
      </w:tr>
      <w:tr w14:paraId="5518AD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21BF827F">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05E8A8D8">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7</w:t>
            </w:r>
          </w:p>
        </w:tc>
        <w:tc>
          <w:tcPr>
            <w:tcW w:w="1351" w:type="dxa"/>
            <w:noWrap w:val="0"/>
            <w:tcMar>
              <w:left w:w="0" w:type="dxa"/>
              <w:right w:w="0" w:type="dxa"/>
            </w:tcMar>
            <w:vAlign w:val="center"/>
          </w:tcPr>
          <w:p w14:paraId="6EDA0C8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催化剂</w:t>
            </w:r>
          </w:p>
        </w:tc>
        <w:tc>
          <w:tcPr>
            <w:tcW w:w="1664" w:type="dxa"/>
            <w:noWrap w:val="0"/>
            <w:vAlign w:val="center"/>
          </w:tcPr>
          <w:p w14:paraId="662525B9">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8.4 t/a</w:t>
            </w:r>
          </w:p>
        </w:tc>
        <w:tc>
          <w:tcPr>
            <w:tcW w:w="990" w:type="dxa"/>
            <w:noWrap w:val="0"/>
            <w:tcMar>
              <w:left w:w="0" w:type="dxa"/>
              <w:right w:w="0" w:type="dxa"/>
            </w:tcMar>
            <w:vAlign w:val="center"/>
          </w:tcPr>
          <w:p w14:paraId="6BECF60F">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固</w:t>
            </w:r>
            <w:r>
              <w:rPr>
                <w:rFonts w:hint="eastAsia" w:ascii="Times New Roman" w:hAnsi="Times New Roman"/>
                <w:szCs w:val="21"/>
                <w:lang w:eastAsia="zh-CN"/>
              </w:rPr>
              <w:t>态</w:t>
            </w:r>
          </w:p>
        </w:tc>
        <w:tc>
          <w:tcPr>
            <w:tcW w:w="1238" w:type="dxa"/>
            <w:noWrap w:val="0"/>
            <w:vAlign w:val="center"/>
          </w:tcPr>
          <w:p w14:paraId="3D1D3FC5">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内衬塑料编织袋</w:t>
            </w:r>
          </w:p>
        </w:tc>
        <w:tc>
          <w:tcPr>
            <w:tcW w:w="975" w:type="dxa"/>
            <w:noWrap w:val="0"/>
            <w:tcMar>
              <w:left w:w="0" w:type="dxa"/>
              <w:right w:w="0" w:type="dxa"/>
            </w:tcMar>
            <w:vAlign w:val="center"/>
          </w:tcPr>
          <w:p w14:paraId="03063A32">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lang w:eastAsia="zh-CN"/>
              </w:rPr>
              <w:t>汽运</w:t>
            </w:r>
          </w:p>
        </w:tc>
        <w:tc>
          <w:tcPr>
            <w:tcW w:w="1215" w:type="dxa"/>
            <w:noWrap w:val="0"/>
            <w:tcMar>
              <w:left w:w="0" w:type="dxa"/>
              <w:right w:w="0" w:type="dxa"/>
            </w:tcMar>
            <w:vAlign w:val="center"/>
          </w:tcPr>
          <w:p w14:paraId="5E98B8D8">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3t</w:t>
            </w:r>
          </w:p>
        </w:tc>
        <w:tc>
          <w:tcPr>
            <w:tcW w:w="1080" w:type="dxa"/>
            <w:noWrap w:val="0"/>
            <w:vAlign w:val="center"/>
          </w:tcPr>
          <w:p w14:paraId="37360644">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Cu</w:t>
            </w:r>
          </w:p>
        </w:tc>
      </w:tr>
      <w:tr w14:paraId="4D1F04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6937ACFE">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5063E0E7">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8</w:t>
            </w:r>
          </w:p>
        </w:tc>
        <w:tc>
          <w:tcPr>
            <w:tcW w:w="1351" w:type="dxa"/>
            <w:noWrap w:val="0"/>
            <w:tcMar>
              <w:left w:w="0" w:type="dxa"/>
              <w:right w:w="0" w:type="dxa"/>
            </w:tcMar>
            <w:vAlign w:val="center"/>
          </w:tcPr>
          <w:p w14:paraId="409CCEA4">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氮气</w:t>
            </w:r>
          </w:p>
        </w:tc>
        <w:tc>
          <w:tcPr>
            <w:tcW w:w="1664" w:type="dxa"/>
            <w:noWrap w:val="0"/>
            <w:vAlign w:val="center"/>
          </w:tcPr>
          <w:p w14:paraId="353740AB">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rPr>
              <w:t>0.19万</w:t>
            </w:r>
            <w:r>
              <w:rPr>
                <w:rFonts w:hint="default" w:ascii="Times New Roman" w:hAnsi="Times New Roman"/>
                <w:szCs w:val="21"/>
              </w:rPr>
              <w:t xml:space="preserve"> m³/a</w:t>
            </w:r>
          </w:p>
        </w:tc>
        <w:tc>
          <w:tcPr>
            <w:tcW w:w="990" w:type="dxa"/>
            <w:noWrap w:val="0"/>
            <w:tcMar>
              <w:left w:w="0" w:type="dxa"/>
              <w:right w:w="0" w:type="dxa"/>
            </w:tcMar>
            <w:vAlign w:val="center"/>
          </w:tcPr>
          <w:p w14:paraId="68FEF6A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气</w:t>
            </w:r>
            <w:r>
              <w:rPr>
                <w:rFonts w:hint="eastAsia" w:ascii="Times New Roman" w:hAnsi="Times New Roman"/>
                <w:szCs w:val="21"/>
                <w:lang w:eastAsia="zh-CN"/>
              </w:rPr>
              <w:t>态</w:t>
            </w:r>
          </w:p>
        </w:tc>
        <w:tc>
          <w:tcPr>
            <w:tcW w:w="1238" w:type="dxa"/>
            <w:noWrap w:val="0"/>
            <w:vAlign w:val="center"/>
          </w:tcPr>
          <w:p w14:paraId="73BEACC6">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ascii="Times New Roman" w:hAnsi="Times New Roman"/>
                <w:szCs w:val="21"/>
                <w:lang w:val="en-US" w:eastAsia="zh-CN"/>
              </w:rPr>
              <w:t>---</w:t>
            </w:r>
          </w:p>
        </w:tc>
        <w:tc>
          <w:tcPr>
            <w:tcW w:w="975" w:type="dxa"/>
            <w:noWrap w:val="0"/>
            <w:tcMar>
              <w:left w:w="0" w:type="dxa"/>
              <w:right w:w="0" w:type="dxa"/>
            </w:tcMar>
            <w:vAlign w:val="center"/>
          </w:tcPr>
          <w:p w14:paraId="6641FA7F">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szCs w:val="21"/>
                <w:lang w:val="en-US" w:eastAsia="zh-CN"/>
              </w:rPr>
              <w:t>管网</w:t>
            </w:r>
          </w:p>
        </w:tc>
        <w:tc>
          <w:tcPr>
            <w:tcW w:w="1215" w:type="dxa"/>
            <w:noWrap w:val="0"/>
            <w:tcMar>
              <w:left w:w="0" w:type="dxa"/>
              <w:right w:w="0" w:type="dxa"/>
            </w:tcMar>
            <w:vAlign w:val="center"/>
          </w:tcPr>
          <w:p w14:paraId="13BF7760">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ascii="Times New Roman" w:hAnsi="Times New Roman"/>
                <w:szCs w:val="21"/>
                <w:lang w:val="en-US" w:eastAsia="zh-CN"/>
              </w:rPr>
              <w:t>---</w:t>
            </w:r>
          </w:p>
        </w:tc>
        <w:tc>
          <w:tcPr>
            <w:tcW w:w="1080" w:type="dxa"/>
            <w:noWrap w:val="0"/>
            <w:vAlign w:val="center"/>
          </w:tcPr>
          <w:p w14:paraId="4EE1D90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0.8Mpa</w:t>
            </w:r>
          </w:p>
        </w:tc>
      </w:tr>
      <w:tr w14:paraId="2E62D4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85" w:type="dxa"/>
            <w:vMerge w:val="continue"/>
            <w:noWrap w:val="0"/>
            <w:vAlign w:val="center"/>
          </w:tcPr>
          <w:p w14:paraId="565ECED9">
            <w:pPr>
              <w:keepNext w:val="0"/>
              <w:keepLines w:val="0"/>
              <w:suppressLineNumbers w:val="0"/>
              <w:spacing w:before="0" w:beforeAutospacing="0" w:after="0" w:afterAutospacing="0"/>
              <w:ind w:left="0" w:right="0"/>
              <w:jc w:val="center"/>
              <w:rPr>
                <w:rFonts w:hint="default" w:ascii="Times New Roman" w:hAnsi="Times New Roman"/>
                <w:szCs w:val="21"/>
              </w:rPr>
            </w:pPr>
          </w:p>
        </w:tc>
        <w:tc>
          <w:tcPr>
            <w:tcW w:w="555" w:type="dxa"/>
            <w:noWrap w:val="0"/>
            <w:vAlign w:val="center"/>
          </w:tcPr>
          <w:p w14:paraId="1543D441">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9</w:t>
            </w:r>
          </w:p>
        </w:tc>
        <w:tc>
          <w:tcPr>
            <w:tcW w:w="1351" w:type="dxa"/>
            <w:noWrap w:val="0"/>
            <w:tcMar>
              <w:left w:w="0" w:type="dxa"/>
              <w:right w:w="0" w:type="dxa"/>
            </w:tcMar>
            <w:vAlign w:val="center"/>
          </w:tcPr>
          <w:p w14:paraId="47396B26">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无水氯化钙</w:t>
            </w:r>
          </w:p>
        </w:tc>
        <w:tc>
          <w:tcPr>
            <w:tcW w:w="1664" w:type="dxa"/>
            <w:noWrap w:val="0"/>
            <w:vAlign w:val="center"/>
          </w:tcPr>
          <w:p w14:paraId="0F8A1D0A">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8.4 t/a</w:t>
            </w:r>
          </w:p>
        </w:tc>
        <w:tc>
          <w:tcPr>
            <w:tcW w:w="990" w:type="dxa"/>
            <w:noWrap w:val="0"/>
            <w:tcMar>
              <w:left w:w="0" w:type="dxa"/>
              <w:right w:w="0" w:type="dxa"/>
            </w:tcMar>
            <w:vAlign w:val="center"/>
          </w:tcPr>
          <w:p w14:paraId="1F065BB4">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固</w:t>
            </w:r>
            <w:r>
              <w:rPr>
                <w:rFonts w:hint="eastAsia" w:ascii="Times New Roman" w:hAnsi="Times New Roman"/>
                <w:szCs w:val="21"/>
                <w:lang w:eastAsia="zh-CN"/>
              </w:rPr>
              <w:t>态</w:t>
            </w:r>
          </w:p>
        </w:tc>
        <w:tc>
          <w:tcPr>
            <w:tcW w:w="1238" w:type="dxa"/>
            <w:noWrap w:val="0"/>
            <w:vAlign w:val="center"/>
          </w:tcPr>
          <w:p w14:paraId="5509D148">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内衬塑料编织袋</w:t>
            </w:r>
          </w:p>
        </w:tc>
        <w:tc>
          <w:tcPr>
            <w:tcW w:w="975" w:type="dxa"/>
            <w:noWrap w:val="0"/>
            <w:tcMar>
              <w:left w:w="0" w:type="dxa"/>
              <w:right w:w="0" w:type="dxa"/>
            </w:tcMar>
            <w:vAlign w:val="center"/>
          </w:tcPr>
          <w:p w14:paraId="66E45E50">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eastAsia" w:ascii="Times New Roman" w:hAnsi="Times New Roman"/>
                <w:szCs w:val="21"/>
                <w:lang w:eastAsia="zh-CN"/>
              </w:rPr>
              <w:t>汽运</w:t>
            </w:r>
          </w:p>
        </w:tc>
        <w:tc>
          <w:tcPr>
            <w:tcW w:w="1215" w:type="dxa"/>
            <w:noWrap w:val="0"/>
            <w:tcMar>
              <w:left w:w="0" w:type="dxa"/>
              <w:right w:w="0" w:type="dxa"/>
            </w:tcMar>
            <w:vAlign w:val="center"/>
          </w:tcPr>
          <w:p w14:paraId="5F872E44">
            <w:pPr>
              <w:keepNext w:val="0"/>
              <w:keepLines w:val="0"/>
              <w:suppressLineNumbers w:val="0"/>
              <w:spacing w:before="0" w:beforeAutospacing="0" w:after="0" w:afterAutospacing="0"/>
              <w:ind w:left="0" w:right="0"/>
              <w:jc w:val="center"/>
              <w:rPr>
                <w:rFonts w:hint="default" w:ascii="Times New Roman" w:hAnsi="Times New Roman" w:eastAsia="宋体"/>
                <w:szCs w:val="21"/>
                <w:lang w:val="en-US" w:eastAsia="zh-CN"/>
              </w:rPr>
            </w:pPr>
            <w:r>
              <w:rPr>
                <w:rFonts w:hint="eastAsia" w:ascii="Times New Roman" w:hAnsi="Times New Roman"/>
                <w:szCs w:val="21"/>
                <w:lang w:val="en-US" w:eastAsia="zh-CN"/>
              </w:rPr>
              <w:t>---</w:t>
            </w:r>
          </w:p>
        </w:tc>
        <w:tc>
          <w:tcPr>
            <w:tcW w:w="1080" w:type="dxa"/>
            <w:noWrap w:val="0"/>
            <w:vAlign w:val="center"/>
          </w:tcPr>
          <w:p w14:paraId="2F1A3BC2">
            <w:pPr>
              <w:keepNext w:val="0"/>
              <w:keepLines w:val="0"/>
              <w:suppressLineNumbers w:val="0"/>
              <w:spacing w:before="0" w:beforeAutospacing="0" w:after="0" w:afterAutospacing="0"/>
              <w:ind w:left="0" w:right="0"/>
              <w:jc w:val="center"/>
              <w:rPr>
                <w:rFonts w:hint="default" w:ascii="Times New Roman" w:hAnsi="Times New Roman"/>
                <w:szCs w:val="21"/>
              </w:rPr>
            </w:pPr>
            <w:r>
              <w:rPr>
                <w:rFonts w:hint="default" w:ascii="Times New Roman" w:hAnsi="Times New Roman"/>
                <w:szCs w:val="21"/>
              </w:rPr>
              <w:t>——</w:t>
            </w:r>
          </w:p>
        </w:tc>
      </w:tr>
    </w:tbl>
    <w:p w14:paraId="32C5D8B5"/>
    <w:p w14:paraId="6234FF5C">
      <w:pPr>
        <w:pStyle w:val="123"/>
        <w:keepNext w:val="0"/>
        <w:keepLines w:val="0"/>
        <w:pageBreakBefore w:val="0"/>
        <w:widowControl/>
        <w:tabs>
          <w:tab w:val="left" w:pos="474"/>
        </w:tabs>
        <w:kinsoku/>
        <w:wordWrap/>
        <w:overflowPunct/>
        <w:topLinePunct w:val="0"/>
        <w:autoSpaceDE/>
        <w:autoSpaceDN/>
        <w:bidi w:val="0"/>
        <w:adjustRightInd/>
        <w:snapToGrid/>
        <w:ind w:left="0" w:leftChars="0" w:firstLine="0" w:firstLineChars="0"/>
        <w:textAlignment w:val="auto"/>
        <w:outlineLvl w:val="9"/>
        <w:rPr>
          <w:b/>
          <w:bCs/>
          <w:lang w:eastAsia="zh-CN"/>
        </w:rPr>
      </w:pPr>
      <w:r>
        <w:rPr>
          <w:rFonts w:hint="eastAsia"/>
          <w:b/>
          <w:bCs/>
          <w:lang w:eastAsia="zh-CN"/>
        </w:rPr>
        <w:t>三、产排污环节</w:t>
      </w:r>
    </w:p>
    <w:p w14:paraId="488C50E4">
      <w:pPr>
        <w:pStyle w:val="123"/>
        <w:keepNext w:val="0"/>
        <w:keepLines w:val="0"/>
        <w:pageBreakBefore w:val="0"/>
        <w:widowControl/>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cs="Times New Roman"/>
          <w:color w:val="auto"/>
          <w:sz w:val="24"/>
          <w:highlight w:val="none"/>
          <w:lang w:val="en-US" w:eastAsia="zh-CN"/>
        </w:rPr>
      </w:pPr>
      <w:r>
        <w:rPr>
          <w:rFonts w:hint="eastAsia"/>
          <w:b/>
          <w:bCs/>
          <w:lang w:eastAsia="zh-CN"/>
        </w:rPr>
        <w:t>（一</w:t>
      </w:r>
      <w:r>
        <w:rPr>
          <w:b/>
          <w:bCs/>
          <w:lang w:eastAsia="zh-CN"/>
        </w:rPr>
        <w:t>）</w:t>
      </w:r>
      <w:r>
        <w:rPr>
          <w:rFonts w:hint="eastAsia"/>
          <w:b/>
          <w:bCs/>
          <w:lang w:eastAsia="zh-CN"/>
        </w:rPr>
        <w:t>废气</w:t>
      </w:r>
    </w:p>
    <w:p w14:paraId="03B6E6C2">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糠醇装置工艺废气包括：原料混料废气（</w:t>
      </w:r>
      <w:r>
        <w:rPr>
          <w:rFonts w:hint="default" w:ascii="Times New Roman" w:hAnsi="Times New Roman" w:eastAsia="宋体" w:cs="Times New Roman"/>
          <w:color w:val="auto"/>
          <w:sz w:val="24"/>
          <w:szCs w:val="24"/>
          <w:highlight w:val="none"/>
          <w:lang w:eastAsia="zh-CN"/>
        </w:rPr>
        <w:t>糠醛</w:t>
      </w:r>
      <w:r>
        <w:rPr>
          <w:rFonts w:hint="default" w:ascii="Times New Roman" w:hAnsi="Times New Roman" w:eastAsia="宋体" w:cs="Times New Roman"/>
          <w:color w:val="auto"/>
          <w:sz w:val="24"/>
          <w:szCs w:val="24"/>
          <w:highlight w:val="none"/>
        </w:rPr>
        <w:t>）、加氢反应驰放气（</w:t>
      </w:r>
      <w:r>
        <w:rPr>
          <w:rFonts w:hint="default" w:ascii="Times New Roman" w:hAnsi="Times New Roman" w:eastAsia="宋体" w:cs="Times New Roman"/>
          <w:color w:val="auto"/>
          <w:sz w:val="24"/>
          <w:szCs w:val="24"/>
          <w:highlight w:val="none"/>
          <w:lang w:eastAsia="zh-CN"/>
        </w:rPr>
        <w:t>糠醛、糠醇</w:t>
      </w:r>
      <w:r>
        <w:rPr>
          <w:rFonts w:hint="default" w:ascii="Times New Roman" w:hAnsi="Times New Roman" w:eastAsia="宋体" w:cs="Times New Roman"/>
          <w:color w:val="auto"/>
          <w:sz w:val="24"/>
          <w:szCs w:val="24"/>
          <w:highlight w:val="none"/>
        </w:rPr>
        <w:t>）、沉降槽糠醇蒸汽（</w:t>
      </w:r>
      <w:r>
        <w:rPr>
          <w:rFonts w:hint="default" w:ascii="Times New Roman" w:hAnsi="Times New Roman" w:eastAsia="宋体" w:cs="Times New Roman"/>
          <w:color w:val="auto"/>
          <w:sz w:val="24"/>
          <w:szCs w:val="24"/>
          <w:highlight w:val="none"/>
          <w:lang w:eastAsia="zh-CN"/>
        </w:rPr>
        <w:t>糠醛、糠醇</w:t>
      </w:r>
      <w:r>
        <w:rPr>
          <w:rFonts w:hint="default" w:ascii="Times New Roman" w:hAnsi="Times New Roman" w:eastAsia="宋体" w:cs="Times New Roman"/>
          <w:color w:val="auto"/>
          <w:sz w:val="24"/>
          <w:szCs w:val="24"/>
          <w:highlight w:val="none"/>
        </w:rPr>
        <w:t>）、精馏过程产生的不凝气（</w:t>
      </w:r>
      <w:r>
        <w:rPr>
          <w:rFonts w:hint="default" w:ascii="Times New Roman" w:hAnsi="Times New Roman" w:eastAsia="宋体" w:cs="Times New Roman"/>
          <w:color w:val="auto"/>
          <w:sz w:val="24"/>
          <w:szCs w:val="24"/>
          <w:highlight w:val="none"/>
          <w:lang w:eastAsia="zh-CN"/>
        </w:rPr>
        <w:t>糠醛、糠醇、呋喃</w:t>
      </w:r>
      <w:r>
        <w:rPr>
          <w:rFonts w:hint="default" w:ascii="Times New Roman" w:hAnsi="Times New Roman" w:eastAsia="宋体" w:cs="Times New Roman"/>
          <w:color w:val="auto"/>
          <w:sz w:val="24"/>
          <w:szCs w:val="24"/>
          <w:highlight w:val="none"/>
        </w:rPr>
        <w:t>）。</w:t>
      </w:r>
    </w:p>
    <w:p w14:paraId="2DB4C011">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二甲基呋喃装置工艺废气包括：蒸发反应废气（糠醛、糠醇、二甲基呋喃）、加氢反应放气（糠醛、糠醇、二甲基呋喃）、精馏过程产生的不凝气（糠醛、糠醇、二甲基呋喃）。</w:t>
      </w:r>
    </w:p>
    <w:p w14:paraId="7808F9BC">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以上废气全部经管线收集，合并成一条管线后进入废气深冷处理装置处理，经活性炭吸附后</w:t>
      </w:r>
      <w:r>
        <w:rPr>
          <w:rFonts w:hint="eastAsia" w:ascii="Times New Roman" w:hAnsi="Times New Roman" w:eastAsia="宋体" w:cs="Times New Roman"/>
          <w:color w:val="auto"/>
          <w:sz w:val="24"/>
          <w:szCs w:val="24"/>
          <w:highlight w:val="none"/>
          <w:lang w:eastAsia="zh-CN"/>
        </w:rPr>
        <w:t>达标排出。</w:t>
      </w:r>
    </w:p>
    <w:p w14:paraId="068DF312">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rPr>
        <w:t>将所有原料储罐的呼吸口全部接入管线收集，收集后合并为一条管线后，与工艺废气一同</w:t>
      </w:r>
      <w:r>
        <w:rPr>
          <w:rFonts w:hint="default" w:ascii="Times New Roman" w:hAnsi="Times New Roman" w:eastAsia="宋体" w:cs="Times New Roman"/>
          <w:color w:val="auto"/>
          <w:sz w:val="24"/>
          <w:szCs w:val="24"/>
          <w:highlight w:val="none"/>
        </w:rPr>
        <w:t>经活性炭吸附后</w:t>
      </w:r>
      <w:r>
        <w:rPr>
          <w:rFonts w:hint="eastAsia" w:ascii="Times New Roman" w:hAnsi="Times New Roman" w:eastAsia="宋体" w:cs="Times New Roman"/>
          <w:color w:val="auto"/>
          <w:sz w:val="24"/>
          <w:szCs w:val="24"/>
          <w:highlight w:val="none"/>
          <w:lang w:eastAsia="zh-CN"/>
        </w:rPr>
        <w:t>达标排出。</w:t>
      </w:r>
    </w:p>
    <w:p w14:paraId="13CD9B64">
      <w:pPr>
        <w:pStyle w:val="123"/>
        <w:keepNext w:val="0"/>
        <w:keepLines w:val="0"/>
        <w:pageBreakBefore w:val="0"/>
        <w:widowControl/>
        <w:numPr>
          <w:ilvl w:val="0"/>
          <w:numId w:val="0"/>
        </w:numPr>
        <w:kinsoku/>
        <w:wordWrap/>
        <w:overflowPunct/>
        <w:topLinePunct w:val="0"/>
        <w:autoSpaceDE/>
        <w:autoSpaceDN/>
        <w:bidi w:val="0"/>
        <w:adjustRightInd/>
        <w:snapToGrid/>
        <w:ind w:leftChars="0"/>
        <w:textAlignment w:val="auto"/>
        <w:outlineLvl w:val="9"/>
        <w:rPr>
          <w:rFonts w:hint="eastAsia"/>
          <w:b/>
          <w:bCs/>
        </w:rPr>
      </w:pPr>
      <w:r>
        <w:rPr>
          <w:rFonts w:hint="eastAsia"/>
          <w:b/>
          <w:bCs/>
          <w:lang w:eastAsia="zh-CN"/>
        </w:rPr>
        <w:t>（二）</w:t>
      </w:r>
      <w:r>
        <w:rPr>
          <w:rFonts w:hint="eastAsia"/>
          <w:b/>
          <w:bCs/>
        </w:rPr>
        <w:t>废水</w:t>
      </w:r>
    </w:p>
    <w:p w14:paraId="11EEEF13">
      <w:pPr>
        <w:spacing w:line="360" w:lineRule="auto"/>
        <w:ind w:firstLine="480" w:firstLineChars="200"/>
        <w:rPr>
          <w:rFonts w:hint="eastAsia" w:eastAsia="宋体"/>
          <w:bCs/>
          <w:sz w:val="24"/>
          <w:szCs w:val="24"/>
          <w:lang w:eastAsia="zh-CN"/>
        </w:rPr>
      </w:pPr>
      <w:r>
        <w:rPr>
          <w:rFonts w:hint="eastAsia" w:cs="Times New Roman"/>
          <w:color w:val="auto"/>
          <w:sz w:val="24"/>
          <w:highlight w:val="none"/>
          <w:lang w:eastAsia="zh-CN"/>
        </w:rPr>
        <w:t>公司</w:t>
      </w:r>
      <w:r>
        <w:rPr>
          <w:rFonts w:hint="default" w:ascii="Times New Roman" w:hAnsi="Times New Roman" w:eastAsia="宋体" w:cs="Times New Roman"/>
          <w:color w:val="auto"/>
          <w:sz w:val="24"/>
          <w:highlight w:val="none"/>
        </w:rPr>
        <w:t>生产废水主要是</w:t>
      </w:r>
      <w:r>
        <w:rPr>
          <w:rFonts w:hint="default" w:ascii="Times New Roman" w:hAnsi="Times New Roman" w:eastAsia="宋体" w:cs="Times New Roman"/>
          <w:color w:val="auto"/>
          <w:sz w:val="24"/>
          <w:highlight w:val="none"/>
          <w:lang w:eastAsia="zh-CN"/>
        </w:rPr>
        <w:t>二甲基呋喃</w:t>
      </w:r>
      <w:r>
        <w:rPr>
          <w:rFonts w:hint="default" w:ascii="Times New Roman" w:hAnsi="Times New Roman" w:eastAsia="宋体" w:cs="Times New Roman"/>
          <w:color w:val="auto"/>
          <w:sz w:val="24"/>
          <w:highlight w:val="none"/>
        </w:rPr>
        <w:t>生产装置反应生成</w:t>
      </w:r>
      <w:r>
        <w:rPr>
          <w:rFonts w:hint="eastAsia" w:ascii="Times New Roman" w:hAnsi="Times New Roman" w:eastAsia="宋体" w:cs="Times New Roman"/>
          <w:color w:val="auto"/>
          <w:sz w:val="24"/>
          <w:highlight w:val="none"/>
          <w:lang w:eastAsia="zh-CN"/>
        </w:rPr>
        <w:t>工艺</w:t>
      </w:r>
      <w:r>
        <w:rPr>
          <w:rFonts w:hint="default" w:ascii="Times New Roman" w:hAnsi="Times New Roman" w:eastAsia="宋体" w:cs="Times New Roman"/>
          <w:color w:val="auto"/>
          <w:sz w:val="24"/>
          <w:highlight w:val="none"/>
        </w:rPr>
        <w:t>废水</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设备冲洗废水；地面冲洗废水</w:t>
      </w:r>
      <w:r>
        <w:rPr>
          <w:rFonts w:hint="eastAsia" w:ascii="Times New Roman" w:hAnsi="Times New Roman" w:eastAsia="宋体" w:cs="Times New Roman"/>
          <w:color w:val="auto"/>
          <w:sz w:val="24"/>
          <w:highlight w:val="none"/>
          <w:lang w:eastAsia="zh-CN"/>
        </w:rPr>
        <w:t>；生活污水；初期雨水</w:t>
      </w:r>
      <w:r>
        <w:rPr>
          <w:rFonts w:hint="eastAsia" w:ascii="Times New Roman" w:hAnsi="Times New Roman" w:eastAsia="宋体" w:cs="Times New Roman"/>
          <w:color w:val="auto"/>
          <w:sz w:val="24"/>
          <w:szCs w:val="24"/>
          <w:highlight w:val="none"/>
          <w:lang w:eastAsia="zh-CN"/>
        </w:rPr>
        <w:t>（</w:t>
      </w:r>
      <w:r>
        <w:rPr>
          <w:rFonts w:hint="eastAsia"/>
          <w:bCs/>
          <w:sz w:val="24"/>
          <w:szCs w:val="24"/>
        </w:rPr>
        <w:t>初期雨水收集池</w:t>
      </w:r>
      <w:r>
        <w:rPr>
          <w:rFonts w:hint="eastAsia"/>
          <w:bCs/>
          <w:sz w:val="24"/>
          <w:szCs w:val="24"/>
          <w:lang w:val="en-US" w:eastAsia="zh-CN"/>
        </w:rPr>
        <w:t>1</w:t>
      </w:r>
      <w:r>
        <w:rPr>
          <w:rFonts w:hint="eastAsia"/>
          <w:bCs/>
          <w:sz w:val="24"/>
          <w:szCs w:val="24"/>
        </w:rPr>
        <w:t>个有效容积80m3）和事故水池</w:t>
      </w:r>
      <w:r>
        <w:rPr>
          <w:rFonts w:hint="eastAsia"/>
          <w:bCs/>
          <w:sz w:val="24"/>
          <w:szCs w:val="24"/>
          <w:lang w:val="en-US" w:eastAsia="zh-CN"/>
        </w:rPr>
        <w:t>2</w:t>
      </w:r>
      <w:r>
        <w:rPr>
          <w:rFonts w:hint="eastAsia"/>
          <w:bCs/>
          <w:sz w:val="24"/>
          <w:szCs w:val="24"/>
        </w:rPr>
        <w:t>个（有效容积分为别</w:t>
      </w:r>
      <w:r>
        <w:rPr>
          <w:rFonts w:hint="eastAsia"/>
          <w:bCs/>
          <w:sz w:val="24"/>
          <w:szCs w:val="24"/>
          <w:lang w:val="en-US" w:eastAsia="zh-CN"/>
        </w:rPr>
        <w:t>50</w:t>
      </w:r>
      <w:r>
        <w:rPr>
          <w:rFonts w:hint="eastAsia"/>
          <w:bCs/>
          <w:sz w:val="24"/>
          <w:szCs w:val="24"/>
        </w:rPr>
        <w:t>0m3、</w:t>
      </w:r>
      <w:r>
        <w:rPr>
          <w:rFonts w:hint="eastAsia"/>
          <w:bCs/>
          <w:sz w:val="24"/>
          <w:szCs w:val="24"/>
          <w:lang w:eastAsia="zh-CN"/>
        </w:rPr>
        <w:t>240</w:t>
      </w:r>
      <w:r>
        <w:rPr>
          <w:rFonts w:hint="eastAsia"/>
          <w:bCs/>
          <w:sz w:val="24"/>
          <w:szCs w:val="24"/>
        </w:rPr>
        <w:t>m3），与</w:t>
      </w:r>
      <w:r>
        <w:rPr>
          <w:rFonts w:hint="eastAsia"/>
          <w:bCs/>
          <w:sz w:val="24"/>
          <w:szCs w:val="24"/>
          <w:lang w:eastAsia="zh-CN"/>
        </w:rPr>
        <w:t>同集团公司山东隆盛和助剂有限公司</w:t>
      </w:r>
      <w:r>
        <w:rPr>
          <w:rFonts w:hint="eastAsia"/>
          <w:bCs/>
          <w:sz w:val="24"/>
          <w:szCs w:val="24"/>
        </w:rPr>
        <w:t>、山东隆信</w:t>
      </w:r>
      <w:r>
        <w:rPr>
          <w:rFonts w:hint="eastAsia"/>
          <w:bCs/>
          <w:sz w:val="24"/>
          <w:szCs w:val="24"/>
          <w:lang w:eastAsia="zh-CN"/>
        </w:rPr>
        <w:t>药业</w:t>
      </w:r>
      <w:r>
        <w:rPr>
          <w:rFonts w:hint="eastAsia"/>
          <w:bCs/>
          <w:sz w:val="24"/>
          <w:szCs w:val="24"/>
        </w:rPr>
        <w:t>有限公司共用。</w:t>
      </w:r>
      <w:r>
        <w:rPr>
          <w:rFonts w:hint="eastAsia"/>
          <w:bCs/>
          <w:sz w:val="24"/>
          <w:szCs w:val="24"/>
          <w:lang w:eastAsia="zh-CN"/>
        </w:rPr>
        <w:t>）</w:t>
      </w:r>
    </w:p>
    <w:p w14:paraId="4A392889">
      <w:pPr>
        <w:pStyle w:val="12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b/>
          <w:bCs/>
          <w:lang w:eastAsia="zh-CN"/>
        </w:rPr>
      </w:pPr>
      <w:r>
        <w:rPr>
          <w:rFonts w:hint="eastAsia" w:cs="Times New Roman"/>
          <w:color w:val="auto"/>
          <w:sz w:val="24"/>
          <w:highlight w:val="none"/>
          <w:lang w:eastAsia="zh-CN"/>
        </w:rPr>
        <w:t>公司</w:t>
      </w:r>
      <w:r>
        <w:rPr>
          <w:rFonts w:hint="default" w:ascii="Times New Roman" w:hAnsi="Times New Roman" w:eastAsia="宋体" w:cs="Times New Roman"/>
          <w:color w:val="auto"/>
          <w:sz w:val="24"/>
          <w:highlight w:val="none"/>
          <w:lang w:eastAsia="zh-CN"/>
        </w:rPr>
        <w:t>生活污水经化粪池预处理后排入齐鲁石化供排水厂深度处理后经排海管道排入小清河；工艺废水</w:t>
      </w:r>
      <w:r>
        <w:rPr>
          <w:rFonts w:hint="eastAsia" w:cs="Times New Roman"/>
          <w:color w:val="auto"/>
          <w:sz w:val="24"/>
          <w:highlight w:val="none"/>
          <w:lang w:eastAsia="zh-CN"/>
        </w:rPr>
        <w:t>（废有机溶剂）</w:t>
      </w:r>
      <w:r>
        <w:rPr>
          <w:rFonts w:hint="default" w:ascii="Times New Roman" w:hAnsi="Times New Roman" w:eastAsia="宋体" w:cs="Times New Roman"/>
          <w:color w:val="auto"/>
          <w:sz w:val="24"/>
          <w:highlight w:val="none"/>
          <w:lang w:eastAsia="zh-CN"/>
        </w:rPr>
        <w:t>转移至有资质的危废</w:t>
      </w:r>
      <w:r>
        <w:rPr>
          <w:rFonts w:hint="eastAsia" w:ascii="Times New Roman" w:hAnsi="Times New Roman" w:cs="Times New Roman"/>
          <w:color w:val="auto"/>
          <w:sz w:val="24"/>
          <w:highlight w:val="none"/>
          <w:lang w:eastAsia="zh-CN"/>
        </w:rPr>
        <w:t>处置</w:t>
      </w:r>
      <w:r>
        <w:rPr>
          <w:rFonts w:hint="default" w:ascii="Times New Roman" w:hAnsi="Times New Roman" w:eastAsia="宋体" w:cs="Times New Roman"/>
          <w:color w:val="auto"/>
          <w:sz w:val="24"/>
          <w:highlight w:val="none"/>
          <w:lang w:eastAsia="zh-CN"/>
        </w:rPr>
        <w:t>单位进行处理</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初期雨水和循环冷却排污水设备及地面冲洗水、收集后，排入山东隆盛和助剂有限公司经预处理后排入齐鲁石化供排水厂深度处理后经排海管道排入小清河</w:t>
      </w:r>
      <w:r>
        <w:rPr>
          <w:rFonts w:hint="default" w:ascii="Times New Roman" w:hAnsi="Times New Roman" w:eastAsia="宋体" w:cs="Times New Roman"/>
          <w:color w:val="auto"/>
          <w:kern w:val="0"/>
          <w:sz w:val="24"/>
          <w:highlight w:val="none"/>
        </w:rPr>
        <w:t>。</w:t>
      </w:r>
    </w:p>
    <w:p w14:paraId="1E862C12">
      <w:pPr>
        <w:pStyle w:val="123"/>
        <w:keepNext w:val="0"/>
        <w:keepLines w:val="0"/>
        <w:pageBreakBefore w:val="0"/>
        <w:widowControl/>
        <w:kinsoku/>
        <w:wordWrap/>
        <w:overflowPunct/>
        <w:topLinePunct w:val="0"/>
        <w:autoSpaceDE/>
        <w:autoSpaceDN/>
        <w:bidi w:val="0"/>
        <w:adjustRightInd/>
        <w:snapToGrid/>
        <w:ind w:left="0" w:leftChars="0" w:firstLine="0" w:firstLineChars="0"/>
        <w:textAlignment w:val="auto"/>
        <w:outlineLvl w:val="9"/>
        <w:rPr>
          <w:b/>
          <w:bCs/>
          <w:lang w:eastAsia="zh-CN"/>
        </w:rPr>
      </w:pPr>
      <w:r>
        <w:rPr>
          <w:rFonts w:hint="eastAsia"/>
          <w:b/>
          <w:bCs/>
          <w:lang w:eastAsia="zh-CN"/>
        </w:rPr>
        <w:t>（三</w:t>
      </w:r>
      <w:r>
        <w:rPr>
          <w:b/>
          <w:bCs/>
          <w:lang w:eastAsia="zh-CN"/>
        </w:rPr>
        <w:t>）</w:t>
      </w:r>
      <w:r>
        <w:rPr>
          <w:rFonts w:hint="eastAsia"/>
          <w:b/>
          <w:bCs/>
          <w:lang w:eastAsia="zh-CN"/>
        </w:rPr>
        <w:t>固体废物</w:t>
      </w:r>
    </w:p>
    <w:p w14:paraId="0ACC1987">
      <w:pPr>
        <w:keepNext/>
        <w:keepLines w:val="0"/>
        <w:pageBreakBefore w:val="0"/>
        <w:widowControl w:val="0"/>
        <w:kinsoku/>
        <w:wordWrap/>
        <w:overflowPunct/>
        <w:topLinePunct w:val="0"/>
        <w:autoSpaceDE/>
        <w:autoSpaceDN/>
        <w:bidi w:val="0"/>
        <w:adjustRightInd w:val="0"/>
        <w:snapToGrid w:val="0"/>
        <w:spacing w:beforeLines="0" w:afterLines="0"/>
        <w:ind w:firstLine="3373" w:firstLineChars="1400"/>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highlight w:val="none"/>
          <w:lang w:val="en-US" w:eastAsia="zh-CN"/>
        </w:rPr>
        <w:t>固体产生废物情况一览表</w:t>
      </w:r>
    </w:p>
    <w:tbl>
      <w:tblPr>
        <w:tblStyle w:val="33"/>
        <w:tblpPr w:leftFromText="180" w:rightFromText="180" w:vertAnchor="text" w:horzAnchor="page" w:tblpX="1229" w:tblpY="332"/>
        <w:tblOverlap w:val="never"/>
        <w:tblW w:w="5283" w:type="pct"/>
        <w:tblInd w:w="0" w:type="dxa"/>
        <w:tblLayout w:type="autofit"/>
        <w:tblCellMar>
          <w:top w:w="0" w:type="dxa"/>
          <w:left w:w="0" w:type="dxa"/>
          <w:bottom w:w="0" w:type="dxa"/>
          <w:right w:w="0" w:type="dxa"/>
        </w:tblCellMar>
      </w:tblPr>
      <w:tblGrid>
        <w:gridCol w:w="1097"/>
        <w:gridCol w:w="1988"/>
        <w:gridCol w:w="1147"/>
        <w:gridCol w:w="1888"/>
        <w:gridCol w:w="3835"/>
      </w:tblGrid>
      <w:tr w14:paraId="756DFE11">
        <w:tblPrEx>
          <w:tblCellMar>
            <w:top w:w="0" w:type="dxa"/>
            <w:left w:w="0" w:type="dxa"/>
            <w:bottom w:w="0" w:type="dxa"/>
            <w:right w:w="0" w:type="dxa"/>
          </w:tblCellMar>
        </w:tblPrEx>
        <w:trPr>
          <w:trHeight w:val="388"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465393FA">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产生源</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1B039FC6">
            <w:pPr>
              <w:pStyle w:val="126"/>
              <w:keepNext w:val="0"/>
              <w:keepLines w:val="0"/>
              <w:widowControl/>
              <w:suppressLineNumbers w:val="0"/>
              <w:spacing w:before="0" w:beforeAutospacing="0" w:after="0" w:afterAutospacing="0"/>
              <w:ind w:left="0" w:right="0"/>
              <w:rPr>
                <w:rFonts w:hint="eastAsia"/>
              </w:rPr>
            </w:pPr>
            <w:r>
              <w:rPr>
                <w:rFonts w:hint="eastAsia"/>
              </w:rPr>
              <w:t>污染物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4D20CABC">
            <w:pPr>
              <w:pStyle w:val="126"/>
              <w:keepNext w:val="0"/>
              <w:keepLines w:val="0"/>
              <w:widowControl/>
              <w:suppressLineNumbers w:val="0"/>
              <w:spacing w:before="0" w:beforeAutospacing="0" w:after="0" w:afterAutospacing="0"/>
              <w:ind w:left="0" w:right="0"/>
              <w:rPr>
                <w:rFonts w:hint="default"/>
              </w:rPr>
            </w:pPr>
            <w:r>
              <w:rPr>
                <w:rFonts w:hint="eastAsia"/>
              </w:rPr>
              <w:t>产生量</w:t>
            </w:r>
            <w:r>
              <w:rPr>
                <w:rFonts w:hint="default"/>
              </w:rPr>
              <w:t>(t/a)</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64D4EA22">
            <w:pPr>
              <w:pStyle w:val="126"/>
              <w:keepNext w:val="0"/>
              <w:keepLines w:val="0"/>
              <w:widowControl/>
              <w:suppressLineNumbers w:val="0"/>
              <w:spacing w:before="0" w:beforeAutospacing="0" w:after="0" w:afterAutospacing="0"/>
              <w:ind w:left="0" w:right="0"/>
              <w:rPr>
                <w:rFonts w:hint="default"/>
              </w:rPr>
            </w:pPr>
            <w:r>
              <w:rPr>
                <w:rFonts w:hint="eastAsia"/>
              </w:rPr>
              <w:t>性质</w:t>
            </w:r>
          </w:p>
        </w:tc>
        <w:tc>
          <w:tcPr>
            <w:tcW w:w="1925" w:type="pct"/>
            <w:tcBorders>
              <w:top w:val="single" w:color="000000" w:sz="4" w:space="0"/>
              <w:left w:val="single" w:color="000000" w:sz="4" w:space="0"/>
              <w:bottom w:val="single" w:color="000000" w:sz="4" w:space="0"/>
              <w:right w:val="single" w:color="000000" w:sz="4" w:space="0"/>
            </w:tcBorders>
            <w:noWrap w:val="0"/>
            <w:vAlign w:val="center"/>
          </w:tcPr>
          <w:p w14:paraId="3C00AF52">
            <w:pPr>
              <w:pStyle w:val="126"/>
              <w:keepNext w:val="0"/>
              <w:keepLines w:val="0"/>
              <w:widowControl/>
              <w:suppressLineNumbers w:val="0"/>
              <w:spacing w:before="0" w:beforeAutospacing="0" w:after="0" w:afterAutospacing="0"/>
              <w:ind w:left="0" w:right="0"/>
              <w:rPr>
                <w:rFonts w:hint="default"/>
              </w:rPr>
            </w:pPr>
            <w:r>
              <w:rPr>
                <w:rFonts w:hint="eastAsia"/>
              </w:rPr>
              <w:t>去向</w:t>
            </w:r>
          </w:p>
        </w:tc>
      </w:tr>
      <w:tr w14:paraId="411D7DF4">
        <w:tblPrEx>
          <w:tblCellMar>
            <w:top w:w="0" w:type="dxa"/>
            <w:left w:w="0" w:type="dxa"/>
            <w:bottom w:w="0" w:type="dxa"/>
            <w:right w:w="0" w:type="dxa"/>
          </w:tblCellMar>
        </w:tblPrEx>
        <w:trPr>
          <w:trHeight w:val="618" w:hRule="atLeast"/>
        </w:trPr>
        <w:tc>
          <w:tcPr>
            <w:tcW w:w="551" w:type="pct"/>
            <w:tcBorders>
              <w:top w:val="single" w:color="000000" w:sz="4" w:space="0"/>
              <w:left w:val="single" w:color="000000" w:sz="4" w:space="0"/>
              <w:right w:val="single" w:color="000000" w:sz="4" w:space="0"/>
            </w:tcBorders>
            <w:noWrap w:val="0"/>
            <w:vAlign w:val="center"/>
          </w:tcPr>
          <w:p w14:paraId="7888D8EF">
            <w:pPr>
              <w:pStyle w:val="126"/>
              <w:keepNext w:val="0"/>
              <w:keepLines w:val="0"/>
              <w:widowControl/>
              <w:suppressLineNumbers w:val="0"/>
              <w:spacing w:before="0" w:beforeAutospacing="0" w:after="0" w:afterAutospacing="0"/>
              <w:ind w:left="0" w:right="0"/>
              <w:rPr>
                <w:rFonts w:hint="default" w:cs="Times New Roman"/>
              </w:rPr>
            </w:pPr>
            <w:r>
              <w:rPr>
                <w:rFonts w:hint="eastAsia" w:hAnsi="宋体" w:cs="Times New Roman"/>
                <w:color w:val="000000"/>
                <w:sz w:val="21"/>
                <w:szCs w:val="21"/>
              </w:rPr>
              <w:t>糠醇装置</w:t>
            </w:r>
          </w:p>
        </w:tc>
        <w:tc>
          <w:tcPr>
            <w:tcW w:w="998" w:type="pct"/>
            <w:tcBorders>
              <w:top w:val="single" w:color="000000" w:sz="4" w:space="0"/>
              <w:left w:val="single" w:color="000000" w:sz="4" w:space="0"/>
              <w:right w:val="single" w:color="000000" w:sz="4" w:space="0"/>
            </w:tcBorders>
            <w:noWrap w:val="0"/>
            <w:vAlign w:val="center"/>
          </w:tcPr>
          <w:p w14:paraId="6592B9EE">
            <w:pPr>
              <w:pStyle w:val="126"/>
              <w:keepNext w:val="0"/>
              <w:keepLines w:val="0"/>
              <w:widowControl/>
              <w:suppressLineNumbers w:val="0"/>
              <w:spacing w:before="0" w:beforeAutospacing="0" w:after="0" w:afterAutospacing="0"/>
              <w:ind w:left="0" w:right="0"/>
              <w:rPr>
                <w:rFonts w:hint="eastAsia" w:cs="Times New Roman"/>
                <w:lang w:val="en-US" w:eastAsia="zh-CN"/>
              </w:rPr>
            </w:pPr>
            <w:r>
              <w:rPr>
                <w:rFonts w:hint="eastAsia" w:ascii="Times New Roman" w:hAnsi="Times New Roman" w:cs="Times New Roman"/>
                <w:bCs/>
                <w:color w:val="auto"/>
                <w:sz w:val="24"/>
                <w:lang w:eastAsia="zh-CN"/>
              </w:rPr>
              <w:t>废</w:t>
            </w:r>
            <w:r>
              <w:rPr>
                <w:rFonts w:hint="default" w:ascii="Times New Roman" w:hAnsi="Times New Roman" w:cs="Times New Roman"/>
                <w:bCs/>
                <w:color w:val="auto"/>
                <w:sz w:val="24"/>
              </w:rPr>
              <w:t>催化剂</w:t>
            </w:r>
          </w:p>
        </w:tc>
        <w:tc>
          <w:tcPr>
            <w:tcW w:w="576" w:type="pct"/>
            <w:tcBorders>
              <w:top w:val="single" w:color="000000" w:sz="4" w:space="0"/>
              <w:left w:val="single" w:color="000000" w:sz="4" w:space="0"/>
              <w:right w:val="single" w:color="000000" w:sz="4" w:space="0"/>
            </w:tcBorders>
            <w:noWrap w:val="0"/>
            <w:vAlign w:val="center"/>
          </w:tcPr>
          <w:p w14:paraId="695E6C7C">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90</w:t>
            </w:r>
          </w:p>
        </w:tc>
        <w:tc>
          <w:tcPr>
            <w:tcW w:w="948" w:type="pct"/>
            <w:vMerge w:val="restart"/>
            <w:tcBorders>
              <w:top w:val="single" w:color="000000" w:sz="4" w:space="0"/>
              <w:left w:val="single" w:color="000000" w:sz="4" w:space="0"/>
              <w:right w:val="single" w:color="000000" w:sz="4" w:space="0"/>
            </w:tcBorders>
            <w:noWrap w:val="0"/>
            <w:vAlign w:val="center"/>
          </w:tcPr>
          <w:p w14:paraId="6A6D80D8">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50</w:t>
            </w:r>
          </w:p>
          <w:p w14:paraId="6A0ED40C">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261</w:t>
            </w:r>
            <w:r>
              <w:rPr>
                <w:rFonts w:hint="default" w:cs="Times New Roman"/>
              </w:rPr>
              <w:t>-</w:t>
            </w:r>
            <w:r>
              <w:rPr>
                <w:rFonts w:hint="eastAsia" w:cs="Times New Roman"/>
                <w:lang w:val="en-US" w:eastAsia="zh-CN"/>
              </w:rPr>
              <w:t>152</w:t>
            </w:r>
            <w:r>
              <w:rPr>
                <w:rFonts w:hint="default" w:cs="Times New Roman"/>
              </w:rPr>
              <w:t>-</w:t>
            </w:r>
            <w:r>
              <w:rPr>
                <w:rFonts w:hint="eastAsia" w:cs="Times New Roman"/>
                <w:lang w:val="en-US" w:eastAsia="zh-CN"/>
              </w:rPr>
              <w:t>50</w:t>
            </w:r>
          </w:p>
        </w:tc>
        <w:tc>
          <w:tcPr>
            <w:tcW w:w="1925" w:type="pct"/>
            <w:vMerge w:val="restart"/>
            <w:tcBorders>
              <w:top w:val="single" w:color="000000" w:sz="4" w:space="0"/>
              <w:left w:val="single" w:color="000000" w:sz="4" w:space="0"/>
              <w:right w:val="single" w:color="000000" w:sz="4" w:space="0"/>
            </w:tcBorders>
            <w:noWrap w:val="0"/>
            <w:vAlign w:val="center"/>
          </w:tcPr>
          <w:p w14:paraId="096277CF">
            <w:pPr>
              <w:pStyle w:val="126"/>
              <w:keepNext w:val="0"/>
              <w:keepLines w:val="0"/>
              <w:widowControl/>
              <w:suppressLineNumbers w:val="0"/>
              <w:spacing w:before="0" w:beforeAutospacing="0" w:after="0" w:afterAutospacing="0"/>
              <w:ind w:left="0" w:right="0"/>
              <w:rPr>
                <w:rFonts w:hint="eastAsia"/>
                <w:bCs/>
                <w:sz w:val="24"/>
              </w:rPr>
            </w:pPr>
            <w:r>
              <w:rPr>
                <w:rFonts w:hint="eastAsia"/>
                <w:bCs/>
                <w:sz w:val="24"/>
              </w:rPr>
              <w:t>委托有资质</w:t>
            </w:r>
            <w:r>
              <w:rPr>
                <w:rFonts w:hint="eastAsia"/>
                <w:bCs/>
                <w:sz w:val="24"/>
                <w:lang w:eastAsia="zh-CN"/>
              </w:rPr>
              <w:t>危废处置</w:t>
            </w:r>
            <w:r>
              <w:rPr>
                <w:rFonts w:hint="eastAsia"/>
                <w:bCs/>
                <w:sz w:val="24"/>
              </w:rPr>
              <w:t>单位处理</w:t>
            </w:r>
          </w:p>
          <w:p w14:paraId="50B26868">
            <w:pPr>
              <w:pStyle w:val="126"/>
              <w:keepNext w:val="0"/>
              <w:keepLines w:val="0"/>
              <w:widowControl/>
              <w:suppressLineNumbers w:val="0"/>
              <w:spacing w:before="0" w:beforeAutospacing="0" w:after="0" w:afterAutospacing="0"/>
              <w:ind w:left="0" w:right="0"/>
              <w:rPr>
                <w:rFonts w:hint="default"/>
              </w:rPr>
            </w:pPr>
          </w:p>
        </w:tc>
      </w:tr>
      <w:tr w14:paraId="2FE9B7FB">
        <w:tblPrEx>
          <w:tblCellMar>
            <w:top w:w="0" w:type="dxa"/>
            <w:left w:w="0" w:type="dxa"/>
            <w:bottom w:w="0" w:type="dxa"/>
            <w:right w:w="0" w:type="dxa"/>
          </w:tblCellMar>
        </w:tblPrEx>
        <w:trPr>
          <w:trHeight w:val="888" w:hRule="atLeast"/>
        </w:trPr>
        <w:tc>
          <w:tcPr>
            <w:tcW w:w="551" w:type="pct"/>
            <w:tcBorders>
              <w:top w:val="single" w:color="000000" w:sz="4" w:space="0"/>
              <w:left w:val="single" w:color="000000" w:sz="4" w:space="0"/>
              <w:right w:val="single" w:color="000000" w:sz="4" w:space="0"/>
            </w:tcBorders>
            <w:noWrap w:val="0"/>
            <w:vAlign w:val="center"/>
          </w:tcPr>
          <w:p w14:paraId="199792E1">
            <w:pPr>
              <w:pStyle w:val="126"/>
              <w:keepNext w:val="0"/>
              <w:keepLines w:val="0"/>
              <w:widowControl/>
              <w:suppressLineNumbers w:val="0"/>
              <w:spacing w:before="0" w:beforeAutospacing="0" w:after="0" w:afterAutospacing="0"/>
              <w:ind w:left="0" w:right="0"/>
              <w:rPr>
                <w:rFonts w:hint="eastAsia" w:ascii="Times New Roman" w:hAnsi="Times New Roman" w:cs="Times New Roman"/>
                <w:bCs/>
                <w:color w:val="auto"/>
                <w:sz w:val="24"/>
                <w:lang w:eastAsia="zh-CN"/>
              </w:rPr>
            </w:pPr>
            <w:r>
              <w:rPr>
                <w:rFonts w:hint="eastAsia" w:hAnsi="宋体" w:cs="Times New Roman"/>
                <w:color w:val="000000"/>
                <w:sz w:val="21"/>
                <w:szCs w:val="21"/>
              </w:rPr>
              <w:t>2-甲基呋喃装置</w:t>
            </w:r>
          </w:p>
        </w:tc>
        <w:tc>
          <w:tcPr>
            <w:tcW w:w="998" w:type="pct"/>
            <w:tcBorders>
              <w:top w:val="single" w:color="000000" w:sz="4" w:space="0"/>
              <w:left w:val="single" w:color="000000" w:sz="4" w:space="0"/>
              <w:right w:val="single" w:color="000000" w:sz="4" w:space="0"/>
            </w:tcBorders>
            <w:noWrap w:val="0"/>
            <w:vAlign w:val="center"/>
          </w:tcPr>
          <w:p w14:paraId="596D5DDE">
            <w:pPr>
              <w:pStyle w:val="126"/>
              <w:keepNext w:val="0"/>
              <w:keepLines w:val="0"/>
              <w:widowControl/>
              <w:suppressLineNumbers w:val="0"/>
              <w:spacing w:before="0" w:beforeAutospacing="0" w:after="0" w:afterAutospacing="0"/>
              <w:ind w:left="0" w:right="0"/>
              <w:rPr>
                <w:rFonts w:hint="eastAsia" w:cs="Times New Roman"/>
                <w:lang w:val="en-US" w:eastAsia="zh-CN"/>
              </w:rPr>
            </w:pPr>
            <w:r>
              <w:rPr>
                <w:rFonts w:hint="eastAsia" w:ascii="Times New Roman" w:hAnsi="Times New Roman" w:cs="Times New Roman"/>
                <w:bCs/>
                <w:color w:val="auto"/>
                <w:sz w:val="24"/>
                <w:lang w:eastAsia="zh-CN"/>
              </w:rPr>
              <w:t>废</w:t>
            </w:r>
            <w:r>
              <w:rPr>
                <w:rFonts w:hint="default" w:ascii="Times New Roman" w:hAnsi="Times New Roman" w:cs="Times New Roman"/>
                <w:bCs/>
                <w:color w:val="auto"/>
                <w:sz w:val="24"/>
              </w:rPr>
              <w:t>催化剂</w:t>
            </w:r>
          </w:p>
        </w:tc>
        <w:tc>
          <w:tcPr>
            <w:tcW w:w="576" w:type="pct"/>
            <w:tcBorders>
              <w:top w:val="single" w:color="000000" w:sz="4" w:space="0"/>
              <w:left w:val="single" w:color="000000" w:sz="4" w:space="0"/>
              <w:right w:val="single" w:color="000000" w:sz="4" w:space="0"/>
            </w:tcBorders>
            <w:noWrap w:val="0"/>
            <w:vAlign w:val="center"/>
          </w:tcPr>
          <w:p w14:paraId="61313C5E">
            <w:pPr>
              <w:pStyle w:val="126"/>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12</w:t>
            </w:r>
          </w:p>
        </w:tc>
        <w:tc>
          <w:tcPr>
            <w:tcW w:w="948" w:type="pct"/>
            <w:vMerge w:val="continue"/>
            <w:tcBorders>
              <w:left w:val="single" w:color="000000" w:sz="4" w:space="0"/>
              <w:right w:val="single" w:color="000000" w:sz="4" w:space="0"/>
            </w:tcBorders>
            <w:noWrap w:val="0"/>
            <w:vAlign w:val="center"/>
          </w:tcPr>
          <w:p w14:paraId="3D7824F1">
            <w:pPr>
              <w:pStyle w:val="126"/>
              <w:keepNext w:val="0"/>
              <w:keepLines w:val="0"/>
              <w:widowControl/>
              <w:suppressLineNumbers w:val="0"/>
              <w:spacing w:before="0" w:beforeAutospacing="0" w:after="0" w:afterAutospacing="0"/>
              <w:ind w:left="0" w:right="0"/>
              <w:rPr>
                <w:rFonts w:hint="eastAsia" w:cs="Times New Roman"/>
                <w:lang w:val="en-US" w:eastAsia="zh-CN"/>
              </w:rPr>
            </w:pPr>
          </w:p>
        </w:tc>
        <w:tc>
          <w:tcPr>
            <w:tcW w:w="1925" w:type="pct"/>
            <w:vMerge w:val="continue"/>
            <w:tcBorders>
              <w:left w:val="single" w:color="000000" w:sz="4" w:space="0"/>
              <w:right w:val="single" w:color="000000" w:sz="4" w:space="0"/>
            </w:tcBorders>
            <w:noWrap w:val="0"/>
            <w:vAlign w:val="center"/>
          </w:tcPr>
          <w:p w14:paraId="3C287F42">
            <w:pPr>
              <w:pStyle w:val="126"/>
              <w:keepNext w:val="0"/>
              <w:keepLines w:val="0"/>
              <w:widowControl/>
              <w:suppressLineNumbers w:val="0"/>
              <w:spacing w:before="0" w:beforeAutospacing="0" w:after="0" w:afterAutospacing="0"/>
              <w:ind w:left="0" w:right="0"/>
              <w:rPr>
                <w:rFonts w:hint="default" w:ascii="Times New Roman" w:hAnsi="Times New Roman" w:cs="Times New Roman"/>
                <w:bCs/>
                <w:color w:val="auto"/>
                <w:sz w:val="24"/>
              </w:rPr>
            </w:pPr>
          </w:p>
        </w:tc>
      </w:tr>
      <w:tr w14:paraId="440A5B34">
        <w:tblPrEx>
          <w:tblCellMar>
            <w:top w:w="0" w:type="dxa"/>
            <w:left w:w="0" w:type="dxa"/>
            <w:bottom w:w="0" w:type="dxa"/>
            <w:right w:w="0" w:type="dxa"/>
          </w:tblCellMar>
        </w:tblPrEx>
        <w:trPr>
          <w:trHeight w:val="389"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5AF214A5">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eastAsia="宋体"/>
                <w:lang w:eastAsia="zh-CN"/>
              </w:rPr>
              <w:t>活性炭吸附装置</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05925BD2">
            <w:pPr>
              <w:pStyle w:val="126"/>
              <w:keepNext w:val="0"/>
              <w:keepLines w:val="0"/>
              <w:widowControl/>
              <w:suppressLineNumbers w:val="0"/>
              <w:spacing w:before="0" w:beforeAutospacing="0" w:after="0" w:afterAutospacing="0"/>
              <w:ind w:left="0" w:right="0"/>
              <w:rPr>
                <w:rFonts w:hint="eastAsia" w:eastAsia="宋体" w:cs="Times New Roman"/>
                <w:lang w:val="en-US" w:eastAsia="zh-CN"/>
              </w:rPr>
            </w:pPr>
            <w:r>
              <w:rPr>
                <w:rFonts w:hint="eastAsia"/>
                <w:lang w:eastAsia="zh-CN"/>
              </w:rPr>
              <w:t>废活性炭</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A148EAA">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eastAsia="宋体" w:cs="Times New Roman"/>
                <w:lang w:val="en-US" w:eastAsia="zh-CN"/>
              </w:rPr>
              <w:t>2.0</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133744D4">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49</w:t>
            </w:r>
          </w:p>
          <w:p w14:paraId="6D9B9E67">
            <w:pPr>
              <w:pStyle w:val="126"/>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900-039-49</w:t>
            </w:r>
          </w:p>
        </w:tc>
        <w:tc>
          <w:tcPr>
            <w:tcW w:w="1925" w:type="pct"/>
            <w:vMerge w:val="restart"/>
            <w:tcBorders>
              <w:top w:val="single" w:color="000000" w:sz="4" w:space="0"/>
              <w:left w:val="single" w:color="000000" w:sz="4" w:space="0"/>
              <w:right w:val="single" w:color="000000" w:sz="4" w:space="0"/>
            </w:tcBorders>
            <w:noWrap w:val="0"/>
            <w:vAlign w:val="center"/>
          </w:tcPr>
          <w:p w14:paraId="2DEA0DEC">
            <w:pPr>
              <w:pStyle w:val="126"/>
              <w:keepNext w:val="0"/>
              <w:keepLines w:val="0"/>
              <w:widowControl/>
              <w:suppressLineNumbers w:val="0"/>
              <w:spacing w:before="0" w:beforeAutospacing="0" w:after="0" w:afterAutospacing="0"/>
              <w:ind w:left="0" w:right="0"/>
              <w:rPr>
                <w:rFonts w:hint="eastAsia"/>
                <w:bCs/>
                <w:sz w:val="24"/>
              </w:rPr>
            </w:pPr>
            <w:r>
              <w:rPr>
                <w:rFonts w:hint="eastAsia"/>
                <w:bCs/>
                <w:sz w:val="24"/>
              </w:rPr>
              <w:t>委托有资质</w:t>
            </w:r>
            <w:r>
              <w:rPr>
                <w:rFonts w:hint="eastAsia"/>
                <w:bCs/>
                <w:sz w:val="24"/>
                <w:lang w:eastAsia="zh-CN"/>
              </w:rPr>
              <w:t>危废处置</w:t>
            </w:r>
            <w:r>
              <w:rPr>
                <w:rFonts w:hint="eastAsia"/>
                <w:bCs/>
                <w:sz w:val="24"/>
              </w:rPr>
              <w:t>单位处理</w:t>
            </w:r>
          </w:p>
          <w:p w14:paraId="2860B1D9">
            <w:pPr>
              <w:pStyle w:val="126"/>
              <w:keepNext w:val="0"/>
              <w:keepLines w:val="0"/>
              <w:widowControl/>
              <w:suppressLineNumbers w:val="0"/>
              <w:spacing w:before="0" w:beforeAutospacing="0" w:after="0" w:afterAutospacing="0"/>
              <w:ind w:left="0" w:right="0"/>
              <w:rPr>
                <w:rFonts w:hint="default"/>
              </w:rPr>
            </w:pPr>
          </w:p>
        </w:tc>
      </w:tr>
      <w:tr w14:paraId="37F85365">
        <w:tblPrEx>
          <w:tblCellMar>
            <w:top w:w="0" w:type="dxa"/>
            <w:left w:w="0" w:type="dxa"/>
            <w:bottom w:w="0" w:type="dxa"/>
            <w:right w:w="0" w:type="dxa"/>
          </w:tblCellMar>
        </w:tblPrEx>
        <w:trPr>
          <w:trHeight w:val="387" w:hRule="atLeast"/>
        </w:trPr>
        <w:tc>
          <w:tcPr>
            <w:tcW w:w="551" w:type="pct"/>
            <w:vMerge w:val="restart"/>
            <w:tcBorders>
              <w:top w:val="single" w:color="000000" w:sz="4" w:space="0"/>
              <w:left w:val="single" w:color="000000" w:sz="4" w:space="0"/>
              <w:right w:val="single" w:color="000000" w:sz="4" w:space="0"/>
            </w:tcBorders>
            <w:noWrap w:val="0"/>
            <w:vAlign w:val="center"/>
          </w:tcPr>
          <w:p w14:paraId="2DABA024">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hAnsi="宋体" w:cs="Times New Roman"/>
                <w:color w:val="000000"/>
                <w:sz w:val="21"/>
                <w:szCs w:val="21"/>
              </w:rPr>
              <w:t>2-甲基呋喃装置</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788E7F93">
            <w:pPr>
              <w:pStyle w:val="126"/>
              <w:keepNext w:val="0"/>
              <w:keepLines w:val="0"/>
              <w:widowControl/>
              <w:suppressLineNumbers w:val="0"/>
              <w:spacing w:before="0" w:beforeAutospacing="0" w:after="0" w:afterAutospacing="0"/>
              <w:ind w:left="0" w:right="0"/>
              <w:rPr>
                <w:rFonts w:hint="default" w:cs="Times New Roman"/>
              </w:rPr>
            </w:pPr>
            <w:r>
              <w:rPr>
                <w:rFonts w:hint="eastAsia" w:hAnsi="宋体" w:cs="Times New Roman"/>
                <w:color w:val="000000"/>
                <w:sz w:val="21"/>
                <w:szCs w:val="21"/>
              </w:rPr>
              <w:t>废氯化钙</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7036DF5F">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8.4</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0451FAFC">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06</w:t>
            </w:r>
          </w:p>
          <w:p w14:paraId="67CB63D3">
            <w:pPr>
              <w:pStyle w:val="126"/>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900-407-06</w:t>
            </w:r>
          </w:p>
        </w:tc>
        <w:tc>
          <w:tcPr>
            <w:tcW w:w="1925" w:type="pct"/>
            <w:vMerge w:val="continue"/>
            <w:tcBorders>
              <w:left w:val="single" w:color="000000" w:sz="4" w:space="0"/>
              <w:right w:val="single" w:color="000000" w:sz="4" w:space="0"/>
            </w:tcBorders>
            <w:noWrap w:val="0"/>
            <w:vAlign w:val="center"/>
          </w:tcPr>
          <w:p w14:paraId="64435734">
            <w:pPr>
              <w:pStyle w:val="126"/>
              <w:keepNext w:val="0"/>
              <w:keepLines w:val="0"/>
              <w:widowControl/>
              <w:suppressLineNumbers w:val="0"/>
              <w:spacing w:before="0" w:beforeAutospacing="0" w:after="0" w:afterAutospacing="0"/>
              <w:ind w:left="0" w:right="0"/>
              <w:rPr>
                <w:rFonts w:hint="default"/>
              </w:rPr>
            </w:pPr>
          </w:p>
        </w:tc>
      </w:tr>
      <w:tr w14:paraId="42764461">
        <w:tblPrEx>
          <w:tblCellMar>
            <w:top w:w="0" w:type="dxa"/>
            <w:left w:w="0" w:type="dxa"/>
            <w:bottom w:w="0" w:type="dxa"/>
            <w:right w:w="0" w:type="dxa"/>
          </w:tblCellMar>
        </w:tblPrEx>
        <w:trPr>
          <w:trHeight w:val="387" w:hRule="atLeast"/>
        </w:trPr>
        <w:tc>
          <w:tcPr>
            <w:tcW w:w="551" w:type="pct"/>
            <w:vMerge w:val="continue"/>
            <w:tcBorders>
              <w:left w:val="single" w:color="000000" w:sz="4" w:space="0"/>
              <w:bottom w:val="single" w:color="000000" w:sz="4" w:space="0"/>
              <w:right w:val="single" w:color="000000" w:sz="4" w:space="0"/>
            </w:tcBorders>
            <w:noWrap w:val="0"/>
            <w:vAlign w:val="center"/>
          </w:tcPr>
          <w:p w14:paraId="7349267F">
            <w:pPr>
              <w:pStyle w:val="126"/>
              <w:keepNext w:val="0"/>
              <w:keepLines w:val="0"/>
              <w:widowControl/>
              <w:suppressLineNumbers w:val="0"/>
              <w:spacing w:before="0" w:beforeAutospacing="0" w:after="0" w:afterAutospacing="0"/>
              <w:ind w:left="0" w:right="0"/>
              <w:rPr>
                <w:rFonts w:hint="eastAsia" w:eastAsia="宋体"/>
                <w:lang w:eastAsia="zh-CN"/>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487DF539">
            <w:pPr>
              <w:pStyle w:val="126"/>
              <w:keepNext w:val="0"/>
              <w:keepLines w:val="0"/>
              <w:widowControl/>
              <w:suppressLineNumbers w:val="0"/>
              <w:spacing w:before="0" w:beforeAutospacing="0" w:after="0" w:afterAutospacing="0"/>
              <w:ind w:left="0" w:right="0"/>
              <w:rPr>
                <w:rFonts w:hint="eastAsia" w:cs="Times New Roman"/>
                <w:lang w:val="en-US" w:eastAsia="zh-CN"/>
              </w:rPr>
            </w:pPr>
            <w:r>
              <w:rPr>
                <w:rFonts w:hint="eastAsia" w:cs="Times New Roman"/>
                <w:lang w:val="en-US" w:eastAsia="zh-CN"/>
              </w:rPr>
              <w:t>糠醛聚合物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1594CFE0">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24.6</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4E6639DC">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06</w:t>
            </w:r>
          </w:p>
          <w:p w14:paraId="2E6F392F">
            <w:pPr>
              <w:pStyle w:val="126"/>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900-407- 06</w:t>
            </w:r>
          </w:p>
        </w:tc>
        <w:tc>
          <w:tcPr>
            <w:tcW w:w="1925" w:type="pct"/>
            <w:vMerge w:val="continue"/>
            <w:tcBorders>
              <w:left w:val="single" w:color="000000" w:sz="4" w:space="0"/>
              <w:right w:val="single" w:color="000000" w:sz="4" w:space="0"/>
            </w:tcBorders>
            <w:noWrap w:val="0"/>
            <w:vAlign w:val="center"/>
          </w:tcPr>
          <w:p w14:paraId="002922E9">
            <w:pPr>
              <w:pStyle w:val="126"/>
              <w:keepNext w:val="0"/>
              <w:keepLines w:val="0"/>
              <w:widowControl/>
              <w:suppressLineNumbers w:val="0"/>
              <w:spacing w:before="0" w:beforeAutospacing="0" w:after="0" w:afterAutospacing="0"/>
              <w:ind w:left="0" w:right="0"/>
              <w:rPr>
                <w:rFonts w:hint="default"/>
              </w:rPr>
            </w:pPr>
          </w:p>
        </w:tc>
      </w:tr>
      <w:tr w14:paraId="57E7535A">
        <w:tblPrEx>
          <w:tblCellMar>
            <w:top w:w="0" w:type="dxa"/>
            <w:left w:w="0" w:type="dxa"/>
            <w:bottom w:w="0" w:type="dxa"/>
            <w:right w:w="0" w:type="dxa"/>
          </w:tblCellMar>
        </w:tblPrEx>
        <w:trPr>
          <w:trHeight w:val="387" w:hRule="atLeast"/>
        </w:trPr>
        <w:tc>
          <w:tcPr>
            <w:tcW w:w="551" w:type="pct"/>
            <w:vMerge w:val="restart"/>
            <w:tcBorders>
              <w:top w:val="single" w:color="000000" w:sz="4" w:space="0"/>
              <w:left w:val="single" w:color="000000" w:sz="4" w:space="0"/>
              <w:right w:val="single" w:color="000000" w:sz="4" w:space="0"/>
            </w:tcBorders>
            <w:noWrap w:val="0"/>
            <w:vAlign w:val="center"/>
          </w:tcPr>
          <w:p w14:paraId="561DF4E4">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装置区</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52C1D11D">
            <w:pPr>
              <w:pStyle w:val="126"/>
              <w:keepNext w:val="0"/>
              <w:keepLines w:val="0"/>
              <w:widowControl/>
              <w:suppressLineNumbers w:val="0"/>
              <w:spacing w:before="0" w:beforeAutospacing="0" w:after="0" w:afterAutospacing="0"/>
              <w:ind w:left="0" w:right="0"/>
              <w:rPr>
                <w:rFonts w:hint="eastAsia" w:cs="Times New Roman"/>
                <w:lang w:val="en-US" w:eastAsia="zh-CN"/>
              </w:rPr>
            </w:pPr>
            <w:r>
              <w:rPr>
                <w:rFonts w:hint="eastAsia"/>
                <w:lang w:eastAsia="zh-CN"/>
              </w:rPr>
              <w:t>沾染物料的包装物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40714DEB">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0.05</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58940462">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49</w:t>
            </w:r>
          </w:p>
          <w:p w14:paraId="610B7516">
            <w:pPr>
              <w:pStyle w:val="126"/>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900-041- 49</w:t>
            </w:r>
          </w:p>
        </w:tc>
        <w:tc>
          <w:tcPr>
            <w:tcW w:w="1925" w:type="pct"/>
            <w:vMerge w:val="continue"/>
            <w:tcBorders>
              <w:left w:val="single" w:color="000000" w:sz="4" w:space="0"/>
              <w:right w:val="single" w:color="000000" w:sz="4" w:space="0"/>
            </w:tcBorders>
            <w:noWrap w:val="0"/>
            <w:vAlign w:val="center"/>
          </w:tcPr>
          <w:p w14:paraId="72E7B825">
            <w:pPr>
              <w:pStyle w:val="126"/>
              <w:keepNext w:val="0"/>
              <w:keepLines w:val="0"/>
              <w:widowControl/>
              <w:suppressLineNumbers w:val="0"/>
              <w:spacing w:before="0" w:beforeAutospacing="0" w:after="0" w:afterAutospacing="0"/>
              <w:ind w:left="0" w:right="0"/>
              <w:rPr>
                <w:rFonts w:hint="default"/>
              </w:rPr>
            </w:pPr>
          </w:p>
        </w:tc>
      </w:tr>
      <w:tr w14:paraId="14D89E56">
        <w:tblPrEx>
          <w:tblCellMar>
            <w:top w:w="0" w:type="dxa"/>
            <w:left w:w="0" w:type="dxa"/>
            <w:bottom w:w="0" w:type="dxa"/>
            <w:right w:w="0" w:type="dxa"/>
          </w:tblCellMar>
        </w:tblPrEx>
        <w:trPr>
          <w:trHeight w:val="387" w:hRule="atLeast"/>
        </w:trPr>
        <w:tc>
          <w:tcPr>
            <w:tcW w:w="551" w:type="pct"/>
            <w:vMerge w:val="continue"/>
            <w:tcBorders>
              <w:left w:val="single" w:color="000000" w:sz="4" w:space="0"/>
              <w:right w:val="single" w:color="000000" w:sz="4" w:space="0"/>
            </w:tcBorders>
            <w:noWrap w:val="0"/>
            <w:vAlign w:val="center"/>
          </w:tcPr>
          <w:p w14:paraId="24AE442D">
            <w:pPr>
              <w:pStyle w:val="126"/>
              <w:keepNext w:val="0"/>
              <w:keepLines w:val="0"/>
              <w:widowControl/>
              <w:suppressLineNumbers w:val="0"/>
              <w:spacing w:before="0" w:beforeAutospacing="0" w:after="0" w:afterAutospacing="0"/>
              <w:ind w:left="0" w:right="0"/>
              <w:rPr>
                <w:rFonts w:hint="default"/>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0CA97BF2">
            <w:pPr>
              <w:pStyle w:val="126"/>
              <w:keepNext w:val="0"/>
              <w:keepLines w:val="0"/>
              <w:widowControl/>
              <w:suppressLineNumbers w:val="0"/>
              <w:spacing w:before="0" w:beforeAutospacing="0" w:after="0" w:afterAutospacing="0"/>
              <w:ind w:left="0" w:right="0"/>
              <w:rPr>
                <w:rFonts w:hint="eastAsia"/>
                <w:lang w:eastAsia="zh-CN"/>
              </w:rPr>
            </w:pPr>
            <w:r>
              <w:rPr>
                <w:rFonts w:hint="eastAsia"/>
                <w:lang w:eastAsia="zh-CN"/>
              </w:rPr>
              <w:t>废机油</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4224472">
            <w:pPr>
              <w:pStyle w:val="126"/>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0.1</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0F3A1477">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08</w:t>
            </w:r>
          </w:p>
          <w:p w14:paraId="1DFB2F29">
            <w:pPr>
              <w:pStyle w:val="126"/>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900-249- 08</w:t>
            </w:r>
          </w:p>
        </w:tc>
        <w:tc>
          <w:tcPr>
            <w:tcW w:w="1925" w:type="pct"/>
            <w:vMerge w:val="continue"/>
            <w:tcBorders>
              <w:left w:val="single" w:color="000000" w:sz="4" w:space="0"/>
              <w:right w:val="single" w:color="000000" w:sz="4" w:space="0"/>
            </w:tcBorders>
            <w:noWrap w:val="0"/>
            <w:vAlign w:val="center"/>
          </w:tcPr>
          <w:p w14:paraId="0ED95A9D">
            <w:pPr>
              <w:pStyle w:val="126"/>
              <w:keepNext w:val="0"/>
              <w:keepLines w:val="0"/>
              <w:widowControl/>
              <w:suppressLineNumbers w:val="0"/>
              <w:spacing w:before="0" w:beforeAutospacing="0" w:after="0" w:afterAutospacing="0"/>
              <w:ind w:left="0" w:right="0"/>
              <w:rPr>
                <w:rFonts w:hint="default"/>
              </w:rPr>
            </w:pPr>
          </w:p>
        </w:tc>
      </w:tr>
      <w:tr w14:paraId="7E920F2F">
        <w:tblPrEx>
          <w:tblCellMar>
            <w:top w:w="0" w:type="dxa"/>
            <w:left w:w="0" w:type="dxa"/>
            <w:bottom w:w="0" w:type="dxa"/>
            <w:right w:w="0" w:type="dxa"/>
          </w:tblCellMar>
        </w:tblPrEx>
        <w:trPr>
          <w:trHeight w:val="537" w:hRule="atLeast"/>
        </w:trPr>
        <w:tc>
          <w:tcPr>
            <w:tcW w:w="551" w:type="pct"/>
            <w:vMerge w:val="continue"/>
            <w:tcBorders>
              <w:left w:val="single" w:color="000000" w:sz="4" w:space="0"/>
              <w:bottom w:val="single" w:color="000000" w:sz="4" w:space="0"/>
              <w:right w:val="single" w:color="000000" w:sz="4" w:space="0"/>
            </w:tcBorders>
            <w:noWrap w:val="0"/>
            <w:vAlign w:val="center"/>
          </w:tcPr>
          <w:p w14:paraId="026BFB34">
            <w:pPr>
              <w:pStyle w:val="126"/>
              <w:keepNext w:val="0"/>
              <w:keepLines w:val="0"/>
              <w:widowControl/>
              <w:suppressLineNumbers w:val="0"/>
              <w:spacing w:before="0" w:beforeAutospacing="0" w:after="0" w:afterAutospacing="0"/>
              <w:ind w:left="0" w:right="0"/>
              <w:rPr>
                <w:rFonts w:hint="eastAsia" w:eastAsia="宋体"/>
                <w:lang w:eastAsia="zh-CN"/>
              </w:rPr>
            </w:pP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5AF8004B">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lang w:eastAsia="zh-CN"/>
              </w:rPr>
              <w:t>旧岩棉、包装物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9F2B307">
            <w:pPr>
              <w:pStyle w:val="126"/>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lang w:val="en-US" w:eastAsia="zh-CN"/>
              </w:rPr>
              <w:t>20</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25FAD628">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rPr>
              <w:t>一般固</w:t>
            </w:r>
            <w:r>
              <w:rPr>
                <w:rFonts w:hint="eastAsia"/>
                <w:lang w:eastAsia="zh-CN"/>
              </w:rPr>
              <w:t>体</w:t>
            </w:r>
            <w:r>
              <w:rPr>
                <w:rFonts w:hint="eastAsia"/>
              </w:rPr>
              <w:t>废</w:t>
            </w:r>
            <w:r>
              <w:rPr>
                <w:rFonts w:hint="eastAsia"/>
                <w:lang w:eastAsia="zh-CN"/>
              </w:rPr>
              <w:t>物</w:t>
            </w:r>
          </w:p>
        </w:tc>
        <w:tc>
          <w:tcPr>
            <w:tcW w:w="1925" w:type="pct"/>
            <w:vMerge w:val="continue"/>
            <w:tcBorders>
              <w:left w:val="single" w:color="000000" w:sz="4" w:space="0"/>
              <w:right w:val="single" w:color="000000" w:sz="4" w:space="0"/>
            </w:tcBorders>
            <w:noWrap w:val="0"/>
            <w:vAlign w:val="center"/>
          </w:tcPr>
          <w:p w14:paraId="2111DAA8">
            <w:pPr>
              <w:pStyle w:val="126"/>
              <w:keepNext w:val="0"/>
              <w:keepLines w:val="0"/>
              <w:widowControl/>
              <w:suppressLineNumbers w:val="0"/>
              <w:spacing w:before="0" w:beforeAutospacing="0" w:after="0" w:afterAutospacing="0"/>
              <w:ind w:left="0" w:right="0"/>
              <w:rPr>
                <w:rFonts w:hint="default"/>
              </w:rPr>
            </w:pPr>
          </w:p>
        </w:tc>
      </w:tr>
      <w:tr w14:paraId="33901899">
        <w:tblPrEx>
          <w:tblCellMar>
            <w:top w:w="0" w:type="dxa"/>
            <w:left w:w="0" w:type="dxa"/>
            <w:bottom w:w="0" w:type="dxa"/>
            <w:right w:w="0" w:type="dxa"/>
          </w:tblCellMar>
        </w:tblPrEx>
        <w:trPr>
          <w:trHeight w:val="507"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5983235C">
            <w:pPr>
              <w:pStyle w:val="126"/>
              <w:keepNext w:val="0"/>
              <w:keepLines w:val="0"/>
              <w:widowControl/>
              <w:suppressLineNumbers w:val="0"/>
              <w:spacing w:before="0" w:beforeAutospacing="0" w:after="0" w:afterAutospacing="0"/>
              <w:ind w:left="0" w:right="0"/>
              <w:rPr>
                <w:rFonts w:hint="default"/>
              </w:rPr>
            </w:pPr>
            <w:r>
              <w:rPr>
                <w:rFonts w:hint="eastAsia" w:hAnsi="宋体" w:cs="Times New Roman"/>
                <w:color w:val="000000"/>
                <w:sz w:val="21"/>
                <w:szCs w:val="21"/>
              </w:rPr>
              <w:t>糠醇装置精馏重组分</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7CF333AA">
            <w:pPr>
              <w:pStyle w:val="126"/>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高沸物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5B118855">
            <w:pPr>
              <w:pStyle w:val="126"/>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200</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246D35ED">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11</w:t>
            </w:r>
          </w:p>
          <w:p w14:paraId="64A99A8A">
            <w:pPr>
              <w:pStyle w:val="126"/>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lang w:val="en-US" w:eastAsia="zh-CN"/>
              </w:rPr>
              <w:t>900-013-11</w:t>
            </w:r>
          </w:p>
        </w:tc>
        <w:tc>
          <w:tcPr>
            <w:tcW w:w="1925" w:type="pct"/>
            <w:vMerge w:val="continue"/>
            <w:tcBorders>
              <w:left w:val="single" w:color="000000" w:sz="4" w:space="0"/>
              <w:right w:val="single" w:color="000000" w:sz="4" w:space="0"/>
            </w:tcBorders>
            <w:noWrap w:val="0"/>
            <w:vAlign w:val="center"/>
          </w:tcPr>
          <w:p w14:paraId="32F78590">
            <w:pPr>
              <w:pStyle w:val="126"/>
              <w:keepNext w:val="0"/>
              <w:keepLines w:val="0"/>
              <w:widowControl/>
              <w:suppressLineNumbers w:val="0"/>
              <w:spacing w:before="0" w:beforeAutospacing="0" w:after="0" w:afterAutospacing="0"/>
              <w:ind w:left="0" w:right="0"/>
              <w:rPr>
                <w:rFonts w:hint="default"/>
              </w:rPr>
            </w:pPr>
          </w:p>
        </w:tc>
      </w:tr>
      <w:tr w14:paraId="708B4AC0">
        <w:tblPrEx>
          <w:tblCellMar>
            <w:top w:w="0" w:type="dxa"/>
            <w:left w:w="0" w:type="dxa"/>
            <w:bottom w:w="0" w:type="dxa"/>
            <w:right w:w="0" w:type="dxa"/>
          </w:tblCellMar>
        </w:tblPrEx>
        <w:trPr>
          <w:trHeight w:val="507"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361D74FA">
            <w:pPr>
              <w:pStyle w:val="126"/>
              <w:keepNext w:val="0"/>
              <w:keepLines w:val="0"/>
              <w:widowControl/>
              <w:suppressLineNumbers w:val="0"/>
              <w:spacing w:before="0" w:beforeAutospacing="0" w:after="0" w:afterAutospacing="0"/>
              <w:ind w:left="0" w:right="0"/>
              <w:rPr>
                <w:rFonts w:hint="eastAsia" w:hAnsi="宋体" w:cs="Times New Roman"/>
                <w:color w:val="000000"/>
                <w:sz w:val="21"/>
                <w:szCs w:val="21"/>
              </w:rPr>
            </w:pPr>
            <w:r>
              <w:rPr>
                <w:rFonts w:hint="eastAsia" w:hAnsi="宋体" w:cs="Times New Roman"/>
                <w:color w:val="000000"/>
                <w:sz w:val="21"/>
                <w:szCs w:val="21"/>
              </w:rPr>
              <w:t>2-甲基呋喃装置</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20346575">
            <w:pPr>
              <w:pStyle w:val="126"/>
              <w:keepNext w:val="0"/>
              <w:keepLines w:val="0"/>
              <w:widowControl/>
              <w:suppressLineNumbers w:val="0"/>
              <w:spacing w:before="0" w:beforeAutospacing="0" w:after="0" w:afterAutospacing="0"/>
              <w:ind w:left="0" w:right="0"/>
              <w:rPr>
                <w:rFonts w:hint="eastAsia" w:cs="Times New Roman"/>
                <w:color w:val="000000"/>
                <w:kern w:val="2"/>
                <w:sz w:val="21"/>
                <w:szCs w:val="21"/>
                <w:lang w:val="en-US" w:eastAsia="zh-CN" w:bidi="ar-SA"/>
              </w:rPr>
            </w:pPr>
            <w:r>
              <w:rPr>
                <w:rFonts w:hint="eastAsia" w:cs="Times New Roman"/>
                <w:color w:val="000000"/>
                <w:kern w:val="2"/>
                <w:sz w:val="21"/>
                <w:szCs w:val="21"/>
                <w:lang w:val="en-US" w:eastAsia="zh-CN" w:bidi="ar-SA"/>
              </w:rPr>
              <w:t>废有机溶剂</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935F4AE">
            <w:pPr>
              <w:pStyle w:val="126"/>
              <w:keepNext w:val="0"/>
              <w:keepLines w:val="0"/>
              <w:widowControl/>
              <w:suppressLineNumbers w:val="0"/>
              <w:spacing w:before="0" w:beforeAutospacing="0" w:after="0" w:afterAutospacing="0"/>
              <w:ind w:left="0" w:right="0"/>
              <w:rPr>
                <w:rFonts w:hint="default" w:cs="Times New Roman"/>
                <w:color w:val="000000"/>
                <w:kern w:val="2"/>
                <w:sz w:val="21"/>
                <w:szCs w:val="21"/>
                <w:lang w:val="en-US" w:eastAsia="zh-CN" w:bidi="ar-SA"/>
              </w:rPr>
            </w:pPr>
            <w:r>
              <w:rPr>
                <w:rFonts w:hint="eastAsia" w:cs="Times New Roman"/>
                <w:color w:val="000000"/>
                <w:kern w:val="2"/>
                <w:sz w:val="21"/>
                <w:szCs w:val="21"/>
                <w:lang w:val="en-US" w:eastAsia="zh-CN" w:bidi="ar-SA"/>
              </w:rPr>
              <w:t>800</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35B86709">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06</w:t>
            </w:r>
          </w:p>
          <w:p w14:paraId="319CE418">
            <w:pPr>
              <w:pStyle w:val="126"/>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900-404-06</w:t>
            </w:r>
          </w:p>
        </w:tc>
        <w:tc>
          <w:tcPr>
            <w:tcW w:w="1925" w:type="pct"/>
            <w:vMerge w:val="continue"/>
            <w:tcBorders>
              <w:left w:val="single" w:color="000000" w:sz="4" w:space="0"/>
              <w:bottom w:val="single" w:color="000000" w:sz="4" w:space="0"/>
              <w:right w:val="single" w:color="000000" w:sz="4" w:space="0"/>
            </w:tcBorders>
            <w:noWrap w:val="0"/>
            <w:vAlign w:val="center"/>
          </w:tcPr>
          <w:p w14:paraId="05D2A2C7">
            <w:pPr>
              <w:pStyle w:val="126"/>
              <w:keepNext w:val="0"/>
              <w:keepLines w:val="0"/>
              <w:widowControl/>
              <w:suppressLineNumbers w:val="0"/>
              <w:spacing w:before="0" w:beforeAutospacing="0" w:after="0" w:afterAutospacing="0"/>
              <w:ind w:left="0" w:right="0"/>
              <w:rPr>
                <w:rFonts w:hint="default"/>
              </w:rPr>
            </w:pPr>
          </w:p>
        </w:tc>
      </w:tr>
      <w:tr w14:paraId="587A0CE8">
        <w:tblPrEx>
          <w:tblCellMar>
            <w:top w:w="0" w:type="dxa"/>
            <w:left w:w="0" w:type="dxa"/>
            <w:bottom w:w="0" w:type="dxa"/>
            <w:right w:w="0" w:type="dxa"/>
          </w:tblCellMar>
        </w:tblPrEx>
        <w:trPr>
          <w:trHeight w:val="507"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35E98134">
            <w:pPr>
              <w:pStyle w:val="126"/>
              <w:keepNext w:val="0"/>
              <w:keepLines w:val="0"/>
              <w:widowControl/>
              <w:suppressLineNumbers w:val="0"/>
              <w:spacing w:before="0" w:beforeAutospacing="0" w:after="0" w:afterAutospacing="0"/>
              <w:ind w:left="0" w:right="0"/>
              <w:rPr>
                <w:rFonts w:hint="default"/>
              </w:rPr>
            </w:pPr>
            <w:r>
              <w:rPr>
                <w:rFonts w:hint="eastAsia" w:hAnsi="宋体" w:cs="Times New Roman"/>
                <w:color w:val="000000"/>
                <w:sz w:val="21"/>
                <w:szCs w:val="21"/>
              </w:rPr>
              <w:t>2-甲基呋喃装置精馏高沸物</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10B31E11">
            <w:pPr>
              <w:pStyle w:val="126"/>
              <w:keepNext w:val="0"/>
              <w:keepLines w:val="0"/>
              <w:widowControl/>
              <w:suppressLineNumbers w:val="0"/>
              <w:spacing w:before="0" w:beforeAutospacing="0" w:after="0" w:afterAutospacing="0"/>
              <w:ind w:left="0" w:right="0"/>
              <w:rPr>
                <w:rFonts w:hint="eastAsia"/>
              </w:rPr>
            </w:pPr>
            <w:r>
              <w:rPr>
                <w:rFonts w:hint="eastAsia" w:cs="Times New Roman"/>
                <w:color w:val="000000"/>
                <w:kern w:val="2"/>
                <w:sz w:val="21"/>
                <w:szCs w:val="21"/>
                <w:lang w:val="en-US" w:eastAsia="zh-CN" w:bidi="ar-SA"/>
              </w:rPr>
              <w:t>高沸物</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0460FA33">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593.1</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49D58315">
            <w:pPr>
              <w:pStyle w:val="126"/>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11</w:t>
            </w:r>
          </w:p>
          <w:p w14:paraId="33A1BF92">
            <w:pPr>
              <w:pStyle w:val="126"/>
              <w:keepNext w:val="0"/>
              <w:keepLines w:val="0"/>
              <w:widowControl/>
              <w:suppressLineNumbers w:val="0"/>
              <w:spacing w:before="0" w:beforeAutospacing="0" w:after="0" w:afterAutospacing="0"/>
              <w:ind w:left="0" w:right="0"/>
              <w:rPr>
                <w:rFonts w:hint="eastAsia"/>
              </w:rPr>
            </w:pPr>
            <w:r>
              <w:rPr>
                <w:rFonts w:hint="eastAsia"/>
                <w:lang w:val="en-US" w:eastAsia="zh-CN"/>
              </w:rPr>
              <w:t>900-013-11</w:t>
            </w:r>
          </w:p>
        </w:tc>
        <w:tc>
          <w:tcPr>
            <w:tcW w:w="1925" w:type="pct"/>
            <w:tcBorders>
              <w:top w:val="single" w:color="000000" w:sz="4" w:space="0"/>
              <w:left w:val="single" w:color="000000" w:sz="4" w:space="0"/>
              <w:bottom w:val="single" w:color="000000" w:sz="4" w:space="0"/>
              <w:right w:val="single" w:color="000000" w:sz="4" w:space="0"/>
            </w:tcBorders>
            <w:noWrap w:val="0"/>
            <w:vAlign w:val="center"/>
          </w:tcPr>
          <w:p w14:paraId="026EFA55">
            <w:pPr>
              <w:pStyle w:val="126"/>
              <w:keepNext w:val="0"/>
              <w:keepLines w:val="0"/>
              <w:widowControl/>
              <w:suppressLineNumbers w:val="0"/>
              <w:spacing w:before="0" w:beforeAutospacing="0" w:after="0" w:afterAutospacing="0"/>
              <w:ind w:left="0" w:right="0"/>
              <w:rPr>
                <w:rFonts w:hint="eastAsia"/>
              </w:rPr>
            </w:pPr>
            <w:r>
              <w:rPr>
                <w:rFonts w:hint="eastAsia" w:cs="Times New Roman"/>
                <w:color w:val="000000"/>
                <w:sz w:val="21"/>
                <w:szCs w:val="21"/>
              </w:rPr>
              <w:t>送高沸物储罐暂存后送糠醇装置回用</w:t>
            </w:r>
          </w:p>
        </w:tc>
      </w:tr>
      <w:tr w14:paraId="617D6597">
        <w:tblPrEx>
          <w:tblCellMar>
            <w:top w:w="0" w:type="dxa"/>
            <w:left w:w="0" w:type="dxa"/>
            <w:bottom w:w="0" w:type="dxa"/>
            <w:right w:w="0" w:type="dxa"/>
          </w:tblCellMar>
        </w:tblPrEx>
        <w:trPr>
          <w:trHeight w:val="507" w:hRule="atLeast"/>
        </w:trPr>
        <w:tc>
          <w:tcPr>
            <w:tcW w:w="551" w:type="pct"/>
            <w:tcBorders>
              <w:top w:val="single" w:color="000000" w:sz="4" w:space="0"/>
              <w:left w:val="single" w:color="000000" w:sz="4" w:space="0"/>
              <w:bottom w:val="single" w:color="000000" w:sz="4" w:space="0"/>
              <w:right w:val="single" w:color="000000" w:sz="4" w:space="0"/>
            </w:tcBorders>
            <w:noWrap w:val="0"/>
            <w:vAlign w:val="center"/>
          </w:tcPr>
          <w:p w14:paraId="2CA982B6">
            <w:pPr>
              <w:pStyle w:val="126"/>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w:t>
            </w:r>
          </w:p>
        </w:tc>
        <w:tc>
          <w:tcPr>
            <w:tcW w:w="998" w:type="pct"/>
            <w:tcBorders>
              <w:top w:val="single" w:color="000000" w:sz="4" w:space="0"/>
              <w:left w:val="single" w:color="000000" w:sz="4" w:space="0"/>
              <w:bottom w:val="single" w:color="000000" w:sz="4" w:space="0"/>
              <w:right w:val="single" w:color="000000" w:sz="4" w:space="0"/>
            </w:tcBorders>
            <w:noWrap w:val="0"/>
            <w:vAlign w:val="center"/>
          </w:tcPr>
          <w:p w14:paraId="51F692DC">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rPr>
              <w:t>生活垃圾</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14:paraId="28A993D5">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eastAsia="宋体" w:cs="Times New Roman"/>
                <w:lang w:val="en-US" w:eastAsia="zh-CN"/>
              </w:rPr>
              <w:t>9</w:t>
            </w:r>
          </w:p>
        </w:tc>
        <w:tc>
          <w:tcPr>
            <w:tcW w:w="948" w:type="pct"/>
            <w:tcBorders>
              <w:top w:val="single" w:color="000000" w:sz="4" w:space="0"/>
              <w:left w:val="single" w:color="000000" w:sz="4" w:space="0"/>
              <w:bottom w:val="single" w:color="000000" w:sz="4" w:space="0"/>
              <w:right w:val="single" w:color="000000" w:sz="4" w:space="0"/>
            </w:tcBorders>
            <w:noWrap w:val="0"/>
            <w:vAlign w:val="center"/>
          </w:tcPr>
          <w:p w14:paraId="1C442DA1">
            <w:pPr>
              <w:pStyle w:val="126"/>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eastAsia="宋体"/>
                <w:lang w:val="en-US" w:eastAsia="zh-CN"/>
              </w:rPr>
              <w:t>---</w:t>
            </w:r>
          </w:p>
        </w:tc>
        <w:tc>
          <w:tcPr>
            <w:tcW w:w="1925" w:type="pct"/>
            <w:tcBorders>
              <w:top w:val="single" w:color="000000" w:sz="4" w:space="0"/>
              <w:left w:val="single" w:color="000000" w:sz="4" w:space="0"/>
              <w:bottom w:val="single" w:color="000000" w:sz="4" w:space="0"/>
              <w:right w:val="single" w:color="000000" w:sz="4" w:space="0"/>
            </w:tcBorders>
            <w:noWrap w:val="0"/>
            <w:vAlign w:val="center"/>
          </w:tcPr>
          <w:p w14:paraId="1F71DEE5">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rPr>
              <w:t>环卫部门定期清理外运处理</w:t>
            </w:r>
          </w:p>
        </w:tc>
      </w:tr>
    </w:tbl>
    <w:p w14:paraId="76D73809">
      <w:pPr>
        <w:rPr>
          <w:rFonts w:hint="default"/>
          <w:lang w:val="en-US" w:eastAsia="zh-CN"/>
        </w:rPr>
      </w:pPr>
    </w:p>
    <w:p w14:paraId="2DA77B6F">
      <w:pPr>
        <w:keepNext/>
        <w:keepLines w:val="0"/>
        <w:pageBreakBefore w:val="0"/>
        <w:widowControl w:val="0"/>
        <w:numPr>
          <w:ilvl w:val="0"/>
          <w:numId w:val="0"/>
        </w:numPr>
        <w:kinsoku/>
        <w:wordWrap/>
        <w:overflowPunct/>
        <w:topLinePunct w:val="0"/>
        <w:autoSpaceDE/>
        <w:autoSpaceDN/>
        <w:bidi w:val="0"/>
        <w:adjustRightInd w:val="0"/>
        <w:snapToGrid w:val="0"/>
        <w:jc w:val="both"/>
        <w:textAlignment w:val="auto"/>
        <w:outlineLvl w:val="9"/>
        <w:rPr>
          <w:rFonts w:hint="eastAsia"/>
          <w:b/>
          <w:bCs/>
          <w:sz w:val="24"/>
          <w:szCs w:val="24"/>
          <w:lang w:val="en-US" w:eastAsia="zh-CN"/>
        </w:rPr>
      </w:pPr>
    </w:p>
    <w:p w14:paraId="3B41DBFB">
      <w:pPr>
        <w:keepNext/>
        <w:keepLines w:val="0"/>
        <w:pageBreakBefore w:val="0"/>
        <w:widowControl w:val="0"/>
        <w:numPr>
          <w:ilvl w:val="0"/>
          <w:numId w:val="0"/>
        </w:numPr>
        <w:kinsoku/>
        <w:wordWrap/>
        <w:overflowPunct/>
        <w:topLinePunct w:val="0"/>
        <w:autoSpaceDE/>
        <w:autoSpaceDN/>
        <w:bidi w:val="0"/>
        <w:adjustRightInd w:val="0"/>
        <w:snapToGrid w:val="0"/>
        <w:jc w:val="both"/>
        <w:textAlignment w:val="auto"/>
        <w:outlineLvl w:val="9"/>
        <w:rPr>
          <w:rFonts w:hint="eastAsia"/>
          <w:b/>
          <w:bCs/>
          <w:sz w:val="24"/>
          <w:szCs w:val="24"/>
          <w:lang w:val="en-US" w:eastAsia="zh-CN"/>
        </w:rPr>
      </w:pPr>
      <w:r>
        <w:rPr>
          <w:rFonts w:hint="eastAsia"/>
          <w:b/>
          <w:bCs/>
          <w:sz w:val="24"/>
          <w:szCs w:val="24"/>
          <w:lang w:val="en-US" w:eastAsia="zh-CN"/>
        </w:rPr>
        <w:t>（四）主要设备</w:t>
      </w:r>
    </w:p>
    <w:p w14:paraId="069D14C8">
      <w:pPr>
        <w:ind w:firstLine="3614" w:firstLineChars="1500"/>
        <w:rPr>
          <w:rFonts w:hint="eastAsia"/>
          <w:lang w:val="en-US" w:eastAsia="zh-CN"/>
        </w:rPr>
      </w:pPr>
      <w:r>
        <w:rPr>
          <w:rFonts w:ascii="Times New Roman" w:hAnsi="宋体"/>
          <w:b/>
          <w:color w:val="000000"/>
          <w:kern w:val="44"/>
          <w:sz w:val="24"/>
        </w:rPr>
        <w:t>糠醛装置主要生产设备表</w:t>
      </w:r>
    </w:p>
    <w:p w14:paraId="4304C8A1">
      <w:pPr>
        <w:numPr>
          <w:ilvl w:val="0"/>
          <w:numId w:val="0"/>
        </w:numPr>
        <w:rPr>
          <w:rFonts w:hint="eastAsia"/>
          <w:lang w:val="en-US" w:eastAsia="zh-CN"/>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9"/>
        <w:gridCol w:w="1080"/>
        <w:gridCol w:w="1794"/>
        <w:gridCol w:w="2136"/>
        <w:gridCol w:w="1663"/>
        <w:gridCol w:w="1237"/>
      </w:tblGrid>
      <w:tr w14:paraId="4EDD7E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69DAA4B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序号</w:t>
            </w:r>
          </w:p>
        </w:tc>
        <w:tc>
          <w:tcPr>
            <w:tcW w:w="1080" w:type="dxa"/>
            <w:noWrap w:val="0"/>
            <w:vAlign w:val="center"/>
          </w:tcPr>
          <w:p w14:paraId="4CA4ECC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位号</w:t>
            </w:r>
          </w:p>
        </w:tc>
        <w:tc>
          <w:tcPr>
            <w:tcW w:w="1794" w:type="dxa"/>
            <w:noWrap w:val="0"/>
            <w:vAlign w:val="center"/>
          </w:tcPr>
          <w:p w14:paraId="5BAFD46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设备名称</w:t>
            </w:r>
          </w:p>
        </w:tc>
        <w:tc>
          <w:tcPr>
            <w:tcW w:w="2136" w:type="dxa"/>
            <w:noWrap w:val="0"/>
            <w:vAlign w:val="center"/>
          </w:tcPr>
          <w:p w14:paraId="5E8CB07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主要规格或型号</w:t>
            </w:r>
          </w:p>
        </w:tc>
        <w:tc>
          <w:tcPr>
            <w:tcW w:w="1663" w:type="dxa"/>
            <w:noWrap w:val="0"/>
            <w:vAlign w:val="center"/>
          </w:tcPr>
          <w:p w14:paraId="20343EA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材质</w:t>
            </w:r>
          </w:p>
        </w:tc>
        <w:tc>
          <w:tcPr>
            <w:tcW w:w="1237" w:type="dxa"/>
            <w:noWrap w:val="0"/>
            <w:vAlign w:val="center"/>
          </w:tcPr>
          <w:p w14:paraId="505487A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数量</w:t>
            </w:r>
            <w:r>
              <w:rPr>
                <w:rFonts w:hint="eastAsia" w:ascii="Times New Roman" w:hAnsi="宋体"/>
                <w:bCs/>
                <w:szCs w:val="21"/>
              </w:rPr>
              <w:t>（个）</w:t>
            </w:r>
          </w:p>
        </w:tc>
      </w:tr>
      <w:tr w14:paraId="4B9795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15746F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c>
          <w:tcPr>
            <w:tcW w:w="1080" w:type="dxa"/>
            <w:noWrap w:val="0"/>
            <w:vAlign w:val="center"/>
          </w:tcPr>
          <w:p w14:paraId="1848EBA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v-101</w:t>
            </w:r>
          </w:p>
        </w:tc>
        <w:tc>
          <w:tcPr>
            <w:tcW w:w="1794" w:type="dxa"/>
            <w:noWrap w:val="0"/>
            <w:vAlign w:val="center"/>
          </w:tcPr>
          <w:p w14:paraId="4E30B52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糠醇计量罐</w:t>
            </w:r>
          </w:p>
        </w:tc>
        <w:tc>
          <w:tcPr>
            <w:tcW w:w="2136" w:type="dxa"/>
            <w:noWrap w:val="0"/>
            <w:vAlign w:val="center"/>
          </w:tcPr>
          <w:p w14:paraId="2E783215">
            <w:pPr>
              <w:keepNext w:val="0"/>
              <w:keepLines w:val="0"/>
              <w:suppressLineNumbers w:val="0"/>
              <w:spacing w:before="0" w:beforeAutospacing="0" w:after="0" w:afterAutospacing="0"/>
              <w:ind w:left="0" w:right="0"/>
              <w:jc w:val="center"/>
              <w:rPr>
                <w:rFonts w:hint="default" w:ascii="Times New Roman" w:hAnsi="Times New Roman"/>
                <w:bCs/>
                <w:szCs w:val="21"/>
                <w:vertAlign w:val="superscript"/>
              </w:rPr>
            </w:pPr>
            <w:r>
              <w:rPr>
                <w:rFonts w:hint="default" w:ascii="Times New Roman" w:hAnsi="Times New Roman"/>
                <w:bCs/>
                <w:szCs w:val="21"/>
              </w:rPr>
              <w:t>V=2.5</w:t>
            </w:r>
            <w:r>
              <w:rPr>
                <w:rFonts w:hint="eastAsia" w:ascii="Times New Roman" w:hAnsi="Times New Roman"/>
                <w:bCs/>
                <w:szCs w:val="21"/>
              </w:rPr>
              <w:t>m</w:t>
            </w:r>
            <w:r>
              <w:rPr>
                <w:rFonts w:hint="default" w:ascii="Times New Roman" w:hAnsi="Times New Roman"/>
                <w:bCs/>
                <w:szCs w:val="21"/>
                <w:vertAlign w:val="superscript"/>
              </w:rPr>
              <w:t>3</w:t>
            </w:r>
          </w:p>
          <w:p w14:paraId="418754C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1400×1800×6</w:t>
            </w:r>
          </w:p>
        </w:tc>
        <w:tc>
          <w:tcPr>
            <w:tcW w:w="1663" w:type="dxa"/>
            <w:noWrap w:val="0"/>
            <w:vAlign w:val="center"/>
          </w:tcPr>
          <w:p w14:paraId="132F355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4224510F">
            <w:pPr>
              <w:keepNext w:val="0"/>
              <w:keepLines w:val="0"/>
              <w:suppressLineNumbers w:val="0"/>
              <w:tabs>
                <w:tab w:val="left" w:pos="330"/>
              </w:tabs>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34D8D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6DCF0A1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c>
          <w:tcPr>
            <w:tcW w:w="1080" w:type="dxa"/>
            <w:noWrap w:val="0"/>
            <w:vAlign w:val="center"/>
          </w:tcPr>
          <w:p w14:paraId="57E0D8A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v-103</w:t>
            </w:r>
          </w:p>
        </w:tc>
        <w:tc>
          <w:tcPr>
            <w:tcW w:w="1794" w:type="dxa"/>
            <w:noWrap w:val="0"/>
            <w:vAlign w:val="center"/>
          </w:tcPr>
          <w:p w14:paraId="01E3308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配料釜</w:t>
            </w:r>
          </w:p>
        </w:tc>
        <w:tc>
          <w:tcPr>
            <w:tcW w:w="2136" w:type="dxa"/>
            <w:noWrap w:val="0"/>
            <w:vAlign w:val="center"/>
          </w:tcPr>
          <w:p w14:paraId="20D8D71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V=2.5</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7D68C15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1431D30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63468F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6B0E87C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w:t>
            </w:r>
          </w:p>
        </w:tc>
        <w:tc>
          <w:tcPr>
            <w:tcW w:w="1080" w:type="dxa"/>
            <w:noWrap w:val="0"/>
            <w:vAlign w:val="center"/>
          </w:tcPr>
          <w:p w14:paraId="30E785B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v-104</w:t>
            </w:r>
          </w:p>
        </w:tc>
        <w:tc>
          <w:tcPr>
            <w:tcW w:w="1794" w:type="dxa"/>
            <w:noWrap w:val="0"/>
            <w:vAlign w:val="center"/>
          </w:tcPr>
          <w:p w14:paraId="65347F0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氢气储罐</w:t>
            </w:r>
          </w:p>
        </w:tc>
        <w:tc>
          <w:tcPr>
            <w:tcW w:w="2136" w:type="dxa"/>
            <w:noWrap w:val="0"/>
            <w:vAlign w:val="center"/>
          </w:tcPr>
          <w:p w14:paraId="663658C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w:t>
            </w:r>
            <w:r>
              <w:rPr>
                <w:rFonts w:hint="eastAsia" w:ascii="Times New Roman" w:hAnsi="Times New Roman"/>
                <w:bCs/>
                <w:szCs w:val="21"/>
              </w:rPr>
              <w:t>m</w:t>
            </w:r>
            <w:r>
              <w:rPr>
                <w:rFonts w:hint="default" w:ascii="Times New Roman" w:hAnsi="Times New Roman"/>
                <w:bCs/>
                <w:szCs w:val="21"/>
                <w:vertAlign w:val="superscript"/>
              </w:rPr>
              <w:t>3</w:t>
            </w:r>
          </w:p>
          <w:p w14:paraId="0F933BA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=1200×2500×24</w:t>
            </w:r>
          </w:p>
        </w:tc>
        <w:tc>
          <w:tcPr>
            <w:tcW w:w="1663" w:type="dxa"/>
            <w:noWrap w:val="0"/>
            <w:vAlign w:val="center"/>
          </w:tcPr>
          <w:p w14:paraId="1E83444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16MnR</w:t>
            </w:r>
          </w:p>
        </w:tc>
        <w:tc>
          <w:tcPr>
            <w:tcW w:w="1237" w:type="dxa"/>
            <w:noWrap w:val="0"/>
            <w:vAlign w:val="center"/>
          </w:tcPr>
          <w:p w14:paraId="6DA9FD9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0DE18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B840E6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w:t>
            </w:r>
          </w:p>
        </w:tc>
        <w:tc>
          <w:tcPr>
            <w:tcW w:w="1080" w:type="dxa"/>
            <w:noWrap w:val="0"/>
            <w:vAlign w:val="center"/>
          </w:tcPr>
          <w:p w14:paraId="49EA23C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v-105</w:t>
            </w:r>
          </w:p>
        </w:tc>
        <w:tc>
          <w:tcPr>
            <w:tcW w:w="1794" w:type="dxa"/>
            <w:noWrap w:val="0"/>
            <w:vAlign w:val="center"/>
          </w:tcPr>
          <w:p w14:paraId="0298AA5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循环器分液罐</w:t>
            </w:r>
          </w:p>
        </w:tc>
        <w:tc>
          <w:tcPr>
            <w:tcW w:w="2136" w:type="dxa"/>
            <w:noWrap w:val="0"/>
            <w:vAlign w:val="center"/>
          </w:tcPr>
          <w:p w14:paraId="461301C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1200×1500×18</w:t>
            </w:r>
          </w:p>
          <w:p w14:paraId="5F94C18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2631127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16MnR</w:t>
            </w:r>
          </w:p>
        </w:tc>
        <w:tc>
          <w:tcPr>
            <w:tcW w:w="1237" w:type="dxa"/>
            <w:noWrap w:val="0"/>
            <w:vAlign w:val="center"/>
          </w:tcPr>
          <w:p w14:paraId="5E88D51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6BBEB6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78ACC4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5</w:t>
            </w:r>
          </w:p>
        </w:tc>
        <w:tc>
          <w:tcPr>
            <w:tcW w:w="1080" w:type="dxa"/>
            <w:noWrap w:val="0"/>
            <w:vAlign w:val="center"/>
          </w:tcPr>
          <w:p w14:paraId="462D659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v-401</w:t>
            </w:r>
          </w:p>
        </w:tc>
        <w:tc>
          <w:tcPr>
            <w:tcW w:w="1794" w:type="dxa"/>
            <w:noWrap w:val="0"/>
            <w:vAlign w:val="center"/>
          </w:tcPr>
          <w:p w14:paraId="23F7B63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氮气储罐</w:t>
            </w:r>
          </w:p>
        </w:tc>
        <w:tc>
          <w:tcPr>
            <w:tcW w:w="2136" w:type="dxa"/>
            <w:noWrap w:val="0"/>
            <w:vAlign w:val="center"/>
          </w:tcPr>
          <w:p w14:paraId="085137A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900×1300×10</w:t>
            </w:r>
          </w:p>
          <w:p w14:paraId="7FCBAA4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47F368E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7E7D053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F6C3B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F7B9D4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6</w:t>
            </w:r>
          </w:p>
        </w:tc>
        <w:tc>
          <w:tcPr>
            <w:tcW w:w="1080" w:type="dxa"/>
            <w:noWrap w:val="0"/>
            <w:vAlign w:val="center"/>
          </w:tcPr>
          <w:p w14:paraId="4A97A88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v-201</w:t>
            </w:r>
          </w:p>
        </w:tc>
        <w:tc>
          <w:tcPr>
            <w:tcW w:w="1794" w:type="dxa"/>
            <w:noWrap w:val="0"/>
            <w:vAlign w:val="center"/>
          </w:tcPr>
          <w:p w14:paraId="280907EB">
            <w:pPr>
              <w:keepNext w:val="0"/>
              <w:keepLines w:val="0"/>
              <w:suppressLineNumbers w:val="0"/>
              <w:spacing w:before="0" w:beforeAutospacing="0" w:after="0" w:afterAutospacing="0"/>
              <w:ind w:left="0" w:right="0" w:firstLine="102" w:firstLineChars="49"/>
              <w:jc w:val="center"/>
              <w:rPr>
                <w:rFonts w:hint="default" w:ascii="Times New Roman" w:hAnsi="Times New Roman"/>
                <w:bCs/>
                <w:szCs w:val="21"/>
              </w:rPr>
            </w:pPr>
            <w:r>
              <w:rPr>
                <w:rFonts w:hint="default" w:ascii="Times New Roman" w:hAnsi="宋体"/>
                <w:bCs/>
                <w:szCs w:val="21"/>
              </w:rPr>
              <w:t>沉降槽</w:t>
            </w:r>
          </w:p>
        </w:tc>
        <w:tc>
          <w:tcPr>
            <w:tcW w:w="2136" w:type="dxa"/>
            <w:noWrap w:val="0"/>
            <w:vAlign w:val="center"/>
          </w:tcPr>
          <w:p w14:paraId="1523B7D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700×4000×3000</w:t>
            </w:r>
          </w:p>
          <w:p w14:paraId="19DDEC0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V=80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51B98EF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0ABCBC1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5BEA2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31DE12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7</w:t>
            </w:r>
          </w:p>
        </w:tc>
        <w:tc>
          <w:tcPr>
            <w:tcW w:w="1080" w:type="dxa"/>
            <w:noWrap w:val="0"/>
            <w:vAlign w:val="center"/>
          </w:tcPr>
          <w:p w14:paraId="10B5FEB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v-202</w:t>
            </w:r>
          </w:p>
        </w:tc>
        <w:tc>
          <w:tcPr>
            <w:tcW w:w="1794" w:type="dxa"/>
            <w:noWrap w:val="0"/>
            <w:vAlign w:val="center"/>
          </w:tcPr>
          <w:p w14:paraId="089224E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液封罐</w:t>
            </w:r>
          </w:p>
        </w:tc>
        <w:tc>
          <w:tcPr>
            <w:tcW w:w="2136" w:type="dxa"/>
            <w:noWrap w:val="0"/>
            <w:vAlign w:val="center"/>
          </w:tcPr>
          <w:p w14:paraId="4C73229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1000×1600</w:t>
            </w:r>
          </w:p>
          <w:p w14:paraId="7C2DAA9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V=0.4</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0C447A5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3C16C05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A6ABE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E37C36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8</w:t>
            </w:r>
          </w:p>
        </w:tc>
        <w:tc>
          <w:tcPr>
            <w:tcW w:w="1080" w:type="dxa"/>
            <w:noWrap w:val="0"/>
            <w:vAlign w:val="center"/>
          </w:tcPr>
          <w:p w14:paraId="27499A5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v-203</w:t>
            </w:r>
          </w:p>
        </w:tc>
        <w:tc>
          <w:tcPr>
            <w:tcW w:w="1794" w:type="dxa"/>
            <w:noWrap w:val="0"/>
            <w:vAlign w:val="center"/>
          </w:tcPr>
          <w:p w14:paraId="0F3A0C2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真空缓冲罐</w:t>
            </w:r>
          </w:p>
        </w:tc>
        <w:tc>
          <w:tcPr>
            <w:tcW w:w="2136" w:type="dxa"/>
            <w:noWrap w:val="0"/>
            <w:vAlign w:val="center"/>
          </w:tcPr>
          <w:p w14:paraId="19AD9C1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1000×1600V=1.5</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7B03E45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7A77C0B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59C95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67EC563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9</w:t>
            </w:r>
          </w:p>
        </w:tc>
        <w:tc>
          <w:tcPr>
            <w:tcW w:w="1080" w:type="dxa"/>
            <w:noWrap w:val="0"/>
            <w:vAlign w:val="center"/>
          </w:tcPr>
          <w:p w14:paraId="112CAA0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v-204</w:t>
            </w:r>
          </w:p>
        </w:tc>
        <w:tc>
          <w:tcPr>
            <w:tcW w:w="1794" w:type="dxa"/>
            <w:noWrap w:val="0"/>
            <w:vAlign w:val="center"/>
          </w:tcPr>
          <w:p w14:paraId="4273CE7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废水罐</w:t>
            </w:r>
          </w:p>
        </w:tc>
        <w:tc>
          <w:tcPr>
            <w:tcW w:w="2136" w:type="dxa"/>
            <w:noWrap w:val="0"/>
            <w:vAlign w:val="center"/>
          </w:tcPr>
          <w:p w14:paraId="7A7ED8C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1000×1600</w:t>
            </w:r>
          </w:p>
          <w:p w14:paraId="13E48E6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V=1.5</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0CCA266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12DB477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306249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006BD0F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10</w:t>
            </w:r>
          </w:p>
        </w:tc>
        <w:tc>
          <w:tcPr>
            <w:tcW w:w="1080" w:type="dxa"/>
            <w:noWrap w:val="0"/>
            <w:vAlign w:val="center"/>
          </w:tcPr>
          <w:p w14:paraId="0DDE6BC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v-205</w:t>
            </w:r>
          </w:p>
        </w:tc>
        <w:tc>
          <w:tcPr>
            <w:tcW w:w="1794" w:type="dxa"/>
            <w:noWrap w:val="0"/>
            <w:vAlign w:val="center"/>
          </w:tcPr>
          <w:p w14:paraId="538E862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稀料储罐</w:t>
            </w:r>
          </w:p>
        </w:tc>
        <w:tc>
          <w:tcPr>
            <w:tcW w:w="2136" w:type="dxa"/>
            <w:noWrap w:val="0"/>
            <w:vAlign w:val="center"/>
          </w:tcPr>
          <w:p w14:paraId="06BFA85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2200×3000×6</w:t>
            </w:r>
          </w:p>
          <w:p w14:paraId="6C50B2F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238B7F1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780EFE7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BFC2F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2B8A57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11</w:t>
            </w:r>
          </w:p>
        </w:tc>
        <w:tc>
          <w:tcPr>
            <w:tcW w:w="1080" w:type="dxa"/>
            <w:noWrap w:val="0"/>
            <w:vAlign w:val="center"/>
          </w:tcPr>
          <w:p w14:paraId="4C64003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v-206</w:t>
            </w:r>
          </w:p>
        </w:tc>
        <w:tc>
          <w:tcPr>
            <w:tcW w:w="1794" w:type="dxa"/>
            <w:noWrap w:val="0"/>
            <w:vAlign w:val="center"/>
          </w:tcPr>
          <w:p w14:paraId="4188CE0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产品储罐</w:t>
            </w:r>
          </w:p>
        </w:tc>
        <w:tc>
          <w:tcPr>
            <w:tcW w:w="2136" w:type="dxa"/>
            <w:noWrap w:val="0"/>
            <w:vAlign w:val="center"/>
          </w:tcPr>
          <w:p w14:paraId="53B7D81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2200×3000×6</w:t>
            </w:r>
          </w:p>
          <w:p w14:paraId="1A2BD39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22D7E59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1A7FB06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w:t>
            </w:r>
          </w:p>
        </w:tc>
      </w:tr>
      <w:tr w14:paraId="0F97F3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639A5B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12</w:t>
            </w:r>
          </w:p>
        </w:tc>
        <w:tc>
          <w:tcPr>
            <w:tcW w:w="1080" w:type="dxa"/>
            <w:noWrap w:val="0"/>
            <w:vAlign w:val="center"/>
          </w:tcPr>
          <w:p w14:paraId="2B5FB42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v-207</w:t>
            </w:r>
          </w:p>
        </w:tc>
        <w:tc>
          <w:tcPr>
            <w:tcW w:w="1794" w:type="dxa"/>
            <w:noWrap w:val="0"/>
            <w:vAlign w:val="center"/>
          </w:tcPr>
          <w:p w14:paraId="2CB4125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精馏塔釜</w:t>
            </w:r>
          </w:p>
        </w:tc>
        <w:tc>
          <w:tcPr>
            <w:tcW w:w="2136" w:type="dxa"/>
            <w:noWrap w:val="0"/>
            <w:vAlign w:val="center"/>
          </w:tcPr>
          <w:p w14:paraId="356E12B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2200×3000×12</w:t>
            </w:r>
          </w:p>
          <w:p w14:paraId="748CF91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V=12</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3280EF9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5919B41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6776F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D9D8F3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13</w:t>
            </w:r>
          </w:p>
        </w:tc>
        <w:tc>
          <w:tcPr>
            <w:tcW w:w="1080" w:type="dxa"/>
            <w:noWrap w:val="0"/>
            <w:vAlign w:val="center"/>
          </w:tcPr>
          <w:p w14:paraId="278657B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v-301</w:t>
            </w:r>
          </w:p>
        </w:tc>
        <w:tc>
          <w:tcPr>
            <w:tcW w:w="1794" w:type="dxa"/>
            <w:noWrap w:val="0"/>
            <w:vAlign w:val="center"/>
          </w:tcPr>
          <w:p w14:paraId="1A778C7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原料储罐</w:t>
            </w:r>
          </w:p>
        </w:tc>
        <w:tc>
          <w:tcPr>
            <w:tcW w:w="2136" w:type="dxa"/>
            <w:noWrap w:val="0"/>
            <w:vAlign w:val="center"/>
          </w:tcPr>
          <w:p w14:paraId="132DCF1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V=300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1BC004D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62D652D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2A3107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037F0C6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14</w:t>
            </w:r>
          </w:p>
        </w:tc>
        <w:tc>
          <w:tcPr>
            <w:tcW w:w="1080" w:type="dxa"/>
            <w:noWrap w:val="0"/>
            <w:vAlign w:val="center"/>
          </w:tcPr>
          <w:p w14:paraId="450AFD2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v-302</w:t>
            </w:r>
          </w:p>
        </w:tc>
        <w:tc>
          <w:tcPr>
            <w:tcW w:w="1794" w:type="dxa"/>
            <w:noWrap w:val="0"/>
            <w:vAlign w:val="center"/>
          </w:tcPr>
          <w:p w14:paraId="5B41D32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成品储罐</w:t>
            </w:r>
          </w:p>
        </w:tc>
        <w:tc>
          <w:tcPr>
            <w:tcW w:w="2136" w:type="dxa"/>
            <w:noWrap w:val="0"/>
            <w:vAlign w:val="center"/>
          </w:tcPr>
          <w:p w14:paraId="064B14D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V=60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4FE13EC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35CCAFB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1AB38F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43D8F2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15</w:t>
            </w:r>
          </w:p>
        </w:tc>
        <w:tc>
          <w:tcPr>
            <w:tcW w:w="1080" w:type="dxa"/>
            <w:noWrap w:val="0"/>
            <w:vAlign w:val="center"/>
          </w:tcPr>
          <w:p w14:paraId="17B0A62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T-201</w:t>
            </w:r>
          </w:p>
        </w:tc>
        <w:tc>
          <w:tcPr>
            <w:tcW w:w="1794" w:type="dxa"/>
            <w:noWrap w:val="0"/>
            <w:vAlign w:val="center"/>
          </w:tcPr>
          <w:p w14:paraId="4E4D3F7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精馏塔</w:t>
            </w:r>
          </w:p>
        </w:tc>
        <w:tc>
          <w:tcPr>
            <w:tcW w:w="2136" w:type="dxa"/>
            <w:noWrap w:val="0"/>
            <w:vAlign w:val="center"/>
          </w:tcPr>
          <w:p w14:paraId="3EF7280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塔节￠</w:t>
            </w:r>
            <w:r>
              <w:rPr>
                <w:rFonts w:hint="default" w:ascii="Times New Roman" w:hAnsi="Times New Roman"/>
                <w:bCs/>
                <w:szCs w:val="21"/>
              </w:rPr>
              <w:t>1400×5000</w:t>
            </w:r>
          </w:p>
        </w:tc>
        <w:tc>
          <w:tcPr>
            <w:tcW w:w="1663" w:type="dxa"/>
            <w:noWrap w:val="0"/>
            <w:vAlign w:val="center"/>
          </w:tcPr>
          <w:p w14:paraId="3386167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6BFD6FE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207A73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5C9F84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w:t>
            </w:r>
          </w:p>
        </w:tc>
        <w:tc>
          <w:tcPr>
            <w:tcW w:w="1080" w:type="dxa"/>
            <w:noWrap w:val="0"/>
            <w:vAlign w:val="center"/>
          </w:tcPr>
          <w:p w14:paraId="27BC92B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C-101</w:t>
            </w:r>
          </w:p>
        </w:tc>
        <w:tc>
          <w:tcPr>
            <w:tcW w:w="1794" w:type="dxa"/>
            <w:noWrap w:val="0"/>
            <w:vAlign w:val="center"/>
          </w:tcPr>
          <w:p w14:paraId="0632569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氢气压缩机</w:t>
            </w:r>
          </w:p>
        </w:tc>
        <w:tc>
          <w:tcPr>
            <w:tcW w:w="2136" w:type="dxa"/>
            <w:noWrap w:val="0"/>
            <w:vAlign w:val="center"/>
          </w:tcPr>
          <w:p w14:paraId="503DFB1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0-0.5/16-80</w:t>
            </w:r>
          </w:p>
        </w:tc>
        <w:tc>
          <w:tcPr>
            <w:tcW w:w="1663" w:type="dxa"/>
            <w:noWrap w:val="0"/>
            <w:vAlign w:val="center"/>
          </w:tcPr>
          <w:p w14:paraId="4A98F61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69A5C6B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564DB0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564EF1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17</w:t>
            </w:r>
          </w:p>
        </w:tc>
        <w:tc>
          <w:tcPr>
            <w:tcW w:w="1080" w:type="dxa"/>
            <w:noWrap w:val="0"/>
            <w:vAlign w:val="center"/>
          </w:tcPr>
          <w:p w14:paraId="05B0621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E-202</w:t>
            </w:r>
          </w:p>
        </w:tc>
        <w:tc>
          <w:tcPr>
            <w:tcW w:w="1794" w:type="dxa"/>
            <w:noWrap w:val="0"/>
            <w:vAlign w:val="center"/>
          </w:tcPr>
          <w:p w14:paraId="67DD87E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产品冷凝器</w:t>
            </w:r>
          </w:p>
        </w:tc>
        <w:tc>
          <w:tcPr>
            <w:tcW w:w="2136" w:type="dxa"/>
            <w:noWrap w:val="0"/>
            <w:vAlign w:val="center"/>
          </w:tcPr>
          <w:p w14:paraId="58C898D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F=80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6CE3281E">
            <w:pPr>
              <w:keepNext w:val="0"/>
              <w:keepLines w:val="0"/>
              <w:suppressLineNumbers w:val="0"/>
              <w:spacing w:before="0" w:beforeAutospacing="0" w:after="0" w:afterAutospacing="0"/>
              <w:ind w:left="0" w:right="0" w:firstLine="102" w:firstLineChars="49"/>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1308BAD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5A6E3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884BC6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18</w:t>
            </w:r>
          </w:p>
        </w:tc>
        <w:tc>
          <w:tcPr>
            <w:tcW w:w="1080" w:type="dxa"/>
            <w:noWrap w:val="0"/>
            <w:vAlign w:val="center"/>
          </w:tcPr>
          <w:p w14:paraId="2D1DF4B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E-201</w:t>
            </w:r>
          </w:p>
        </w:tc>
        <w:tc>
          <w:tcPr>
            <w:tcW w:w="1794" w:type="dxa"/>
            <w:noWrap w:val="0"/>
            <w:vAlign w:val="center"/>
          </w:tcPr>
          <w:p w14:paraId="7105592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塔釜再沸器</w:t>
            </w:r>
          </w:p>
        </w:tc>
        <w:tc>
          <w:tcPr>
            <w:tcW w:w="2136" w:type="dxa"/>
            <w:noWrap w:val="0"/>
            <w:vAlign w:val="center"/>
          </w:tcPr>
          <w:p w14:paraId="4D8A302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F=60</w:t>
            </w:r>
            <w:r>
              <w:rPr>
                <w:rFonts w:hint="eastAsia" w:ascii="Times New Roman" w:hAnsi="Times New Roman"/>
                <w:bCs/>
                <w:szCs w:val="21"/>
              </w:rPr>
              <w:t>m</w:t>
            </w:r>
            <w:r>
              <w:rPr>
                <w:rFonts w:hint="default" w:ascii="Times New Roman" w:hAnsi="Times New Roman"/>
                <w:bCs/>
                <w:szCs w:val="21"/>
                <w:vertAlign w:val="superscript"/>
              </w:rPr>
              <w:t>3</w:t>
            </w:r>
          </w:p>
        </w:tc>
        <w:tc>
          <w:tcPr>
            <w:tcW w:w="1663" w:type="dxa"/>
            <w:noWrap w:val="0"/>
            <w:vAlign w:val="center"/>
          </w:tcPr>
          <w:p w14:paraId="282DCC9C">
            <w:pPr>
              <w:keepNext w:val="0"/>
              <w:keepLines w:val="0"/>
              <w:suppressLineNumbers w:val="0"/>
              <w:spacing w:before="0" w:beforeAutospacing="0" w:after="0" w:afterAutospacing="0"/>
              <w:ind w:left="0" w:right="0" w:firstLine="102" w:firstLineChars="49"/>
              <w:jc w:val="center"/>
              <w:rPr>
                <w:rFonts w:hint="default" w:ascii="Times New Roman" w:hAnsi="Times New Roman"/>
                <w:bCs/>
                <w:szCs w:val="21"/>
              </w:rPr>
            </w:pPr>
            <w:r>
              <w:rPr>
                <w:rFonts w:hint="default" w:ascii="Times New Roman" w:hAnsi="Times New Roman"/>
                <w:bCs/>
                <w:szCs w:val="21"/>
              </w:rPr>
              <w:t>Q235</w:t>
            </w:r>
          </w:p>
        </w:tc>
        <w:tc>
          <w:tcPr>
            <w:tcW w:w="1237" w:type="dxa"/>
            <w:noWrap w:val="0"/>
            <w:vAlign w:val="center"/>
          </w:tcPr>
          <w:p w14:paraId="5DC13A9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242E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09398E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19</w:t>
            </w:r>
          </w:p>
        </w:tc>
        <w:tc>
          <w:tcPr>
            <w:tcW w:w="1080" w:type="dxa"/>
            <w:noWrap w:val="0"/>
            <w:vAlign w:val="center"/>
          </w:tcPr>
          <w:p w14:paraId="420A07B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P-101</w:t>
            </w:r>
          </w:p>
        </w:tc>
        <w:tc>
          <w:tcPr>
            <w:tcW w:w="1794" w:type="dxa"/>
            <w:noWrap w:val="0"/>
            <w:vAlign w:val="center"/>
          </w:tcPr>
          <w:p w14:paraId="04E4EDC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糠醛备料泵</w:t>
            </w:r>
          </w:p>
        </w:tc>
        <w:tc>
          <w:tcPr>
            <w:tcW w:w="2136" w:type="dxa"/>
            <w:noWrap w:val="0"/>
            <w:vAlign w:val="center"/>
          </w:tcPr>
          <w:p w14:paraId="243C236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CBY20-4</w:t>
            </w:r>
          </w:p>
        </w:tc>
        <w:tc>
          <w:tcPr>
            <w:tcW w:w="1663" w:type="dxa"/>
            <w:noWrap w:val="0"/>
            <w:vAlign w:val="center"/>
          </w:tcPr>
          <w:p w14:paraId="76E41CF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6E034EB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2837D2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F975AC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20</w:t>
            </w:r>
          </w:p>
        </w:tc>
        <w:tc>
          <w:tcPr>
            <w:tcW w:w="1080" w:type="dxa"/>
            <w:noWrap w:val="0"/>
            <w:vAlign w:val="center"/>
          </w:tcPr>
          <w:p w14:paraId="3F3DD6A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P-201</w:t>
            </w:r>
          </w:p>
        </w:tc>
        <w:tc>
          <w:tcPr>
            <w:tcW w:w="1794" w:type="dxa"/>
            <w:noWrap w:val="0"/>
            <w:vAlign w:val="center"/>
          </w:tcPr>
          <w:p w14:paraId="74688A3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机械真空泵</w:t>
            </w:r>
          </w:p>
        </w:tc>
        <w:tc>
          <w:tcPr>
            <w:tcW w:w="2136" w:type="dxa"/>
            <w:noWrap w:val="0"/>
            <w:vAlign w:val="center"/>
          </w:tcPr>
          <w:p w14:paraId="50818BF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WL-100</w:t>
            </w:r>
          </w:p>
        </w:tc>
        <w:tc>
          <w:tcPr>
            <w:tcW w:w="1663" w:type="dxa"/>
            <w:noWrap w:val="0"/>
            <w:vAlign w:val="center"/>
          </w:tcPr>
          <w:p w14:paraId="3E5F297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4AC9B7C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42BEE2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02D7ED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21</w:t>
            </w:r>
          </w:p>
        </w:tc>
        <w:tc>
          <w:tcPr>
            <w:tcW w:w="1080" w:type="dxa"/>
            <w:noWrap w:val="0"/>
            <w:vAlign w:val="center"/>
          </w:tcPr>
          <w:p w14:paraId="23FBC66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P-202</w:t>
            </w:r>
          </w:p>
        </w:tc>
        <w:tc>
          <w:tcPr>
            <w:tcW w:w="1794" w:type="dxa"/>
            <w:noWrap w:val="0"/>
            <w:vAlign w:val="center"/>
          </w:tcPr>
          <w:p w14:paraId="60B89A3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机械真空泵</w:t>
            </w:r>
          </w:p>
        </w:tc>
        <w:tc>
          <w:tcPr>
            <w:tcW w:w="2136" w:type="dxa"/>
            <w:noWrap w:val="0"/>
            <w:vAlign w:val="center"/>
          </w:tcPr>
          <w:p w14:paraId="778FC72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WL-150</w:t>
            </w:r>
          </w:p>
        </w:tc>
        <w:tc>
          <w:tcPr>
            <w:tcW w:w="1663" w:type="dxa"/>
            <w:noWrap w:val="0"/>
            <w:vAlign w:val="center"/>
          </w:tcPr>
          <w:p w14:paraId="38274E7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7E96103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5F2005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378D77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22</w:t>
            </w:r>
          </w:p>
        </w:tc>
        <w:tc>
          <w:tcPr>
            <w:tcW w:w="1080" w:type="dxa"/>
            <w:noWrap w:val="0"/>
            <w:vAlign w:val="center"/>
          </w:tcPr>
          <w:p w14:paraId="66DA549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P-203</w:t>
            </w:r>
          </w:p>
        </w:tc>
        <w:tc>
          <w:tcPr>
            <w:tcW w:w="1794" w:type="dxa"/>
            <w:noWrap w:val="0"/>
            <w:vAlign w:val="center"/>
          </w:tcPr>
          <w:p w14:paraId="608DA60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塔釜液循环泵</w:t>
            </w:r>
          </w:p>
        </w:tc>
        <w:tc>
          <w:tcPr>
            <w:tcW w:w="2136" w:type="dxa"/>
            <w:noWrap w:val="0"/>
            <w:vAlign w:val="center"/>
          </w:tcPr>
          <w:p w14:paraId="7E25766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SIG100-80-160</w:t>
            </w:r>
          </w:p>
        </w:tc>
        <w:tc>
          <w:tcPr>
            <w:tcW w:w="1663" w:type="dxa"/>
            <w:noWrap w:val="0"/>
            <w:vAlign w:val="center"/>
          </w:tcPr>
          <w:p w14:paraId="431654E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60ACF58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D61B9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7F660D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23</w:t>
            </w:r>
          </w:p>
        </w:tc>
        <w:tc>
          <w:tcPr>
            <w:tcW w:w="1080" w:type="dxa"/>
            <w:noWrap w:val="0"/>
            <w:vAlign w:val="center"/>
          </w:tcPr>
          <w:p w14:paraId="6917D3E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P-301A/B</w:t>
            </w:r>
          </w:p>
        </w:tc>
        <w:tc>
          <w:tcPr>
            <w:tcW w:w="1794" w:type="dxa"/>
            <w:noWrap w:val="0"/>
            <w:vAlign w:val="center"/>
          </w:tcPr>
          <w:p w14:paraId="6AEC495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原料泵</w:t>
            </w:r>
          </w:p>
        </w:tc>
        <w:tc>
          <w:tcPr>
            <w:tcW w:w="2136" w:type="dxa"/>
            <w:noWrap w:val="0"/>
            <w:vAlign w:val="center"/>
          </w:tcPr>
          <w:p w14:paraId="3DD56DB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80YHCB-60</w:t>
            </w:r>
          </w:p>
          <w:p w14:paraId="3D8EB2B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Q=60</w:t>
            </w:r>
            <w:r>
              <w:rPr>
                <w:rFonts w:hint="eastAsia" w:ascii="Times New Roman" w:hAnsi="Times New Roman"/>
                <w:bCs/>
                <w:szCs w:val="21"/>
              </w:rPr>
              <w:t>m</w:t>
            </w:r>
            <w:r>
              <w:rPr>
                <w:rFonts w:hint="default" w:ascii="Times New Roman" w:hAnsi="Times New Roman"/>
                <w:bCs/>
                <w:szCs w:val="21"/>
                <w:vertAlign w:val="superscript"/>
              </w:rPr>
              <w:t>2</w:t>
            </w:r>
            <w:r>
              <w:rPr>
                <w:rFonts w:hint="default" w:ascii="Times New Roman" w:hAnsi="Times New Roman"/>
                <w:bCs/>
                <w:szCs w:val="21"/>
              </w:rPr>
              <w:t>/h</w:t>
            </w:r>
          </w:p>
        </w:tc>
        <w:tc>
          <w:tcPr>
            <w:tcW w:w="1663" w:type="dxa"/>
            <w:noWrap w:val="0"/>
            <w:vAlign w:val="center"/>
          </w:tcPr>
          <w:p w14:paraId="1439E37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0047B99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668864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7B564D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24</w:t>
            </w:r>
          </w:p>
        </w:tc>
        <w:tc>
          <w:tcPr>
            <w:tcW w:w="1080" w:type="dxa"/>
            <w:noWrap w:val="0"/>
            <w:vAlign w:val="center"/>
          </w:tcPr>
          <w:p w14:paraId="0198BC6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P-302</w:t>
            </w:r>
          </w:p>
        </w:tc>
        <w:tc>
          <w:tcPr>
            <w:tcW w:w="1794" w:type="dxa"/>
            <w:noWrap w:val="0"/>
            <w:vAlign w:val="center"/>
          </w:tcPr>
          <w:p w14:paraId="5CD3A99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成品泵</w:t>
            </w:r>
          </w:p>
        </w:tc>
        <w:tc>
          <w:tcPr>
            <w:tcW w:w="2136" w:type="dxa"/>
            <w:noWrap w:val="0"/>
            <w:vAlign w:val="center"/>
          </w:tcPr>
          <w:p w14:paraId="76CD8B9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80YHCB-60</w:t>
            </w:r>
          </w:p>
          <w:p w14:paraId="434964C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Q=60</w:t>
            </w:r>
            <w:r>
              <w:rPr>
                <w:rFonts w:hint="eastAsia" w:ascii="Times New Roman" w:hAnsi="Times New Roman"/>
                <w:bCs/>
                <w:szCs w:val="21"/>
              </w:rPr>
              <w:t>m</w:t>
            </w:r>
            <w:r>
              <w:rPr>
                <w:rFonts w:hint="default" w:ascii="Times New Roman" w:hAnsi="Times New Roman"/>
                <w:bCs/>
                <w:szCs w:val="21"/>
                <w:vertAlign w:val="superscript"/>
              </w:rPr>
              <w:t>2</w:t>
            </w:r>
            <w:r>
              <w:rPr>
                <w:rFonts w:hint="default" w:ascii="Times New Roman" w:hAnsi="Times New Roman"/>
                <w:bCs/>
                <w:szCs w:val="21"/>
              </w:rPr>
              <w:t>/h</w:t>
            </w:r>
          </w:p>
        </w:tc>
        <w:tc>
          <w:tcPr>
            <w:tcW w:w="1663" w:type="dxa"/>
            <w:noWrap w:val="0"/>
            <w:vAlign w:val="center"/>
          </w:tcPr>
          <w:p w14:paraId="29C0E1E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5C1DCA7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CCAA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274382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25</w:t>
            </w:r>
          </w:p>
        </w:tc>
        <w:tc>
          <w:tcPr>
            <w:tcW w:w="1080" w:type="dxa"/>
            <w:noWrap w:val="0"/>
            <w:vAlign w:val="center"/>
          </w:tcPr>
          <w:p w14:paraId="605EB2E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P-401A</w:t>
            </w:r>
          </w:p>
        </w:tc>
        <w:tc>
          <w:tcPr>
            <w:tcW w:w="1794" w:type="dxa"/>
            <w:noWrap w:val="0"/>
            <w:vAlign w:val="center"/>
          </w:tcPr>
          <w:p w14:paraId="13E7CD9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循环水泵</w:t>
            </w:r>
          </w:p>
        </w:tc>
        <w:tc>
          <w:tcPr>
            <w:tcW w:w="2136" w:type="dxa"/>
            <w:noWrap w:val="0"/>
            <w:vAlign w:val="center"/>
          </w:tcPr>
          <w:p w14:paraId="130FD0A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IS125-100-325</w:t>
            </w:r>
          </w:p>
          <w:p w14:paraId="36BC40B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Q=100</w:t>
            </w:r>
            <w:r>
              <w:rPr>
                <w:rFonts w:hint="eastAsia" w:ascii="Times New Roman" w:hAnsi="Times New Roman"/>
                <w:bCs/>
                <w:szCs w:val="21"/>
              </w:rPr>
              <w:t>m</w:t>
            </w:r>
            <w:r>
              <w:rPr>
                <w:rFonts w:hint="default" w:ascii="Times New Roman" w:hAnsi="Times New Roman"/>
                <w:bCs/>
                <w:szCs w:val="21"/>
                <w:vertAlign w:val="superscript"/>
              </w:rPr>
              <w:t>3</w:t>
            </w:r>
            <w:r>
              <w:rPr>
                <w:rFonts w:hint="default" w:ascii="Times New Roman" w:hAnsi="Times New Roman"/>
                <w:bCs/>
                <w:szCs w:val="21"/>
              </w:rPr>
              <w:t>/h  H=32</w:t>
            </w:r>
          </w:p>
        </w:tc>
        <w:tc>
          <w:tcPr>
            <w:tcW w:w="1663" w:type="dxa"/>
            <w:noWrap w:val="0"/>
            <w:vAlign w:val="center"/>
          </w:tcPr>
          <w:p w14:paraId="2821691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75883F7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3B888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A228A6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26</w:t>
            </w:r>
          </w:p>
        </w:tc>
        <w:tc>
          <w:tcPr>
            <w:tcW w:w="1080" w:type="dxa"/>
            <w:noWrap w:val="0"/>
            <w:vAlign w:val="center"/>
          </w:tcPr>
          <w:p w14:paraId="65FD795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P-401B</w:t>
            </w:r>
          </w:p>
        </w:tc>
        <w:tc>
          <w:tcPr>
            <w:tcW w:w="1794" w:type="dxa"/>
            <w:noWrap w:val="0"/>
            <w:vAlign w:val="center"/>
          </w:tcPr>
          <w:p w14:paraId="3919186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循环水泵</w:t>
            </w:r>
          </w:p>
        </w:tc>
        <w:tc>
          <w:tcPr>
            <w:tcW w:w="2136" w:type="dxa"/>
            <w:noWrap w:val="0"/>
            <w:vAlign w:val="center"/>
          </w:tcPr>
          <w:p w14:paraId="2DAA132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IS80-65-160</w:t>
            </w:r>
          </w:p>
          <w:p w14:paraId="3E31369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Q=60</w:t>
            </w:r>
            <w:r>
              <w:rPr>
                <w:rFonts w:hint="eastAsia" w:ascii="Times New Roman" w:hAnsi="Times New Roman"/>
                <w:bCs/>
                <w:szCs w:val="21"/>
              </w:rPr>
              <w:t>m</w:t>
            </w:r>
            <w:r>
              <w:rPr>
                <w:rFonts w:hint="default" w:ascii="Times New Roman" w:hAnsi="Times New Roman"/>
                <w:bCs/>
                <w:szCs w:val="21"/>
                <w:vertAlign w:val="superscript"/>
              </w:rPr>
              <w:t>3</w:t>
            </w:r>
            <w:r>
              <w:rPr>
                <w:rFonts w:hint="default" w:ascii="Times New Roman" w:hAnsi="Times New Roman"/>
                <w:bCs/>
                <w:szCs w:val="21"/>
              </w:rPr>
              <w:t>/h  H=29</w:t>
            </w:r>
          </w:p>
        </w:tc>
        <w:tc>
          <w:tcPr>
            <w:tcW w:w="1663" w:type="dxa"/>
            <w:noWrap w:val="0"/>
            <w:vAlign w:val="center"/>
          </w:tcPr>
          <w:p w14:paraId="5A4CE3B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03CF3D8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7D841B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19AAE4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27</w:t>
            </w:r>
          </w:p>
        </w:tc>
        <w:tc>
          <w:tcPr>
            <w:tcW w:w="1080" w:type="dxa"/>
            <w:noWrap w:val="0"/>
            <w:vAlign w:val="center"/>
          </w:tcPr>
          <w:p w14:paraId="2F85159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P-502</w:t>
            </w:r>
          </w:p>
        </w:tc>
        <w:tc>
          <w:tcPr>
            <w:tcW w:w="1794" w:type="dxa"/>
            <w:noWrap w:val="0"/>
            <w:vAlign w:val="center"/>
          </w:tcPr>
          <w:p w14:paraId="6FDFE7C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污水泵</w:t>
            </w:r>
          </w:p>
        </w:tc>
        <w:tc>
          <w:tcPr>
            <w:tcW w:w="2136" w:type="dxa"/>
            <w:noWrap w:val="0"/>
            <w:vAlign w:val="center"/>
          </w:tcPr>
          <w:p w14:paraId="19620E4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IS50-32-160</w:t>
            </w:r>
          </w:p>
          <w:p w14:paraId="44A68A1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Q=15</w:t>
            </w:r>
            <w:r>
              <w:rPr>
                <w:rFonts w:hint="eastAsia" w:ascii="Times New Roman" w:hAnsi="Times New Roman"/>
                <w:bCs/>
                <w:szCs w:val="21"/>
              </w:rPr>
              <w:t>m</w:t>
            </w:r>
            <w:r>
              <w:rPr>
                <w:rFonts w:hint="default" w:ascii="Times New Roman" w:hAnsi="Times New Roman"/>
                <w:bCs/>
                <w:szCs w:val="21"/>
                <w:vertAlign w:val="superscript"/>
              </w:rPr>
              <w:t>3</w:t>
            </w:r>
            <w:r>
              <w:rPr>
                <w:rFonts w:hint="default" w:ascii="Times New Roman" w:hAnsi="Times New Roman"/>
                <w:bCs/>
                <w:szCs w:val="21"/>
              </w:rPr>
              <w:t>/h  H=29.6</w:t>
            </w:r>
          </w:p>
        </w:tc>
        <w:tc>
          <w:tcPr>
            <w:tcW w:w="1663" w:type="dxa"/>
            <w:noWrap w:val="0"/>
            <w:vAlign w:val="center"/>
          </w:tcPr>
          <w:p w14:paraId="707933C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0F29B46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6DB6E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A1A1A6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28</w:t>
            </w:r>
          </w:p>
        </w:tc>
        <w:tc>
          <w:tcPr>
            <w:tcW w:w="1080" w:type="dxa"/>
            <w:noWrap w:val="0"/>
            <w:vAlign w:val="center"/>
          </w:tcPr>
          <w:p w14:paraId="1CDBB2F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V-110</w:t>
            </w:r>
          </w:p>
        </w:tc>
        <w:tc>
          <w:tcPr>
            <w:tcW w:w="1794" w:type="dxa"/>
            <w:noWrap w:val="0"/>
            <w:vAlign w:val="center"/>
          </w:tcPr>
          <w:p w14:paraId="1709E72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混料釜</w:t>
            </w:r>
          </w:p>
        </w:tc>
        <w:tc>
          <w:tcPr>
            <w:tcW w:w="2136" w:type="dxa"/>
            <w:noWrap w:val="0"/>
            <w:vAlign w:val="center"/>
          </w:tcPr>
          <w:p w14:paraId="60527B65">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707A92A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1DFDD90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w:t>
            </w:r>
          </w:p>
        </w:tc>
      </w:tr>
      <w:tr w14:paraId="1CD9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B1951F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29</w:t>
            </w:r>
          </w:p>
        </w:tc>
        <w:tc>
          <w:tcPr>
            <w:tcW w:w="1080" w:type="dxa"/>
            <w:noWrap w:val="0"/>
            <w:vAlign w:val="center"/>
          </w:tcPr>
          <w:p w14:paraId="18F9761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V-106</w:t>
            </w:r>
          </w:p>
        </w:tc>
        <w:tc>
          <w:tcPr>
            <w:tcW w:w="1794" w:type="dxa"/>
            <w:noWrap w:val="0"/>
            <w:vAlign w:val="center"/>
          </w:tcPr>
          <w:p w14:paraId="186E313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氢气缓冲罐</w:t>
            </w:r>
            <w:r>
              <w:rPr>
                <w:rFonts w:hint="default" w:ascii="Times New Roman" w:hAnsi="Times New Roman"/>
                <w:bCs/>
                <w:szCs w:val="21"/>
              </w:rPr>
              <w:t>B</w:t>
            </w:r>
          </w:p>
        </w:tc>
        <w:tc>
          <w:tcPr>
            <w:tcW w:w="2136" w:type="dxa"/>
            <w:noWrap w:val="0"/>
            <w:vAlign w:val="center"/>
          </w:tcPr>
          <w:p w14:paraId="7DF44F8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426×16×9464</w:t>
            </w:r>
          </w:p>
        </w:tc>
        <w:tc>
          <w:tcPr>
            <w:tcW w:w="1663" w:type="dxa"/>
            <w:noWrap w:val="0"/>
            <w:vAlign w:val="center"/>
          </w:tcPr>
          <w:p w14:paraId="1BF481A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16Mn</w:t>
            </w:r>
          </w:p>
        </w:tc>
        <w:tc>
          <w:tcPr>
            <w:tcW w:w="1237" w:type="dxa"/>
            <w:noWrap w:val="0"/>
            <w:vAlign w:val="center"/>
          </w:tcPr>
          <w:p w14:paraId="413A049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eastAsia" w:ascii="Times New Roman" w:hAnsi="Times New Roman"/>
                <w:bCs/>
                <w:szCs w:val="21"/>
              </w:rPr>
              <w:t>1</w:t>
            </w:r>
          </w:p>
        </w:tc>
      </w:tr>
      <w:tr w14:paraId="35FACF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0A1076A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30</w:t>
            </w:r>
          </w:p>
        </w:tc>
        <w:tc>
          <w:tcPr>
            <w:tcW w:w="1080" w:type="dxa"/>
            <w:noWrap w:val="0"/>
            <w:vAlign w:val="center"/>
          </w:tcPr>
          <w:p w14:paraId="75C229D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P-104A/B</w:t>
            </w:r>
          </w:p>
        </w:tc>
        <w:tc>
          <w:tcPr>
            <w:tcW w:w="1794" w:type="dxa"/>
            <w:noWrap w:val="0"/>
            <w:vAlign w:val="center"/>
          </w:tcPr>
          <w:p w14:paraId="372FF8C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进料泵</w:t>
            </w:r>
          </w:p>
        </w:tc>
        <w:tc>
          <w:tcPr>
            <w:tcW w:w="2136" w:type="dxa"/>
            <w:noWrap w:val="0"/>
            <w:vAlign w:val="center"/>
          </w:tcPr>
          <w:p w14:paraId="671A534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J12.5M-2×400</w:t>
            </w:r>
            <w:r>
              <w:rPr>
                <w:rFonts w:hint="default" w:ascii="Times New Roman" w:hAnsi="宋体"/>
                <w:bCs/>
                <w:szCs w:val="21"/>
              </w:rPr>
              <w:t>／</w:t>
            </w:r>
            <w:r>
              <w:rPr>
                <w:rFonts w:hint="default" w:ascii="Times New Roman" w:hAnsi="Times New Roman"/>
                <w:bCs/>
                <w:szCs w:val="21"/>
              </w:rPr>
              <w:t>8</w:t>
            </w:r>
          </w:p>
          <w:p w14:paraId="74D3ACC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2JTM2400</w:t>
            </w:r>
          </w:p>
        </w:tc>
        <w:tc>
          <w:tcPr>
            <w:tcW w:w="1663" w:type="dxa"/>
            <w:noWrap w:val="0"/>
            <w:vAlign w:val="center"/>
          </w:tcPr>
          <w:p w14:paraId="7843885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0C23E7F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4803D1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B02AEC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31</w:t>
            </w:r>
          </w:p>
        </w:tc>
        <w:tc>
          <w:tcPr>
            <w:tcW w:w="1080" w:type="dxa"/>
            <w:noWrap w:val="0"/>
            <w:vAlign w:val="center"/>
          </w:tcPr>
          <w:p w14:paraId="1B34882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E-103</w:t>
            </w:r>
          </w:p>
        </w:tc>
        <w:tc>
          <w:tcPr>
            <w:tcW w:w="1794" w:type="dxa"/>
            <w:noWrap w:val="0"/>
            <w:vAlign w:val="center"/>
          </w:tcPr>
          <w:p w14:paraId="71DB94B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糠醇预热器</w:t>
            </w:r>
          </w:p>
        </w:tc>
        <w:tc>
          <w:tcPr>
            <w:tcW w:w="2136" w:type="dxa"/>
            <w:noWrap w:val="0"/>
            <w:vAlign w:val="center"/>
          </w:tcPr>
          <w:p w14:paraId="430EDB31">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770EC905">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237" w:type="dxa"/>
            <w:noWrap w:val="0"/>
            <w:vAlign w:val="center"/>
          </w:tcPr>
          <w:p w14:paraId="7758717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C110F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7D023E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32</w:t>
            </w:r>
          </w:p>
        </w:tc>
        <w:tc>
          <w:tcPr>
            <w:tcW w:w="1080" w:type="dxa"/>
            <w:noWrap w:val="0"/>
            <w:vAlign w:val="center"/>
          </w:tcPr>
          <w:p w14:paraId="086C89C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R-101</w:t>
            </w:r>
          </w:p>
        </w:tc>
        <w:tc>
          <w:tcPr>
            <w:tcW w:w="1794" w:type="dxa"/>
            <w:noWrap w:val="0"/>
            <w:vAlign w:val="center"/>
          </w:tcPr>
          <w:p w14:paraId="447C70A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反应器</w:t>
            </w:r>
          </w:p>
        </w:tc>
        <w:tc>
          <w:tcPr>
            <w:tcW w:w="2136" w:type="dxa"/>
            <w:noWrap w:val="0"/>
            <w:vAlign w:val="center"/>
          </w:tcPr>
          <w:p w14:paraId="635F5DD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V=0.45m</w:t>
            </w:r>
            <w:r>
              <w:rPr>
                <w:rFonts w:hint="default" w:ascii="Times New Roman" w:hAnsi="Times New Roman"/>
                <w:bCs/>
                <w:szCs w:val="21"/>
                <w:vertAlign w:val="superscript"/>
              </w:rPr>
              <w:t>3</w:t>
            </w:r>
          </w:p>
        </w:tc>
        <w:tc>
          <w:tcPr>
            <w:tcW w:w="1663" w:type="dxa"/>
            <w:noWrap w:val="0"/>
            <w:vAlign w:val="center"/>
          </w:tcPr>
          <w:p w14:paraId="3BB3DA7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12CrIMoVGQ23</w:t>
            </w:r>
          </w:p>
        </w:tc>
        <w:tc>
          <w:tcPr>
            <w:tcW w:w="1237" w:type="dxa"/>
            <w:noWrap w:val="0"/>
            <w:vAlign w:val="center"/>
          </w:tcPr>
          <w:p w14:paraId="1D4D4CE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228BC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761E45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33</w:t>
            </w:r>
          </w:p>
        </w:tc>
        <w:tc>
          <w:tcPr>
            <w:tcW w:w="1080" w:type="dxa"/>
            <w:noWrap w:val="0"/>
            <w:vAlign w:val="center"/>
          </w:tcPr>
          <w:p w14:paraId="02614B6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E-104A/B</w:t>
            </w:r>
          </w:p>
        </w:tc>
        <w:tc>
          <w:tcPr>
            <w:tcW w:w="1794" w:type="dxa"/>
            <w:noWrap w:val="0"/>
            <w:vAlign w:val="center"/>
          </w:tcPr>
          <w:p w14:paraId="3F89673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反应液冷却器</w:t>
            </w:r>
          </w:p>
        </w:tc>
        <w:tc>
          <w:tcPr>
            <w:tcW w:w="2136" w:type="dxa"/>
            <w:noWrap w:val="0"/>
            <w:vAlign w:val="center"/>
          </w:tcPr>
          <w:p w14:paraId="332FB619">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778CEC6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1495AC7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48326C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4F057D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34</w:t>
            </w:r>
          </w:p>
        </w:tc>
        <w:tc>
          <w:tcPr>
            <w:tcW w:w="1080" w:type="dxa"/>
            <w:noWrap w:val="0"/>
            <w:vAlign w:val="center"/>
          </w:tcPr>
          <w:p w14:paraId="111AE3A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V-107</w:t>
            </w:r>
          </w:p>
        </w:tc>
        <w:tc>
          <w:tcPr>
            <w:tcW w:w="1794" w:type="dxa"/>
            <w:noWrap w:val="0"/>
            <w:vAlign w:val="center"/>
          </w:tcPr>
          <w:p w14:paraId="1750198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高压分离器</w:t>
            </w:r>
          </w:p>
        </w:tc>
        <w:tc>
          <w:tcPr>
            <w:tcW w:w="2136" w:type="dxa"/>
            <w:noWrap w:val="0"/>
            <w:vAlign w:val="center"/>
          </w:tcPr>
          <w:p w14:paraId="3B4B970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426×16×3564</w:t>
            </w:r>
          </w:p>
          <w:p w14:paraId="4F815B3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V=0.35m</w:t>
            </w:r>
            <w:r>
              <w:rPr>
                <w:rFonts w:hint="default" w:ascii="Times New Roman" w:hAnsi="Times New Roman"/>
                <w:bCs/>
                <w:szCs w:val="21"/>
                <w:vertAlign w:val="superscript"/>
              </w:rPr>
              <w:t>3</w:t>
            </w:r>
          </w:p>
        </w:tc>
        <w:tc>
          <w:tcPr>
            <w:tcW w:w="1663" w:type="dxa"/>
            <w:noWrap w:val="0"/>
            <w:vAlign w:val="center"/>
          </w:tcPr>
          <w:p w14:paraId="4E3DB5E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Q235R</w:t>
            </w:r>
          </w:p>
          <w:p w14:paraId="1749023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16Mn</w:t>
            </w:r>
          </w:p>
        </w:tc>
        <w:tc>
          <w:tcPr>
            <w:tcW w:w="1237" w:type="dxa"/>
            <w:noWrap w:val="0"/>
            <w:vAlign w:val="center"/>
          </w:tcPr>
          <w:p w14:paraId="024F427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w:t>
            </w:r>
          </w:p>
        </w:tc>
      </w:tr>
      <w:tr w14:paraId="4B9CFD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24DEF48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35</w:t>
            </w:r>
          </w:p>
        </w:tc>
        <w:tc>
          <w:tcPr>
            <w:tcW w:w="1080" w:type="dxa"/>
            <w:noWrap w:val="0"/>
            <w:vAlign w:val="center"/>
          </w:tcPr>
          <w:p w14:paraId="1AAB744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V-108</w:t>
            </w:r>
          </w:p>
        </w:tc>
        <w:tc>
          <w:tcPr>
            <w:tcW w:w="1794" w:type="dxa"/>
            <w:noWrap w:val="0"/>
            <w:vAlign w:val="center"/>
          </w:tcPr>
          <w:p w14:paraId="58D7248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常压分离器</w:t>
            </w:r>
          </w:p>
        </w:tc>
        <w:tc>
          <w:tcPr>
            <w:tcW w:w="2136" w:type="dxa"/>
            <w:noWrap w:val="0"/>
            <w:vAlign w:val="center"/>
          </w:tcPr>
          <w:p w14:paraId="5E0D43C6">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1E77247E">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237" w:type="dxa"/>
            <w:noWrap w:val="0"/>
            <w:vAlign w:val="center"/>
          </w:tcPr>
          <w:p w14:paraId="339BFB6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18E868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6215EA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36</w:t>
            </w:r>
          </w:p>
        </w:tc>
        <w:tc>
          <w:tcPr>
            <w:tcW w:w="1080" w:type="dxa"/>
            <w:noWrap w:val="0"/>
            <w:vAlign w:val="center"/>
          </w:tcPr>
          <w:p w14:paraId="60626D3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C-102</w:t>
            </w:r>
          </w:p>
        </w:tc>
        <w:tc>
          <w:tcPr>
            <w:tcW w:w="1794" w:type="dxa"/>
            <w:noWrap w:val="0"/>
            <w:vAlign w:val="center"/>
          </w:tcPr>
          <w:p w14:paraId="1A31017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压缩机二级分离器</w:t>
            </w:r>
          </w:p>
        </w:tc>
        <w:tc>
          <w:tcPr>
            <w:tcW w:w="2136" w:type="dxa"/>
            <w:noWrap w:val="0"/>
            <w:vAlign w:val="center"/>
          </w:tcPr>
          <w:p w14:paraId="7F8EDD2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191×14×1450</w:t>
            </w:r>
          </w:p>
        </w:tc>
        <w:tc>
          <w:tcPr>
            <w:tcW w:w="1663" w:type="dxa"/>
            <w:noWrap w:val="0"/>
            <w:vAlign w:val="center"/>
          </w:tcPr>
          <w:p w14:paraId="42E46B5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20</w:t>
            </w:r>
            <w:r>
              <w:rPr>
                <w:rFonts w:hint="default" w:ascii="Times New Roman" w:hAnsi="宋体"/>
                <w:bCs/>
                <w:szCs w:val="21"/>
              </w:rPr>
              <w:t>锻</w:t>
            </w:r>
          </w:p>
          <w:p w14:paraId="321892A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20</w:t>
            </w:r>
          </w:p>
        </w:tc>
        <w:tc>
          <w:tcPr>
            <w:tcW w:w="1237" w:type="dxa"/>
            <w:noWrap w:val="0"/>
            <w:vAlign w:val="center"/>
          </w:tcPr>
          <w:p w14:paraId="474F83C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D9C2A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0BE3116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37</w:t>
            </w:r>
          </w:p>
        </w:tc>
        <w:tc>
          <w:tcPr>
            <w:tcW w:w="1080" w:type="dxa"/>
            <w:noWrap w:val="0"/>
            <w:vAlign w:val="center"/>
          </w:tcPr>
          <w:p w14:paraId="7D6EF4A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C-103</w:t>
            </w:r>
          </w:p>
        </w:tc>
        <w:tc>
          <w:tcPr>
            <w:tcW w:w="1794" w:type="dxa"/>
            <w:noWrap w:val="0"/>
            <w:vAlign w:val="center"/>
          </w:tcPr>
          <w:p w14:paraId="2036113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压缩机一级分离器</w:t>
            </w:r>
          </w:p>
        </w:tc>
        <w:tc>
          <w:tcPr>
            <w:tcW w:w="2136" w:type="dxa"/>
            <w:noWrap w:val="0"/>
            <w:vAlign w:val="center"/>
          </w:tcPr>
          <w:p w14:paraId="093E1F5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w:t>
            </w:r>
            <w:r>
              <w:rPr>
                <w:rFonts w:hint="default" w:ascii="Times New Roman" w:hAnsi="Times New Roman"/>
                <w:bCs/>
                <w:szCs w:val="21"/>
              </w:rPr>
              <w:t>305×10×1279</w:t>
            </w:r>
          </w:p>
        </w:tc>
        <w:tc>
          <w:tcPr>
            <w:tcW w:w="1663" w:type="dxa"/>
            <w:noWrap w:val="0"/>
            <w:vAlign w:val="center"/>
          </w:tcPr>
          <w:p w14:paraId="51F19F5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16MnR</w:t>
            </w:r>
          </w:p>
          <w:p w14:paraId="56711BF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20</w:t>
            </w:r>
          </w:p>
        </w:tc>
        <w:tc>
          <w:tcPr>
            <w:tcW w:w="1237" w:type="dxa"/>
            <w:noWrap w:val="0"/>
            <w:vAlign w:val="center"/>
          </w:tcPr>
          <w:p w14:paraId="24F1D34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782BF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568216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38</w:t>
            </w:r>
          </w:p>
        </w:tc>
        <w:tc>
          <w:tcPr>
            <w:tcW w:w="1080" w:type="dxa"/>
            <w:noWrap w:val="0"/>
            <w:vAlign w:val="center"/>
          </w:tcPr>
          <w:p w14:paraId="7D63EC9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C-201</w:t>
            </w:r>
          </w:p>
        </w:tc>
        <w:tc>
          <w:tcPr>
            <w:tcW w:w="1794" w:type="dxa"/>
            <w:noWrap w:val="0"/>
            <w:vAlign w:val="center"/>
          </w:tcPr>
          <w:p w14:paraId="0B8D561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氢气压缩机</w:t>
            </w:r>
          </w:p>
        </w:tc>
        <w:tc>
          <w:tcPr>
            <w:tcW w:w="2136" w:type="dxa"/>
            <w:noWrap w:val="0"/>
            <w:vAlign w:val="center"/>
          </w:tcPr>
          <w:p w14:paraId="18D2CFF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D-1.22/18-80</w:t>
            </w:r>
          </w:p>
        </w:tc>
        <w:tc>
          <w:tcPr>
            <w:tcW w:w="1663" w:type="dxa"/>
            <w:noWrap w:val="0"/>
            <w:vAlign w:val="center"/>
          </w:tcPr>
          <w:p w14:paraId="5F711BF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4203DF3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AA79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08BD6FF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39</w:t>
            </w:r>
          </w:p>
        </w:tc>
        <w:tc>
          <w:tcPr>
            <w:tcW w:w="1080" w:type="dxa"/>
            <w:noWrap w:val="0"/>
            <w:vAlign w:val="center"/>
          </w:tcPr>
          <w:p w14:paraId="5B97F59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C-202</w:t>
            </w:r>
          </w:p>
        </w:tc>
        <w:tc>
          <w:tcPr>
            <w:tcW w:w="1794" w:type="dxa"/>
            <w:noWrap w:val="0"/>
            <w:vAlign w:val="center"/>
          </w:tcPr>
          <w:p w14:paraId="7F00008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压缩机二级分离器</w:t>
            </w:r>
          </w:p>
        </w:tc>
        <w:tc>
          <w:tcPr>
            <w:tcW w:w="2136" w:type="dxa"/>
            <w:noWrap w:val="0"/>
            <w:vAlign w:val="center"/>
          </w:tcPr>
          <w:p w14:paraId="44CEB07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0.1 m</w:t>
            </w:r>
            <w:r>
              <w:rPr>
                <w:rFonts w:hint="default" w:ascii="Times New Roman" w:hAnsi="Times New Roman"/>
                <w:bCs/>
                <w:szCs w:val="21"/>
                <w:vertAlign w:val="superscript"/>
              </w:rPr>
              <w:t>3</w:t>
            </w:r>
          </w:p>
        </w:tc>
        <w:tc>
          <w:tcPr>
            <w:tcW w:w="1663" w:type="dxa"/>
            <w:noWrap w:val="0"/>
            <w:vAlign w:val="center"/>
          </w:tcPr>
          <w:p w14:paraId="3C27D2B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Q345R</w:t>
            </w:r>
          </w:p>
        </w:tc>
        <w:tc>
          <w:tcPr>
            <w:tcW w:w="1237" w:type="dxa"/>
            <w:noWrap w:val="0"/>
            <w:vAlign w:val="center"/>
          </w:tcPr>
          <w:p w14:paraId="6B51591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6A349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F5F568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40</w:t>
            </w:r>
          </w:p>
        </w:tc>
        <w:tc>
          <w:tcPr>
            <w:tcW w:w="1080" w:type="dxa"/>
            <w:noWrap w:val="0"/>
            <w:vAlign w:val="center"/>
          </w:tcPr>
          <w:p w14:paraId="5C023DB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C-203</w:t>
            </w:r>
          </w:p>
        </w:tc>
        <w:tc>
          <w:tcPr>
            <w:tcW w:w="1794" w:type="dxa"/>
            <w:noWrap w:val="0"/>
            <w:vAlign w:val="center"/>
          </w:tcPr>
          <w:p w14:paraId="34DF39A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压缩机一级分离器</w:t>
            </w:r>
          </w:p>
        </w:tc>
        <w:tc>
          <w:tcPr>
            <w:tcW w:w="2136" w:type="dxa"/>
            <w:noWrap w:val="0"/>
            <w:vAlign w:val="center"/>
          </w:tcPr>
          <w:p w14:paraId="1F64E42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0.091 m</w:t>
            </w:r>
            <w:r>
              <w:rPr>
                <w:rFonts w:hint="default" w:ascii="Times New Roman" w:hAnsi="Times New Roman"/>
                <w:bCs/>
                <w:szCs w:val="21"/>
                <w:vertAlign w:val="superscript"/>
              </w:rPr>
              <w:t>3</w:t>
            </w:r>
          </w:p>
        </w:tc>
        <w:tc>
          <w:tcPr>
            <w:tcW w:w="1663" w:type="dxa"/>
            <w:noWrap w:val="0"/>
            <w:vAlign w:val="center"/>
          </w:tcPr>
          <w:p w14:paraId="3512DD6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Q345R</w:t>
            </w:r>
          </w:p>
        </w:tc>
        <w:tc>
          <w:tcPr>
            <w:tcW w:w="1237" w:type="dxa"/>
            <w:noWrap w:val="0"/>
            <w:vAlign w:val="center"/>
          </w:tcPr>
          <w:p w14:paraId="624FCBC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0EF58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12FABE2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41</w:t>
            </w:r>
          </w:p>
        </w:tc>
        <w:tc>
          <w:tcPr>
            <w:tcW w:w="1080" w:type="dxa"/>
            <w:noWrap w:val="0"/>
            <w:vAlign w:val="center"/>
          </w:tcPr>
          <w:p w14:paraId="13C3B4B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R-102</w:t>
            </w:r>
          </w:p>
        </w:tc>
        <w:tc>
          <w:tcPr>
            <w:tcW w:w="1794" w:type="dxa"/>
            <w:noWrap w:val="0"/>
            <w:vAlign w:val="center"/>
          </w:tcPr>
          <w:p w14:paraId="654F3B9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反应器</w:t>
            </w:r>
          </w:p>
        </w:tc>
        <w:tc>
          <w:tcPr>
            <w:tcW w:w="2136" w:type="dxa"/>
            <w:noWrap w:val="0"/>
            <w:vAlign w:val="center"/>
          </w:tcPr>
          <w:p w14:paraId="075A6727">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47687EE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12CrIMoVGQ2</w:t>
            </w:r>
          </w:p>
        </w:tc>
        <w:tc>
          <w:tcPr>
            <w:tcW w:w="1237" w:type="dxa"/>
            <w:noWrap w:val="0"/>
            <w:vAlign w:val="center"/>
          </w:tcPr>
          <w:p w14:paraId="7CD29FD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23744B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3484B1F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42</w:t>
            </w:r>
          </w:p>
        </w:tc>
        <w:tc>
          <w:tcPr>
            <w:tcW w:w="1080" w:type="dxa"/>
            <w:noWrap w:val="0"/>
            <w:vAlign w:val="center"/>
          </w:tcPr>
          <w:p w14:paraId="5175AD0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P-105A</w:t>
            </w:r>
          </w:p>
        </w:tc>
        <w:tc>
          <w:tcPr>
            <w:tcW w:w="1794" w:type="dxa"/>
            <w:noWrap w:val="0"/>
            <w:vAlign w:val="center"/>
          </w:tcPr>
          <w:p w14:paraId="70EB836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进料泵</w:t>
            </w:r>
          </w:p>
        </w:tc>
        <w:tc>
          <w:tcPr>
            <w:tcW w:w="2136" w:type="dxa"/>
            <w:noWrap w:val="0"/>
            <w:vAlign w:val="center"/>
          </w:tcPr>
          <w:p w14:paraId="6E94891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2JTM2400</w:t>
            </w:r>
          </w:p>
        </w:tc>
        <w:tc>
          <w:tcPr>
            <w:tcW w:w="1663" w:type="dxa"/>
            <w:noWrap w:val="0"/>
            <w:vAlign w:val="center"/>
          </w:tcPr>
          <w:p w14:paraId="7408077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59DA97A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7682CA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747BDC1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43</w:t>
            </w:r>
          </w:p>
        </w:tc>
        <w:tc>
          <w:tcPr>
            <w:tcW w:w="1080" w:type="dxa"/>
            <w:noWrap w:val="0"/>
            <w:vAlign w:val="center"/>
          </w:tcPr>
          <w:p w14:paraId="2734F7B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P-105B</w:t>
            </w:r>
          </w:p>
        </w:tc>
        <w:tc>
          <w:tcPr>
            <w:tcW w:w="1794" w:type="dxa"/>
            <w:noWrap w:val="0"/>
            <w:vAlign w:val="center"/>
          </w:tcPr>
          <w:p w14:paraId="58DBD8A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进料泵</w:t>
            </w:r>
          </w:p>
        </w:tc>
        <w:tc>
          <w:tcPr>
            <w:tcW w:w="2136" w:type="dxa"/>
            <w:noWrap w:val="0"/>
            <w:vAlign w:val="center"/>
          </w:tcPr>
          <w:p w14:paraId="4DC133A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2JTM1200</w:t>
            </w:r>
          </w:p>
        </w:tc>
        <w:tc>
          <w:tcPr>
            <w:tcW w:w="1663" w:type="dxa"/>
            <w:noWrap w:val="0"/>
            <w:vAlign w:val="center"/>
          </w:tcPr>
          <w:p w14:paraId="58F66D4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组合</w:t>
            </w:r>
          </w:p>
        </w:tc>
        <w:tc>
          <w:tcPr>
            <w:tcW w:w="1237" w:type="dxa"/>
            <w:noWrap w:val="0"/>
            <w:vAlign w:val="center"/>
          </w:tcPr>
          <w:p w14:paraId="754E4EE2">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6AEBBE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0A8BF1D">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44</w:t>
            </w:r>
          </w:p>
        </w:tc>
        <w:tc>
          <w:tcPr>
            <w:tcW w:w="1080" w:type="dxa"/>
            <w:noWrap w:val="0"/>
            <w:vAlign w:val="center"/>
          </w:tcPr>
          <w:p w14:paraId="0265CAB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E-201</w:t>
            </w:r>
          </w:p>
        </w:tc>
        <w:tc>
          <w:tcPr>
            <w:tcW w:w="1794" w:type="dxa"/>
            <w:noWrap w:val="0"/>
            <w:vAlign w:val="center"/>
          </w:tcPr>
          <w:p w14:paraId="0B193CE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冷却器</w:t>
            </w:r>
          </w:p>
        </w:tc>
        <w:tc>
          <w:tcPr>
            <w:tcW w:w="2136" w:type="dxa"/>
            <w:noWrap w:val="0"/>
            <w:vAlign w:val="center"/>
          </w:tcPr>
          <w:p w14:paraId="24BF81D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13.7 m</w:t>
            </w:r>
            <w:r>
              <w:rPr>
                <w:rFonts w:hint="default" w:ascii="Times New Roman" w:hAnsi="Times New Roman"/>
                <w:bCs/>
                <w:szCs w:val="21"/>
                <w:vertAlign w:val="superscript"/>
              </w:rPr>
              <w:t>2</w:t>
            </w:r>
          </w:p>
        </w:tc>
        <w:tc>
          <w:tcPr>
            <w:tcW w:w="1663" w:type="dxa"/>
            <w:noWrap w:val="0"/>
            <w:vAlign w:val="center"/>
          </w:tcPr>
          <w:p w14:paraId="00515590">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p w14:paraId="56CBFE14">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OCr18Ni9</w:t>
            </w:r>
          </w:p>
        </w:tc>
        <w:tc>
          <w:tcPr>
            <w:tcW w:w="1237" w:type="dxa"/>
            <w:noWrap w:val="0"/>
            <w:vAlign w:val="center"/>
          </w:tcPr>
          <w:p w14:paraId="6C0816C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4D8750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55A4AA2A">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45</w:t>
            </w:r>
          </w:p>
        </w:tc>
        <w:tc>
          <w:tcPr>
            <w:tcW w:w="1080" w:type="dxa"/>
            <w:noWrap w:val="0"/>
            <w:vAlign w:val="center"/>
          </w:tcPr>
          <w:p w14:paraId="7C45AA3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E-202</w:t>
            </w:r>
          </w:p>
        </w:tc>
        <w:tc>
          <w:tcPr>
            <w:tcW w:w="1794" w:type="dxa"/>
            <w:noWrap w:val="0"/>
            <w:vAlign w:val="center"/>
          </w:tcPr>
          <w:p w14:paraId="0CA89A9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反应液冷却器</w:t>
            </w:r>
          </w:p>
        </w:tc>
        <w:tc>
          <w:tcPr>
            <w:tcW w:w="2136" w:type="dxa"/>
            <w:noWrap w:val="0"/>
            <w:vAlign w:val="center"/>
          </w:tcPr>
          <w:p w14:paraId="0402665B">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4372B4C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181FCBE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73E67F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FC236B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46</w:t>
            </w:r>
          </w:p>
        </w:tc>
        <w:tc>
          <w:tcPr>
            <w:tcW w:w="1080" w:type="dxa"/>
            <w:noWrap w:val="0"/>
            <w:vAlign w:val="center"/>
          </w:tcPr>
          <w:p w14:paraId="6024FDA6">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E-203</w:t>
            </w:r>
          </w:p>
        </w:tc>
        <w:tc>
          <w:tcPr>
            <w:tcW w:w="1794" w:type="dxa"/>
            <w:noWrap w:val="0"/>
            <w:vAlign w:val="center"/>
          </w:tcPr>
          <w:p w14:paraId="5C4898BE">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真空冷凝器</w:t>
            </w:r>
          </w:p>
        </w:tc>
        <w:tc>
          <w:tcPr>
            <w:tcW w:w="2136" w:type="dxa"/>
            <w:noWrap w:val="0"/>
            <w:vAlign w:val="center"/>
          </w:tcPr>
          <w:p w14:paraId="1C2F1B92">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02183CAB">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35403CC7">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531063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4BB8F2F8">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47</w:t>
            </w:r>
          </w:p>
        </w:tc>
        <w:tc>
          <w:tcPr>
            <w:tcW w:w="1080" w:type="dxa"/>
            <w:noWrap w:val="0"/>
            <w:vAlign w:val="center"/>
          </w:tcPr>
          <w:p w14:paraId="475D48F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V-109</w:t>
            </w:r>
          </w:p>
        </w:tc>
        <w:tc>
          <w:tcPr>
            <w:tcW w:w="1794" w:type="dxa"/>
            <w:noWrap w:val="0"/>
            <w:vAlign w:val="center"/>
          </w:tcPr>
          <w:p w14:paraId="45722125">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常压分离器</w:t>
            </w:r>
          </w:p>
        </w:tc>
        <w:tc>
          <w:tcPr>
            <w:tcW w:w="2136" w:type="dxa"/>
            <w:noWrap w:val="0"/>
            <w:vAlign w:val="center"/>
          </w:tcPr>
          <w:p w14:paraId="60CE2592">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62DECEE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57B81601">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r w14:paraId="1CF444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dxa"/>
            <w:noWrap w:val="0"/>
            <w:vAlign w:val="center"/>
          </w:tcPr>
          <w:p w14:paraId="6B228513">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47</w:t>
            </w:r>
          </w:p>
        </w:tc>
        <w:tc>
          <w:tcPr>
            <w:tcW w:w="1080" w:type="dxa"/>
            <w:noWrap w:val="0"/>
            <w:vAlign w:val="center"/>
          </w:tcPr>
          <w:p w14:paraId="247F2BC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V-102</w:t>
            </w:r>
          </w:p>
        </w:tc>
        <w:tc>
          <w:tcPr>
            <w:tcW w:w="1794" w:type="dxa"/>
            <w:noWrap w:val="0"/>
            <w:vAlign w:val="center"/>
          </w:tcPr>
          <w:p w14:paraId="467EDE99">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宋体"/>
                <w:bCs/>
                <w:szCs w:val="21"/>
              </w:rPr>
              <w:t>排油罐</w:t>
            </w:r>
          </w:p>
        </w:tc>
        <w:tc>
          <w:tcPr>
            <w:tcW w:w="2136" w:type="dxa"/>
            <w:noWrap w:val="0"/>
            <w:vAlign w:val="center"/>
          </w:tcPr>
          <w:p w14:paraId="5011EED7">
            <w:pPr>
              <w:keepNext w:val="0"/>
              <w:keepLines w:val="0"/>
              <w:suppressLineNumbers w:val="0"/>
              <w:spacing w:before="0" w:beforeAutospacing="0" w:after="0" w:afterAutospacing="0"/>
              <w:ind w:left="0" w:right="0"/>
              <w:jc w:val="center"/>
              <w:rPr>
                <w:rFonts w:hint="default" w:ascii="Times New Roman" w:hAnsi="Times New Roman"/>
                <w:bCs/>
                <w:szCs w:val="21"/>
              </w:rPr>
            </w:pPr>
          </w:p>
        </w:tc>
        <w:tc>
          <w:tcPr>
            <w:tcW w:w="1663" w:type="dxa"/>
            <w:noWrap w:val="0"/>
            <w:vAlign w:val="center"/>
          </w:tcPr>
          <w:p w14:paraId="47E95C3C">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Q235-B</w:t>
            </w:r>
          </w:p>
        </w:tc>
        <w:tc>
          <w:tcPr>
            <w:tcW w:w="1237" w:type="dxa"/>
            <w:noWrap w:val="0"/>
            <w:vAlign w:val="center"/>
          </w:tcPr>
          <w:p w14:paraId="163B6D1F">
            <w:pPr>
              <w:keepNext w:val="0"/>
              <w:keepLines w:val="0"/>
              <w:suppressLineNumbers w:val="0"/>
              <w:spacing w:before="0" w:beforeAutospacing="0" w:after="0" w:afterAutospacing="0"/>
              <w:ind w:left="0" w:right="0"/>
              <w:jc w:val="center"/>
              <w:rPr>
                <w:rFonts w:hint="default" w:ascii="Times New Roman" w:hAnsi="Times New Roman"/>
                <w:bCs/>
                <w:szCs w:val="21"/>
              </w:rPr>
            </w:pPr>
            <w:r>
              <w:rPr>
                <w:rFonts w:hint="default" w:ascii="Times New Roman" w:hAnsi="Times New Roman"/>
                <w:bCs/>
                <w:szCs w:val="21"/>
              </w:rPr>
              <w:t>1</w:t>
            </w:r>
          </w:p>
        </w:tc>
      </w:tr>
    </w:tbl>
    <w:p w14:paraId="205E6500">
      <w:pPr>
        <w:pStyle w:val="2"/>
        <w:rPr>
          <w:rFonts w:hint="eastAsia"/>
          <w:lang w:val="en-US" w:eastAsia="zh-CN"/>
        </w:rPr>
      </w:pPr>
    </w:p>
    <w:p w14:paraId="79F17A52">
      <w:pPr>
        <w:pStyle w:val="7"/>
        <w:spacing w:before="240" w:beforeLines="100"/>
        <w:rPr>
          <w:rFonts w:cs="Times New Roman"/>
          <w:color w:val="000000" w:themeColor="text1"/>
          <w14:textFill>
            <w14:solidFill>
              <w14:schemeClr w14:val="tx1"/>
            </w14:solidFill>
          </w14:textFill>
        </w:rPr>
      </w:pPr>
      <w:bookmarkStart w:id="49" w:name="_Toc31123"/>
      <w:bookmarkStart w:id="50" w:name="_Toc127256776"/>
      <w:r>
        <w:rPr>
          <w:rFonts w:hint="eastAsia" w:cs="Times New Roman"/>
          <w:color w:val="000000" w:themeColor="text1"/>
          <w:lang w:val="en-US" w:eastAsia="zh-CN"/>
          <w14:textFill>
            <w14:solidFill>
              <w14:schemeClr w14:val="tx1"/>
            </w14:solidFill>
          </w14:textFill>
        </w:rPr>
        <w:t>3.5</w:t>
      </w:r>
      <w:r>
        <w:rPr>
          <w:rFonts w:cs="Times New Roman"/>
          <w:color w:val="000000" w:themeColor="text1"/>
          <w14:textFill>
            <w14:solidFill>
              <w14:schemeClr w14:val="tx1"/>
            </w14:solidFill>
          </w14:textFill>
        </w:rPr>
        <w:t>安全生产管理</w:t>
      </w:r>
      <w:bookmarkEnd w:id="49"/>
      <w:bookmarkEnd w:id="50"/>
    </w:p>
    <w:p w14:paraId="08AF8C62">
      <w:pPr>
        <w:pStyle w:val="123"/>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公司已通过消防验收，安全生产评估报告及生产安全事故应急预案均已备案</w:t>
      </w:r>
      <w:r>
        <w:rPr>
          <w:rFonts w:hint="eastAsia"/>
          <w:color w:val="000000" w:themeColor="text1"/>
          <w:lang w:eastAsia="zh-CN"/>
          <w14:textFill>
            <w14:solidFill>
              <w14:schemeClr w14:val="tx1"/>
            </w14:solidFill>
          </w14:textFill>
        </w:rPr>
        <w:t>，已经取得了安全生产许可证，并根据该公司使用危化品的实际情况制定了应急预案体系，主要分为安全生产事故综合应急预案、专项预案和现场应急处置方案，应急预案已备案。建设单位按照国家《突发环境事件应急预案管理暂行办法》的要求，每年至少组织两次应急演练，熟悉掌握对突发环境事件的处理措施，加强安全管理，安全生产，严格遵守《暂行办法》的规定。企业不涉及重大危险源。</w:t>
      </w:r>
    </w:p>
    <w:p w14:paraId="0397B1DE">
      <w:pPr>
        <w:pStyle w:val="127"/>
        <w:spacing w:before="72" w:after="48"/>
        <w:rPr>
          <w:color w:val="000000" w:themeColor="text1"/>
          <w14:textFill>
            <w14:solidFill>
              <w14:schemeClr w14:val="tx1"/>
            </w14:solidFill>
          </w14:textFill>
        </w:rPr>
      </w:pPr>
    </w:p>
    <w:p w14:paraId="08FC8E76">
      <w:pPr>
        <w:pStyle w:val="127"/>
        <w:spacing w:before="72" w:after="48"/>
        <w:outlineLvl w:val="9"/>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3.5</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公司安全生产管理情况一览表</w:t>
      </w:r>
    </w:p>
    <w:p w14:paraId="30B55FBA">
      <w:pPr>
        <w:pStyle w:val="127"/>
        <w:spacing w:before="72" w:after="48"/>
        <w:rPr>
          <w:color w:val="000000" w:themeColor="text1"/>
          <w14:textFill>
            <w14:solidFill>
              <w14:schemeClr w14:val="tx1"/>
            </w14:solidFill>
          </w14:textFill>
        </w:rPr>
      </w:pPr>
    </w:p>
    <w:tbl>
      <w:tblPr>
        <w:tblStyle w:val="33"/>
        <w:tblpPr w:leftFromText="180" w:rightFromText="180" w:vertAnchor="text" w:tblpY="1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2834"/>
        <w:gridCol w:w="4275"/>
      </w:tblGrid>
      <w:tr w14:paraId="2C3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08" w:type="pct"/>
            <w:vAlign w:val="center"/>
          </w:tcPr>
          <w:p w14:paraId="1A052DB6">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评估项目</w:t>
            </w:r>
          </w:p>
        </w:tc>
        <w:tc>
          <w:tcPr>
            <w:tcW w:w="1472" w:type="pct"/>
            <w:vAlign w:val="center"/>
          </w:tcPr>
          <w:p w14:paraId="02931CB1">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企业安全生产管理现状</w:t>
            </w:r>
          </w:p>
        </w:tc>
        <w:tc>
          <w:tcPr>
            <w:tcW w:w="2220" w:type="pct"/>
            <w:vAlign w:val="center"/>
          </w:tcPr>
          <w:p w14:paraId="1D9760F1">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结论</w:t>
            </w:r>
          </w:p>
        </w:tc>
      </w:tr>
      <w:tr w14:paraId="2C91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08" w:type="pct"/>
            <w:vAlign w:val="center"/>
          </w:tcPr>
          <w:p w14:paraId="69B844FB">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消防验收</w:t>
            </w:r>
          </w:p>
        </w:tc>
        <w:tc>
          <w:tcPr>
            <w:tcW w:w="1472" w:type="pct"/>
            <w:vAlign w:val="center"/>
          </w:tcPr>
          <w:p w14:paraId="3F351F64">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已取得</w:t>
            </w:r>
          </w:p>
        </w:tc>
        <w:tc>
          <w:tcPr>
            <w:tcW w:w="2220" w:type="pct"/>
            <w:vAlign w:val="center"/>
          </w:tcPr>
          <w:p w14:paraId="7A392648">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sz w:val="21"/>
                <w:szCs w:val="21"/>
                <w:lang w:eastAsia="zh-CN"/>
                <w14:textFill>
                  <w14:solidFill>
                    <w14:schemeClr w14:val="tx1"/>
                  </w14:solidFill>
                </w14:textFill>
              </w:rPr>
              <w:t>20</w:t>
            </w:r>
            <w:r>
              <w:rPr>
                <w:rFonts w:hint="default"/>
                <w:color w:val="000000" w:themeColor="text1"/>
                <w:sz w:val="21"/>
                <w:szCs w:val="21"/>
                <w:lang w:val="en-US" w:eastAsia="zh-CN"/>
                <w14:textFill>
                  <w14:solidFill>
                    <w14:schemeClr w14:val="tx1"/>
                  </w14:solidFill>
                </w14:textFill>
              </w:rPr>
              <w:t>15</w:t>
            </w:r>
            <w:r>
              <w:rPr>
                <w:rFonts w:hint="default"/>
                <w:color w:val="000000" w:themeColor="text1"/>
                <w:sz w:val="21"/>
                <w:szCs w:val="21"/>
                <w:lang w:eastAsia="zh-CN"/>
                <w14:textFill>
                  <w14:solidFill>
                    <w14:schemeClr w14:val="tx1"/>
                  </w14:solidFill>
                </w14:textFill>
              </w:rPr>
              <w:t>年</w:t>
            </w:r>
            <w:r>
              <w:rPr>
                <w:rFonts w:hint="default"/>
                <w:color w:val="000000" w:themeColor="text1"/>
                <w:sz w:val="21"/>
                <w:szCs w:val="21"/>
                <w:lang w:val="en-US" w:eastAsia="zh-CN"/>
                <w14:textFill>
                  <w14:solidFill>
                    <w14:schemeClr w14:val="tx1"/>
                  </w14:solidFill>
                </w14:textFill>
              </w:rPr>
              <w:t>5</w:t>
            </w:r>
            <w:r>
              <w:rPr>
                <w:rFonts w:hint="default"/>
                <w:color w:val="000000" w:themeColor="text1"/>
                <w:sz w:val="21"/>
                <w:szCs w:val="21"/>
                <w:lang w:eastAsia="zh-CN"/>
                <w14:textFill>
                  <w14:solidFill>
                    <w14:schemeClr w14:val="tx1"/>
                  </w14:solidFill>
                </w14:textFill>
              </w:rPr>
              <w:t>月</w:t>
            </w:r>
            <w:r>
              <w:rPr>
                <w:rFonts w:hint="default"/>
                <w:color w:val="000000" w:themeColor="text1"/>
                <w:sz w:val="21"/>
                <w:szCs w:val="21"/>
                <w:lang w:val="en-US" w:eastAsia="zh-CN"/>
                <w14:textFill>
                  <w14:solidFill>
                    <w14:schemeClr w14:val="tx1"/>
                  </w14:solidFill>
                </w14:textFill>
              </w:rPr>
              <w:t>25</w:t>
            </w:r>
            <w:r>
              <w:rPr>
                <w:rFonts w:hint="default"/>
                <w:color w:val="000000" w:themeColor="text1"/>
                <w:sz w:val="21"/>
                <w:szCs w:val="21"/>
                <w:lang w:eastAsia="zh-CN"/>
                <w14:textFill>
                  <w14:solidFill>
                    <w14:schemeClr w14:val="tx1"/>
                  </w14:solidFill>
                </w14:textFill>
              </w:rPr>
              <w:t>日通过淄博市公安局组织的消防验收，</w:t>
            </w:r>
            <w:r>
              <w:rPr>
                <w:rFonts w:hint="default" w:ascii="Times New Roman" w:hAnsi="Times New Roman" w:cs="Times New Roman"/>
                <w:color w:val="auto"/>
                <w:sz w:val="21"/>
                <w:szCs w:val="21"/>
                <w:highlight w:val="none"/>
                <w:lang w:eastAsia="zh-CN"/>
              </w:rPr>
              <w:t>淄公消验【</w:t>
            </w:r>
            <w:r>
              <w:rPr>
                <w:rFonts w:hint="default" w:ascii="Times New Roman" w:hAnsi="Times New Roman" w:cs="Times New Roman"/>
                <w:color w:val="auto"/>
                <w:sz w:val="21"/>
                <w:szCs w:val="21"/>
                <w:highlight w:val="none"/>
                <w:lang w:val="en-US" w:eastAsia="zh-CN"/>
              </w:rPr>
              <w:t>2015</w:t>
            </w:r>
            <w:r>
              <w:rPr>
                <w:rFonts w:hint="default" w:ascii="Times New Roman" w:hAnsi="Times New Roman" w:cs="Times New Roman"/>
                <w:color w:val="auto"/>
                <w:sz w:val="21"/>
                <w:szCs w:val="21"/>
                <w:highlight w:val="none"/>
                <w:lang w:eastAsia="zh-CN"/>
              </w:rPr>
              <w:t>】第</w:t>
            </w:r>
            <w:r>
              <w:rPr>
                <w:rFonts w:hint="default" w:ascii="Times New Roman" w:hAnsi="Times New Roman" w:cs="Times New Roman"/>
                <w:color w:val="auto"/>
                <w:sz w:val="21"/>
                <w:szCs w:val="21"/>
                <w:highlight w:val="none"/>
                <w:lang w:val="en-US" w:eastAsia="zh-CN"/>
              </w:rPr>
              <w:t>0123</w:t>
            </w:r>
            <w:r>
              <w:rPr>
                <w:rFonts w:hint="default" w:ascii="Times New Roman" w:hAnsi="Times New Roman" w:cs="Times New Roman"/>
                <w:color w:val="auto"/>
                <w:sz w:val="21"/>
                <w:szCs w:val="21"/>
                <w:highlight w:val="none"/>
                <w:lang w:eastAsia="zh-CN"/>
              </w:rPr>
              <w:t>号</w:t>
            </w:r>
          </w:p>
        </w:tc>
      </w:tr>
      <w:tr w14:paraId="201C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308" w:type="pct"/>
            <w:vAlign w:val="center"/>
          </w:tcPr>
          <w:p w14:paraId="48EF9D0E">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安全事故应急预案备案</w:t>
            </w:r>
          </w:p>
        </w:tc>
        <w:tc>
          <w:tcPr>
            <w:tcW w:w="1472" w:type="pct"/>
            <w:vAlign w:val="center"/>
          </w:tcPr>
          <w:p w14:paraId="0D52EE3C">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已办理</w:t>
            </w:r>
          </w:p>
        </w:tc>
        <w:tc>
          <w:tcPr>
            <w:tcW w:w="2220" w:type="pct"/>
            <w:vAlign w:val="center"/>
          </w:tcPr>
          <w:p w14:paraId="487A98E7">
            <w:pPr>
              <w:pStyle w:val="126"/>
              <w:keepNext w:val="0"/>
              <w:keepLines w:val="0"/>
              <w:widowControl/>
              <w:suppressLineNumbers w:val="0"/>
              <w:spacing w:before="0" w:beforeAutospacing="0" w:after="0" w:afterAutospacing="0"/>
              <w:ind w:left="0" w:right="0"/>
              <w:rPr>
                <w:rFonts w:hint="default"/>
              </w:rPr>
            </w:pPr>
            <w:r>
              <w:rPr>
                <w:rFonts w:hint="default"/>
              </w:rPr>
              <w:t>202</w:t>
            </w:r>
            <w:r>
              <w:rPr>
                <w:rFonts w:hint="eastAsia"/>
                <w:lang w:val="en-US" w:eastAsia="zh-CN"/>
              </w:rPr>
              <w:t>2</w:t>
            </w:r>
            <w:r>
              <w:rPr>
                <w:rFonts w:hint="default"/>
              </w:rPr>
              <w:t>年</w:t>
            </w:r>
            <w:r>
              <w:rPr>
                <w:rFonts w:hint="eastAsia"/>
                <w:lang w:val="en-US" w:eastAsia="zh-CN"/>
              </w:rPr>
              <w:t>1</w:t>
            </w:r>
            <w:r>
              <w:rPr>
                <w:rFonts w:hint="default"/>
              </w:rPr>
              <w:t>月</w:t>
            </w:r>
            <w:r>
              <w:rPr>
                <w:rFonts w:hint="eastAsia"/>
                <w:lang w:val="en-US" w:eastAsia="zh-CN"/>
              </w:rPr>
              <w:t>10</w:t>
            </w:r>
            <w:r>
              <w:rPr>
                <w:rFonts w:hint="default"/>
              </w:rPr>
              <w:t>日已备案并通过审查</w:t>
            </w:r>
          </w:p>
          <w:p w14:paraId="70660534">
            <w:pPr>
              <w:pStyle w:val="126"/>
              <w:keepNext w:val="0"/>
              <w:keepLines w:val="0"/>
              <w:widowControl/>
              <w:suppressLineNumbers w:val="0"/>
              <w:spacing w:before="0" w:beforeAutospacing="0" w:after="0" w:afterAutospacing="0"/>
              <w:ind w:left="0" w:right="0"/>
              <w:rPr>
                <w:rFonts w:hint="default" w:eastAsia="宋体"/>
                <w:b/>
                <w:bCs/>
                <w:color w:val="auto"/>
                <w:lang w:val="en-US" w:eastAsia="zh-CN"/>
              </w:rPr>
            </w:pPr>
            <w:r>
              <w:rPr>
                <w:rFonts w:hint="eastAsia"/>
              </w:rPr>
              <w:t>370305-202</w:t>
            </w:r>
            <w:r>
              <w:rPr>
                <w:rFonts w:hint="eastAsia"/>
                <w:lang w:val="en-US" w:eastAsia="zh-CN"/>
              </w:rPr>
              <w:t>2</w:t>
            </w:r>
            <w:r>
              <w:rPr>
                <w:rFonts w:hint="eastAsia"/>
              </w:rPr>
              <w:t>-</w:t>
            </w:r>
            <w:r>
              <w:rPr>
                <w:rFonts w:hint="eastAsia"/>
                <w:lang w:val="en-US" w:eastAsia="zh-CN"/>
              </w:rPr>
              <w:t>016</w:t>
            </w:r>
          </w:p>
        </w:tc>
      </w:tr>
      <w:tr w14:paraId="6176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308" w:type="pct"/>
            <w:vAlign w:val="center"/>
          </w:tcPr>
          <w:p w14:paraId="0BC020BA">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安全评价</w:t>
            </w:r>
          </w:p>
        </w:tc>
        <w:tc>
          <w:tcPr>
            <w:tcW w:w="1472" w:type="pct"/>
            <w:vAlign w:val="center"/>
          </w:tcPr>
          <w:p w14:paraId="399DE628">
            <w:pPr>
              <w:pStyle w:val="126"/>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通过安全设施竣工验收</w:t>
            </w:r>
          </w:p>
        </w:tc>
        <w:tc>
          <w:tcPr>
            <w:tcW w:w="2220" w:type="pct"/>
            <w:vAlign w:val="center"/>
          </w:tcPr>
          <w:p w14:paraId="26F30465">
            <w:pPr>
              <w:pStyle w:val="126"/>
              <w:keepNext w:val="0"/>
              <w:keepLines w:val="0"/>
              <w:widowControl/>
              <w:suppressLineNumbers w:val="0"/>
              <w:spacing w:before="0" w:beforeAutospacing="0" w:after="0" w:afterAutospacing="0"/>
              <w:ind w:left="0" w:right="0"/>
              <w:rPr>
                <w:rFonts w:hint="default" w:eastAsia="宋体"/>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已</w:t>
            </w:r>
            <w:r>
              <w:rPr>
                <w:rFonts w:hint="eastAsia"/>
                <w:color w:val="000000" w:themeColor="text1"/>
                <w14:textFill>
                  <w14:solidFill>
                    <w14:schemeClr w14:val="tx1"/>
                  </w14:solidFill>
                </w14:textFill>
              </w:rPr>
              <w:t>于2</w:t>
            </w:r>
            <w:r>
              <w:rPr>
                <w:rFonts w:hint="default"/>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23</w:t>
            </w:r>
            <w:r>
              <w:rPr>
                <w:rFonts w:hint="eastAsia"/>
                <w:color w:val="000000" w:themeColor="text1"/>
                <w14:textFill>
                  <w14:solidFill>
                    <w14:schemeClr w14:val="tx1"/>
                  </w14:solidFill>
                </w14:textFill>
              </w:rPr>
              <w:t>年1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月日</w:t>
            </w:r>
            <w:r>
              <w:rPr>
                <w:rFonts w:hint="default"/>
                <w:color w:val="000000" w:themeColor="text1"/>
                <w14:textFill>
                  <w14:solidFill>
                    <w14:schemeClr w14:val="tx1"/>
                  </w14:solidFill>
                </w14:textFill>
              </w:rPr>
              <w:t>评价并通过审查</w:t>
            </w:r>
            <w:r>
              <w:rPr>
                <w:rFonts w:hint="eastAsia"/>
                <w:color w:val="000000" w:themeColor="text1"/>
                <w14:textFill>
                  <w14:solidFill>
                    <w14:schemeClr w14:val="tx1"/>
                  </w14:solidFill>
                </w14:textFill>
              </w:rPr>
              <w:t>，报告编号：</w:t>
            </w:r>
            <w:r>
              <w:rPr>
                <w:rFonts w:hint="eastAsia"/>
                <w:color w:val="000000" w:themeColor="text1"/>
                <w:lang w:val="en-US" w:eastAsia="zh-CN"/>
                <w14:textFill>
                  <w14:solidFill>
                    <w14:schemeClr w14:val="tx1"/>
                  </w14:solidFill>
                </w14:textFill>
              </w:rPr>
              <w:t>HDBG/AQ/AP</w:t>
            </w:r>
            <w:r>
              <w:rPr>
                <w:rFonts w:hint="default"/>
                <w:color w:val="000000" w:themeColor="text1"/>
                <w14:textFill>
                  <w14:solidFill>
                    <w14:schemeClr w14:val="tx1"/>
                  </w14:solidFill>
                </w14:textFill>
              </w:rPr>
              <w:t>-20</w:t>
            </w:r>
            <w:r>
              <w:rPr>
                <w:rFonts w:hint="eastAsia"/>
                <w:color w:val="000000" w:themeColor="text1"/>
                <w:lang w:val="en-US" w:eastAsia="zh-CN"/>
                <w14:textFill>
                  <w14:solidFill>
                    <w14:schemeClr w14:val="tx1"/>
                  </w14:solidFill>
                </w14:textFill>
              </w:rPr>
              <w:t>230505-01</w:t>
            </w:r>
          </w:p>
        </w:tc>
      </w:tr>
    </w:tbl>
    <w:p w14:paraId="10BA4D82">
      <w:pPr>
        <w:pStyle w:val="7"/>
        <w:pageBreakBefore w:val="0"/>
        <w:kinsoku/>
        <w:wordWrap/>
        <w:overflowPunct/>
        <w:topLinePunct w:val="0"/>
        <w:autoSpaceDE/>
        <w:autoSpaceDN/>
        <w:bidi w:val="0"/>
        <w:spacing w:before="0" w:after="0"/>
        <w:textAlignment w:val="auto"/>
        <w:rPr>
          <w:rFonts w:cs="Times New Roman"/>
          <w:color w:val="000000" w:themeColor="text1"/>
          <w14:textFill>
            <w14:solidFill>
              <w14:schemeClr w14:val="tx1"/>
            </w14:solidFill>
          </w14:textFill>
        </w:rPr>
      </w:pPr>
      <w:bookmarkStart w:id="51" w:name="_Toc73285819"/>
      <w:bookmarkStart w:id="52" w:name="_Toc127256777"/>
      <w:bookmarkStart w:id="53" w:name="_Toc12039"/>
      <w:r>
        <w:rPr>
          <w:rFonts w:hint="eastAsia" w:cs="Times New Roman"/>
          <w:color w:val="000000" w:themeColor="text1"/>
          <w:lang w:val="en-US" w:eastAsia="zh-CN"/>
          <w14:textFill>
            <w14:solidFill>
              <w14:schemeClr w14:val="tx1"/>
            </w14:solidFill>
          </w14:textFill>
        </w:rPr>
        <w:t>3.6</w:t>
      </w:r>
      <w:r>
        <w:rPr>
          <w:rFonts w:cs="Times New Roman"/>
          <w:color w:val="000000" w:themeColor="text1"/>
          <w14:textFill>
            <w14:solidFill>
              <w14:schemeClr w14:val="tx1"/>
            </w14:solidFill>
          </w14:textFill>
        </w:rPr>
        <w:t>现有风险防控与应急措施情况</w:t>
      </w:r>
      <w:bookmarkEnd w:id="51"/>
      <w:bookmarkEnd w:id="52"/>
      <w:bookmarkEnd w:id="53"/>
    </w:p>
    <w:p w14:paraId="55F3FBB4">
      <w:pPr>
        <w:pStyle w:val="8"/>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3.6.1风险单元的划分</w:t>
      </w:r>
    </w:p>
    <w:p w14:paraId="65FFCF64">
      <w:pPr>
        <w:pStyle w:val="123"/>
        <w:pageBreakBefore w:val="0"/>
        <w:kinsoku/>
        <w:wordWrap/>
        <w:overflowPunct/>
        <w:topLinePunct w:val="0"/>
        <w:autoSpaceDE/>
        <w:autoSpaceDN/>
        <w:bidi w:val="0"/>
        <w:ind w:left="0" w:leftChars="0" w:firstLine="504"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color w:val="auto"/>
          <w:spacing w:val="6"/>
          <w:sz w:val="24"/>
          <w:highlight w:val="none"/>
        </w:rPr>
        <w:t>根据本项目对环境风险物质的筛选和工艺流程，确定生产设施风险单元及风险类型见下表。</w:t>
      </w:r>
    </w:p>
    <w:p w14:paraId="4AD98938">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表3.6-1厂区风险单元及风险类型一览表</w:t>
      </w:r>
    </w:p>
    <w:tbl>
      <w:tblPr>
        <w:tblStyle w:val="33"/>
        <w:tblW w:w="5548" w:type="pct"/>
        <w:jc w:val="center"/>
        <w:tblLayout w:type="autofit"/>
        <w:tblCellMar>
          <w:top w:w="0" w:type="dxa"/>
          <w:left w:w="0" w:type="dxa"/>
          <w:bottom w:w="0" w:type="dxa"/>
          <w:right w:w="0" w:type="dxa"/>
        </w:tblCellMar>
      </w:tblPr>
      <w:tblGrid>
        <w:gridCol w:w="458"/>
        <w:gridCol w:w="965"/>
        <w:gridCol w:w="2021"/>
        <w:gridCol w:w="2076"/>
        <w:gridCol w:w="1622"/>
        <w:gridCol w:w="1513"/>
        <w:gridCol w:w="1800"/>
      </w:tblGrid>
      <w:tr w14:paraId="1B94DF7B">
        <w:tblPrEx>
          <w:tblCellMar>
            <w:top w:w="0" w:type="dxa"/>
            <w:left w:w="0" w:type="dxa"/>
            <w:bottom w:w="0" w:type="dxa"/>
            <w:right w:w="0" w:type="dxa"/>
          </w:tblCellMar>
        </w:tblPrEx>
        <w:trPr>
          <w:trHeight w:val="397" w:hRule="atLeast"/>
          <w:jc w:val="center"/>
        </w:trPr>
        <w:tc>
          <w:tcPr>
            <w:tcW w:w="219" w:type="pct"/>
            <w:tcBorders>
              <w:top w:val="single" w:color="000000" w:sz="4" w:space="0"/>
              <w:left w:val="single" w:color="000000" w:sz="4" w:space="0"/>
              <w:bottom w:val="single" w:color="000000" w:sz="4" w:space="0"/>
              <w:right w:val="single" w:color="000000" w:sz="4" w:space="0"/>
            </w:tcBorders>
            <w:noWrap w:val="0"/>
            <w:vAlign w:val="center"/>
          </w:tcPr>
          <w:p w14:paraId="705A3BDC">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14:paraId="24CCAE68">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14:paraId="4F13DA8C">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9CD9985">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775" w:type="pct"/>
            <w:tcBorders>
              <w:top w:val="single" w:color="000000" w:sz="4" w:space="0"/>
              <w:left w:val="single" w:color="000000" w:sz="4" w:space="0"/>
              <w:bottom w:val="single" w:color="000000" w:sz="4" w:space="0"/>
              <w:right w:val="single" w:color="000000" w:sz="4" w:space="0"/>
            </w:tcBorders>
            <w:noWrap w:val="0"/>
            <w:vAlign w:val="center"/>
          </w:tcPr>
          <w:p w14:paraId="6A312626">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723" w:type="pct"/>
            <w:tcBorders>
              <w:top w:val="single" w:color="000000" w:sz="4" w:space="0"/>
              <w:left w:val="single" w:color="000000" w:sz="4" w:space="0"/>
              <w:bottom w:val="single" w:color="000000" w:sz="4" w:space="0"/>
              <w:right w:val="single" w:color="000000" w:sz="4" w:space="0"/>
            </w:tcBorders>
            <w:noWrap w:val="0"/>
            <w:vAlign w:val="center"/>
          </w:tcPr>
          <w:p w14:paraId="0B4FC231">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c>
          <w:tcPr>
            <w:tcW w:w="860" w:type="pct"/>
            <w:tcBorders>
              <w:top w:val="single" w:color="000000" w:sz="4" w:space="0"/>
              <w:left w:val="single" w:color="000000" w:sz="4" w:space="0"/>
              <w:bottom w:val="single" w:color="000000" w:sz="4" w:space="0"/>
              <w:right w:val="single" w:color="000000" w:sz="4" w:space="0"/>
            </w:tcBorders>
            <w:noWrap w:val="0"/>
            <w:vAlign w:val="center"/>
          </w:tcPr>
          <w:p w14:paraId="43D5BAA2">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事故触发因素</w:t>
            </w:r>
          </w:p>
        </w:tc>
      </w:tr>
      <w:tr w14:paraId="61C13EA4">
        <w:tblPrEx>
          <w:tblCellMar>
            <w:top w:w="0" w:type="dxa"/>
            <w:left w:w="0" w:type="dxa"/>
            <w:bottom w:w="0" w:type="dxa"/>
            <w:right w:w="0" w:type="dxa"/>
          </w:tblCellMar>
        </w:tblPrEx>
        <w:trPr>
          <w:trHeight w:val="397" w:hRule="atLeast"/>
          <w:jc w:val="center"/>
        </w:trPr>
        <w:tc>
          <w:tcPr>
            <w:tcW w:w="219" w:type="pct"/>
            <w:vMerge w:val="restart"/>
            <w:tcBorders>
              <w:top w:val="single" w:color="000000" w:sz="4" w:space="0"/>
              <w:left w:val="single" w:color="000000" w:sz="4" w:space="0"/>
              <w:right w:val="single" w:color="000000" w:sz="4" w:space="0"/>
            </w:tcBorders>
            <w:noWrap w:val="0"/>
            <w:vAlign w:val="center"/>
          </w:tcPr>
          <w:p w14:paraId="0A2EA8EB">
            <w:pPr>
              <w:pStyle w:val="126"/>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461" w:type="pct"/>
            <w:vMerge w:val="restart"/>
            <w:tcBorders>
              <w:top w:val="single" w:color="000000" w:sz="4" w:space="0"/>
              <w:left w:val="single" w:color="000000" w:sz="4" w:space="0"/>
              <w:right w:val="single" w:color="000000" w:sz="4" w:space="0"/>
            </w:tcBorders>
            <w:noWrap w:val="0"/>
            <w:vAlign w:val="center"/>
          </w:tcPr>
          <w:p w14:paraId="44EB924F">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14:paraId="6A12BC30">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（糠醇装置）</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BB03BA">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p>
        </w:tc>
        <w:tc>
          <w:tcPr>
            <w:tcW w:w="775" w:type="pct"/>
            <w:vMerge w:val="restart"/>
            <w:tcBorders>
              <w:top w:val="single" w:color="000000" w:sz="4" w:space="0"/>
              <w:left w:val="single" w:color="000000" w:sz="4" w:space="0"/>
              <w:right w:val="single" w:color="000000" w:sz="4" w:space="0"/>
            </w:tcBorders>
            <w:noWrap w:val="0"/>
            <w:vAlign w:val="center"/>
          </w:tcPr>
          <w:p w14:paraId="4D85F9C7">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r>
              <w:rPr>
                <w:rFonts w:hint="eastAsia"/>
                <w:color w:val="000000"/>
                <w:lang w:eastAsia="zh-CN"/>
              </w:rPr>
              <w:t>、火灾</w:t>
            </w:r>
          </w:p>
        </w:tc>
        <w:tc>
          <w:tcPr>
            <w:tcW w:w="723" w:type="pct"/>
            <w:vMerge w:val="restart"/>
            <w:tcBorders>
              <w:top w:val="single" w:color="000000" w:sz="4" w:space="0"/>
              <w:left w:val="single" w:color="000000" w:sz="4" w:space="0"/>
              <w:right w:val="single" w:color="000000" w:sz="4" w:space="0"/>
            </w:tcBorders>
            <w:noWrap w:val="0"/>
            <w:vAlign w:val="center"/>
          </w:tcPr>
          <w:p w14:paraId="731A1FA0">
            <w:pPr>
              <w:pStyle w:val="126"/>
              <w:keepNext w:val="0"/>
              <w:keepLines w:val="0"/>
              <w:widowControl/>
              <w:suppressLineNumbers w:val="0"/>
              <w:spacing w:before="0" w:beforeAutospacing="0" w:after="0" w:afterAutospacing="0"/>
              <w:ind w:left="0" w:right="0"/>
              <w:rPr>
                <w:rFonts w:hint="default"/>
                <w:color w:val="000000"/>
              </w:rPr>
            </w:pPr>
          </w:p>
        </w:tc>
        <w:tc>
          <w:tcPr>
            <w:tcW w:w="860" w:type="pct"/>
            <w:tcBorders>
              <w:top w:val="single" w:color="000000" w:sz="4" w:space="0"/>
              <w:left w:val="single" w:color="000000" w:sz="4" w:space="0"/>
              <w:right w:val="single" w:color="000000" w:sz="4" w:space="0"/>
            </w:tcBorders>
            <w:noWrap w:val="0"/>
            <w:vAlign w:val="top"/>
          </w:tcPr>
          <w:p w14:paraId="6732EADD">
            <w:pPr>
              <w:pStyle w:val="126"/>
              <w:keepNext w:val="0"/>
              <w:keepLines w:val="0"/>
              <w:widowControl/>
              <w:suppressLineNumbers w:val="0"/>
              <w:spacing w:before="0" w:beforeAutospacing="0" w:after="0" w:afterAutospacing="0"/>
              <w:ind w:left="0" w:right="0"/>
              <w:jc w:val="both"/>
              <w:rPr>
                <w:rFonts w:hint="default"/>
                <w:color w:val="000000"/>
              </w:rPr>
            </w:pPr>
          </w:p>
        </w:tc>
      </w:tr>
      <w:tr w14:paraId="5648D8CC">
        <w:tblPrEx>
          <w:tblCellMar>
            <w:top w:w="0" w:type="dxa"/>
            <w:left w:w="0" w:type="dxa"/>
            <w:bottom w:w="0" w:type="dxa"/>
            <w:right w:w="0" w:type="dxa"/>
          </w:tblCellMar>
        </w:tblPrEx>
        <w:trPr>
          <w:trHeight w:val="1029" w:hRule="atLeast"/>
          <w:jc w:val="center"/>
        </w:trPr>
        <w:tc>
          <w:tcPr>
            <w:tcW w:w="219" w:type="pct"/>
            <w:vMerge w:val="continue"/>
            <w:tcBorders>
              <w:left w:val="single" w:color="000000" w:sz="4" w:space="0"/>
              <w:right w:val="single" w:color="000000" w:sz="4" w:space="0"/>
            </w:tcBorders>
            <w:noWrap w:val="0"/>
            <w:vAlign w:val="center"/>
          </w:tcPr>
          <w:p w14:paraId="4CF2021C">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left w:val="single" w:color="000000" w:sz="4" w:space="0"/>
              <w:bottom w:val="single" w:color="auto" w:sz="4" w:space="0"/>
              <w:right w:val="single" w:color="000000" w:sz="4" w:space="0"/>
            </w:tcBorders>
            <w:noWrap w:val="0"/>
            <w:vAlign w:val="center"/>
          </w:tcPr>
          <w:p w14:paraId="0572EC89">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tcBorders>
              <w:top w:val="single" w:color="000000" w:sz="4" w:space="0"/>
              <w:left w:val="single" w:color="000000" w:sz="4" w:space="0"/>
              <w:bottom w:val="single" w:color="000000" w:sz="4" w:space="0"/>
              <w:right w:val="single" w:color="000000" w:sz="4" w:space="0"/>
            </w:tcBorders>
            <w:noWrap w:val="0"/>
            <w:vAlign w:val="center"/>
          </w:tcPr>
          <w:p w14:paraId="40D8CC29">
            <w:pPr>
              <w:pStyle w:val="126"/>
              <w:keepNext w:val="0"/>
              <w:keepLines w:val="0"/>
              <w:widowControl/>
              <w:suppressLineNumbers w:val="0"/>
              <w:spacing w:before="0" w:beforeAutospacing="0" w:after="0" w:afterAutospacing="0"/>
              <w:ind w:left="0" w:right="0"/>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（二甲基呋喃装置）</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716F26C">
            <w:pPr>
              <w:pStyle w:val="126"/>
              <w:keepNext w:val="0"/>
              <w:keepLines w:val="0"/>
              <w:widowControl/>
              <w:suppressLineNumbers w:val="0"/>
              <w:spacing w:before="0" w:beforeAutospacing="0" w:after="0" w:afterAutospacing="0"/>
              <w:ind w:left="0" w:right="0"/>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糠醛</w:t>
            </w:r>
          </w:p>
        </w:tc>
        <w:tc>
          <w:tcPr>
            <w:tcW w:w="775" w:type="pct"/>
            <w:vMerge w:val="continue"/>
            <w:tcBorders>
              <w:left w:val="single" w:color="000000" w:sz="4" w:space="0"/>
              <w:bottom w:val="single" w:color="auto" w:sz="4" w:space="0"/>
              <w:right w:val="single" w:color="000000" w:sz="4" w:space="0"/>
            </w:tcBorders>
            <w:noWrap w:val="0"/>
            <w:vAlign w:val="center"/>
          </w:tcPr>
          <w:p w14:paraId="09EB1682">
            <w:pPr>
              <w:pStyle w:val="126"/>
              <w:keepNext w:val="0"/>
              <w:keepLines w:val="0"/>
              <w:widowControl/>
              <w:suppressLineNumbers w:val="0"/>
              <w:spacing w:before="0" w:beforeAutospacing="0" w:after="0" w:afterAutospacing="0"/>
              <w:ind w:left="0" w:right="0"/>
              <w:rPr>
                <w:rFonts w:hint="eastAsia"/>
                <w:color w:val="000000"/>
              </w:rPr>
            </w:pPr>
          </w:p>
        </w:tc>
        <w:tc>
          <w:tcPr>
            <w:tcW w:w="723" w:type="pct"/>
            <w:vMerge w:val="continue"/>
            <w:tcBorders>
              <w:left w:val="single" w:color="000000" w:sz="4" w:space="0"/>
              <w:right w:val="single" w:color="000000" w:sz="4" w:space="0"/>
            </w:tcBorders>
            <w:noWrap w:val="0"/>
            <w:vAlign w:val="center"/>
          </w:tcPr>
          <w:p w14:paraId="3601D9E4">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bottom w:val="single" w:color="auto" w:sz="4" w:space="0"/>
              <w:right w:val="single" w:color="000000" w:sz="4" w:space="0"/>
            </w:tcBorders>
            <w:noWrap w:val="0"/>
            <w:vAlign w:val="top"/>
          </w:tcPr>
          <w:p w14:paraId="4D1B5DEE">
            <w:pPr>
              <w:pStyle w:val="126"/>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设备超压爆炸、泄漏及遇火源发生燃烧</w:t>
            </w:r>
          </w:p>
        </w:tc>
      </w:tr>
      <w:tr w14:paraId="1FB22BC6">
        <w:tblPrEx>
          <w:tblCellMar>
            <w:top w:w="0" w:type="dxa"/>
            <w:left w:w="0" w:type="dxa"/>
            <w:bottom w:w="0" w:type="dxa"/>
            <w:right w:w="0" w:type="dxa"/>
          </w:tblCellMar>
        </w:tblPrEx>
        <w:trPr>
          <w:trHeight w:val="397" w:hRule="atLeast"/>
          <w:jc w:val="center"/>
        </w:trPr>
        <w:tc>
          <w:tcPr>
            <w:tcW w:w="219" w:type="pct"/>
            <w:vMerge w:val="restart"/>
            <w:tcBorders>
              <w:left w:val="single" w:color="000000" w:sz="4" w:space="0"/>
              <w:right w:val="single" w:color="000000" w:sz="4" w:space="0"/>
            </w:tcBorders>
            <w:noWrap w:val="0"/>
            <w:vAlign w:val="center"/>
          </w:tcPr>
          <w:p w14:paraId="23EDD56F">
            <w:pPr>
              <w:pStyle w:val="126"/>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461" w:type="pct"/>
            <w:vMerge w:val="restart"/>
            <w:tcBorders>
              <w:top w:val="single" w:color="auto" w:sz="4" w:space="0"/>
              <w:left w:val="single" w:color="000000" w:sz="4" w:space="0"/>
              <w:bottom w:val="single" w:color="auto" w:sz="4" w:space="0"/>
              <w:right w:val="single" w:color="000000" w:sz="4" w:space="0"/>
            </w:tcBorders>
            <w:noWrap w:val="0"/>
            <w:vAlign w:val="center"/>
          </w:tcPr>
          <w:p w14:paraId="4449D799">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危废暂存</w:t>
            </w:r>
            <w:r>
              <w:rPr>
                <w:rFonts w:hint="eastAsia"/>
                <w:color w:val="000000"/>
                <w:lang w:eastAsia="zh-CN"/>
              </w:rPr>
              <w:t>间</w:t>
            </w:r>
            <w:r>
              <w:rPr>
                <w:rFonts w:hint="eastAsia"/>
                <w:color w:val="000000"/>
              </w:rPr>
              <w:t>库</w:t>
            </w:r>
          </w:p>
          <w:p w14:paraId="6D2703D0">
            <w:pPr>
              <w:pStyle w:val="126"/>
              <w:keepNext w:val="0"/>
              <w:keepLines w:val="0"/>
              <w:widowControl/>
              <w:suppressLineNumbers w:val="0"/>
              <w:spacing w:before="0" w:beforeAutospacing="0" w:after="0" w:afterAutospacing="0"/>
              <w:ind w:left="0" w:right="0"/>
              <w:rPr>
                <w:rFonts w:hint="eastAsia"/>
                <w:color w:val="000000"/>
              </w:rPr>
            </w:pPr>
          </w:p>
          <w:p w14:paraId="2445DF31">
            <w:pPr>
              <w:pStyle w:val="126"/>
              <w:keepNext w:val="0"/>
              <w:keepLines w:val="0"/>
              <w:widowControl/>
              <w:suppressLineNumbers w:val="0"/>
              <w:spacing w:before="0" w:beforeAutospacing="0" w:after="0" w:afterAutospacing="0"/>
              <w:ind w:left="0" w:right="0"/>
              <w:rPr>
                <w:rFonts w:hint="eastAsia"/>
                <w:color w:val="000000"/>
              </w:rPr>
            </w:pPr>
          </w:p>
          <w:p w14:paraId="6A33DF45">
            <w:pPr>
              <w:pStyle w:val="126"/>
              <w:keepNext w:val="0"/>
              <w:keepLines w:val="0"/>
              <w:widowControl/>
              <w:suppressLineNumbers w:val="0"/>
              <w:spacing w:before="0" w:beforeAutospacing="0" w:after="0" w:afterAutospacing="0"/>
              <w:ind w:left="0" w:right="0"/>
              <w:rPr>
                <w:rFonts w:hint="eastAsia"/>
                <w:color w:val="000000"/>
              </w:rPr>
            </w:pPr>
          </w:p>
          <w:p w14:paraId="34472C9C">
            <w:pPr>
              <w:pStyle w:val="126"/>
              <w:keepNext w:val="0"/>
              <w:keepLines w:val="0"/>
              <w:widowControl/>
              <w:suppressLineNumbers w:val="0"/>
              <w:spacing w:before="0" w:beforeAutospacing="0" w:after="0" w:afterAutospacing="0"/>
              <w:ind w:left="0" w:right="0"/>
              <w:rPr>
                <w:rFonts w:hint="eastAsia"/>
                <w:color w:val="000000"/>
              </w:rPr>
            </w:pPr>
          </w:p>
          <w:p w14:paraId="11F0E10E">
            <w:pPr>
              <w:pStyle w:val="126"/>
              <w:keepNext w:val="0"/>
              <w:keepLines w:val="0"/>
              <w:widowControl/>
              <w:suppressLineNumbers w:val="0"/>
              <w:spacing w:before="0" w:beforeAutospacing="0" w:after="0" w:afterAutospacing="0"/>
              <w:ind w:left="0" w:right="0"/>
              <w:rPr>
                <w:rFonts w:hint="default"/>
                <w:color w:val="000000"/>
              </w:rPr>
            </w:pPr>
          </w:p>
        </w:tc>
        <w:tc>
          <w:tcPr>
            <w:tcW w:w="966" w:type="pct"/>
            <w:vMerge w:val="restart"/>
            <w:tcBorders>
              <w:top w:val="single" w:color="000000" w:sz="4" w:space="0"/>
              <w:left w:val="single" w:color="000000" w:sz="4" w:space="0"/>
              <w:right w:val="single" w:color="000000" w:sz="4" w:space="0"/>
            </w:tcBorders>
            <w:noWrap w:val="0"/>
            <w:vAlign w:val="center"/>
          </w:tcPr>
          <w:p w14:paraId="30604ED4">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19454650">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糠醇废催化剂</w:t>
            </w:r>
          </w:p>
        </w:tc>
        <w:tc>
          <w:tcPr>
            <w:tcW w:w="775" w:type="pct"/>
            <w:tcBorders>
              <w:top w:val="single" w:color="auto" w:sz="4" w:space="0"/>
              <w:left w:val="single" w:color="000000" w:sz="4" w:space="0"/>
              <w:bottom w:val="single" w:color="auto" w:sz="4" w:space="0"/>
              <w:right w:val="single" w:color="000000" w:sz="4" w:space="0"/>
            </w:tcBorders>
            <w:noWrap w:val="0"/>
            <w:vAlign w:val="center"/>
          </w:tcPr>
          <w:p w14:paraId="25C1FC12">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723" w:type="pct"/>
            <w:vMerge w:val="restart"/>
            <w:tcBorders>
              <w:left w:val="single" w:color="000000" w:sz="4" w:space="0"/>
              <w:right w:val="single" w:color="000000" w:sz="4" w:space="0"/>
            </w:tcBorders>
            <w:noWrap w:val="0"/>
            <w:vAlign w:val="center"/>
          </w:tcPr>
          <w:p w14:paraId="08B6924D">
            <w:pPr>
              <w:pStyle w:val="126"/>
              <w:keepNext w:val="0"/>
              <w:keepLines w:val="0"/>
              <w:widowControl/>
              <w:suppressLineNumbers w:val="0"/>
              <w:tabs>
                <w:tab w:val="left" w:pos="232"/>
              </w:tabs>
              <w:spacing w:before="0" w:beforeAutospacing="0" w:after="0" w:afterAutospacing="0"/>
              <w:ind w:left="0" w:right="0"/>
              <w:jc w:val="left"/>
              <w:rPr>
                <w:rFonts w:hint="eastAsia" w:eastAsia="宋体"/>
                <w:color w:val="000000"/>
                <w:lang w:eastAsia="zh-CN"/>
              </w:rPr>
            </w:pPr>
            <w:r>
              <w:rPr>
                <w:rFonts w:hint="eastAsia"/>
                <w:color w:val="000000"/>
                <w:lang w:eastAsia="zh-CN"/>
              </w:rPr>
              <w:t>大气、土壤、水环境</w:t>
            </w:r>
          </w:p>
        </w:tc>
        <w:tc>
          <w:tcPr>
            <w:tcW w:w="860" w:type="pct"/>
            <w:tcBorders>
              <w:top w:val="single" w:color="auto" w:sz="4" w:space="0"/>
              <w:left w:val="single" w:color="000000" w:sz="4" w:space="0"/>
              <w:bottom w:val="single" w:color="auto" w:sz="4" w:space="0"/>
              <w:right w:val="single" w:color="000000" w:sz="4" w:space="0"/>
            </w:tcBorders>
            <w:noWrap w:val="0"/>
            <w:vAlign w:val="center"/>
          </w:tcPr>
          <w:p w14:paraId="2BF46D3B">
            <w:pPr>
              <w:pStyle w:val="126"/>
              <w:keepNext w:val="0"/>
              <w:keepLines w:val="0"/>
              <w:widowControl/>
              <w:suppressLineNumbers w:val="0"/>
              <w:tabs>
                <w:tab w:val="left" w:pos="232"/>
              </w:tabs>
              <w:spacing w:before="0" w:beforeAutospacing="0" w:after="0" w:afterAutospacing="0"/>
              <w:ind w:left="0" w:right="0"/>
              <w:jc w:val="left"/>
              <w:rPr>
                <w:rFonts w:hint="eastAsia"/>
                <w:color w:val="000000"/>
                <w:lang w:eastAsia="zh-CN"/>
              </w:rPr>
            </w:pPr>
            <w:r>
              <w:rPr>
                <w:rFonts w:hint="eastAsia"/>
                <w:color w:val="000000"/>
                <w:lang w:eastAsia="zh-CN"/>
              </w:rPr>
              <w:t>分解放热后自燃</w:t>
            </w:r>
          </w:p>
        </w:tc>
      </w:tr>
      <w:tr w14:paraId="3DC5DE62">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4C2B4571">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2D13459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vMerge w:val="continue"/>
            <w:tcBorders>
              <w:left w:val="single" w:color="000000" w:sz="4" w:space="0"/>
              <w:right w:val="single" w:color="000000" w:sz="4" w:space="0"/>
            </w:tcBorders>
            <w:noWrap w:val="0"/>
            <w:vAlign w:val="center"/>
          </w:tcPr>
          <w:p w14:paraId="4BFA72A4">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55282310">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二甲基呋喃废催化剂</w:t>
            </w:r>
          </w:p>
        </w:tc>
        <w:tc>
          <w:tcPr>
            <w:tcW w:w="775" w:type="pct"/>
            <w:tcBorders>
              <w:top w:val="single" w:color="auto" w:sz="4" w:space="0"/>
              <w:left w:val="single" w:color="000000" w:sz="4" w:space="0"/>
              <w:bottom w:val="single" w:color="auto" w:sz="4" w:space="0"/>
              <w:right w:val="single" w:color="000000" w:sz="4" w:space="0"/>
            </w:tcBorders>
            <w:noWrap w:val="0"/>
            <w:vAlign w:val="center"/>
          </w:tcPr>
          <w:p w14:paraId="21AD918C">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23" w:type="pct"/>
            <w:vMerge w:val="continue"/>
            <w:tcBorders>
              <w:left w:val="single" w:color="000000" w:sz="4" w:space="0"/>
              <w:right w:val="single" w:color="000000" w:sz="4" w:space="0"/>
            </w:tcBorders>
            <w:noWrap w:val="0"/>
            <w:vAlign w:val="center"/>
          </w:tcPr>
          <w:p w14:paraId="7C5C5063">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top w:val="single" w:color="auto" w:sz="4" w:space="0"/>
              <w:left w:val="single" w:color="000000" w:sz="4" w:space="0"/>
              <w:bottom w:val="single" w:color="auto" w:sz="4" w:space="0"/>
              <w:right w:val="single" w:color="000000" w:sz="4" w:space="0"/>
            </w:tcBorders>
            <w:noWrap w:val="0"/>
            <w:vAlign w:val="center"/>
          </w:tcPr>
          <w:p w14:paraId="22ADE8F8">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分解放热后自燃</w:t>
            </w:r>
          </w:p>
        </w:tc>
      </w:tr>
      <w:tr w14:paraId="46EC64DC">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1A764B09">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3ECCE0B9">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vMerge w:val="continue"/>
            <w:tcBorders>
              <w:left w:val="single" w:color="000000" w:sz="4" w:space="0"/>
              <w:right w:val="single" w:color="000000" w:sz="4" w:space="0"/>
            </w:tcBorders>
            <w:noWrap w:val="0"/>
            <w:vAlign w:val="center"/>
          </w:tcPr>
          <w:p w14:paraId="2E4296AD">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32F8AC2">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废活性炭</w:t>
            </w:r>
          </w:p>
        </w:tc>
        <w:tc>
          <w:tcPr>
            <w:tcW w:w="775" w:type="pct"/>
            <w:tcBorders>
              <w:top w:val="single" w:color="auto" w:sz="4" w:space="0"/>
              <w:left w:val="single" w:color="000000" w:sz="4" w:space="0"/>
              <w:bottom w:val="single" w:color="auto" w:sz="4" w:space="0"/>
              <w:right w:val="single" w:color="000000" w:sz="4" w:space="0"/>
            </w:tcBorders>
            <w:noWrap w:val="0"/>
            <w:vAlign w:val="center"/>
          </w:tcPr>
          <w:p w14:paraId="69E07E83">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23" w:type="pct"/>
            <w:vMerge w:val="continue"/>
            <w:tcBorders>
              <w:left w:val="single" w:color="000000" w:sz="4" w:space="0"/>
              <w:right w:val="single" w:color="000000" w:sz="4" w:space="0"/>
            </w:tcBorders>
            <w:noWrap w:val="0"/>
            <w:vAlign w:val="center"/>
          </w:tcPr>
          <w:p w14:paraId="36E4D324">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top w:val="single" w:color="auto" w:sz="4" w:space="0"/>
              <w:left w:val="single" w:color="000000" w:sz="4" w:space="0"/>
              <w:right w:val="single" w:color="000000" w:sz="4" w:space="0"/>
            </w:tcBorders>
            <w:noWrap w:val="0"/>
            <w:vAlign w:val="center"/>
          </w:tcPr>
          <w:p w14:paraId="384D1818">
            <w:pPr>
              <w:pStyle w:val="126"/>
              <w:keepNext w:val="0"/>
              <w:keepLines w:val="0"/>
              <w:widowControl/>
              <w:suppressLineNumbers w:val="0"/>
              <w:spacing w:before="0" w:beforeAutospacing="0" w:after="0" w:afterAutospacing="0"/>
              <w:ind w:left="0" w:right="0"/>
              <w:rPr>
                <w:rFonts w:hint="eastAsia"/>
                <w:color w:val="000000"/>
                <w:lang w:eastAsia="zh-CN"/>
              </w:rPr>
            </w:pPr>
            <w:r>
              <w:rPr>
                <w:rFonts w:hint="default"/>
                <w:sz w:val="21"/>
              </w:rPr>
              <mc:AlternateContent>
                <mc:Choice Requires="wps">
                  <w:drawing>
                    <wp:anchor distT="0" distB="0" distL="114300" distR="114300" simplePos="0" relativeHeight="251676672" behindDoc="0" locked="0" layoutInCell="1" allowOverlap="1">
                      <wp:simplePos x="0" y="0"/>
                      <wp:positionH relativeFrom="column">
                        <wp:posOffset>46355</wp:posOffset>
                      </wp:positionH>
                      <wp:positionV relativeFrom="paragraph">
                        <wp:posOffset>521970</wp:posOffset>
                      </wp:positionV>
                      <wp:extent cx="986155" cy="635"/>
                      <wp:effectExtent l="0" t="0" r="0" b="0"/>
                      <wp:wrapNone/>
                      <wp:docPr id="18" name="直接连接符 18"/>
                      <wp:cNvGraphicFramePr/>
                      <a:graphic xmlns:a="http://schemas.openxmlformats.org/drawingml/2006/main">
                        <a:graphicData uri="http://schemas.microsoft.com/office/word/2010/wordprocessingShape">
                          <wps:wsp>
                            <wps:cNvCnPr/>
                            <wps:spPr>
                              <a:xfrm>
                                <a:off x="6014085" y="6439535"/>
                                <a:ext cx="986155" cy="63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65pt;margin-top:41.1pt;height:0.05pt;width:77.65pt;z-index:251676672;mso-width-relative:page;mso-height-relative:page;" filled="f" stroked="t" coordsize="21600,21600" o:gfxdata="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vKcfNMAAAAHAQAA&#10;DwAAAAAAAAABACAAAAAiAAAAZHJzL2Rvd25yZXYueG1sUEsBAhQAFAAAAAgAh07iQNS5LdjlAQAA&#10;qQMAAA4AAAAAAAAAAQAgAAAAIgEAAGRycy9lMm9Eb2MueG1sUEsFBgAAAAAGAAYAWQEAAHkFAAAA&#10;AA==&#10;">
                      <v:fill on="f" focussize="0,0"/>
                      <v:stroke weight="0.5pt" color="#000000 [3213]" joinstyle="round"/>
                      <v:imagedata o:title=""/>
                      <o:lock v:ext="edit" aspectratio="f"/>
                    </v:line>
                  </w:pict>
                </mc:Fallback>
              </mc:AlternateContent>
            </w:r>
            <w:r>
              <w:rPr>
                <w:rFonts w:hint="eastAsia"/>
                <w:color w:val="000000"/>
                <w:lang w:eastAsia="zh-CN"/>
              </w:rPr>
              <w:t>热量积聚导致自燃，遇点火源引发燃爆</w:t>
            </w:r>
          </w:p>
        </w:tc>
      </w:tr>
      <w:tr w14:paraId="06C15245">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644B43FC">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1C53A75E">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vMerge w:val="continue"/>
            <w:tcBorders>
              <w:left w:val="single" w:color="000000" w:sz="4" w:space="0"/>
              <w:right w:val="single" w:color="000000" w:sz="4" w:space="0"/>
            </w:tcBorders>
            <w:noWrap w:val="0"/>
            <w:vAlign w:val="center"/>
          </w:tcPr>
          <w:p w14:paraId="09CF976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0145285E">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废氯化钙</w:t>
            </w:r>
          </w:p>
        </w:tc>
        <w:tc>
          <w:tcPr>
            <w:tcW w:w="775" w:type="pct"/>
            <w:tcBorders>
              <w:top w:val="single" w:color="auto" w:sz="4" w:space="0"/>
              <w:left w:val="single" w:color="000000" w:sz="4" w:space="0"/>
              <w:bottom w:val="single" w:color="auto" w:sz="4" w:space="0"/>
              <w:right w:val="single" w:color="000000" w:sz="4" w:space="0"/>
            </w:tcBorders>
            <w:noWrap w:val="0"/>
            <w:vAlign w:val="center"/>
          </w:tcPr>
          <w:p w14:paraId="7B5247CD">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23" w:type="pct"/>
            <w:vMerge w:val="continue"/>
            <w:tcBorders>
              <w:left w:val="single" w:color="000000" w:sz="4" w:space="0"/>
              <w:right w:val="single" w:color="000000" w:sz="4" w:space="0"/>
            </w:tcBorders>
            <w:noWrap w:val="0"/>
            <w:vAlign w:val="center"/>
          </w:tcPr>
          <w:p w14:paraId="40D0D590">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1C53D0C2">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1C02ABCF">
        <w:tblPrEx>
          <w:tblCellMar>
            <w:top w:w="0" w:type="dxa"/>
            <w:left w:w="0" w:type="dxa"/>
            <w:bottom w:w="0" w:type="dxa"/>
            <w:right w:w="0" w:type="dxa"/>
          </w:tblCellMar>
        </w:tblPrEx>
        <w:trPr>
          <w:trHeight w:val="392" w:hRule="atLeast"/>
          <w:jc w:val="center"/>
        </w:trPr>
        <w:tc>
          <w:tcPr>
            <w:tcW w:w="219" w:type="pct"/>
            <w:vMerge w:val="continue"/>
            <w:tcBorders>
              <w:left w:val="single" w:color="000000" w:sz="4" w:space="0"/>
              <w:right w:val="single" w:color="000000" w:sz="4" w:space="0"/>
            </w:tcBorders>
            <w:noWrap w:val="0"/>
            <w:vAlign w:val="center"/>
          </w:tcPr>
          <w:p w14:paraId="5754D8C5">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09845A60">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vMerge w:val="continue"/>
            <w:tcBorders>
              <w:left w:val="single" w:color="000000" w:sz="4" w:space="0"/>
              <w:right w:val="single" w:color="000000" w:sz="4" w:space="0"/>
            </w:tcBorders>
            <w:noWrap w:val="0"/>
            <w:vAlign w:val="center"/>
          </w:tcPr>
          <w:p w14:paraId="2E3C5C85">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E785F60">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糠醛聚合物</w:t>
            </w:r>
          </w:p>
        </w:tc>
        <w:tc>
          <w:tcPr>
            <w:tcW w:w="775" w:type="pct"/>
            <w:tcBorders>
              <w:top w:val="single" w:color="auto" w:sz="4" w:space="0"/>
              <w:left w:val="single" w:color="000000" w:sz="4" w:space="0"/>
              <w:bottom w:val="single" w:color="auto" w:sz="4" w:space="0"/>
              <w:right w:val="single" w:color="000000" w:sz="4" w:space="0"/>
            </w:tcBorders>
            <w:noWrap w:val="0"/>
            <w:vAlign w:val="center"/>
          </w:tcPr>
          <w:p w14:paraId="1D220387">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23" w:type="pct"/>
            <w:vMerge w:val="continue"/>
            <w:tcBorders>
              <w:left w:val="single" w:color="000000" w:sz="4" w:space="0"/>
              <w:right w:val="single" w:color="000000" w:sz="4" w:space="0"/>
            </w:tcBorders>
            <w:noWrap w:val="0"/>
            <w:vAlign w:val="center"/>
          </w:tcPr>
          <w:p w14:paraId="416620FF">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4816FA8F">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62D6BB5A">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3AF6DE68">
            <w:pPr>
              <w:pStyle w:val="126"/>
              <w:keepNext w:val="0"/>
              <w:keepLines w:val="0"/>
              <w:widowControl/>
              <w:suppressLineNumbers w:val="0"/>
              <w:spacing w:before="0" w:beforeAutospacing="0" w:after="0" w:afterAutospacing="0"/>
              <w:ind w:left="0" w:right="0"/>
              <w:rPr>
                <w:rFonts w:hint="eastAsia" w:eastAsia="宋体" w:cs="Times New Roman"/>
                <w:color w:val="000000"/>
                <w:lang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37B4B490">
            <w:pPr>
              <w:pStyle w:val="126"/>
              <w:keepNext w:val="0"/>
              <w:keepLines w:val="0"/>
              <w:widowControl/>
              <w:suppressLineNumbers w:val="0"/>
              <w:spacing w:before="0" w:beforeAutospacing="0" w:after="0" w:afterAutospacing="0"/>
              <w:ind w:left="0" w:right="0"/>
              <w:rPr>
                <w:rFonts w:hint="default"/>
                <w:color w:val="000000"/>
              </w:rPr>
            </w:pPr>
          </w:p>
        </w:tc>
        <w:tc>
          <w:tcPr>
            <w:tcW w:w="966" w:type="pct"/>
            <w:vMerge w:val="continue"/>
            <w:tcBorders>
              <w:left w:val="single" w:color="000000" w:sz="4" w:space="0"/>
              <w:right w:val="single" w:color="000000" w:sz="4" w:space="0"/>
            </w:tcBorders>
            <w:noWrap w:val="0"/>
            <w:vAlign w:val="center"/>
          </w:tcPr>
          <w:p w14:paraId="49451D14">
            <w:pPr>
              <w:pStyle w:val="126"/>
              <w:keepNext w:val="0"/>
              <w:keepLines w:val="0"/>
              <w:widowControl/>
              <w:suppressLineNumbers w:val="0"/>
              <w:spacing w:before="0" w:beforeAutospacing="0" w:after="0" w:afterAutospacing="0"/>
              <w:ind w:left="0" w:right="0"/>
              <w:rPr>
                <w:rFonts w:hint="default"/>
                <w:color w:val="000000"/>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4C942570">
            <w:pPr>
              <w:keepNext w:val="0"/>
              <w:keepLines w:val="0"/>
              <w:suppressLineNumbers w:val="0"/>
              <w:spacing w:before="0" w:beforeAutospacing="0" w:after="0" w:afterAutospacing="0" w:line="240" w:lineRule="auto"/>
              <w:ind w:left="0" w:leftChars="0" w:right="0" w:rightChars="0" w:firstLine="0" w:firstLineChars="0"/>
              <w:jc w:val="center"/>
              <w:rPr>
                <w:rFonts w:hint="default"/>
                <w:color w:val="000000"/>
              </w:rPr>
            </w:pPr>
            <w:r>
              <w:rPr>
                <w:rStyle w:val="35"/>
                <w:rFonts w:hint="eastAsia" w:ascii="Times New Roman" w:hAnsi="Times New Roman" w:eastAsia="宋体" w:cs="Times New Roman"/>
                <w:color w:val="000000"/>
                <w:kern w:val="2"/>
                <w:sz w:val="21"/>
                <w:szCs w:val="20"/>
                <w:lang w:val="en-US" w:eastAsia="zh-CN" w:bidi="ar-SA"/>
              </w:rPr>
              <w:t>废机油</w:t>
            </w:r>
          </w:p>
        </w:tc>
        <w:tc>
          <w:tcPr>
            <w:tcW w:w="775" w:type="pct"/>
            <w:vMerge w:val="restart"/>
            <w:tcBorders>
              <w:top w:val="single" w:color="auto" w:sz="4" w:space="0"/>
              <w:left w:val="single" w:color="000000" w:sz="4" w:space="0"/>
              <w:bottom w:val="single" w:color="auto" w:sz="4" w:space="0"/>
              <w:right w:val="single" w:color="000000" w:sz="4" w:space="0"/>
            </w:tcBorders>
            <w:noWrap w:val="0"/>
            <w:vAlign w:val="center"/>
          </w:tcPr>
          <w:p w14:paraId="0B02CA45">
            <w:pPr>
              <w:pStyle w:val="126"/>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723" w:type="pct"/>
            <w:vMerge w:val="continue"/>
            <w:tcBorders>
              <w:left w:val="single" w:color="000000" w:sz="4" w:space="0"/>
              <w:right w:val="single" w:color="000000" w:sz="4" w:space="0"/>
            </w:tcBorders>
            <w:noWrap w:val="0"/>
            <w:vAlign w:val="center"/>
          </w:tcPr>
          <w:p w14:paraId="2F195E86">
            <w:pPr>
              <w:pStyle w:val="126"/>
              <w:keepNext w:val="0"/>
              <w:keepLines w:val="0"/>
              <w:widowControl/>
              <w:suppressLineNumbers w:val="0"/>
              <w:spacing w:before="0" w:beforeAutospacing="0" w:after="0" w:afterAutospacing="0"/>
              <w:ind w:left="0" w:right="0"/>
              <w:rPr>
                <w:rFonts w:hint="default"/>
                <w:color w:val="000000"/>
              </w:rPr>
            </w:pPr>
          </w:p>
        </w:tc>
        <w:tc>
          <w:tcPr>
            <w:tcW w:w="860" w:type="pct"/>
            <w:tcBorders>
              <w:left w:val="single" w:color="000000" w:sz="4" w:space="0"/>
              <w:right w:val="single" w:color="000000" w:sz="4" w:space="0"/>
            </w:tcBorders>
            <w:noWrap w:val="0"/>
            <w:vAlign w:val="center"/>
          </w:tcPr>
          <w:p w14:paraId="70627B5E">
            <w:pPr>
              <w:pStyle w:val="126"/>
              <w:keepNext w:val="0"/>
              <w:keepLines w:val="0"/>
              <w:widowControl/>
              <w:suppressLineNumbers w:val="0"/>
              <w:spacing w:before="0" w:beforeAutospacing="0" w:after="0" w:afterAutospacing="0"/>
              <w:ind w:left="0" w:right="0"/>
              <w:rPr>
                <w:rFonts w:hint="default"/>
                <w:color w:val="000000"/>
              </w:rPr>
            </w:pPr>
            <w:r>
              <w:rPr>
                <w:rFonts w:hint="default"/>
                <w:sz w:val="21"/>
              </w:rPr>
              <mc:AlternateContent>
                <mc:Choice Requires="wps">
                  <w:drawing>
                    <wp:anchor distT="0" distB="0" distL="114300" distR="114300" simplePos="0" relativeHeight="251677696" behindDoc="0" locked="0" layoutInCell="1" allowOverlap="1">
                      <wp:simplePos x="0" y="0"/>
                      <wp:positionH relativeFrom="column">
                        <wp:posOffset>3810</wp:posOffset>
                      </wp:positionH>
                      <wp:positionV relativeFrom="paragraph">
                        <wp:posOffset>-1270</wp:posOffset>
                      </wp:positionV>
                      <wp:extent cx="971550" cy="11430"/>
                      <wp:effectExtent l="0" t="4445" r="0" b="12700"/>
                      <wp:wrapNone/>
                      <wp:docPr id="19" name="直接连接符 19"/>
                      <wp:cNvGraphicFramePr/>
                      <a:graphic xmlns:a="http://schemas.openxmlformats.org/drawingml/2006/main">
                        <a:graphicData uri="http://schemas.microsoft.com/office/word/2010/wordprocessingShape">
                          <wps:wsp>
                            <wps:cNvCnPr/>
                            <wps:spPr>
                              <a:xfrm flipV="1">
                                <a:off x="0" y="0"/>
                                <a:ext cx="971550" cy="1143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3pt;margin-top:-0.1pt;height:0.9pt;width:76.5pt;z-index:251677696;mso-width-relative:page;mso-height-relative:page;" filled="f" stroked="t" coordsize="21600,21600" o:gfxdata="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EkrVS1AAAAAQBAAAP&#10;AAAAAAAAAAEAIAAAACIAAABkcnMvZG93bnJldi54bWxQSwECFAAUAAAACACHTuJAbQ0nreMBAACp&#10;AwAADgAAAAAAAAABACAAAAAjAQAAZHJzL2Uyb0RvYy54bWxQSwUGAAAAAAYABgBZAQAAeAUAAAAA&#10;">
                      <v:fill on="f" focussize="0,0"/>
                      <v:stroke weight="0.5pt" color="#000000 [3213]" joinstyle="round"/>
                      <v:imagedata o:title=""/>
                      <o:lock v:ext="edit" aspectratio="f"/>
                    </v:line>
                  </w:pict>
                </mc:Fallback>
              </mc:AlternateContent>
            </w:r>
            <w:r>
              <w:rPr>
                <w:rFonts w:hint="eastAsia"/>
                <w:color w:val="000000"/>
                <w:lang w:eastAsia="zh-CN"/>
              </w:rPr>
              <w:t>遇明火、切割火花等</w:t>
            </w:r>
          </w:p>
        </w:tc>
      </w:tr>
      <w:tr w14:paraId="3DCEAF54">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3AF14CD7">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41FA6495">
            <w:pPr>
              <w:pStyle w:val="126"/>
              <w:keepNext w:val="0"/>
              <w:keepLines w:val="0"/>
              <w:widowControl/>
              <w:suppressLineNumbers w:val="0"/>
              <w:spacing w:before="0" w:beforeAutospacing="0" w:after="0" w:afterAutospacing="0"/>
              <w:ind w:left="0" w:right="0"/>
              <w:rPr>
                <w:rFonts w:hint="eastAsia"/>
                <w:color w:val="000000"/>
              </w:rPr>
            </w:pPr>
          </w:p>
        </w:tc>
        <w:tc>
          <w:tcPr>
            <w:tcW w:w="966" w:type="pct"/>
            <w:vMerge w:val="continue"/>
            <w:tcBorders>
              <w:left w:val="single" w:color="000000" w:sz="4" w:space="0"/>
              <w:right w:val="single" w:color="000000" w:sz="4" w:space="0"/>
            </w:tcBorders>
            <w:noWrap w:val="0"/>
            <w:vAlign w:val="center"/>
          </w:tcPr>
          <w:p w14:paraId="119A2289">
            <w:pPr>
              <w:pStyle w:val="126"/>
              <w:keepNext w:val="0"/>
              <w:keepLines w:val="0"/>
              <w:widowControl/>
              <w:suppressLineNumbers w:val="0"/>
              <w:spacing w:before="0" w:beforeAutospacing="0" w:after="0" w:afterAutospacing="0"/>
              <w:ind w:left="0" w:right="0"/>
              <w:rPr>
                <w:rFonts w:hint="eastAsia"/>
                <w:color w:val="000000"/>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03C49F8">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775" w:type="pct"/>
            <w:vMerge w:val="continue"/>
            <w:tcBorders>
              <w:top w:val="single" w:color="auto" w:sz="4" w:space="0"/>
              <w:left w:val="single" w:color="000000" w:sz="4" w:space="0"/>
              <w:bottom w:val="single" w:color="auto" w:sz="4" w:space="0"/>
              <w:right w:val="single" w:color="000000" w:sz="4" w:space="0"/>
            </w:tcBorders>
            <w:noWrap w:val="0"/>
            <w:vAlign w:val="center"/>
          </w:tcPr>
          <w:p w14:paraId="3D06FFDA">
            <w:pPr>
              <w:pStyle w:val="126"/>
              <w:keepNext w:val="0"/>
              <w:keepLines w:val="0"/>
              <w:widowControl/>
              <w:suppressLineNumbers w:val="0"/>
              <w:spacing w:before="0" w:beforeAutospacing="0" w:after="0" w:afterAutospacing="0"/>
              <w:ind w:left="0" w:right="0"/>
              <w:rPr>
                <w:rFonts w:hint="eastAsia"/>
                <w:color w:val="000000"/>
              </w:rPr>
            </w:pPr>
          </w:p>
        </w:tc>
        <w:tc>
          <w:tcPr>
            <w:tcW w:w="723" w:type="pct"/>
            <w:vMerge w:val="continue"/>
            <w:tcBorders>
              <w:left w:val="single" w:color="000000" w:sz="4" w:space="0"/>
              <w:right w:val="single" w:color="000000" w:sz="4" w:space="0"/>
            </w:tcBorders>
            <w:noWrap w:val="0"/>
            <w:vAlign w:val="center"/>
          </w:tcPr>
          <w:p w14:paraId="5CDD782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29769A64">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混入易燃物后遇点火源引发火灾</w:t>
            </w:r>
          </w:p>
        </w:tc>
      </w:tr>
      <w:tr w14:paraId="5AE7A06D">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503F1F57">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03B73F2B">
            <w:pPr>
              <w:pStyle w:val="126"/>
              <w:keepNext w:val="0"/>
              <w:keepLines w:val="0"/>
              <w:widowControl/>
              <w:suppressLineNumbers w:val="0"/>
              <w:spacing w:before="0" w:beforeAutospacing="0" w:after="0" w:afterAutospacing="0"/>
              <w:ind w:left="0" w:right="0"/>
              <w:rPr>
                <w:rFonts w:hint="eastAsia"/>
                <w:color w:val="000000"/>
              </w:rPr>
            </w:pPr>
          </w:p>
        </w:tc>
        <w:tc>
          <w:tcPr>
            <w:tcW w:w="966" w:type="pct"/>
            <w:vMerge w:val="continue"/>
            <w:tcBorders>
              <w:left w:val="single" w:color="000000" w:sz="4" w:space="0"/>
              <w:right w:val="single" w:color="000000" w:sz="4" w:space="0"/>
            </w:tcBorders>
            <w:noWrap w:val="0"/>
            <w:vAlign w:val="center"/>
          </w:tcPr>
          <w:p w14:paraId="364E7EFA">
            <w:pPr>
              <w:pStyle w:val="126"/>
              <w:keepNext w:val="0"/>
              <w:keepLines w:val="0"/>
              <w:widowControl/>
              <w:suppressLineNumbers w:val="0"/>
              <w:spacing w:before="0" w:beforeAutospacing="0" w:after="0" w:afterAutospacing="0"/>
              <w:ind w:left="0" w:right="0"/>
              <w:rPr>
                <w:rFonts w:hint="eastAsia"/>
                <w:color w:val="000000"/>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7859E3EF">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Style w:val="35"/>
                <w:rFonts w:hint="eastAsia" w:ascii="Times New Roman" w:hAnsi="Times New Roman" w:eastAsia="宋体" w:cs="Times New Roman"/>
                <w:color w:val="000000"/>
                <w:kern w:val="2"/>
                <w:sz w:val="21"/>
                <w:szCs w:val="20"/>
                <w:lang w:val="en-US" w:eastAsia="zh-CN" w:bidi="ar-SA"/>
              </w:rPr>
              <w:t>高沸物</w:t>
            </w:r>
          </w:p>
        </w:tc>
        <w:tc>
          <w:tcPr>
            <w:tcW w:w="775" w:type="pct"/>
            <w:vMerge w:val="continue"/>
            <w:tcBorders>
              <w:top w:val="single" w:color="auto" w:sz="4" w:space="0"/>
              <w:left w:val="single" w:color="000000" w:sz="4" w:space="0"/>
              <w:bottom w:val="single" w:color="auto" w:sz="4" w:space="0"/>
              <w:right w:val="single" w:color="000000" w:sz="4" w:space="0"/>
            </w:tcBorders>
            <w:noWrap w:val="0"/>
            <w:vAlign w:val="center"/>
          </w:tcPr>
          <w:p w14:paraId="469D0668">
            <w:pPr>
              <w:pStyle w:val="126"/>
              <w:keepNext w:val="0"/>
              <w:keepLines w:val="0"/>
              <w:widowControl/>
              <w:suppressLineNumbers w:val="0"/>
              <w:spacing w:before="0" w:beforeAutospacing="0" w:after="0" w:afterAutospacing="0"/>
              <w:ind w:left="0" w:right="0"/>
              <w:rPr>
                <w:rFonts w:hint="eastAsia"/>
                <w:color w:val="000000"/>
              </w:rPr>
            </w:pPr>
          </w:p>
        </w:tc>
        <w:tc>
          <w:tcPr>
            <w:tcW w:w="723" w:type="pct"/>
            <w:vMerge w:val="continue"/>
            <w:tcBorders>
              <w:left w:val="single" w:color="000000" w:sz="4" w:space="0"/>
              <w:right w:val="single" w:color="000000" w:sz="4" w:space="0"/>
            </w:tcBorders>
            <w:noWrap w:val="0"/>
            <w:vAlign w:val="center"/>
          </w:tcPr>
          <w:p w14:paraId="4EECC383">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3F64A44B">
            <w:pPr>
              <w:pStyle w:val="126"/>
              <w:keepNext w:val="0"/>
              <w:keepLines w:val="0"/>
              <w:widowControl/>
              <w:suppressLineNumbers w:val="0"/>
              <w:spacing w:before="0" w:beforeAutospacing="0" w:after="0" w:afterAutospacing="0"/>
              <w:ind w:left="0" w:right="0"/>
              <w:rPr>
                <w:rFonts w:hint="eastAsia"/>
                <w:color w:val="000000"/>
                <w:lang w:eastAsia="zh-CN"/>
              </w:rPr>
            </w:pPr>
            <w:r>
              <w:rPr>
                <w:rFonts w:hint="default"/>
                <w:sz w:val="21"/>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101600</wp:posOffset>
                      </wp:positionV>
                      <wp:extent cx="1132205" cy="30480"/>
                      <wp:effectExtent l="0" t="4445" r="10795" b="22225"/>
                      <wp:wrapNone/>
                      <wp:docPr id="20" name="直接连接符 20"/>
                      <wp:cNvGraphicFramePr/>
                      <a:graphic xmlns:a="http://schemas.openxmlformats.org/drawingml/2006/main">
                        <a:graphicData uri="http://schemas.microsoft.com/office/word/2010/wordprocessingShape">
                          <wps:wsp>
                            <wps:cNvCnPr/>
                            <wps:spPr>
                              <a:xfrm flipV="1">
                                <a:off x="0" y="0"/>
                                <a:ext cx="1132205" cy="3048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5pt;margin-top:8pt;height:2.4pt;width:89.15pt;z-index:251678720;mso-width-relative:page;mso-height-relative:page;" filled="f" stroked="t" coordsize="21600,21600" o:gfxdata="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xAMNy2AAA&#10;AAcBAAAPAAAAAAAAAAEAIAAAACIAAABkcnMvZG93bnJldi54bWxQSwECFAAUAAAACACHTuJA9W/a&#10;J+UBAACqAwAADgAAAAAAAAABACAAAAAnAQAAZHJzL2Uyb0RvYy54bWxQSwUGAAAAAAYABgBZAQAA&#10;fgUAAAAA&#10;">
                      <v:fill on="f" focussize="0,0"/>
                      <v:stroke weight="0.5pt" color="#000000 [3213]" joinstyle="round"/>
                      <v:imagedata o:title=""/>
                      <o:lock v:ext="edit" aspectratio="f"/>
                    </v:line>
                  </w:pict>
                </mc:Fallback>
              </mc:AlternateContent>
            </w:r>
            <w:r>
              <w:rPr>
                <w:rFonts w:hint="default"/>
                <w:sz w:val="21"/>
              </w:rPr>
              <mc:AlternateContent>
                <mc:Choice Requires="wps">
                  <w:drawing>
                    <wp:anchor distT="0" distB="0" distL="114300" distR="114300" simplePos="0" relativeHeight="251679744" behindDoc="0" locked="0" layoutInCell="1" allowOverlap="1">
                      <wp:simplePos x="0" y="0"/>
                      <wp:positionH relativeFrom="column">
                        <wp:posOffset>27305</wp:posOffset>
                      </wp:positionH>
                      <wp:positionV relativeFrom="paragraph">
                        <wp:posOffset>113665</wp:posOffset>
                      </wp:positionV>
                      <wp:extent cx="986155" cy="14605"/>
                      <wp:effectExtent l="0" t="4445" r="4445" b="9525"/>
                      <wp:wrapNone/>
                      <wp:docPr id="21" name="直接连接符 21"/>
                      <wp:cNvGraphicFramePr/>
                      <a:graphic xmlns:a="http://schemas.openxmlformats.org/drawingml/2006/main">
                        <a:graphicData uri="http://schemas.microsoft.com/office/word/2010/wordprocessingShape">
                          <wps:wsp>
                            <wps:cNvCnPr/>
                            <wps:spPr>
                              <a:xfrm flipV="1">
                                <a:off x="0" y="0"/>
                                <a:ext cx="986155" cy="1460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5pt;margin-top:8.95pt;height:1.15pt;width:77.65pt;z-index:251679744;mso-width-relative:page;mso-height-relative:page;" filled="f" stroked="t" coordsize="21600,21600" o:gfxdata="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lik7NcAAAAH&#10;AQAADwAAAAAAAAABACAAAAAiAAAAZHJzL2Rvd25yZXYueG1sUEsBAhQAFAAAAAgAh07iQHLdMjXk&#10;AQAAqQMAAA4AAAAAAAAAAQAgAAAAJgEAAGRycy9lMm9Eb2MueG1sUEsFBgAAAAAGAAYAWQEAAHwF&#10;AAAAAA==&#10;">
                      <v:fill on="f" focussize="0,0"/>
                      <v:stroke weight="0.5pt" color="#000000 [3213]" joinstyle="round"/>
                      <v:imagedata o:title=""/>
                      <o:lock v:ext="edit" aspectratio="f"/>
                    </v:line>
                  </w:pict>
                </mc:Fallback>
              </mc:AlternateContent>
            </w:r>
          </w:p>
        </w:tc>
      </w:tr>
      <w:tr w14:paraId="30DFA606">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bottom w:val="single" w:color="000000" w:sz="4" w:space="0"/>
              <w:right w:val="single" w:color="000000" w:sz="4" w:space="0"/>
            </w:tcBorders>
            <w:noWrap w:val="0"/>
            <w:vAlign w:val="center"/>
          </w:tcPr>
          <w:p w14:paraId="48F29F0F">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69F18FF4">
            <w:pPr>
              <w:pStyle w:val="126"/>
              <w:keepNext w:val="0"/>
              <w:keepLines w:val="0"/>
              <w:widowControl/>
              <w:suppressLineNumbers w:val="0"/>
              <w:spacing w:before="0" w:beforeAutospacing="0" w:after="0" w:afterAutospacing="0"/>
              <w:ind w:left="0" w:right="0"/>
              <w:rPr>
                <w:rFonts w:hint="eastAsia"/>
                <w:color w:val="000000"/>
              </w:rPr>
            </w:pPr>
          </w:p>
        </w:tc>
        <w:tc>
          <w:tcPr>
            <w:tcW w:w="966" w:type="pct"/>
            <w:vMerge w:val="continue"/>
            <w:tcBorders>
              <w:left w:val="single" w:color="000000" w:sz="4" w:space="0"/>
              <w:bottom w:val="single" w:color="auto" w:sz="4" w:space="0"/>
              <w:right w:val="single" w:color="000000" w:sz="4" w:space="0"/>
            </w:tcBorders>
            <w:noWrap w:val="0"/>
            <w:vAlign w:val="center"/>
          </w:tcPr>
          <w:p w14:paraId="34B4BF85">
            <w:pPr>
              <w:pStyle w:val="126"/>
              <w:keepNext w:val="0"/>
              <w:keepLines w:val="0"/>
              <w:widowControl/>
              <w:suppressLineNumbers w:val="0"/>
              <w:spacing w:before="0" w:beforeAutospacing="0" w:after="0" w:afterAutospacing="0"/>
              <w:ind w:left="0" w:right="0"/>
              <w:rPr>
                <w:rFonts w:hint="eastAsia"/>
                <w:color w:val="000000"/>
              </w:rPr>
            </w:pP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3AE861F">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废有机溶剂</w:t>
            </w:r>
          </w:p>
        </w:tc>
        <w:tc>
          <w:tcPr>
            <w:tcW w:w="775" w:type="pct"/>
            <w:vMerge w:val="continue"/>
            <w:tcBorders>
              <w:top w:val="single" w:color="auto" w:sz="4" w:space="0"/>
              <w:left w:val="single" w:color="000000" w:sz="4" w:space="0"/>
              <w:bottom w:val="single" w:color="auto" w:sz="4" w:space="0"/>
              <w:right w:val="single" w:color="000000" w:sz="4" w:space="0"/>
            </w:tcBorders>
            <w:noWrap w:val="0"/>
            <w:vAlign w:val="center"/>
          </w:tcPr>
          <w:p w14:paraId="55576F08">
            <w:pPr>
              <w:pStyle w:val="126"/>
              <w:keepNext w:val="0"/>
              <w:keepLines w:val="0"/>
              <w:widowControl/>
              <w:suppressLineNumbers w:val="0"/>
              <w:spacing w:before="0" w:beforeAutospacing="0" w:after="0" w:afterAutospacing="0"/>
              <w:ind w:left="0" w:right="0"/>
              <w:rPr>
                <w:rFonts w:hint="eastAsia"/>
                <w:color w:val="000000"/>
              </w:rPr>
            </w:pPr>
          </w:p>
        </w:tc>
        <w:tc>
          <w:tcPr>
            <w:tcW w:w="723" w:type="pct"/>
            <w:vMerge w:val="continue"/>
            <w:tcBorders>
              <w:left w:val="single" w:color="000000" w:sz="4" w:space="0"/>
              <w:bottom w:val="single" w:color="000000" w:sz="4" w:space="0"/>
              <w:right w:val="single" w:color="000000" w:sz="4" w:space="0"/>
            </w:tcBorders>
            <w:noWrap w:val="0"/>
            <w:vAlign w:val="center"/>
          </w:tcPr>
          <w:p w14:paraId="428397DA">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bottom w:val="single" w:color="000000" w:sz="4" w:space="0"/>
              <w:right w:val="single" w:color="000000" w:sz="4" w:space="0"/>
            </w:tcBorders>
            <w:noWrap w:val="0"/>
            <w:vAlign w:val="center"/>
          </w:tcPr>
          <w:p w14:paraId="1464623E">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泄漏及遇火源发生燃烧</w:t>
            </w:r>
          </w:p>
        </w:tc>
      </w:tr>
      <w:tr w14:paraId="2F038735">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right w:val="single" w:color="000000" w:sz="4" w:space="0"/>
            </w:tcBorders>
            <w:noWrap w:val="0"/>
            <w:vAlign w:val="center"/>
          </w:tcPr>
          <w:p w14:paraId="5B0A69FF">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restart"/>
            <w:tcBorders>
              <w:top w:val="single" w:color="auto" w:sz="4" w:space="0"/>
              <w:left w:val="single" w:color="000000" w:sz="4" w:space="0"/>
              <w:right w:val="single" w:color="000000" w:sz="4" w:space="0"/>
            </w:tcBorders>
            <w:noWrap w:val="0"/>
            <w:vAlign w:val="center"/>
          </w:tcPr>
          <w:p w14:paraId="08CCDE7C">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966"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E6DEF3B">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（糠醇装置）</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36D2C">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775" w:type="pct"/>
            <w:tcBorders>
              <w:top w:val="single" w:color="000000" w:sz="4" w:space="0"/>
              <w:left w:val="single" w:color="000000" w:sz="4" w:space="0"/>
              <w:bottom w:val="single" w:color="auto" w:sz="4" w:space="0"/>
              <w:right w:val="single" w:color="000000" w:sz="4" w:space="0"/>
            </w:tcBorders>
            <w:noWrap w:val="0"/>
            <w:vAlign w:val="center"/>
          </w:tcPr>
          <w:p w14:paraId="2A87A1A8">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rPr>
              <w:t>泄露</w:t>
            </w:r>
            <w:r>
              <w:rPr>
                <w:rFonts w:hint="eastAsia"/>
                <w:color w:val="000000"/>
                <w:lang w:eastAsia="zh-CN"/>
              </w:rPr>
              <w:t>、火灾爆炸</w:t>
            </w:r>
          </w:p>
        </w:tc>
        <w:tc>
          <w:tcPr>
            <w:tcW w:w="723" w:type="pct"/>
            <w:vMerge w:val="continue"/>
            <w:tcBorders>
              <w:left w:val="single" w:color="000000" w:sz="4" w:space="0"/>
              <w:right w:val="single" w:color="000000" w:sz="4" w:space="0"/>
            </w:tcBorders>
            <w:noWrap w:val="0"/>
            <w:vAlign w:val="center"/>
          </w:tcPr>
          <w:p w14:paraId="5BFF2184">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44841B6B">
            <w:pPr>
              <w:pStyle w:val="126"/>
              <w:keepNext w:val="0"/>
              <w:keepLines w:val="0"/>
              <w:widowControl/>
              <w:suppressLineNumbers w:val="0"/>
              <w:spacing w:before="0" w:beforeAutospacing="0" w:after="0" w:afterAutospacing="0"/>
              <w:ind w:left="0" w:right="0"/>
              <w:jc w:val="both"/>
              <w:rPr>
                <w:rFonts w:hint="eastAsia"/>
                <w:color w:val="000000"/>
                <w:lang w:eastAsia="zh-CN"/>
              </w:rPr>
            </w:pPr>
          </w:p>
        </w:tc>
      </w:tr>
      <w:tr w14:paraId="4765C0A3">
        <w:tblPrEx>
          <w:tblCellMar>
            <w:top w:w="0" w:type="dxa"/>
            <w:left w:w="0" w:type="dxa"/>
            <w:bottom w:w="0" w:type="dxa"/>
            <w:right w:w="0" w:type="dxa"/>
          </w:tblCellMar>
        </w:tblPrEx>
        <w:trPr>
          <w:trHeight w:val="557" w:hRule="atLeast"/>
          <w:jc w:val="center"/>
        </w:trPr>
        <w:tc>
          <w:tcPr>
            <w:tcW w:w="219" w:type="pct"/>
            <w:vMerge w:val="continue"/>
            <w:tcBorders>
              <w:left w:val="single" w:color="000000" w:sz="4" w:space="0"/>
              <w:right w:val="single" w:color="000000" w:sz="4" w:space="0"/>
            </w:tcBorders>
            <w:noWrap w:val="0"/>
            <w:vAlign w:val="center"/>
          </w:tcPr>
          <w:p w14:paraId="5708757F">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30DFCFE1">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B6A87E">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r>
              <w:rPr>
                <w:rStyle w:val="35"/>
                <w:rFonts w:hint="eastAsia" w:ascii="Times New Roman" w:hAnsi="Times New Roman" w:cs="Times New Roman"/>
                <w:color w:val="000000"/>
                <w:kern w:val="2"/>
                <w:sz w:val="21"/>
                <w:szCs w:val="20"/>
                <w:lang w:val="en-US" w:eastAsia="zh-CN" w:bidi="ar-SA"/>
              </w:rPr>
              <w:t>（二甲基呋喃装置）</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86327">
            <w:pPr>
              <w:pStyle w:val="126"/>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0"/>
                <w:lang w:val="en-US" w:eastAsia="zh-CN" w:bidi="ar-SA"/>
              </w:rPr>
              <w:t>糠醛</w:t>
            </w:r>
          </w:p>
        </w:tc>
        <w:tc>
          <w:tcPr>
            <w:tcW w:w="775" w:type="pct"/>
            <w:tcBorders>
              <w:top w:val="single" w:color="auto" w:sz="4" w:space="0"/>
              <w:left w:val="single" w:color="000000" w:sz="4" w:space="0"/>
              <w:bottom w:val="single" w:color="000000" w:sz="4" w:space="0"/>
              <w:right w:val="single" w:color="000000" w:sz="4" w:space="0"/>
            </w:tcBorders>
            <w:noWrap w:val="0"/>
            <w:vAlign w:val="center"/>
          </w:tcPr>
          <w:p w14:paraId="4095CED9">
            <w:pPr>
              <w:pStyle w:val="126"/>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、火灾爆炸</w:t>
            </w:r>
          </w:p>
        </w:tc>
        <w:tc>
          <w:tcPr>
            <w:tcW w:w="723" w:type="pct"/>
            <w:vMerge w:val="continue"/>
            <w:tcBorders>
              <w:left w:val="single" w:color="000000" w:sz="4" w:space="0"/>
              <w:right w:val="single" w:color="000000" w:sz="4" w:space="0"/>
            </w:tcBorders>
            <w:noWrap w:val="0"/>
            <w:vAlign w:val="center"/>
          </w:tcPr>
          <w:p w14:paraId="7357426B">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right w:val="single" w:color="000000" w:sz="4" w:space="0"/>
            </w:tcBorders>
            <w:noWrap w:val="0"/>
            <w:vAlign w:val="center"/>
          </w:tcPr>
          <w:p w14:paraId="198A0128">
            <w:pPr>
              <w:pStyle w:val="126"/>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泄漏及遇火源发生燃烧</w:t>
            </w:r>
          </w:p>
        </w:tc>
      </w:tr>
      <w:tr w14:paraId="1B8F828D">
        <w:tblPrEx>
          <w:tblCellMar>
            <w:top w:w="0" w:type="dxa"/>
            <w:left w:w="0" w:type="dxa"/>
            <w:bottom w:w="0" w:type="dxa"/>
            <w:right w:w="0" w:type="dxa"/>
          </w:tblCellMar>
        </w:tblPrEx>
        <w:trPr>
          <w:trHeight w:val="397" w:hRule="atLeast"/>
          <w:jc w:val="center"/>
        </w:trPr>
        <w:tc>
          <w:tcPr>
            <w:tcW w:w="219" w:type="pct"/>
            <w:vMerge w:val="restart"/>
            <w:tcBorders>
              <w:top w:val="single" w:color="000000" w:sz="4" w:space="0"/>
              <w:left w:val="single" w:color="000000" w:sz="4" w:space="0"/>
              <w:right w:val="single" w:color="000000" w:sz="4" w:space="0"/>
            </w:tcBorders>
            <w:noWrap w:val="0"/>
            <w:vAlign w:val="center"/>
          </w:tcPr>
          <w:p w14:paraId="28C259A2">
            <w:pPr>
              <w:pStyle w:val="126"/>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4</w:t>
            </w:r>
          </w:p>
        </w:tc>
        <w:tc>
          <w:tcPr>
            <w:tcW w:w="461" w:type="pct"/>
            <w:vMerge w:val="restart"/>
            <w:tcBorders>
              <w:top w:val="single" w:color="auto" w:sz="4" w:space="0"/>
              <w:left w:val="single" w:color="000000" w:sz="4" w:space="0"/>
              <w:bottom w:val="single" w:color="auto" w:sz="4" w:space="0"/>
              <w:right w:val="single" w:color="000000" w:sz="4" w:space="0"/>
            </w:tcBorders>
            <w:noWrap w:val="0"/>
            <w:vAlign w:val="center"/>
          </w:tcPr>
          <w:p w14:paraId="7FAF8066">
            <w:pPr>
              <w:pStyle w:val="126"/>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产品</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14:paraId="4DD9A504">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糠醇</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60E6261C">
            <w:pPr>
              <w:keepNext w:val="0"/>
              <w:keepLines w:val="0"/>
              <w:suppressLineNumbers w:val="0"/>
              <w:spacing w:before="0" w:beforeAutospacing="0" w:after="0" w:afterAutospacing="0" w:line="240" w:lineRule="auto"/>
              <w:ind w:left="0" w:leftChars="0" w:right="0" w:rightChars="0" w:firstLine="0" w:firstLineChars="0"/>
              <w:jc w:val="center"/>
              <w:rPr>
                <w:rFonts w:hint="eastAsia" w:eastAsia="宋体"/>
                <w:color w:val="000000"/>
                <w:lang w:eastAsia="zh-CN"/>
              </w:rPr>
            </w:pPr>
            <w:r>
              <w:rPr>
                <w:rStyle w:val="35"/>
                <w:rFonts w:hint="eastAsia" w:ascii="Times New Roman" w:hAnsi="Times New Roman" w:eastAsia="宋体" w:cs="Times New Roman"/>
                <w:color w:val="000000"/>
                <w:kern w:val="2"/>
                <w:sz w:val="21"/>
                <w:szCs w:val="20"/>
                <w:lang w:val="en-US" w:eastAsia="zh-CN" w:bidi="ar-SA"/>
              </w:rPr>
              <w:t>糠醇</w:t>
            </w:r>
          </w:p>
        </w:tc>
        <w:tc>
          <w:tcPr>
            <w:tcW w:w="775" w:type="pct"/>
            <w:tcBorders>
              <w:top w:val="single" w:color="000000" w:sz="4" w:space="0"/>
              <w:left w:val="single" w:color="000000" w:sz="4" w:space="0"/>
              <w:bottom w:val="single" w:color="000000" w:sz="4" w:space="0"/>
              <w:right w:val="single" w:color="000000" w:sz="4" w:space="0"/>
            </w:tcBorders>
            <w:noWrap w:val="0"/>
            <w:vAlign w:val="center"/>
          </w:tcPr>
          <w:p w14:paraId="3A33EA47">
            <w:pPr>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r>
              <w:rPr>
                <w:rFonts w:hint="eastAsia"/>
                <w:color w:val="000000"/>
                <w:lang w:eastAsia="zh-CN"/>
              </w:rPr>
              <w:t>、火灾爆炸</w:t>
            </w:r>
          </w:p>
        </w:tc>
        <w:tc>
          <w:tcPr>
            <w:tcW w:w="723" w:type="pct"/>
            <w:vMerge w:val="restart"/>
            <w:tcBorders>
              <w:top w:val="single" w:color="000000" w:sz="4" w:space="0"/>
              <w:left w:val="single" w:color="000000" w:sz="4" w:space="0"/>
              <w:right w:val="single" w:color="000000" w:sz="4" w:space="0"/>
            </w:tcBorders>
            <w:noWrap w:val="0"/>
            <w:vAlign w:val="center"/>
          </w:tcPr>
          <w:p w14:paraId="00C7D119">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860" w:type="pct"/>
            <w:tcBorders>
              <w:top w:val="single" w:color="000000" w:sz="4" w:space="0"/>
              <w:left w:val="single" w:color="000000" w:sz="4" w:space="0"/>
              <w:right w:val="single" w:color="000000" w:sz="4" w:space="0"/>
            </w:tcBorders>
            <w:noWrap w:val="0"/>
            <w:vAlign w:val="center"/>
          </w:tcPr>
          <w:p w14:paraId="560A56A3">
            <w:pPr>
              <w:pStyle w:val="126"/>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泄漏及遇明火高热发生燃烧爆炸</w:t>
            </w:r>
          </w:p>
        </w:tc>
      </w:tr>
      <w:tr w14:paraId="70EA787D">
        <w:tblPrEx>
          <w:tblCellMar>
            <w:top w:w="0" w:type="dxa"/>
            <w:left w:w="0" w:type="dxa"/>
            <w:bottom w:w="0" w:type="dxa"/>
            <w:right w:w="0" w:type="dxa"/>
          </w:tblCellMar>
        </w:tblPrEx>
        <w:trPr>
          <w:trHeight w:val="397" w:hRule="atLeast"/>
          <w:jc w:val="center"/>
        </w:trPr>
        <w:tc>
          <w:tcPr>
            <w:tcW w:w="219" w:type="pct"/>
            <w:vMerge w:val="continue"/>
            <w:tcBorders>
              <w:left w:val="single" w:color="000000" w:sz="4" w:space="0"/>
              <w:bottom w:val="single" w:color="000000" w:sz="4" w:space="0"/>
              <w:right w:val="single" w:color="000000" w:sz="4" w:space="0"/>
            </w:tcBorders>
            <w:noWrap w:val="0"/>
            <w:vAlign w:val="center"/>
          </w:tcPr>
          <w:p w14:paraId="1AFDB9F8">
            <w:pPr>
              <w:pStyle w:val="126"/>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61" w:type="pct"/>
            <w:vMerge w:val="continue"/>
            <w:tcBorders>
              <w:top w:val="single" w:color="auto" w:sz="4" w:space="0"/>
              <w:left w:val="single" w:color="000000" w:sz="4" w:space="0"/>
              <w:bottom w:val="single" w:color="auto" w:sz="4" w:space="0"/>
              <w:right w:val="single" w:color="000000" w:sz="4" w:space="0"/>
            </w:tcBorders>
            <w:noWrap w:val="0"/>
            <w:vAlign w:val="center"/>
          </w:tcPr>
          <w:p w14:paraId="776AEEA8">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966" w:type="pct"/>
            <w:tcBorders>
              <w:top w:val="single" w:color="000000" w:sz="4" w:space="0"/>
              <w:left w:val="single" w:color="000000" w:sz="4" w:space="0"/>
              <w:bottom w:val="single" w:color="000000" w:sz="4" w:space="0"/>
              <w:right w:val="single" w:color="000000" w:sz="4" w:space="0"/>
            </w:tcBorders>
            <w:noWrap w:val="0"/>
            <w:vAlign w:val="center"/>
          </w:tcPr>
          <w:p w14:paraId="0563C13E">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二甲基呋喃</w:t>
            </w:r>
          </w:p>
        </w:tc>
        <w:tc>
          <w:tcPr>
            <w:tcW w:w="992" w:type="pct"/>
            <w:tcBorders>
              <w:top w:val="single" w:color="000000" w:sz="4" w:space="0"/>
              <w:left w:val="single" w:color="000000" w:sz="4" w:space="0"/>
              <w:bottom w:val="single" w:color="000000" w:sz="4" w:space="0"/>
              <w:right w:val="single" w:color="000000" w:sz="4" w:space="0"/>
            </w:tcBorders>
            <w:noWrap w:val="0"/>
            <w:vAlign w:val="center"/>
          </w:tcPr>
          <w:p w14:paraId="2CACB56D">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rPr>
            </w:pPr>
            <w:r>
              <w:rPr>
                <w:rStyle w:val="35"/>
                <w:rFonts w:hint="eastAsia" w:ascii="Times New Roman" w:hAnsi="Times New Roman" w:eastAsia="宋体" w:cs="Times New Roman"/>
                <w:color w:val="000000"/>
                <w:kern w:val="2"/>
                <w:sz w:val="21"/>
                <w:szCs w:val="20"/>
                <w:lang w:val="en-US" w:eastAsia="zh-CN" w:bidi="ar-SA"/>
              </w:rPr>
              <w:t>二甲基呋喃</w:t>
            </w:r>
          </w:p>
        </w:tc>
        <w:tc>
          <w:tcPr>
            <w:tcW w:w="775" w:type="pct"/>
            <w:tcBorders>
              <w:top w:val="single" w:color="000000" w:sz="4" w:space="0"/>
              <w:left w:val="single" w:color="000000" w:sz="4" w:space="0"/>
              <w:bottom w:val="single" w:color="000000" w:sz="4" w:space="0"/>
              <w:right w:val="single" w:color="000000" w:sz="4" w:space="0"/>
            </w:tcBorders>
            <w:noWrap w:val="0"/>
            <w:vAlign w:val="center"/>
          </w:tcPr>
          <w:p w14:paraId="41A544A5">
            <w:pPr>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r>
              <w:rPr>
                <w:rFonts w:hint="eastAsia"/>
                <w:color w:val="000000"/>
                <w:lang w:eastAsia="zh-CN"/>
              </w:rPr>
              <w:t>、火灾爆炸</w:t>
            </w:r>
          </w:p>
        </w:tc>
        <w:tc>
          <w:tcPr>
            <w:tcW w:w="723" w:type="pct"/>
            <w:vMerge w:val="continue"/>
            <w:tcBorders>
              <w:left w:val="single" w:color="000000" w:sz="4" w:space="0"/>
              <w:bottom w:val="single" w:color="000000" w:sz="4" w:space="0"/>
              <w:right w:val="single" w:color="000000" w:sz="4" w:space="0"/>
            </w:tcBorders>
            <w:noWrap w:val="0"/>
            <w:vAlign w:val="center"/>
          </w:tcPr>
          <w:p w14:paraId="3DD58B97">
            <w:pPr>
              <w:pStyle w:val="126"/>
              <w:keepNext w:val="0"/>
              <w:keepLines w:val="0"/>
              <w:widowControl/>
              <w:suppressLineNumbers w:val="0"/>
              <w:spacing w:before="0" w:beforeAutospacing="0" w:after="0" w:afterAutospacing="0"/>
              <w:ind w:left="0" w:right="0"/>
              <w:rPr>
                <w:rFonts w:hint="eastAsia"/>
                <w:color w:val="000000"/>
                <w:lang w:eastAsia="zh-CN"/>
              </w:rPr>
            </w:pPr>
          </w:p>
        </w:tc>
        <w:tc>
          <w:tcPr>
            <w:tcW w:w="860" w:type="pct"/>
            <w:tcBorders>
              <w:left w:val="single" w:color="000000" w:sz="4" w:space="0"/>
              <w:bottom w:val="single" w:color="000000" w:sz="4" w:space="0"/>
              <w:right w:val="single" w:color="000000" w:sz="4" w:space="0"/>
            </w:tcBorders>
            <w:noWrap w:val="0"/>
            <w:vAlign w:val="center"/>
          </w:tcPr>
          <w:p w14:paraId="71DE6233">
            <w:pPr>
              <w:pStyle w:val="126"/>
              <w:keepNext w:val="0"/>
              <w:keepLines w:val="0"/>
              <w:widowControl/>
              <w:suppressLineNumbers w:val="0"/>
              <w:spacing w:before="0" w:beforeAutospacing="0" w:after="0" w:afterAutospacing="0"/>
              <w:ind w:left="0" w:right="0"/>
              <w:rPr>
                <w:rFonts w:hint="eastAsia"/>
                <w:color w:val="000000"/>
                <w:lang w:eastAsia="zh-CN"/>
              </w:rPr>
            </w:pPr>
          </w:p>
        </w:tc>
      </w:tr>
    </w:tbl>
    <w:p w14:paraId="495200C5">
      <w:pPr>
        <w:rPr>
          <w:rFonts w:hint="default"/>
        </w:rPr>
      </w:pPr>
    </w:p>
    <w:p w14:paraId="3B9FAB63">
      <w:pPr>
        <w:rPr>
          <w:rFonts w:hint="default"/>
        </w:rPr>
      </w:pPr>
    </w:p>
    <w:p w14:paraId="12D02E18">
      <w:pPr>
        <w:pStyle w:val="8"/>
        <w:spacing w:before="0" w:after="0"/>
        <w:rPr>
          <w:rFonts w:hint="default" w:ascii="Times New Roman" w:hAnsi="Times New Roman" w:cs="Times New Roman"/>
          <w:color w:val="auto"/>
          <w:highlight w:val="none"/>
        </w:rPr>
      </w:pPr>
      <w:r>
        <w:rPr>
          <w:rFonts w:hint="default" w:ascii="Times New Roman" w:hAnsi="Times New Roman" w:cs="Times New Roman"/>
          <w:color w:val="auto"/>
          <w:highlight w:val="none"/>
        </w:rPr>
        <w:t>3.6.2现有环境风险防控</w:t>
      </w:r>
      <w:r>
        <w:rPr>
          <w:rFonts w:hint="default" w:ascii="Times New Roman" w:hAnsi="Times New Roman" w:cs="Times New Roman"/>
          <w:color w:val="auto"/>
          <w:highlight w:val="none"/>
          <w:lang w:eastAsia="zh-CN"/>
        </w:rPr>
        <w:t>与应急措施</w:t>
      </w:r>
      <w:r>
        <w:rPr>
          <w:rFonts w:hint="default" w:ascii="Times New Roman" w:hAnsi="Times New Roman" w:cs="Times New Roman"/>
          <w:color w:val="auto"/>
          <w:highlight w:val="none"/>
        </w:rPr>
        <w:t>情况</w:t>
      </w:r>
    </w:p>
    <w:p w14:paraId="771182A5">
      <w:pPr>
        <w:keepNext w:val="0"/>
        <w:keepLines w:val="0"/>
        <w:pageBreakBefore w:val="0"/>
        <w:widowControl/>
        <w:kinsoku/>
        <w:wordWrap/>
        <w:overflowPunct/>
        <w:topLinePunct w:val="0"/>
        <w:autoSpaceDE/>
        <w:autoSpaceDN/>
        <w:bidi w:val="0"/>
        <w:adjustRightInd w:val="0"/>
        <w:snapToGrid w:val="0"/>
        <w:spacing w:line="360" w:lineRule="auto"/>
        <w:ind w:firstLine="472" w:firstLineChars="200"/>
        <w:textAlignment w:val="auto"/>
        <w:rPr>
          <w:rFonts w:hint="default" w:ascii="Times New Roman" w:hAnsi="Times New Roman" w:cs="Times New Roman"/>
          <w:color w:val="auto"/>
          <w:spacing w:val="-2"/>
          <w:kern w:val="0"/>
          <w:sz w:val="24"/>
          <w:highlight w:val="none"/>
        </w:rPr>
      </w:pPr>
      <w:r>
        <w:rPr>
          <w:rFonts w:hint="default" w:ascii="Times New Roman" w:hAnsi="Times New Roman" w:cs="Times New Roman"/>
          <w:color w:val="auto"/>
          <w:spacing w:val="-2"/>
          <w:kern w:val="0"/>
          <w:sz w:val="24"/>
          <w:highlight w:val="none"/>
        </w:rPr>
        <w:t>1、截流措施</w:t>
      </w:r>
    </w:p>
    <w:p w14:paraId="5FACE41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（1）生产过程中选用密封良好的输送泵，工艺管线密封防腐防泄漏，生产装置基本在室内车间，设备配套的阀门、仪表接头等密闭，基本无跑、冒、滴、漏现象，液体储罐、相应设备防腐蚀、设备严密不漏。</w:t>
      </w:r>
    </w:p>
    <w:p w14:paraId="757689B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（2）罐区地面铺设防腐防渗层，罐区四周设有围堰。</w:t>
      </w:r>
    </w:p>
    <w:p w14:paraId="7C740B0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（3）全厂雨排水管道与污水管道不发生串漏。</w:t>
      </w:r>
    </w:p>
    <w:p w14:paraId="78C637E3">
      <w:pPr>
        <w:keepNext w:val="0"/>
        <w:keepLines w:val="0"/>
        <w:pageBreakBefore w:val="0"/>
        <w:widowControl/>
        <w:kinsoku/>
        <w:wordWrap/>
        <w:overflowPunct/>
        <w:topLinePunct w:val="0"/>
        <w:autoSpaceDE/>
        <w:autoSpaceDN/>
        <w:bidi w:val="0"/>
        <w:adjustRightInd w:val="0"/>
        <w:snapToGrid w:val="0"/>
        <w:spacing w:line="360" w:lineRule="auto"/>
        <w:ind w:firstLine="472" w:firstLineChars="20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bCs/>
          <w:color w:val="auto"/>
          <w:spacing w:val="-2"/>
          <w:kern w:val="0"/>
          <w:sz w:val="24"/>
          <w:highlight w:val="none"/>
        </w:rPr>
        <w:t xml:space="preserve"> 2、</w:t>
      </w:r>
      <w:r>
        <w:rPr>
          <w:rFonts w:hint="default" w:ascii="Times New Roman" w:hAnsi="Times New Roman" w:cs="Times New Roman"/>
          <w:color w:val="auto"/>
          <w:spacing w:val="-2"/>
          <w:kern w:val="0"/>
          <w:sz w:val="24"/>
          <w:highlight w:val="none"/>
        </w:rPr>
        <w:t>事</w:t>
      </w:r>
      <w:r>
        <w:rPr>
          <w:rFonts w:hint="default" w:ascii="Times New Roman" w:hAnsi="Times New Roman" w:cs="Times New Roman"/>
          <w:color w:val="auto"/>
          <w:spacing w:val="-2"/>
          <w:kern w:val="0"/>
          <w:sz w:val="24"/>
          <w:szCs w:val="24"/>
          <w:highlight w:val="none"/>
        </w:rPr>
        <w:t>故排水收集措施</w:t>
      </w:r>
    </w:p>
    <w:p w14:paraId="45F5C521">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rPr>
        <w:t>（1）建造事故水池，收集事故时产生的消防污水，并根据污水性质进行处理。</w:t>
      </w:r>
    </w:p>
    <w:p w14:paraId="03B0BD68">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2</w:t>
      </w:r>
      <w:r>
        <w:rPr>
          <w:rFonts w:hint="default" w:ascii="Times New Roman" w:hAnsi="Times New Roman" w:cs="Times New Roman"/>
          <w:color w:val="auto"/>
          <w:spacing w:val="-2"/>
          <w:kern w:val="0"/>
          <w:sz w:val="24"/>
          <w:szCs w:val="24"/>
          <w:highlight w:val="none"/>
          <w:lang w:val="zh-CN"/>
        </w:rPr>
        <w:t>）装置区反应釜、计量罐、罐区储罐等发生损坏，泄露的物料需排入事故水池，并根据其性质进行相应处理。</w:t>
      </w:r>
    </w:p>
    <w:p w14:paraId="1A79864A">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3</w:t>
      </w:r>
      <w:r>
        <w:rPr>
          <w:rFonts w:hint="default" w:ascii="Times New Roman" w:hAnsi="Times New Roman" w:cs="Times New Roman"/>
          <w:color w:val="auto"/>
          <w:spacing w:val="-2"/>
          <w:kern w:val="0"/>
          <w:sz w:val="24"/>
          <w:szCs w:val="24"/>
          <w:highlight w:val="none"/>
          <w:lang w:val="zh-CN"/>
        </w:rPr>
        <w:t>）项目区室外设置环形排水沟，截留下雨时厂内的初期雨水，将截留的初期雨水引入沉淀池，经沉淀后回用于生产不外排。</w:t>
      </w:r>
    </w:p>
    <w:p w14:paraId="35AEE6F9">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4</w:t>
      </w:r>
      <w:r>
        <w:rPr>
          <w:rFonts w:hint="default" w:ascii="Times New Roman" w:hAnsi="Times New Roman" w:cs="Times New Roman"/>
          <w:color w:val="auto"/>
          <w:spacing w:val="-2"/>
          <w:kern w:val="0"/>
          <w:sz w:val="24"/>
          <w:szCs w:val="24"/>
          <w:highlight w:val="none"/>
          <w:lang w:val="zh-CN"/>
        </w:rPr>
        <w:t>）加强管理和巡查制度，发现管道和阀门断裂、泄露应及时更换，反应装置泄露时应及时关闭有关阀门等</w:t>
      </w:r>
      <w:r>
        <w:rPr>
          <w:rFonts w:hint="default" w:ascii="Times New Roman" w:hAnsi="Times New Roman" w:cs="Times New Roman"/>
          <w:color w:val="auto"/>
          <w:spacing w:val="-2"/>
          <w:kern w:val="0"/>
          <w:sz w:val="24"/>
          <w:szCs w:val="24"/>
          <w:highlight w:val="none"/>
        </w:rPr>
        <w:t>；</w:t>
      </w:r>
    </w:p>
    <w:p w14:paraId="3077C6E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lang w:val="zh-CN" w:eastAsia="zh-CN"/>
        </w:rPr>
      </w:pP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zh-CN" w:eastAsia="zh-CN"/>
        </w:rPr>
        <w:t>）事故状态下产生的废液、消防废水、初期雨污水等均应及时导入事故应急水池。事故应急池平时应保持空池，加盖防止雨水落入。</w:t>
      </w:r>
    </w:p>
    <w:p w14:paraId="1D91EE3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山东隆盛和助剂有限公司</w:t>
      </w:r>
      <w:r>
        <w:rPr>
          <w:rFonts w:hint="default" w:ascii="Times New Roman" w:hAnsi="Times New Roman" w:cs="Times New Roman"/>
          <w:color w:val="auto"/>
          <w:sz w:val="24"/>
          <w:szCs w:val="24"/>
          <w:highlight w:val="none"/>
          <w:lang w:eastAsia="zh-CN"/>
        </w:rPr>
        <w:t>厂区设置应急事故水池，</w:t>
      </w:r>
      <w:r>
        <w:rPr>
          <w:rFonts w:hint="eastAsia" w:cs="Times New Roman"/>
          <w:color w:val="auto"/>
          <w:sz w:val="24"/>
          <w:szCs w:val="24"/>
          <w:highlight w:val="none"/>
          <w:lang w:eastAsia="zh-CN"/>
        </w:rPr>
        <w:t>与淄博元齐生物科技有限公司、山东隆信药业有限公司共用。淄博元齐生物科技有限公司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09BDD5D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123AE3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167EA57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003385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3963A5A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L/s，扑救时间</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h计，本工程消防废水产生量约</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E64EE9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5BCAE21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3B1EA02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38B44BA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05B81E8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11D73A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6CC1B6BC">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m³，即项目最大事故水量为</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2A733DC">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山东隆盛和助剂有限公司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4812655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BE4E47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236C8CF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88F54E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1A0CEB0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消防废水量按最大消防用水量15L/s，扑救时间2h计，本工程消防废水产生量约108m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4901CD1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251FD76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30B00BA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3CA3E36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6B3465E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9C1E6F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5C76545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=108m³，即项目最大事故水量为108m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707ADB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山东隆信药业有限公司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5C9D087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09EE0F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782B4A9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B8EE20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4315E7B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w:t>
      </w:r>
      <w:r>
        <w:rPr>
          <w:rFonts w:hint="eastAsia"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5D388B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75EE404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43F4384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7B76765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5106F2F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472FD15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763A7D5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m³，即项目最大事故水量为10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F175D74">
      <w:pPr>
        <w:pStyle w:val="88"/>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position w:val="0"/>
          <w:sz w:val="24"/>
          <w:szCs w:val="24"/>
          <w:highlight w:val="none"/>
        </w:rPr>
        <w:t>本项目</w:t>
      </w:r>
      <w:r>
        <w:rPr>
          <w:rFonts w:hint="default" w:ascii="Times New Roman" w:hAnsi="Times New Roman" w:cs="Times New Roman"/>
          <w:caps w:val="0"/>
          <w:smallCaps w:val="0"/>
          <w:color w:val="auto"/>
          <w:spacing w:val="0"/>
          <w:position w:val="0"/>
          <w:sz w:val="24"/>
          <w:szCs w:val="24"/>
          <w:highlight w:val="none"/>
          <w:lang w:eastAsia="zh-CN"/>
        </w:rPr>
        <w:t>设置了</w:t>
      </w:r>
      <w:r>
        <w:rPr>
          <w:rFonts w:hint="default" w:ascii="Times New Roman" w:hAnsi="Times New Roman" w:cs="Times New Roman"/>
          <w:caps w:val="0"/>
          <w:smallCaps w:val="0"/>
          <w:color w:val="auto"/>
          <w:spacing w:val="0"/>
          <w:position w:val="0"/>
          <w:sz w:val="24"/>
          <w:szCs w:val="24"/>
          <w:highlight w:val="none"/>
          <w:lang w:val="en-US" w:eastAsia="zh-CN"/>
        </w:rPr>
        <w:t>500m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和</w:t>
      </w:r>
      <w:r>
        <w:rPr>
          <w:rFonts w:hint="eastAsia" w:ascii="Times New Roman" w:hAnsi="Times New Roman" w:cs="Times New Roman"/>
          <w:caps w:val="0"/>
          <w:smallCaps w:val="0"/>
          <w:color w:val="auto"/>
          <w:spacing w:val="0"/>
          <w:position w:val="0"/>
          <w:sz w:val="24"/>
          <w:szCs w:val="24"/>
          <w:highlight w:val="none"/>
          <w:lang w:val="en-US" w:eastAsia="zh-CN"/>
        </w:rPr>
        <w:t>240</w:t>
      </w:r>
      <w:r>
        <w:rPr>
          <w:rFonts w:hint="default" w:ascii="Times New Roman" w:hAnsi="Times New Roman" w:cs="Times New Roman"/>
          <w:caps w:val="0"/>
          <w:smallCaps w:val="0"/>
          <w:color w:val="auto"/>
          <w:spacing w:val="0"/>
          <w:position w:val="0"/>
          <w:sz w:val="24"/>
          <w:szCs w:val="24"/>
          <w:highlight w:val="none"/>
          <w:lang w:val="en-US" w:eastAsia="zh-CN"/>
        </w:rPr>
        <w:t>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的事故水池</w:t>
      </w:r>
      <w:r>
        <w:rPr>
          <w:rFonts w:hint="default" w:ascii="Times New Roman" w:hAnsi="Times New Roman" w:eastAsia="宋体" w:cs="Times New Roman"/>
          <w:caps w:val="0"/>
          <w:smallCaps w:val="0"/>
          <w:color w:val="auto"/>
          <w:spacing w:val="0"/>
          <w:position w:val="0"/>
          <w:sz w:val="24"/>
          <w:szCs w:val="24"/>
          <w:highlight w:val="none"/>
        </w:rPr>
        <w:t>，</w:t>
      </w:r>
      <w:r>
        <w:rPr>
          <w:rFonts w:hint="default" w:ascii="Times New Roman" w:hAnsi="Times New Roman" w:eastAsia="宋体" w:cs="Times New Roman"/>
          <w:caps w:val="0"/>
          <w:smallCaps w:val="0"/>
          <w:color w:val="auto"/>
          <w:spacing w:val="0"/>
          <w:kern w:val="2"/>
          <w:position w:val="0"/>
          <w:highlight w:val="none"/>
        </w:rPr>
        <w:t>确保事故</w:t>
      </w:r>
      <w:r>
        <w:rPr>
          <w:rFonts w:hint="eastAsia" w:ascii="Times New Roman" w:hAnsi="Times New Roman" w:cs="Times New Roman"/>
          <w:caps w:val="0"/>
          <w:smallCaps w:val="0"/>
          <w:color w:val="auto"/>
          <w:spacing w:val="0"/>
          <w:kern w:val="2"/>
          <w:position w:val="0"/>
          <w:highlight w:val="none"/>
          <w:lang w:eastAsia="zh-CN"/>
        </w:rPr>
        <w:t>水池满足公司事故水盛装要求。</w:t>
      </w:r>
      <w:r>
        <w:rPr>
          <w:rFonts w:hint="default" w:ascii="Times New Roman" w:hAnsi="Times New Roman" w:eastAsia="宋体" w:cs="Times New Roman"/>
          <w:caps w:val="0"/>
          <w:smallCaps w:val="0"/>
          <w:color w:val="auto"/>
          <w:spacing w:val="0"/>
          <w:kern w:val="2"/>
          <w:position w:val="0"/>
          <w:highlight w:val="none"/>
        </w:rPr>
        <w:t>污染物不会泄漏至厂外环境。厂区内不宜形成内涝</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rPr>
        <w:t>公司制订了环保管理制度、安全操作规程等方面的程序文件和作业指导书，并严格按要求执行。按设计规范要求配备消防、环保等安全环保设备和设施，并加强维护保养，确保设备设施的完好。</w:t>
      </w:r>
    </w:p>
    <w:p w14:paraId="4B9D4A71">
      <w:pPr>
        <w:pStyle w:val="2"/>
        <w:adjustRightInd w:val="0"/>
        <w:snapToGrid w:val="0"/>
        <w:spacing w:after="0" w:line="360" w:lineRule="auto"/>
        <w:ind w:left="0" w:leftChars="0" w:firstLine="31680"/>
        <w:rPr>
          <w:rFonts w:hint="default" w:ascii="Times New Roman" w:hAnsi="Times New Roman" w:cs="Times New Roman"/>
          <w:color w:val="auto"/>
          <w:spacing w:val="-2"/>
          <w:kern w:val="0"/>
          <w:sz w:val="24"/>
          <w:highlight w:val="none"/>
        </w:rPr>
      </w:pPr>
      <w:r>
        <w:rPr>
          <w:rFonts w:hint="default" w:ascii="Times New Roman" w:hAnsi="Times New Roman" w:cs="Times New Roman"/>
          <w:color w:val="auto"/>
          <w:spacing w:val="-2"/>
          <w:kern w:val="0"/>
          <w:sz w:val="24"/>
          <w:highlight w:val="none"/>
        </w:rPr>
        <w:t>（3）事故应急池做防腐防渗处理，事故状态下收集的物料待事故消除后经槽车运走做相应处理。</w:t>
      </w:r>
    </w:p>
    <w:p w14:paraId="51B2E76A">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3、雨排水系统收集措施</w:t>
      </w:r>
    </w:p>
    <w:p w14:paraId="55FF9AAC">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厂区内设置了雨水排水沟</w:t>
      </w:r>
      <w:r>
        <w:rPr>
          <w:rFonts w:hint="default" w:ascii="Times New Roman" w:hAnsi="Times New Roman" w:cs="Times New Roman"/>
          <w:bCs/>
          <w:color w:val="auto"/>
          <w:spacing w:val="-2"/>
          <w:kern w:val="0"/>
          <w:sz w:val="24"/>
          <w:highlight w:val="none"/>
          <w:lang w:eastAsia="zh-CN"/>
        </w:rPr>
        <w:t>和</w:t>
      </w:r>
      <w:r>
        <w:rPr>
          <w:rFonts w:hint="default" w:ascii="Times New Roman" w:hAnsi="Times New Roman" w:cs="Times New Roman"/>
          <w:bCs/>
          <w:color w:val="auto"/>
          <w:spacing w:val="-2"/>
          <w:kern w:val="0"/>
          <w:sz w:val="24"/>
          <w:highlight w:val="none"/>
        </w:rPr>
        <w:t>初期雨水收集池。</w:t>
      </w:r>
    </w:p>
    <w:p w14:paraId="73C382D5">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eastAsia" w:cs="Times New Roman"/>
          <w:bCs/>
          <w:color w:val="auto"/>
          <w:spacing w:val="-2"/>
          <w:kern w:val="0"/>
          <w:sz w:val="24"/>
          <w:highlight w:val="none"/>
          <w:lang w:val="en-US" w:eastAsia="zh-CN"/>
        </w:rPr>
        <w:t>5</w:t>
      </w:r>
      <w:r>
        <w:rPr>
          <w:rFonts w:hint="default" w:ascii="Times New Roman" w:hAnsi="Times New Roman" w:cs="Times New Roman"/>
          <w:bCs/>
          <w:color w:val="auto"/>
          <w:spacing w:val="-2"/>
          <w:kern w:val="0"/>
          <w:sz w:val="24"/>
          <w:highlight w:val="none"/>
        </w:rPr>
        <w:t>、生产废水处理系统收集措施</w:t>
      </w:r>
    </w:p>
    <w:p w14:paraId="6BFA6412">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eastAsia="宋体" w:cs="Times New Roman"/>
          <w:color w:val="auto"/>
          <w:kern w:val="0"/>
          <w:sz w:val="24"/>
          <w:szCs w:val="24"/>
          <w:highlight w:val="none"/>
        </w:rPr>
      </w:pPr>
      <w:r>
        <w:rPr>
          <w:rFonts w:hint="default" w:ascii="Times New Roman" w:hAnsi="Times New Roman" w:cs="Times New Roman"/>
          <w:bCs/>
          <w:color w:val="auto"/>
          <w:spacing w:val="-2"/>
          <w:kern w:val="0"/>
          <w:sz w:val="24"/>
          <w:highlight w:val="none"/>
        </w:rPr>
        <w:t>厂区生产过程</w:t>
      </w:r>
      <w:r>
        <w:rPr>
          <w:rFonts w:hint="default" w:ascii="Times New Roman" w:hAnsi="Times New Roman" w:cs="Times New Roman"/>
          <w:bCs/>
          <w:color w:val="auto"/>
          <w:spacing w:val="-2"/>
          <w:kern w:val="0"/>
          <w:sz w:val="24"/>
          <w:highlight w:val="none"/>
          <w:lang w:eastAsia="zh-CN"/>
        </w:rPr>
        <w:t>产生的废水</w:t>
      </w:r>
      <w:r>
        <w:rPr>
          <w:rFonts w:hint="default" w:ascii="Times New Roman" w:hAnsi="Times New Roman" w:cs="Times New Roman"/>
          <w:color w:val="auto"/>
          <w:sz w:val="24"/>
          <w:highlight w:val="none"/>
          <w:lang w:eastAsia="zh-CN"/>
        </w:rPr>
        <w:t>经</w:t>
      </w:r>
      <w:r>
        <w:rPr>
          <w:rFonts w:hint="eastAsia" w:cs="Times New Roman"/>
          <w:color w:val="auto"/>
          <w:sz w:val="24"/>
          <w:highlight w:val="none"/>
          <w:lang w:eastAsia="zh-CN"/>
        </w:rPr>
        <w:t>有资质的危废处置单位转移处置。</w:t>
      </w:r>
      <w:r>
        <w:rPr>
          <w:rFonts w:hint="default" w:ascii="Times New Roman" w:hAnsi="Times New Roman" w:cs="Times New Roman"/>
          <w:bCs/>
          <w:color w:val="auto"/>
          <w:spacing w:val="-2"/>
          <w:kern w:val="0"/>
          <w:sz w:val="24"/>
          <w:highlight w:val="none"/>
        </w:rPr>
        <w:t>发生突发环境事件，立即启动公司应急预案，公司应急预案体系中，应急救援组织机构中通讯联络组协助应急指挥组做好事件报警、通报及联络工作；</w:t>
      </w:r>
      <w:r>
        <w:rPr>
          <w:rFonts w:hint="default" w:ascii="Times New Roman" w:hAnsi="Times New Roman" w:cs="Times New Roman"/>
          <w:bCs/>
          <w:color w:val="auto"/>
          <w:spacing w:val="-2"/>
          <w:kern w:val="0"/>
          <w:sz w:val="24"/>
          <w:highlight w:val="none"/>
          <w:lang w:eastAsia="zh-CN"/>
        </w:rPr>
        <w:t>抢险救援洗消组</w:t>
      </w:r>
      <w:r>
        <w:rPr>
          <w:rFonts w:hint="default" w:ascii="Times New Roman" w:hAnsi="Times New Roman" w:cs="Times New Roman"/>
          <w:bCs/>
          <w:color w:val="auto"/>
          <w:spacing w:val="-2"/>
          <w:kern w:val="0"/>
          <w:sz w:val="24"/>
          <w:highlight w:val="none"/>
        </w:rPr>
        <w:t>对设备进行抢修；</w:t>
      </w:r>
      <w:r>
        <w:rPr>
          <w:rFonts w:hint="default" w:ascii="Times New Roman" w:hAnsi="Times New Roman" w:cs="Times New Roman"/>
          <w:bCs/>
          <w:color w:val="auto"/>
          <w:spacing w:val="-2"/>
          <w:kern w:val="0"/>
          <w:sz w:val="24"/>
          <w:highlight w:val="none"/>
          <w:lang w:eastAsia="zh-CN"/>
        </w:rPr>
        <w:t>警戒保卫组</w:t>
      </w:r>
      <w:r>
        <w:rPr>
          <w:rFonts w:hint="default" w:ascii="Times New Roman" w:hAnsi="Times New Roman" w:cs="Times New Roman"/>
          <w:bCs/>
          <w:color w:val="auto"/>
          <w:spacing w:val="-2"/>
          <w:kern w:val="0"/>
          <w:sz w:val="24"/>
          <w:highlight w:val="none"/>
        </w:rPr>
        <w:t>根据现场情况判断是否需要人员紧急疏散和抢救物资，如需紧急疏散须及时规定疏散路线和疏散路口；后勤保障组、</w:t>
      </w:r>
      <w:r>
        <w:rPr>
          <w:rFonts w:hint="default" w:ascii="Times New Roman" w:hAnsi="Times New Roman" w:cs="Times New Roman"/>
          <w:bCs/>
          <w:color w:val="auto"/>
          <w:spacing w:val="-2"/>
          <w:kern w:val="0"/>
          <w:sz w:val="24"/>
          <w:highlight w:val="none"/>
          <w:lang w:eastAsia="zh-CN"/>
        </w:rPr>
        <w:t>医疗救援组</w:t>
      </w:r>
      <w:r>
        <w:rPr>
          <w:rFonts w:hint="default" w:ascii="Times New Roman" w:hAnsi="Times New Roman" w:cs="Times New Roman"/>
          <w:bCs/>
          <w:color w:val="auto"/>
          <w:spacing w:val="-2"/>
          <w:kern w:val="0"/>
          <w:sz w:val="24"/>
          <w:highlight w:val="none"/>
        </w:rPr>
        <w:t>等协调对救援人员的后勤、医疗进行处理。公司现有环境风险防控措施及应急措施基本完善，能有效应对突发环境事件所造成的风险及影响。</w:t>
      </w:r>
    </w:p>
    <w:p w14:paraId="548004F1">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针对本公司的具体情况，按不同事故类型，包括污染源监测、厂界环境质量监测和厂外环境质量监测三类，</w:t>
      </w:r>
      <w:r>
        <w:rPr>
          <w:rFonts w:hint="default" w:ascii="Times New Roman" w:hAnsi="Times New Roman" w:eastAsia="宋体" w:cs="Times New Roman"/>
          <w:color w:val="auto"/>
          <w:kern w:val="36"/>
          <w:sz w:val="24"/>
          <w:szCs w:val="24"/>
          <w:highlight w:val="none"/>
          <w:lang w:val="en-US" w:eastAsia="zh-CN" w:bidi="ar-SA"/>
        </w:rPr>
        <w:t>企业不具备监测条件，</w:t>
      </w:r>
      <w:r>
        <w:rPr>
          <w:rFonts w:hint="default" w:ascii="Times New Roman" w:hAnsi="Times New Roman" w:eastAsia="宋体" w:cs="Times New Roman"/>
          <w:caps w:val="0"/>
          <w:smallCaps w:val="0"/>
          <w:color w:val="auto"/>
          <w:spacing w:val="0"/>
          <w:kern w:val="2"/>
          <w:position w:val="0"/>
          <w:highlight w:val="none"/>
        </w:rPr>
        <w:t>由有资质的的监测单位</w:t>
      </w:r>
      <w:r>
        <w:rPr>
          <w:rFonts w:hint="eastAsia" w:ascii="Times New Roman" w:hAnsi="Times New Roman" w:cs="Times New Roman"/>
          <w:caps w:val="0"/>
          <w:smallCaps w:val="0"/>
          <w:color w:val="auto"/>
          <w:spacing w:val="0"/>
          <w:kern w:val="2"/>
          <w:position w:val="0"/>
          <w:highlight w:val="none"/>
          <w:lang w:eastAsia="zh-CN"/>
        </w:rPr>
        <w:t>（山东九盛检测有限公司）</w:t>
      </w:r>
      <w:r>
        <w:rPr>
          <w:rFonts w:hint="default" w:ascii="Times New Roman" w:hAnsi="Times New Roman" w:eastAsia="宋体" w:cs="Times New Roman"/>
          <w:caps w:val="0"/>
          <w:smallCaps w:val="0"/>
          <w:color w:val="auto"/>
          <w:spacing w:val="0"/>
          <w:kern w:val="2"/>
          <w:position w:val="0"/>
          <w:highlight w:val="none"/>
        </w:rPr>
        <w:t>负责应急监测，满足事故应急监测的要求</w:t>
      </w:r>
      <w:r>
        <w:rPr>
          <w:rFonts w:hint="eastAsia" w:ascii="Times New Roman" w:hAnsi="Times New Roman" w:cs="Times New Roman"/>
          <w:caps w:val="0"/>
          <w:smallCaps w:val="0"/>
          <w:color w:val="auto"/>
          <w:spacing w:val="0"/>
          <w:kern w:val="2"/>
          <w:position w:val="0"/>
          <w:highlight w:val="none"/>
          <w:lang w:eastAsia="zh-CN"/>
        </w:rPr>
        <w:t>（监测协议见附件）</w:t>
      </w:r>
      <w:r>
        <w:rPr>
          <w:rFonts w:hint="default" w:ascii="Times New Roman" w:hAnsi="Times New Roman" w:eastAsia="宋体" w:cs="Times New Roman"/>
          <w:caps w:val="0"/>
          <w:smallCaps w:val="0"/>
          <w:color w:val="auto"/>
          <w:spacing w:val="0"/>
          <w:kern w:val="2"/>
          <w:position w:val="0"/>
          <w:highlight w:val="none"/>
        </w:rPr>
        <w:t>。</w:t>
      </w:r>
    </w:p>
    <w:p w14:paraId="38F06654">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（1）火灾</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可能造成大气污染</w:t>
      </w:r>
    </w:p>
    <w:p w14:paraId="0AE34B27">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大气监测点位：针对发生的火灾</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lang w:val="en-US" w:eastAsia="zh-CN"/>
        </w:rPr>
        <w:t>爆炸、</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事故，大气污染监测考虑在事故装置区的上风向对照点、事故装置的下风向厂界、下风向可能受污染影响的最近的敏感保护目标处各设置一个大气环境监测点。采样过程中应注意风向的变化，及时调整采样点位置。</w:t>
      </w:r>
    </w:p>
    <w:p w14:paraId="0E941DF6">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sz w:val="24"/>
          <w:szCs w:val="24"/>
          <w:highlight w:val="none"/>
        </w:rPr>
      </w:pPr>
      <w:r>
        <w:rPr>
          <w:rFonts w:hint="default" w:ascii="Times New Roman" w:hAnsi="Times New Roman" w:eastAsia="宋体" w:cs="Times New Roman"/>
          <w:caps w:val="0"/>
          <w:smallCaps w:val="0"/>
          <w:color w:val="auto"/>
          <w:spacing w:val="0"/>
          <w:kern w:val="2"/>
          <w:position w:val="0"/>
          <w:highlight w:val="none"/>
        </w:rPr>
        <w:t>应急监测频次：</w:t>
      </w:r>
      <w:r>
        <w:rPr>
          <w:rFonts w:hint="default" w:ascii="Times New Roman" w:hAnsi="Times New Roman" w:eastAsia="宋体" w:cs="Times New Roman"/>
          <w:caps w:val="0"/>
          <w:smallCaps w:val="0"/>
          <w:color w:val="auto"/>
          <w:spacing w:val="0"/>
          <w:kern w:val="2"/>
          <w:position w:val="0"/>
          <w:sz w:val="24"/>
          <w:szCs w:val="24"/>
          <w:highlight w:val="none"/>
        </w:rPr>
        <w:t>采样的频次主要根据现场污染状况确定。</w:t>
      </w:r>
    </w:p>
    <w:p w14:paraId="73F8747B">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sz w:val="24"/>
          <w:szCs w:val="24"/>
          <w:highlight w:val="none"/>
        </w:rPr>
      </w:pPr>
      <w:r>
        <w:rPr>
          <w:rFonts w:hint="default" w:ascii="Times New Roman" w:hAnsi="Times New Roman" w:eastAsia="宋体" w:cs="Times New Roman"/>
          <w:caps w:val="0"/>
          <w:smallCaps w:val="0"/>
          <w:color w:val="auto"/>
          <w:spacing w:val="0"/>
          <w:kern w:val="2"/>
          <w:position w:val="0"/>
          <w:sz w:val="24"/>
          <w:szCs w:val="24"/>
          <w:highlight w:val="none"/>
        </w:rPr>
        <w:t>大气环境监测因子：根据厂区发生不同突发环境事件，确定相关监测因子</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可能为</w:t>
      </w:r>
      <w:r>
        <w:rPr>
          <w:rFonts w:hint="default" w:ascii="Times New Roman" w:hAnsi="Times New Roman" w:cs="Times New Roman"/>
          <w:color w:val="auto"/>
          <w:sz w:val="24"/>
          <w:szCs w:val="24"/>
          <w:highlight w:val="none"/>
          <w:lang w:val="en-US" w:eastAsia="zh-CN"/>
        </w:rPr>
        <w:t>VOCs</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w:t>
      </w:r>
    </w:p>
    <w:p w14:paraId="4284F79C">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sz w:val="24"/>
          <w:szCs w:val="24"/>
          <w:highlight w:val="none"/>
        </w:rPr>
        <w:t>厂界气体监测的一般原则：排放源下风向设监控点，同时在排放源上风向设参照点，以监控点同参照点的浓度差值不超过规定限值来限制无组织排放，</w:t>
      </w:r>
      <w:r>
        <w:rPr>
          <w:rFonts w:hint="default" w:ascii="Times New Roman" w:hAnsi="Times New Roman" w:cs="Times New Roman"/>
          <w:color w:val="auto"/>
          <w:sz w:val="24"/>
          <w:szCs w:val="24"/>
          <w:highlight w:val="none"/>
          <w:lang w:val="en-US" w:eastAsia="zh-CN"/>
        </w:rPr>
        <w:t>VOCs</w:t>
      </w:r>
      <w:r>
        <w:rPr>
          <w:rFonts w:hint="default" w:ascii="Times New Roman" w:hAnsi="Times New Roman" w:eastAsia="宋体" w:cs="Times New Roman"/>
          <w:caps w:val="0"/>
          <w:smallCaps w:val="0"/>
          <w:color w:val="auto"/>
          <w:spacing w:val="0"/>
          <w:kern w:val="2"/>
          <w:position w:val="0"/>
          <w:sz w:val="24"/>
          <w:szCs w:val="24"/>
          <w:highlight w:val="none"/>
        </w:rPr>
        <w:t>监控点设在无组织排放源下风向</w:t>
      </w:r>
      <w:r>
        <w:rPr>
          <w:rFonts w:hint="eastAsia" w:ascii="Times New Roman" w:hAnsi="Times New Roman" w:cs="Times New Roman"/>
          <w:caps w:val="0"/>
          <w:smallCaps w:val="0"/>
          <w:color w:val="auto"/>
          <w:spacing w:val="0"/>
          <w:kern w:val="2"/>
          <w:position w:val="0"/>
          <w:sz w:val="24"/>
          <w:szCs w:val="24"/>
          <w:highlight w:val="none"/>
          <w:lang w:val="en-US" w:eastAsia="zh-CN"/>
        </w:rPr>
        <w:t>100</w:t>
      </w:r>
      <w:r>
        <w:rPr>
          <w:rFonts w:hint="default" w:ascii="Times New Roman" w:hAnsi="Times New Roman" w:eastAsia="宋体" w:cs="Times New Roman"/>
          <w:caps w:val="0"/>
          <w:smallCaps w:val="0"/>
          <w:color w:val="auto"/>
          <w:spacing w:val="0"/>
          <w:kern w:val="2"/>
          <w:position w:val="0"/>
          <w:sz w:val="24"/>
          <w:szCs w:val="24"/>
          <w:highlight w:val="none"/>
        </w:rPr>
        <w:t>m范围内的浓度最高点，相对应的参照点设在排放源上风向50m范围内；其余物质的监控点设在单位周界外10m范围内的浓度最高点。按规定监控点最多可设4个</w:t>
      </w:r>
      <w:r>
        <w:rPr>
          <w:rFonts w:hint="default" w:ascii="Times New Roman" w:hAnsi="Times New Roman" w:eastAsia="宋体" w:cs="Times New Roman"/>
          <w:caps w:val="0"/>
          <w:smallCaps w:val="0"/>
          <w:color w:val="auto"/>
          <w:spacing w:val="0"/>
          <w:kern w:val="2"/>
          <w:position w:val="0"/>
          <w:szCs w:val="22"/>
          <w:highlight w:val="none"/>
        </w:rPr>
        <w:t>，参照点只设1个。实行连续1小时的采样，或者实行在1小时内以等时间间隔采集4个样品计平均值。在进行实际监测时，为了捕捉到监控点最高浓度的时段，实际安排的采样时间可超过1小时。</w:t>
      </w:r>
    </w:p>
    <w:p w14:paraId="28228DA3">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（2）消防废水处理</w:t>
      </w:r>
    </w:p>
    <w:p w14:paraId="5538696A">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在发生火灾、产生事故废水导致水质出现超标时，需要对事故废水进行监测。</w:t>
      </w:r>
    </w:p>
    <w:p w14:paraId="1E9BCC91">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监测点位：</w:t>
      </w:r>
      <w:r>
        <w:rPr>
          <w:rFonts w:hint="default" w:ascii="Times New Roman" w:hAnsi="Times New Roman" w:eastAsia="宋体" w:cs="Times New Roman"/>
          <w:caps w:val="0"/>
          <w:smallCaps w:val="0"/>
          <w:color w:val="auto"/>
          <w:spacing w:val="0"/>
          <w:kern w:val="2"/>
          <w:position w:val="0"/>
          <w:highlight w:val="none"/>
          <w:lang w:eastAsia="zh-CN"/>
        </w:rPr>
        <w:t>事故水池</w:t>
      </w:r>
      <w:r>
        <w:rPr>
          <w:rFonts w:hint="default" w:ascii="Times New Roman" w:hAnsi="Times New Roman" w:eastAsia="宋体" w:cs="Times New Roman"/>
          <w:caps w:val="0"/>
          <w:smallCaps w:val="0"/>
          <w:color w:val="auto"/>
          <w:spacing w:val="0"/>
          <w:kern w:val="2"/>
          <w:position w:val="0"/>
          <w:highlight w:val="none"/>
        </w:rPr>
        <w:t>。</w:t>
      </w:r>
    </w:p>
    <w:p w14:paraId="7F3A5323">
      <w:pPr>
        <w:pStyle w:val="31"/>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应急监测频次：采样的频次主要根据现场污染状况确定。</w:t>
      </w:r>
    </w:p>
    <w:p w14:paraId="696311D5">
      <w:pPr>
        <w:pStyle w:val="110"/>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eastAsia="宋体" w:cs="Times New Roman"/>
          <w:color w:val="auto"/>
          <w:kern w:val="36"/>
          <w:sz w:val="24"/>
          <w:szCs w:val="24"/>
          <w:highlight w:val="none"/>
          <w:lang w:val="en-US" w:eastAsia="zh-CN" w:bidi="ar-SA"/>
        </w:rPr>
      </w:pPr>
      <w:r>
        <w:rPr>
          <w:rFonts w:hint="default" w:ascii="Times New Roman" w:hAnsi="Times New Roman" w:eastAsia="宋体" w:cs="Times New Roman"/>
          <w:caps w:val="0"/>
          <w:smallCaps w:val="0"/>
          <w:color w:val="auto"/>
          <w:spacing w:val="0"/>
          <w:kern w:val="2"/>
          <w:position w:val="0"/>
          <w:sz w:val="24"/>
          <w:szCs w:val="24"/>
          <w:highlight w:val="none"/>
        </w:rPr>
        <w:t>监测因子：根据厂区发生不同突发环境事件，确定相关监测因子</w:t>
      </w:r>
      <w:r>
        <w:rPr>
          <w:rFonts w:hint="default" w:ascii="Times New Roman" w:hAnsi="Times New Roman" w:eastAsia="宋体" w:cs="Times New Roman"/>
          <w:color w:val="auto"/>
          <w:kern w:val="36"/>
          <w:sz w:val="24"/>
          <w:szCs w:val="24"/>
          <w:highlight w:val="none"/>
          <w:lang w:val="en-US" w:eastAsia="zh-CN" w:bidi="ar-SA"/>
        </w:rPr>
        <w:t>企业不具备监测条件，</w:t>
      </w:r>
      <w:r>
        <w:rPr>
          <w:rFonts w:hint="default" w:ascii="Times New Roman" w:hAnsi="Times New Roman" w:cs="Times New Roman"/>
          <w:color w:val="auto"/>
          <w:kern w:val="36"/>
          <w:sz w:val="24"/>
          <w:szCs w:val="24"/>
          <w:highlight w:val="none"/>
          <w:lang w:val="en-US" w:eastAsia="zh-CN" w:bidi="ar-SA"/>
        </w:rPr>
        <w:t>应</w:t>
      </w:r>
      <w:r>
        <w:rPr>
          <w:rFonts w:hint="default" w:ascii="Times New Roman" w:hAnsi="Times New Roman" w:eastAsia="宋体" w:cs="Times New Roman"/>
          <w:color w:val="auto"/>
          <w:kern w:val="36"/>
          <w:sz w:val="24"/>
          <w:szCs w:val="24"/>
          <w:highlight w:val="none"/>
          <w:lang w:val="en-US" w:eastAsia="zh-CN" w:bidi="ar-SA"/>
        </w:rPr>
        <w:t>委托有资质的环境监测机构进行监测。</w:t>
      </w:r>
      <w:r>
        <w:rPr>
          <w:rFonts w:hint="default" w:ascii="Times New Roman" w:hAnsi="Times New Roman" w:cs="Times New Roman"/>
          <w:color w:val="auto"/>
          <w:kern w:val="36"/>
          <w:sz w:val="24"/>
          <w:szCs w:val="24"/>
          <w:highlight w:val="none"/>
          <w:lang w:val="en-US" w:eastAsia="zh-CN" w:bidi="ar-SA"/>
        </w:rPr>
        <w:t>自行</w:t>
      </w:r>
      <w:r>
        <w:rPr>
          <w:rFonts w:hint="default" w:ascii="Times New Roman" w:hAnsi="Times New Roman" w:eastAsia="宋体" w:cs="Times New Roman"/>
          <w:color w:val="auto"/>
          <w:kern w:val="36"/>
          <w:sz w:val="24"/>
          <w:szCs w:val="24"/>
          <w:highlight w:val="none"/>
          <w:lang w:val="en-US" w:eastAsia="zh-CN" w:bidi="ar-SA"/>
        </w:rPr>
        <w:t>监测计划见</w:t>
      </w:r>
      <w:r>
        <w:rPr>
          <w:rFonts w:hint="default" w:ascii="Times New Roman" w:hAnsi="Times New Roman" w:cs="Times New Roman"/>
          <w:color w:val="auto"/>
          <w:kern w:val="36"/>
          <w:sz w:val="24"/>
          <w:szCs w:val="24"/>
          <w:highlight w:val="none"/>
          <w:lang w:val="en-US" w:eastAsia="zh-CN" w:bidi="ar-SA"/>
        </w:rPr>
        <w:t>下表</w:t>
      </w:r>
      <w:r>
        <w:rPr>
          <w:rFonts w:hint="default" w:ascii="Times New Roman" w:hAnsi="Times New Roman" w:eastAsia="宋体" w:cs="Times New Roman"/>
          <w:color w:val="auto"/>
          <w:kern w:val="36"/>
          <w:sz w:val="24"/>
          <w:szCs w:val="24"/>
          <w:highlight w:val="none"/>
          <w:lang w:val="en-US" w:eastAsia="zh-CN" w:bidi="ar-SA"/>
        </w:rPr>
        <w:t>。</w:t>
      </w:r>
    </w:p>
    <w:p w14:paraId="4E8049E0">
      <w:pPr>
        <w:pStyle w:val="110"/>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leftChars="200" w:right="0" w:rightChars="0"/>
        <w:jc w:val="center"/>
        <w:textAlignment w:val="auto"/>
        <w:outlineLvl w:val="9"/>
        <w:rPr>
          <w:rFonts w:hint="default" w:ascii="Times New Roman" w:hAnsi="Times New Roman" w:eastAsia="宋体" w:cs="Times New Roman"/>
          <w:b/>
          <w:bCs/>
          <w:color w:val="auto"/>
          <w:kern w:val="36"/>
          <w:sz w:val="24"/>
          <w:szCs w:val="24"/>
          <w:highlight w:val="none"/>
          <w:lang w:val="en-US" w:eastAsia="zh-CN" w:bidi="ar-SA"/>
        </w:rPr>
      </w:pPr>
      <w:r>
        <w:rPr>
          <w:rFonts w:hint="default" w:ascii="Times New Roman" w:hAnsi="Times New Roman" w:eastAsia="宋体" w:cs="Times New Roman"/>
          <w:b/>
          <w:bCs/>
          <w:color w:val="auto"/>
          <w:kern w:val="36"/>
          <w:sz w:val="24"/>
          <w:szCs w:val="24"/>
          <w:highlight w:val="none"/>
          <w:lang w:val="en-US" w:eastAsia="zh-CN" w:bidi="ar-SA"/>
        </w:rPr>
        <w:t>表</w:t>
      </w:r>
      <w:r>
        <w:rPr>
          <w:rFonts w:hint="default" w:ascii="Times New Roman" w:hAnsi="Times New Roman" w:cs="Times New Roman"/>
          <w:b/>
          <w:bCs/>
          <w:color w:val="auto"/>
          <w:kern w:val="36"/>
          <w:sz w:val="24"/>
          <w:szCs w:val="24"/>
          <w:highlight w:val="none"/>
          <w:lang w:val="en-US" w:eastAsia="zh-CN" w:bidi="ar-SA"/>
        </w:rPr>
        <w:t>3.6-2</w:t>
      </w:r>
      <w:r>
        <w:rPr>
          <w:rFonts w:hint="default" w:ascii="Times New Roman" w:hAnsi="Times New Roman" w:eastAsia="宋体" w:cs="Times New Roman"/>
          <w:b/>
          <w:bCs/>
          <w:color w:val="auto"/>
          <w:kern w:val="36"/>
          <w:sz w:val="24"/>
          <w:szCs w:val="24"/>
          <w:highlight w:val="none"/>
          <w:lang w:val="en-US" w:eastAsia="zh-CN" w:bidi="ar-SA"/>
        </w:rPr>
        <w:t xml:space="preserve"> 企业应急监测计划</w:t>
      </w:r>
    </w:p>
    <w:tbl>
      <w:tblPr>
        <w:tblStyle w:val="34"/>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410"/>
        <w:gridCol w:w="1470"/>
        <w:gridCol w:w="1665"/>
        <w:gridCol w:w="1430"/>
        <w:gridCol w:w="1320"/>
        <w:gridCol w:w="1230"/>
      </w:tblGrid>
      <w:tr w14:paraId="7D2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06EBD46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环境要素</w:t>
            </w:r>
          </w:p>
        </w:tc>
        <w:tc>
          <w:tcPr>
            <w:tcW w:w="1410" w:type="dxa"/>
            <w:noWrap w:val="0"/>
            <w:vAlign w:val="center"/>
          </w:tcPr>
          <w:p w14:paraId="64D0B555">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测点名称</w:t>
            </w:r>
          </w:p>
        </w:tc>
        <w:tc>
          <w:tcPr>
            <w:tcW w:w="1470" w:type="dxa"/>
            <w:noWrap w:val="0"/>
            <w:vAlign w:val="center"/>
          </w:tcPr>
          <w:p w14:paraId="1284E3C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监测方位</w:t>
            </w:r>
          </w:p>
        </w:tc>
        <w:tc>
          <w:tcPr>
            <w:tcW w:w="1665" w:type="dxa"/>
            <w:noWrap w:val="0"/>
            <w:vAlign w:val="center"/>
          </w:tcPr>
          <w:p w14:paraId="6146FE6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监测项目</w:t>
            </w:r>
          </w:p>
        </w:tc>
        <w:tc>
          <w:tcPr>
            <w:tcW w:w="1430" w:type="dxa"/>
            <w:noWrap w:val="0"/>
            <w:vAlign w:val="center"/>
          </w:tcPr>
          <w:p w14:paraId="5A73CDD2">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监测设备</w:t>
            </w:r>
          </w:p>
        </w:tc>
        <w:tc>
          <w:tcPr>
            <w:tcW w:w="1320" w:type="dxa"/>
            <w:noWrap w:val="0"/>
            <w:vAlign w:val="center"/>
          </w:tcPr>
          <w:p w14:paraId="03C2042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监测频次</w:t>
            </w:r>
          </w:p>
        </w:tc>
        <w:tc>
          <w:tcPr>
            <w:tcW w:w="1230" w:type="dxa"/>
            <w:noWrap w:val="0"/>
            <w:vAlign w:val="center"/>
          </w:tcPr>
          <w:p w14:paraId="11963A1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备注</w:t>
            </w:r>
          </w:p>
        </w:tc>
      </w:tr>
      <w:tr w14:paraId="589E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915" w:type="dxa"/>
            <w:vMerge w:val="restart"/>
            <w:noWrap w:val="0"/>
            <w:vAlign w:val="center"/>
          </w:tcPr>
          <w:p w14:paraId="0257F789">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环境空气</w:t>
            </w:r>
          </w:p>
        </w:tc>
        <w:tc>
          <w:tcPr>
            <w:tcW w:w="1410" w:type="dxa"/>
            <w:noWrap w:val="0"/>
            <w:vAlign w:val="center"/>
          </w:tcPr>
          <w:p w14:paraId="351DD44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当时风向的下风向</w:t>
            </w:r>
          </w:p>
        </w:tc>
        <w:tc>
          <w:tcPr>
            <w:tcW w:w="1470" w:type="dxa"/>
            <w:noWrap w:val="0"/>
            <w:vAlign w:val="center"/>
          </w:tcPr>
          <w:p w14:paraId="1EC0BE8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每隔</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1</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00m布设一个监控点，共布设3个</w:t>
            </w:r>
          </w:p>
        </w:tc>
        <w:tc>
          <w:tcPr>
            <w:tcW w:w="1665" w:type="dxa"/>
            <w:vMerge w:val="restart"/>
            <w:noWrap w:val="0"/>
            <w:vAlign w:val="center"/>
          </w:tcPr>
          <w:p w14:paraId="5AF2BB52">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发生火灾、</w:t>
            </w:r>
            <w:r>
              <w:rPr>
                <w:rFonts w:hint="default" w:ascii="Times New Roman" w:hAnsi="Times New Roman" w:eastAsia="宋体" w:cs="Times New Roman"/>
                <w:caps w:val="0"/>
                <w:smallCaps w:val="0"/>
                <w:color w:val="auto"/>
                <w:spacing w:val="0"/>
                <w:position w:val="0"/>
                <w:sz w:val="21"/>
                <w:szCs w:val="21"/>
                <w:highlight w:val="none"/>
                <w:lang w:eastAsia="zh-CN"/>
              </w:rPr>
              <w:t>爆炸、泄漏</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事故时监测</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挥发性有机物</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CO</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等</w:t>
            </w:r>
          </w:p>
        </w:tc>
        <w:tc>
          <w:tcPr>
            <w:tcW w:w="1430" w:type="dxa"/>
            <w:vMerge w:val="restart"/>
            <w:noWrap w:val="0"/>
            <w:vAlign w:val="center"/>
          </w:tcPr>
          <w:p w14:paraId="3C2C5960">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eastAsia="zh-CN"/>
              </w:rPr>
              <w:t>便携式气体检测仪</w:t>
            </w:r>
            <w:r>
              <w:rPr>
                <w:rFonts w:hint="eastAsia" w:ascii="Times New Roman" w:hAnsi="Times New Roman" w:cs="Times New Roman"/>
                <w:caps w:val="0"/>
                <w:smallCaps w:val="0"/>
                <w:color w:val="auto"/>
                <w:spacing w:val="0"/>
                <w:position w:val="0"/>
                <w:sz w:val="21"/>
                <w:szCs w:val="21"/>
                <w:highlight w:val="none"/>
                <w:lang w:val="en-US" w:eastAsia="zh-CN"/>
              </w:rPr>
              <w:t>/ FID氢火焰监测</w:t>
            </w:r>
            <w:r>
              <w:rPr>
                <w:rFonts w:hint="eastAsia" w:ascii="Times New Roman" w:hAnsi="Times New Roman" w:cs="Times New Roman"/>
                <w:caps w:val="0"/>
                <w:smallCaps w:val="0"/>
                <w:color w:val="auto"/>
                <w:spacing w:val="0"/>
                <w:position w:val="0"/>
                <w:sz w:val="21"/>
                <w:szCs w:val="21"/>
                <w:highlight w:val="none"/>
                <w:lang w:eastAsia="zh-CN"/>
              </w:rPr>
              <w:t>仪</w:t>
            </w:r>
          </w:p>
        </w:tc>
        <w:tc>
          <w:tcPr>
            <w:tcW w:w="1320" w:type="dxa"/>
            <w:vMerge w:val="restart"/>
            <w:noWrap w:val="0"/>
            <w:vAlign w:val="center"/>
          </w:tcPr>
          <w:p w14:paraId="792851C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10min监测一次，随事故控制减弱</w:t>
            </w:r>
          </w:p>
        </w:tc>
        <w:tc>
          <w:tcPr>
            <w:tcW w:w="1230" w:type="dxa"/>
            <w:vMerge w:val="restart"/>
            <w:noWrap w:val="0"/>
            <w:vAlign w:val="center"/>
          </w:tcPr>
          <w:p w14:paraId="1ACD047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sz w:val="21"/>
                <w:szCs w:val="21"/>
              </w:rPr>
              <w:t>委托第三方监测单位进行监测</w:t>
            </w:r>
          </w:p>
        </w:tc>
      </w:tr>
      <w:tr w14:paraId="70BA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915" w:type="dxa"/>
            <w:vMerge w:val="continue"/>
            <w:noWrap w:val="0"/>
            <w:vAlign w:val="center"/>
          </w:tcPr>
          <w:p w14:paraId="5B12F52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10" w:type="dxa"/>
            <w:noWrap w:val="0"/>
            <w:vAlign w:val="center"/>
          </w:tcPr>
          <w:p w14:paraId="3B0C2D7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上风向</w:t>
            </w:r>
          </w:p>
        </w:tc>
        <w:tc>
          <w:tcPr>
            <w:tcW w:w="1470" w:type="dxa"/>
            <w:noWrap w:val="0"/>
            <w:vAlign w:val="center"/>
          </w:tcPr>
          <w:p w14:paraId="6F14111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两侧各布设一个监控点，共布设两个</w:t>
            </w:r>
          </w:p>
        </w:tc>
        <w:tc>
          <w:tcPr>
            <w:tcW w:w="1665" w:type="dxa"/>
            <w:vMerge w:val="continue"/>
            <w:noWrap w:val="0"/>
            <w:vAlign w:val="center"/>
          </w:tcPr>
          <w:p w14:paraId="72151943">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30" w:type="dxa"/>
            <w:vMerge w:val="continue"/>
            <w:noWrap w:val="0"/>
            <w:vAlign w:val="center"/>
          </w:tcPr>
          <w:p w14:paraId="3BD9B4F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320" w:type="dxa"/>
            <w:vMerge w:val="continue"/>
            <w:noWrap w:val="0"/>
            <w:vAlign w:val="center"/>
          </w:tcPr>
          <w:p w14:paraId="1B0B4CD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230" w:type="dxa"/>
            <w:vMerge w:val="continue"/>
            <w:noWrap w:val="0"/>
            <w:vAlign w:val="center"/>
          </w:tcPr>
          <w:p w14:paraId="077A0A01">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r>
      <w:tr w14:paraId="5E44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5E929575">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地表水</w:t>
            </w:r>
          </w:p>
        </w:tc>
        <w:tc>
          <w:tcPr>
            <w:tcW w:w="2880" w:type="dxa"/>
            <w:gridSpan w:val="2"/>
            <w:noWrap w:val="0"/>
            <w:vAlign w:val="center"/>
          </w:tcPr>
          <w:p w14:paraId="0EA8CC64">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上游清洁段，事故点及下游</w:t>
            </w:r>
          </w:p>
        </w:tc>
        <w:tc>
          <w:tcPr>
            <w:tcW w:w="1665" w:type="dxa"/>
            <w:noWrap w:val="0"/>
            <w:vAlign w:val="center"/>
          </w:tcPr>
          <w:p w14:paraId="06DDED5B">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pH、SS、COD、氨氮等</w:t>
            </w:r>
          </w:p>
        </w:tc>
        <w:tc>
          <w:tcPr>
            <w:tcW w:w="1430" w:type="dxa"/>
            <w:noWrap w:val="0"/>
            <w:vAlign w:val="center"/>
          </w:tcPr>
          <w:p w14:paraId="5DD3846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便携式水质分析仪</w:t>
            </w:r>
          </w:p>
        </w:tc>
        <w:tc>
          <w:tcPr>
            <w:tcW w:w="1320" w:type="dxa"/>
            <w:noWrap w:val="0"/>
            <w:vAlign w:val="center"/>
          </w:tcPr>
          <w:p w14:paraId="5C8C903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5E4B116F">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r w14:paraId="070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15" w:type="dxa"/>
            <w:noWrap w:val="0"/>
            <w:vAlign w:val="center"/>
          </w:tcPr>
          <w:p w14:paraId="7FA08E70">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土壤地下水</w:t>
            </w:r>
          </w:p>
        </w:tc>
        <w:tc>
          <w:tcPr>
            <w:tcW w:w="2880" w:type="dxa"/>
            <w:gridSpan w:val="2"/>
            <w:noWrap w:val="0"/>
            <w:vAlign w:val="center"/>
          </w:tcPr>
          <w:p w14:paraId="217F83F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1个对照点，3个控制点</w:t>
            </w:r>
          </w:p>
        </w:tc>
        <w:tc>
          <w:tcPr>
            <w:tcW w:w="1665" w:type="dxa"/>
            <w:noWrap w:val="0"/>
            <w:vAlign w:val="center"/>
          </w:tcPr>
          <w:p w14:paraId="59E6901B">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PH、石油烃、铜、铬</w:t>
            </w:r>
          </w:p>
        </w:tc>
        <w:tc>
          <w:tcPr>
            <w:tcW w:w="1430" w:type="dxa"/>
            <w:noWrap w:val="0"/>
            <w:vAlign w:val="center"/>
          </w:tcPr>
          <w:p w14:paraId="77E0E8C3">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三合一土壤检测仪，水质分析仪</w:t>
            </w:r>
          </w:p>
        </w:tc>
        <w:tc>
          <w:tcPr>
            <w:tcW w:w="1320" w:type="dxa"/>
            <w:noWrap w:val="0"/>
            <w:vAlign w:val="center"/>
          </w:tcPr>
          <w:p w14:paraId="77614814">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25DDB657">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snapToGrid w:val="0"/>
                <w:color w:val="auto"/>
                <w:spacing w:val="0"/>
                <w:kern w:val="21"/>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bl>
    <w:p w14:paraId="60BA9EBB">
      <w:pPr>
        <w:pStyle w:val="8"/>
        <w:rPr>
          <w:rFonts w:hint="eastAsia"/>
          <w:b w:val="0"/>
          <w:bCs w:val="0"/>
          <w:color w:val="000000" w:themeColor="text1"/>
          <w:sz w:val="24"/>
          <w:szCs w:val="24"/>
          <w:lang w:val="en-US" w:eastAsia="zh-CN"/>
          <w14:textFill>
            <w14:solidFill>
              <w14:schemeClr w14:val="tx1"/>
            </w14:solidFill>
          </w14:textFill>
        </w:rPr>
      </w:pPr>
    </w:p>
    <w:p w14:paraId="7E80AC07">
      <w:pPr>
        <w:outlineLvl w:val="9"/>
        <w:rPr>
          <w:b w:val="0"/>
          <w:bCs w:val="0"/>
          <w:color w:val="000000" w:themeColor="text1"/>
          <w:sz w:val="24"/>
          <w:szCs w:val="24"/>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6、</w:t>
      </w:r>
      <w:r>
        <w:rPr>
          <w:b w:val="0"/>
          <w:bCs w:val="0"/>
          <w:color w:val="000000" w:themeColor="text1"/>
          <w:sz w:val="24"/>
          <w:szCs w:val="24"/>
          <w14:textFill>
            <w14:solidFill>
              <w14:schemeClr w14:val="tx1"/>
            </w14:solidFill>
          </w14:textFill>
        </w:rPr>
        <w:t>毒性、易燃气体泄漏紧急处置装置</w:t>
      </w:r>
    </w:p>
    <w:p w14:paraId="3BE20E37">
      <w:pPr>
        <w:overflowPunct w:val="0"/>
        <w:spacing w:line="360" w:lineRule="auto"/>
        <w:ind w:firstLine="420" w:firstLineChars="200"/>
        <w:rPr>
          <w:color w:val="000000" w:themeColor="text1"/>
          <w:sz w:val="24"/>
          <w:szCs w:val="24"/>
          <w14:textFill>
            <w14:solidFill>
              <w14:schemeClr w14:val="tx1"/>
            </w14:solidFill>
          </w14:textFill>
        </w:rPr>
      </w:pPr>
      <w:r>
        <w:rPr>
          <w:rFonts w:hint="eastAsia"/>
          <w:color w:val="000000" w:themeColor="text1"/>
          <w14:textFill>
            <w14:solidFill>
              <w14:schemeClr w14:val="tx1"/>
            </w14:solidFill>
          </w14:textFill>
        </w:rPr>
        <w:t>（</w:t>
      </w:r>
      <w:r>
        <w:rPr>
          <w:color w:val="000000" w:themeColor="text1"/>
          <w:sz w:val="24"/>
          <w:szCs w:val="24"/>
          <w14:textFill>
            <w14:solidFill>
              <w14:schemeClr w14:val="tx1"/>
            </w14:solidFill>
          </w14:textFill>
        </w:rPr>
        <w:t>1）</w:t>
      </w:r>
      <w:r>
        <w:rPr>
          <w:rFonts w:hint="eastAsia"/>
          <w:color w:val="000000" w:themeColor="text1"/>
          <w:sz w:val="24"/>
          <w:szCs w:val="24"/>
          <w14:textFill>
            <w14:solidFill>
              <w14:schemeClr w14:val="tx1"/>
            </w14:solidFill>
          </w14:textFill>
        </w:rPr>
        <w:t>公司配备可燃气体报警仪、有毒气体报警仪、火灾报警系统以及便携式检测仪，在事故状态下检测污染物浓度。</w:t>
      </w:r>
    </w:p>
    <w:p w14:paraId="030C56BB">
      <w:pPr>
        <w:overflowPunct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2）发生突发环境事件，立即启动公司应急预案，应急救援组织机构中技术组协助指挥部做好事件报警、通报及处置工作；向周边企业、村落提供本单位有关危险物质特性、应急救援、救援知识等；疏散组根据现场情况判断是否需要人员紧急疏散和抢救物资，如需紧急疏散须及时规定疏散路线和疏散路口；并及时协助厂内员工和周围人员及居民的紧急疏散工作。</w:t>
      </w:r>
    </w:p>
    <w:p w14:paraId="5AE91B7F">
      <w:pPr>
        <w:pStyle w:val="127"/>
        <w:spacing w:before="72" w:after="48"/>
        <w:rPr>
          <w:rFonts w:hint="eastAsia" w:ascii="宋体" w:hAnsi="宋体" w:eastAsia="宋体" w:cs="宋体"/>
          <w:color w:val="000000" w:themeColor="text1"/>
          <w:sz w:val="24"/>
          <w:szCs w:val="24"/>
          <w14:textFill>
            <w14:solidFill>
              <w14:schemeClr w14:val="tx1"/>
            </w14:solidFill>
          </w14:textFill>
        </w:rPr>
      </w:pPr>
      <w:r>
        <w:rPr>
          <w:rFonts w:hint="default" w:ascii="Times New Roman" w:hAnsi="Times New Roman" w:eastAsia="宋体" w:cs="Times New Roman"/>
          <w:b/>
          <w:bCs/>
          <w:color w:val="auto"/>
          <w:kern w:val="36"/>
          <w:sz w:val="24"/>
          <w:szCs w:val="24"/>
          <w:highlight w:val="none"/>
          <w:lang w:val="en-US" w:eastAsia="zh-CN" w:bidi="ar-SA"/>
        </w:rPr>
        <w:t>表</w:t>
      </w:r>
      <w:r>
        <w:rPr>
          <w:rFonts w:hint="default" w:ascii="Times New Roman" w:hAnsi="Times New Roman" w:cs="Times New Roman"/>
          <w:b/>
          <w:bCs/>
          <w:color w:val="auto"/>
          <w:kern w:val="36"/>
          <w:sz w:val="24"/>
          <w:szCs w:val="24"/>
          <w:highlight w:val="none"/>
          <w:lang w:val="en-US" w:eastAsia="zh-CN" w:bidi="ar-SA"/>
        </w:rPr>
        <w:t>3.6-</w:t>
      </w:r>
      <w:r>
        <w:rPr>
          <w:rFonts w:hint="eastAsia" w:ascii="Times New Roman" w:hAnsi="Times New Roman" w:cs="Times New Roman"/>
          <w:b/>
          <w:bCs/>
          <w:color w:val="auto"/>
          <w:kern w:val="36"/>
          <w:sz w:val="24"/>
          <w:szCs w:val="24"/>
          <w:highlight w:val="none"/>
          <w:lang w:val="en-US" w:eastAsia="zh-CN" w:bidi="ar-SA"/>
        </w:rPr>
        <w:t>3</w:t>
      </w:r>
      <w:r>
        <w:rPr>
          <w:rFonts w:hint="default" w:ascii="Times New Roman" w:hAnsi="Times New Roman" w:eastAsia="宋体" w:cs="Times New Roman"/>
          <w:b/>
          <w:bCs/>
          <w:color w:val="auto"/>
          <w:kern w:val="36"/>
          <w:sz w:val="24"/>
          <w:szCs w:val="24"/>
          <w:highlight w:val="none"/>
          <w:lang w:val="en-US" w:eastAsia="zh-CN" w:bidi="ar-SA"/>
        </w:rPr>
        <w:t xml:space="preserve"> </w:t>
      </w:r>
      <w:r>
        <w:rPr>
          <w:rFonts w:hint="eastAsia" w:ascii="宋体" w:hAnsi="宋体" w:eastAsia="宋体" w:cs="宋体"/>
          <w:color w:val="000000" w:themeColor="text1"/>
          <w:sz w:val="24"/>
          <w:szCs w:val="24"/>
          <w14:textFill>
            <w14:solidFill>
              <w14:schemeClr w14:val="tx1"/>
            </w14:solidFill>
          </w14:textFill>
        </w:rPr>
        <w:t>厂区易燃气体报警系统建设情况一览表</w:t>
      </w:r>
    </w:p>
    <w:tbl>
      <w:tblPr>
        <w:tblStyle w:val="33"/>
        <w:tblW w:w="50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71"/>
        <w:gridCol w:w="1793"/>
        <w:gridCol w:w="697"/>
        <w:gridCol w:w="1729"/>
        <w:gridCol w:w="1124"/>
        <w:gridCol w:w="1870"/>
      </w:tblGrid>
      <w:tr w14:paraId="67BE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97" w:type="pct"/>
            <w:noWrap w:val="0"/>
            <w:vAlign w:val="center"/>
          </w:tcPr>
          <w:p w14:paraId="60168B53">
            <w:pPr>
              <w:pStyle w:val="126"/>
              <w:keepNext w:val="0"/>
              <w:keepLines w:val="0"/>
              <w:widowControl/>
              <w:suppressLineNumbers w:val="0"/>
              <w:spacing w:before="0" w:beforeAutospacing="0" w:after="0" w:afterAutospacing="0"/>
              <w:ind w:left="0" w:right="0"/>
              <w:rPr>
                <w:rFonts w:hint="default"/>
              </w:rPr>
            </w:pPr>
            <w:r>
              <w:rPr>
                <w:rFonts w:hint="eastAsia"/>
              </w:rPr>
              <w:t>物资名称</w:t>
            </w:r>
          </w:p>
        </w:tc>
        <w:tc>
          <w:tcPr>
            <w:tcW w:w="945" w:type="pct"/>
            <w:noWrap w:val="0"/>
            <w:vAlign w:val="center"/>
          </w:tcPr>
          <w:p w14:paraId="036AC4A1">
            <w:pPr>
              <w:pStyle w:val="126"/>
              <w:keepNext w:val="0"/>
              <w:keepLines w:val="0"/>
              <w:widowControl/>
              <w:suppressLineNumbers w:val="0"/>
              <w:spacing w:before="0" w:beforeAutospacing="0" w:after="0" w:afterAutospacing="0"/>
              <w:ind w:left="0" w:right="0"/>
              <w:rPr>
                <w:rFonts w:hint="default"/>
              </w:rPr>
            </w:pPr>
            <w:r>
              <w:rPr>
                <w:rFonts w:hint="default"/>
              </w:rPr>
              <w:t>规格型号</w:t>
            </w:r>
          </w:p>
        </w:tc>
        <w:tc>
          <w:tcPr>
            <w:tcW w:w="367" w:type="pct"/>
            <w:noWrap w:val="0"/>
            <w:vAlign w:val="center"/>
          </w:tcPr>
          <w:p w14:paraId="5ED1AA02">
            <w:pPr>
              <w:pStyle w:val="126"/>
              <w:keepNext w:val="0"/>
              <w:keepLines w:val="0"/>
              <w:widowControl/>
              <w:suppressLineNumbers w:val="0"/>
              <w:spacing w:before="0" w:beforeAutospacing="0" w:after="0" w:afterAutospacing="0"/>
              <w:ind w:left="0" w:right="0"/>
              <w:rPr>
                <w:rFonts w:hint="default"/>
              </w:rPr>
            </w:pPr>
            <w:r>
              <w:rPr>
                <w:rFonts w:hint="default"/>
              </w:rPr>
              <w:t>数量</w:t>
            </w:r>
          </w:p>
        </w:tc>
        <w:tc>
          <w:tcPr>
            <w:tcW w:w="911" w:type="pct"/>
            <w:noWrap w:val="0"/>
            <w:vAlign w:val="center"/>
          </w:tcPr>
          <w:p w14:paraId="243C56F3">
            <w:pPr>
              <w:pStyle w:val="126"/>
              <w:keepNext w:val="0"/>
              <w:keepLines w:val="0"/>
              <w:widowControl/>
              <w:suppressLineNumbers w:val="0"/>
              <w:spacing w:before="0" w:beforeAutospacing="0" w:after="0" w:afterAutospacing="0"/>
              <w:ind w:left="0" w:right="0"/>
              <w:rPr>
                <w:rFonts w:hint="default"/>
              </w:rPr>
            </w:pPr>
            <w:r>
              <w:rPr>
                <w:rFonts w:hint="default"/>
              </w:rPr>
              <w:t>存放位置</w:t>
            </w:r>
          </w:p>
        </w:tc>
        <w:tc>
          <w:tcPr>
            <w:tcW w:w="592" w:type="pct"/>
            <w:noWrap w:val="0"/>
            <w:vAlign w:val="center"/>
          </w:tcPr>
          <w:p w14:paraId="0E0B2818">
            <w:pPr>
              <w:pStyle w:val="126"/>
              <w:keepNext w:val="0"/>
              <w:keepLines w:val="0"/>
              <w:widowControl/>
              <w:suppressLineNumbers w:val="0"/>
              <w:spacing w:before="0" w:beforeAutospacing="0" w:after="0" w:afterAutospacing="0"/>
              <w:ind w:left="0" w:right="0"/>
              <w:rPr>
                <w:rFonts w:hint="default"/>
              </w:rPr>
            </w:pPr>
            <w:r>
              <w:rPr>
                <w:rFonts w:hint="default"/>
              </w:rPr>
              <w:t>责任人</w:t>
            </w:r>
          </w:p>
        </w:tc>
        <w:tc>
          <w:tcPr>
            <w:tcW w:w="985" w:type="pct"/>
            <w:noWrap w:val="0"/>
            <w:vAlign w:val="center"/>
          </w:tcPr>
          <w:p w14:paraId="76128A2E">
            <w:pPr>
              <w:pStyle w:val="126"/>
              <w:keepNext w:val="0"/>
              <w:keepLines w:val="0"/>
              <w:widowControl/>
              <w:suppressLineNumbers w:val="0"/>
              <w:spacing w:before="0" w:beforeAutospacing="0" w:after="0" w:afterAutospacing="0"/>
              <w:ind w:left="0" w:right="0"/>
              <w:rPr>
                <w:rFonts w:hint="default"/>
              </w:rPr>
            </w:pPr>
            <w:r>
              <w:rPr>
                <w:rFonts w:hint="default"/>
              </w:rPr>
              <w:t>联系电话</w:t>
            </w:r>
          </w:p>
        </w:tc>
      </w:tr>
      <w:tr w14:paraId="0893B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97" w:type="pct"/>
            <w:vMerge w:val="restart"/>
            <w:noWrap w:val="0"/>
            <w:vAlign w:val="center"/>
          </w:tcPr>
          <w:p w14:paraId="52247987">
            <w:pPr>
              <w:pStyle w:val="126"/>
              <w:keepNext w:val="0"/>
              <w:keepLines w:val="0"/>
              <w:widowControl/>
              <w:suppressLineNumbers w:val="0"/>
              <w:spacing w:before="0" w:beforeAutospacing="0" w:after="0" w:afterAutospacing="0"/>
              <w:ind w:left="0" w:right="0"/>
              <w:jc w:val="center"/>
              <w:rPr>
                <w:rFonts w:hint="default"/>
              </w:rPr>
            </w:pPr>
            <w:r>
              <w:rPr>
                <w:rFonts w:hint="default"/>
              </w:rPr>
              <w:t>可燃气体报警器</w:t>
            </w:r>
          </w:p>
          <w:p w14:paraId="514D0A9D">
            <w:pPr>
              <w:pStyle w:val="126"/>
              <w:keepNext w:val="0"/>
              <w:keepLines w:val="0"/>
              <w:widowControl/>
              <w:suppressLineNumbers w:val="0"/>
              <w:spacing w:before="0" w:beforeAutospacing="0" w:after="0" w:afterAutospacing="0"/>
              <w:ind w:left="0" w:right="0"/>
              <w:jc w:val="center"/>
              <w:rPr>
                <w:rFonts w:hint="default"/>
              </w:rPr>
            </w:pPr>
          </w:p>
          <w:p w14:paraId="1F5BF54C">
            <w:pPr>
              <w:pStyle w:val="126"/>
              <w:keepNext w:val="0"/>
              <w:keepLines w:val="0"/>
              <w:widowControl/>
              <w:suppressLineNumbers w:val="0"/>
              <w:spacing w:before="0" w:beforeAutospacing="0" w:after="0" w:afterAutospacing="0"/>
              <w:ind w:left="0" w:right="0"/>
              <w:jc w:val="both"/>
              <w:rPr>
                <w:rFonts w:hint="eastAsia" w:eastAsia="宋体"/>
                <w:lang w:eastAsia="zh-CN"/>
              </w:rPr>
            </w:pPr>
          </w:p>
        </w:tc>
        <w:tc>
          <w:tcPr>
            <w:tcW w:w="945" w:type="pct"/>
            <w:noWrap w:val="0"/>
            <w:vAlign w:val="center"/>
          </w:tcPr>
          <w:p w14:paraId="6EA448D3">
            <w:pPr>
              <w:pStyle w:val="126"/>
              <w:keepNext w:val="0"/>
              <w:keepLines w:val="0"/>
              <w:widowControl/>
              <w:suppressLineNumbers w:val="0"/>
              <w:spacing w:before="0" w:beforeAutospacing="0" w:after="0" w:afterAutospacing="0"/>
              <w:ind w:left="0" w:right="0"/>
              <w:jc w:val="center"/>
              <w:rPr>
                <w:rFonts w:hint="default" w:eastAsia="宋体"/>
                <w:lang w:val="en-US" w:eastAsia="zh-CN"/>
              </w:rPr>
            </w:pPr>
            <w:r>
              <w:rPr>
                <w:rFonts w:hint="eastAsia"/>
                <w:lang w:val="en-US" w:eastAsia="zh-CN"/>
              </w:rPr>
              <w:t>QT-300</w:t>
            </w:r>
          </w:p>
        </w:tc>
        <w:tc>
          <w:tcPr>
            <w:tcW w:w="367" w:type="pct"/>
            <w:noWrap w:val="0"/>
            <w:vAlign w:val="center"/>
          </w:tcPr>
          <w:p w14:paraId="7EBAFB01">
            <w:pPr>
              <w:pStyle w:val="126"/>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13</w:t>
            </w:r>
          </w:p>
        </w:tc>
        <w:tc>
          <w:tcPr>
            <w:tcW w:w="911" w:type="pct"/>
            <w:noWrap w:val="0"/>
            <w:vAlign w:val="center"/>
          </w:tcPr>
          <w:p w14:paraId="700A1B0A">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呋喃装置二层、三层</w:t>
            </w:r>
          </w:p>
        </w:tc>
        <w:tc>
          <w:tcPr>
            <w:tcW w:w="592" w:type="pct"/>
            <w:noWrap w:val="0"/>
            <w:vAlign w:val="center"/>
          </w:tcPr>
          <w:p w14:paraId="505F4E64">
            <w:pPr>
              <w:pStyle w:val="126"/>
              <w:keepNext w:val="0"/>
              <w:keepLines w:val="0"/>
              <w:widowControl/>
              <w:suppressLineNumbers w:val="0"/>
              <w:spacing w:before="0" w:beforeAutospacing="0" w:after="0" w:afterAutospacing="0"/>
              <w:ind w:left="0" w:right="0"/>
              <w:rPr>
                <w:rFonts w:hint="default" w:eastAsia="宋体"/>
                <w:lang w:val="en-US" w:eastAsia="zh-CN"/>
              </w:rPr>
            </w:pPr>
            <w:r>
              <w:rPr>
                <w:rFonts w:hint="eastAsia"/>
                <w:lang w:eastAsia="zh-CN"/>
              </w:rPr>
              <w:t>邹勇</w:t>
            </w:r>
          </w:p>
        </w:tc>
        <w:tc>
          <w:tcPr>
            <w:tcW w:w="985" w:type="pct"/>
            <w:noWrap w:val="0"/>
            <w:vAlign w:val="center"/>
          </w:tcPr>
          <w:p w14:paraId="40F2E184">
            <w:pPr>
              <w:pStyle w:val="126"/>
              <w:keepNext w:val="0"/>
              <w:keepLines w:val="0"/>
              <w:widowControl/>
              <w:suppressLineNumbers w:val="0"/>
              <w:spacing w:before="0" w:beforeAutospacing="0" w:after="0" w:afterAutospacing="0"/>
              <w:ind w:left="0" w:right="0" w:firstLine="210" w:firstLineChars="100"/>
              <w:jc w:val="both"/>
              <w:rPr>
                <w:rFonts w:hint="default" w:eastAsia="宋体"/>
                <w:lang w:val="en-US" w:eastAsia="zh-CN"/>
              </w:rPr>
            </w:pPr>
            <w:r>
              <w:rPr>
                <w:rFonts w:hint="eastAsia"/>
                <w:lang w:val="en-US" w:eastAsia="zh-CN"/>
              </w:rPr>
              <w:t>18615123181</w:t>
            </w:r>
          </w:p>
        </w:tc>
      </w:tr>
      <w:tr w14:paraId="5E576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97" w:type="pct"/>
            <w:vMerge w:val="continue"/>
            <w:noWrap w:val="0"/>
            <w:vAlign w:val="center"/>
          </w:tcPr>
          <w:p w14:paraId="22FD5F6A">
            <w:pPr>
              <w:pStyle w:val="126"/>
              <w:keepNext w:val="0"/>
              <w:keepLines w:val="0"/>
              <w:widowControl/>
              <w:suppressLineNumbers w:val="0"/>
              <w:spacing w:before="0" w:beforeAutospacing="0" w:after="0" w:afterAutospacing="0"/>
              <w:ind w:left="0" w:right="0"/>
              <w:jc w:val="center"/>
              <w:rPr>
                <w:rFonts w:hint="default"/>
              </w:rPr>
            </w:pPr>
          </w:p>
        </w:tc>
        <w:tc>
          <w:tcPr>
            <w:tcW w:w="945" w:type="pct"/>
            <w:noWrap w:val="0"/>
            <w:vAlign w:val="center"/>
          </w:tcPr>
          <w:p w14:paraId="3A9C14B9">
            <w:pPr>
              <w:pStyle w:val="126"/>
              <w:keepNext w:val="0"/>
              <w:keepLines w:val="0"/>
              <w:widowControl/>
              <w:suppressLineNumbers w:val="0"/>
              <w:spacing w:before="0" w:beforeAutospacing="0" w:after="0" w:afterAutospacing="0"/>
              <w:ind w:left="0" w:right="0"/>
              <w:jc w:val="center"/>
              <w:rPr>
                <w:rFonts w:hint="default" w:eastAsia="宋体"/>
                <w:lang w:val="en-US" w:eastAsia="zh-CN"/>
              </w:rPr>
            </w:pPr>
            <w:r>
              <w:rPr>
                <w:rFonts w:hint="eastAsia"/>
                <w:lang w:val="en-US" w:eastAsia="zh-CN"/>
              </w:rPr>
              <w:t>KX6330</w:t>
            </w:r>
          </w:p>
        </w:tc>
        <w:tc>
          <w:tcPr>
            <w:tcW w:w="367" w:type="pct"/>
            <w:noWrap w:val="0"/>
            <w:vAlign w:val="center"/>
          </w:tcPr>
          <w:p w14:paraId="38CEFB63">
            <w:pPr>
              <w:pStyle w:val="126"/>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3</w:t>
            </w:r>
          </w:p>
        </w:tc>
        <w:tc>
          <w:tcPr>
            <w:tcW w:w="911" w:type="pct"/>
            <w:noWrap w:val="0"/>
            <w:vAlign w:val="center"/>
          </w:tcPr>
          <w:p w14:paraId="6D9CA4F4">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eastAsia="宋体"/>
                <w:lang w:eastAsia="zh-CN"/>
              </w:rPr>
              <w:t>糠醇反应装置一层平台</w:t>
            </w:r>
          </w:p>
        </w:tc>
        <w:tc>
          <w:tcPr>
            <w:tcW w:w="592" w:type="pct"/>
            <w:noWrap w:val="0"/>
            <w:vAlign w:val="center"/>
          </w:tcPr>
          <w:p w14:paraId="10EEA9BB">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eastAsia="宋体"/>
                <w:lang w:eastAsia="zh-CN"/>
              </w:rPr>
              <w:t>马忠庆</w:t>
            </w:r>
          </w:p>
        </w:tc>
        <w:tc>
          <w:tcPr>
            <w:tcW w:w="985" w:type="pct"/>
            <w:noWrap w:val="0"/>
            <w:vAlign w:val="center"/>
          </w:tcPr>
          <w:p w14:paraId="7CAB74BE">
            <w:pPr>
              <w:pStyle w:val="126"/>
              <w:keepNext w:val="0"/>
              <w:keepLines w:val="0"/>
              <w:widowControl/>
              <w:suppressLineNumbers w:val="0"/>
              <w:spacing w:before="0" w:beforeAutospacing="0" w:after="0" w:afterAutospacing="0"/>
              <w:ind w:left="0" w:right="0" w:firstLine="210" w:firstLineChars="100"/>
              <w:jc w:val="both"/>
              <w:rPr>
                <w:rFonts w:hint="default" w:eastAsia="宋体"/>
                <w:lang w:val="en-US" w:eastAsia="zh-CN"/>
              </w:rPr>
            </w:pPr>
            <w:r>
              <w:rPr>
                <w:rFonts w:hint="eastAsia"/>
                <w:lang w:val="en-US" w:eastAsia="zh-CN"/>
              </w:rPr>
              <w:t>18615123190</w:t>
            </w:r>
          </w:p>
        </w:tc>
      </w:tr>
      <w:tr w14:paraId="147F1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197" w:type="pct"/>
            <w:vMerge w:val="continue"/>
            <w:noWrap w:val="0"/>
            <w:vAlign w:val="center"/>
          </w:tcPr>
          <w:p w14:paraId="41BD4F2D">
            <w:pPr>
              <w:pStyle w:val="126"/>
              <w:keepNext w:val="0"/>
              <w:keepLines w:val="0"/>
              <w:widowControl/>
              <w:suppressLineNumbers w:val="0"/>
              <w:spacing w:before="0" w:beforeAutospacing="0" w:after="0" w:afterAutospacing="0"/>
              <w:ind w:left="0" w:right="0"/>
              <w:jc w:val="center"/>
              <w:rPr>
                <w:rFonts w:hint="eastAsia" w:eastAsia="宋体"/>
                <w:lang w:eastAsia="zh-CN"/>
              </w:rPr>
            </w:pPr>
          </w:p>
        </w:tc>
        <w:tc>
          <w:tcPr>
            <w:tcW w:w="945" w:type="pct"/>
            <w:noWrap w:val="0"/>
            <w:vAlign w:val="center"/>
          </w:tcPr>
          <w:p w14:paraId="07972A5D">
            <w:pPr>
              <w:pStyle w:val="126"/>
              <w:keepNext w:val="0"/>
              <w:keepLines w:val="0"/>
              <w:widowControl/>
              <w:suppressLineNumbers w:val="0"/>
              <w:spacing w:before="0" w:beforeAutospacing="0" w:after="0" w:afterAutospacing="0"/>
              <w:ind w:left="0" w:right="0"/>
              <w:jc w:val="center"/>
              <w:rPr>
                <w:rFonts w:hint="default"/>
                <w:lang w:val="en-US"/>
              </w:rPr>
            </w:pPr>
            <w:r>
              <w:rPr>
                <w:rFonts w:hint="eastAsia"/>
                <w:lang w:val="en-US" w:eastAsia="zh-CN"/>
              </w:rPr>
              <w:t>KX-6330</w:t>
            </w:r>
          </w:p>
        </w:tc>
        <w:tc>
          <w:tcPr>
            <w:tcW w:w="367" w:type="pct"/>
            <w:noWrap w:val="0"/>
            <w:vAlign w:val="center"/>
          </w:tcPr>
          <w:p w14:paraId="1586A857">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lang w:val="en-US" w:eastAsia="zh-CN"/>
              </w:rPr>
              <w:t>2</w:t>
            </w:r>
          </w:p>
        </w:tc>
        <w:tc>
          <w:tcPr>
            <w:tcW w:w="911" w:type="pct"/>
            <w:noWrap w:val="0"/>
            <w:vAlign w:val="center"/>
          </w:tcPr>
          <w:p w14:paraId="329BDB7F">
            <w:pPr>
              <w:pStyle w:val="126"/>
              <w:keepNext w:val="0"/>
              <w:keepLines w:val="0"/>
              <w:widowControl/>
              <w:suppressLineNumbers w:val="0"/>
              <w:spacing w:before="0" w:beforeAutospacing="0" w:after="0" w:afterAutospacing="0"/>
              <w:ind w:left="0" w:right="0"/>
              <w:rPr>
                <w:rFonts w:hint="eastAsia" w:eastAsia="宋体"/>
                <w:lang w:val="en-US" w:eastAsia="zh-CN"/>
              </w:rPr>
            </w:pPr>
            <w:r>
              <w:rPr>
                <w:rFonts w:hint="eastAsia" w:eastAsia="宋体"/>
                <w:lang w:eastAsia="zh-CN"/>
              </w:rPr>
              <w:t>装置一层P201-P204之间、化验室</w:t>
            </w:r>
          </w:p>
        </w:tc>
        <w:tc>
          <w:tcPr>
            <w:tcW w:w="592" w:type="pct"/>
            <w:noWrap w:val="0"/>
            <w:vAlign w:val="center"/>
          </w:tcPr>
          <w:p w14:paraId="2FF45CC0">
            <w:pPr>
              <w:pStyle w:val="126"/>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邹勇</w:t>
            </w:r>
          </w:p>
        </w:tc>
        <w:tc>
          <w:tcPr>
            <w:tcW w:w="985" w:type="pct"/>
            <w:noWrap w:val="0"/>
            <w:vAlign w:val="center"/>
          </w:tcPr>
          <w:p w14:paraId="0C4B76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default" w:ascii="宋体" w:hAnsi="宋体" w:eastAsia="宋体" w:cs="宋体"/>
                <w:i w:val="0"/>
                <w:iCs w:val="0"/>
                <w:color w:val="000000"/>
                <w:kern w:val="2"/>
                <w:sz w:val="22"/>
                <w:szCs w:val="22"/>
                <w:u w:val="none"/>
                <w:lang w:val="en-US" w:eastAsia="zh-CN" w:bidi="ar-SA"/>
              </w:rPr>
              <w:t>18615123181</w:t>
            </w:r>
          </w:p>
        </w:tc>
      </w:tr>
    </w:tbl>
    <w:p w14:paraId="20A86A14"/>
    <w:p w14:paraId="2875B62F">
      <w:pPr>
        <w:pStyle w:val="7"/>
        <w:spacing w:before="0" w:after="0"/>
        <w:rPr>
          <w:rFonts w:hint="default" w:ascii="Times New Roman" w:hAnsi="Times New Roman" w:cs="Times New Roman"/>
          <w:color w:val="auto"/>
          <w:highlight w:val="none"/>
        </w:rPr>
      </w:pPr>
      <w:bookmarkStart w:id="54" w:name="_Toc12583"/>
      <w:r>
        <w:rPr>
          <w:rFonts w:hint="default" w:ascii="Times New Roman" w:hAnsi="Times New Roman" w:cs="Times New Roman"/>
          <w:color w:val="auto"/>
          <w:highlight w:val="none"/>
        </w:rPr>
        <w:t>3.7 现有应急物资与装备、救援队伍情况</w:t>
      </w:r>
      <w:bookmarkEnd w:id="54"/>
    </w:p>
    <w:p w14:paraId="193A903E">
      <w:pPr>
        <w:pStyle w:val="8"/>
        <w:spacing w:before="0" w:after="0"/>
        <w:rPr>
          <w:rFonts w:hint="default" w:ascii="Times New Roman" w:hAnsi="Times New Roman" w:cs="Times New Roman"/>
          <w:color w:val="auto"/>
          <w:highlight w:val="none"/>
        </w:rPr>
      </w:pPr>
      <w:r>
        <w:rPr>
          <w:rFonts w:hint="default" w:ascii="Times New Roman" w:hAnsi="Times New Roman" w:cs="Times New Roman"/>
          <w:color w:val="auto"/>
          <w:highlight w:val="none"/>
        </w:rPr>
        <w:t>3.7.1 现有应急物资与装备</w:t>
      </w:r>
    </w:p>
    <w:p w14:paraId="73C7D5FA">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公司现有应急物资及装备见表3.7-1。</w:t>
      </w:r>
    </w:p>
    <w:p w14:paraId="3EE0C776">
      <w:pPr>
        <w:pStyle w:val="4"/>
        <w:spacing w:after="0" w:line="360" w:lineRule="auto"/>
        <w:ind w:firstLine="31680"/>
        <w:jc w:val="center"/>
        <w:rPr>
          <w:rFonts w:hint="default" w:ascii="Times New Roman" w:hAnsi="Times New Roman" w:cs="Times New Roman"/>
          <w:b/>
          <w:bCs/>
          <w:color w:val="auto"/>
          <w:szCs w:val="24"/>
          <w:highlight w:val="none"/>
          <w:lang w:val="nl-BE"/>
        </w:rPr>
      </w:pPr>
      <w:r>
        <w:rPr>
          <w:rFonts w:hint="default" w:ascii="Times New Roman" w:hAnsi="Times New Roman" w:cs="Times New Roman"/>
          <w:b/>
          <w:bCs/>
          <w:color w:val="auto"/>
          <w:szCs w:val="24"/>
          <w:highlight w:val="none"/>
          <w:lang w:val="nl-BE"/>
        </w:rPr>
        <w:t>表3.7-1  公司现有应急物资及装备情况一览表</w:t>
      </w:r>
    </w:p>
    <w:tbl>
      <w:tblPr>
        <w:tblStyle w:val="33"/>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01"/>
        <w:gridCol w:w="1353"/>
        <w:gridCol w:w="282"/>
        <w:gridCol w:w="1338"/>
        <w:gridCol w:w="159"/>
        <w:gridCol w:w="561"/>
        <w:gridCol w:w="128"/>
        <w:gridCol w:w="1549"/>
        <w:gridCol w:w="109"/>
        <w:gridCol w:w="971"/>
        <w:gridCol w:w="24"/>
        <w:gridCol w:w="1776"/>
        <w:gridCol w:w="43"/>
      </w:tblGrid>
      <w:tr w14:paraId="63CB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9736" w:type="dxa"/>
            <w:gridSpan w:val="14"/>
            <w:tcBorders>
              <w:top w:val="single" w:color="auto" w:sz="4" w:space="0"/>
              <w:left w:val="single" w:color="auto" w:sz="4" w:space="0"/>
              <w:bottom w:val="single" w:color="auto" w:sz="4" w:space="0"/>
              <w:right w:val="single" w:color="auto" w:sz="4" w:space="0"/>
            </w:tcBorders>
            <w:noWrap w:val="0"/>
            <w:vAlign w:val="center"/>
          </w:tcPr>
          <w:p w14:paraId="155FE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糠醇车间</w:t>
            </w:r>
          </w:p>
        </w:tc>
      </w:tr>
      <w:tr w14:paraId="50E7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97BE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691C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物资类型</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7ED46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性能</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BB13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7D96A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AAB2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63EC6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联系电话</w:t>
            </w:r>
          </w:p>
        </w:tc>
      </w:tr>
      <w:tr w14:paraId="3CF2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55BD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EC83C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RHZKF6.8/30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9EA1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5C4CB2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16716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top w:val="single" w:color="auto" w:sz="4" w:space="0"/>
              <w:left w:val="single" w:color="auto" w:sz="4" w:space="0"/>
              <w:right w:val="single" w:color="auto" w:sz="4" w:space="0"/>
            </w:tcBorders>
            <w:noWrap w:val="0"/>
            <w:vAlign w:val="center"/>
          </w:tcPr>
          <w:p w14:paraId="46E8E4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top w:val="single" w:color="auto" w:sz="4" w:space="0"/>
              <w:left w:val="single" w:color="auto" w:sz="4" w:space="0"/>
              <w:right w:val="single" w:color="auto" w:sz="4" w:space="0"/>
            </w:tcBorders>
            <w:noWrap w:val="0"/>
            <w:vAlign w:val="center"/>
          </w:tcPr>
          <w:p w14:paraId="62760F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0D93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E740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简易防化服</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64B7D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RHF-1</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58236B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062DC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CD85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95E4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BC8D3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885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4058E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防毒面具</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0B6D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长管</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2903F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0B8C7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686BD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CB95C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56C8F7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022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00377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2D20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半面罩</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03794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5CFC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334A1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CE492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23DA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A6B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4486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0BFB9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SS100-65-1.6</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8ACA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10D5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F977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5675A2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DE9BD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25D4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67FD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EC0BE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XBD5/30-100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8AAEA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9853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71191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循环水池</w:t>
            </w:r>
          </w:p>
        </w:tc>
        <w:tc>
          <w:tcPr>
            <w:tcW w:w="1080" w:type="dxa"/>
            <w:gridSpan w:val="2"/>
            <w:tcBorders>
              <w:left w:val="single" w:color="auto" w:sz="4" w:space="0"/>
              <w:right w:val="single" w:color="auto" w:sz="4" w:space="0"/>
            </w:tcBorders>
            <w:noWrap w:val="0"/>
            <w:vAlign w:val="center"/>
          </w:tcPr>
          <w:p w14:paraId="631DB7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286F73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E93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731A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0B8A4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MFZ∕ABC8</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1903CE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C8D5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B9D1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1080" w:type="dxa"/>
            <w:gridSpan w:val="2"/>
            <w:tcBorders>
              <w:left w:val="single" w:color="auto" w:sz="4" w:space="0"/>
              <w:right w:val="single" w:color="auto" w:sz="4" w:space="0"/>
            </w:tcBorders>
            <w:noWrap w:val="0"/>
            <w:vAlign w:val="center"/>
          </w:tcPr>
          <w:p w14:paraId="2281AE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16859C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233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17F03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B639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MFTZ/ABC35</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413CF4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33DBA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72A1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1080" w:type="dxa"/>
            <w:gridSpan w:val="2"/>
            <w:tcBorders>
              <w:left w:val="single" w:color="auto" w:sz="4" w:space="0"/>
              <w:right w:val="single" w:color="auto" w:sz="4" w:space="0"/>
            </w:tcBorders>
            <w:noWrap w:val="0"/>
            <w:vAlign w:val="center"/>
          </w:tcPr>
          <w:p w14:paraId="591AA8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8480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150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7AB71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691AF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shd w:val="clear" w:color="auto" w:fill="FFFFFF"/>
              </w:rPr>
              <w:t>MT/2</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5B78D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56A8D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CBE4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化验室</w:t>
            </w:r>
          </w:p>
        </w:tc>
        <w:tc>
          <w:tcPr>
            <w:tcW w:w="1080" w:type="dxa"/>
            <w:gridSpan w:val="2"/>
            <w:tcBorders>
              <w:left w:val="single" w:color="auto" w:sz="4" w:space="0"/>
              <w:right w:val="single" w:color="auto" w:sz="4" w:space="0"/>
            </w:tcBorders>
            <w:noWrap w:val="0"/>
            <w:vAlign w:val="center"/>
          </w:tcPr>
          <w:p w14:paraId="39C749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7485E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FAF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05D5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E72C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2立方米</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72819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3911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2C4BC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1080" w:type="dxa"/>
            <w:gridSpan w:val="2"/>
            <w:tcBorders>
              <w:left w:val="single" w:color="auto" w:sz="4" w:space="0"/>
              <w:right w:val="single" w:color="auto" w:sz="4" w:space="0"/>
            </w:tcBorders>
            <w:noWrap w:val="0"/>
            <w:vAlign w:val="center"/>
          </w:tcPr>
          <w:p w14:paraId="66220A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DAE43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B2C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DE60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312E4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复合型</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4908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应急冲洗</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3277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23D64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1DA7E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55323D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1D1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A31B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消防水炮</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386E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PS30-50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1ED19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60F4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B89B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7DE92B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A82AB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25BE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B9E0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0B18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QT-300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1018D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报警、检测在有效期内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AD68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0DE38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bottom w:val="single" w:color="auto" w:sz="4" w:space="0"/>
              <w:right w:val="single" w:color="auto" w:sz="4" w:space="0"/>
            </w:tcBorders>
            <w:noWrap w:val="0"/>
            <w:vAlign w:val="center"/>
          </w:tcPr>
          <w:p w14:paraId="20A6A3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bottom w:val="single" w:color="auto" w:sz="4" w:space="0"/>
              <w:right w:val="single" w:color="auto" w:sz="4" w:space="0"/>
            </w:tcBorders>
            <w:noWrap w:val="0"/>
            <w:vAlign w:val="center"/>
          </w:tcPr>
          <w:p w14:paraId="1956B2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F22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0BEAA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围堰</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4BC0A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AD0F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防溢流</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486D2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95E7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2AAE09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62A1C8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E2A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137C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事故水池</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38382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240</w:t>
            </w:r>
            <w:r>
              <w:rPr>
                <w:rFonts w:hint="default" w:ascii="Times New Roman" w:hAnsi="Times New Roman" w:eastAsia="宋体" w:cs="Times New Roman"/>
                <w:color w:val="auto"/>
                <w:sz w:val="21"/>
                <w:szCs w:val="21"/>
              </w:rPr>
              <w:t>立方米</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57732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事故水收集</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FAC1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C36A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隆信厂区东北侧（公用）</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29D38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刘畅恒</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293979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13280689988</w:t>
            </w:r>
          </w:p>
        </w:tc>
      </w:tr>
      <w:tr w14:paraId="0567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00" w:hRule="atLeast"/>
          <w:tblHeader/>
          <w:jc w:val="center"/>
        </w:trPr>
        <w:tc>
          <w:tcPr>
            <w:tcW w:w="9693" w:type="dxa"/>
            <w:gridSpan w:val="13"/>
            <w:tcBorders>
              <w:top w:val="single" w:color="auto" w:sz="4" w:space="0"/>
              <w:left w:val="single" w:color="auto" w:sz="4" w:space="0"/>
              <w:bottom w:val="single" w:color="auto" w:sz="4" w:space="0"/>
              <w:right w:val="single" w:color="auto" w:sz="4" w:space="0"/>
            </w:tcBorders>
            <w:noWrap w:val="0"/>
            <w:vAlign w:val="center"/>
          </w:tcPr>
          <w:p w14:paraId="6C01F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eastAsia="zh-CN"/>
              </w:rPr>
              <w:t>二甲基呋喃</w:t>
            </w:r>
            <w:r>
              <w:rPr>
                <w:rFonts w:hint="default" w:ascii="Times New Roman" w:hAnsi="Times New Roman" w:eastAsia="宋体" w:cs="Times New Roman"/>
                <w:b/>
                <w:color w:val="auto"/>
                <w:sz w:val="21"/>
                <w:szCs w:val="21"/>
              </w:rPr>
              <w:t>车间</w:t>
            </w:r>
          </w:p>
        </w:tc>
      </w:tr>
      <w:tr w14:paraId="3A3B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00" w:hRule="atLeast"/>
          <w:tblHeader/>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4E29A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23CC25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物资类型</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23D1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性能</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0FCE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246F0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6644E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2FBED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联系电话</w:t>
            </w:r>
          </w:p>
        </w:tc>
      </w:tr>
      <w:tr w14:paraId="3AD3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5DFC9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722F92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RHZKF6.8/30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36EDC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7BDF4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EE2E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top w:val="single" w:color="auto" w:sz="4" w:space="0"/>
              <w:left w:val="single" w:color="auto" w:sz="4" w:space="0"/>
              <w:right w:val="single" w:color="auto" w:sz="4" w:space="0"/>
            </w:tcBorders>
            <w:noWrap w:val="0"/>
            <w:vAlign w:val="center"/>
          </w:tcPr>
          <w:p w14:paraId="00B8E2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right w:val="single" w:color="auto" w:sz="4" w:space="0"/>
            </w:tcBorders>
            <w:noWrap w:val="0"/>
            <w:vAlign w:val="center"/>
          </w:tcPr>
          <w:p w14:paraId="0A07D8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77C5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EBC8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防毒面具</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55D6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长管</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82A7B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7087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17C8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left w:val="single" w:color="auto" w:sz="4" w:space="0"/>
              <w:right w:val="single" w:color="auto" w:sz="4" w:space="0"/>
            </w:tcBorders>
            <w:noWrap w:val="0"/>
            <w:vAlign w:val="center"/>
          </w:tcPr>
          <w:p w14:paraId="3E0D06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6DBB49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A4E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99EE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35340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半面罩</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1283F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2AE8E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262662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left w:val="single" w:color="auto" w:sz="4" w:space="0"/>
              <w:right w:val="single" w:color="auto" w:sz="4" w:space="0"/>
            </w:tcBorders>
            <w:noWrap w:val="0"/>
            <w:vAlign w:val="center"/>
          </w:tcPr>
          <w:p w14:paraId="3028A8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70BB72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77C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2207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34E16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SS100-65-1.6</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2EA0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2E80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ED3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04719C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28BF88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078D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5930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4FED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XBD5/30-100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498D51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020A3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4667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与糠醇装置共用</w:t>
            </w:r>
          </w:p>
        </w:tc>
        <w:tc>
          <w:tcPr>
            <w:tcW w:w="995" w:type="dxa"/>
            <w:gridSpan w:val="2"/>
            <w:tcBorders>
              <w:left w:val="single" w:color="auto" w:sz="4" w:space="0"/>
              <w:right w:val="single" w:color="auto" w:sz="4" w:space="0"/>
            </w:tcBorders>
            <w:noWrap w:val="0"/>
            <w:vAlign w:val="center"/>
          </w:tcPr>
          <w:p w14:paraId="1CCCB6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3F6275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AB6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7192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98B2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MFZ∕ABC8</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33B541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9626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D6EE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right w:val="single" w:color="auto" w:sz="4" w:space="0"/>
            </w:tcBorders>
            <w:noWrap w:val="0"/>
            <w:vAlign w:val="center"/>
          </w:tcPr>
          <w:p w14:paraId="5BFC44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5DD9B1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473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E642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DD65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MFTZ/ABC35</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B8C48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5A96F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998F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right w:val="single" w:color="auto" w:sz="4" w:space="0"/>
            </w:tcBorders>
            <w:noWrap w:val="0"/>
            <w:vAlign w:val="center"/>
          </w:tcPr>
          <w:p w14:paraId="5FF288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7DCE36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5493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0B30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C7A7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shd w:val="clear" w:color="auto" w:fill="FFFFFF"/>
              </w:rPr>
              <w:t>MT/2</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A0DC0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050C9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7DB0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控制室、配电室</w:t>
            </w:r>
          </w:p>
        </w:tc>
        <w:tc>
          <w:tcPr>
            <w:tcW w:w="995" w:type="dxa"/>
            <w:gridSpan w:val="2"/>
            <w:tcBorders>
              <w:left w:val="single" w:color="auto" w:sz="4" w:space="0"/>
              <w:right w:val="single" w:color="auto" w:sz="4" w:space="0"/>
            </w:tcBorders>
            <w:noWrap w:val="0"/>
            <w:vAlign w:val="center"/>
          </w:tcPr>
          <w:p w14:paraId="2D275A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40878C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51A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3CEB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8C86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2立方米</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E0B53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74D9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407A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锅炉房</w:t>
            </w:r>
          </w:p>
        </w:tc>
        <w:tc>
          <w:tcPr>
            <w:tcW w:w="995" w:type="dxa"/>
            <w:gridSpan w:val="2"/>
            <w:tcBorders>
              <w:left w:val="single" w:color="auto" w:sz="4" w:space="0"/>
              <w:right w:val="single" w:color="auto" w:sz="4" w:space="0"/>
            </w:tcBorders>
            <w:noWrap w:val="0"/>
            <w:vAlign w:val="center"/>
          </w:tcPr>
          <w:p w14:paraId="45266C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2DCA6D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09E8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B819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152D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复合型</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85CF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应急冲洗</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55527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F7FA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5FFBDC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319D5B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49C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739D6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消防水炮</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90C5A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PS30-50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BEE2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7613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9C52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2184CD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55FC27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7753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3643F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24EB0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QT-300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2DE9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报警、检测在有效期内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2C24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6D3B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bottom w:val="single" w:color="auto" w:sz="4" w:space="0"/>
              <w:right w:val="single" w:color="auto" w:sz="4" w:space="0"/>
            </w:tcBorders>
            <w:noWrap w:val="0"/>
            <w:vAlign w:val="center"/>
          </w:tcPr>
          <w:p w14:paraId="1E3994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bottom w:val="single" w:color="auto" w:sz="4" w:space="0"/>
              <w:right w:val="single" w:color="auto" w:sz="4" w:space="0"/>
            </w:tcBorders>
            <w:noWrap w:val="0"/>
            <w:vAlign w:val="center"/>
          </w:tcPr>
          <w:p w14:paraId="53BA58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216B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0BEB4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围堰</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5A264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6E11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防溢流</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3B3C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79B36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5531D9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7C7D0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263F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3746E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事故水池</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8CAE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240</w:t>
            </w:r>
            <w:r>
              <w:rPr>
                <w:rFonts w:hint="default" w:ascii="Times New Roman" w:hAnsi="Times New Roman" w:eastAsia="宋体" w:cs="Times New Roman"/>
                <w:color w:val="auto"/>
                <w:sz w:val="21"/>
                <w:szCs w:val="21"/>
              </w:rPr>
              <w:t>立方米</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1B27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事故水收集</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99E1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08A41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隆信厂区东南侧（公用）</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7822F2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刘畅恒</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CA5D9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13280689988</w:t>
            </w:r>
          </w:p>
        </w:tc>
      </w:tr>
      <w:tr w14:paraId="40AC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9693" w:type="dxa"/>
            <w:gridSpan w:val="13"/>
            <w:tcBorders>
              <w:top w:val="single" w:color="auto" w:sz="4" w:space="0"/>
              <w:left w:val="single" w:color="auto" w:sz="4" w:space="0"/>
              <w:bottom w:val="single" w:color="auto" w:sz="4" w:space="0"/>
              <w:right w:val="single" w:color="auto" w:sz="4" w:space="0"/>
            </w:tcBorders>
            <w:noWrap w:val="0"/>
            <w:vAlign w:val="center"/>
          </w:tcPr>
          <w:p w14:paraId="4411C4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共用</w:t>
            </w:r>
          </w:p>
        </w:tc>
      </w:tr>
      <w:tr w14:paraId="07A0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24"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EA397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7FACE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ACA30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FF2D8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200条</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705B9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AA68A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40976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31E8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41245F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15984A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13953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2E5CEB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21F2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38501F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1F20D8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3630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3FD09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7472CC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9606D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80BAD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ABFA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34F7D0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737FD5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10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80EE8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06F67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6970E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EBBE2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2盒</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BB0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237A6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399E43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652D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6B519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5169CC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43FEF2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854BC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20块</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484E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51ED88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7E71E6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5427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924A6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11F902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63DD76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565C5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1套</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989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3E7DC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4A32F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10B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E770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消防掀</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032D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9A60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61D8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10把</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7875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0211E5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222E7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bl>
    <w:p w14:paraId="06F3F519">
      <w:pPr>
        <w:rPr>
          <w:rFonts w:hint="default"/>
          <w:lang w:val="nl-BE"/>
        </w:rPr>
      </w:pPr>
    </w:p>
    <w:p w14:paraId="56C89F2A">
      <w:pPr>
        <w:pStyle w:val="8"/>
        <w:pageBreakBefore w:val="0"/>
        <w:kinsoku/>
        <w:wordWrap/>
        <w:overflowPunct/>
        <w:topLinePunct w:val="0"/>
        <w:autoSpaceDE/>
        <w:autoSpaceDN/>
        <w:bidi w:val="0"/>
        <w:spacing w:before="0" w:after="0"/>
        <w:textAlignment w:val="auto"/>
      </w:pPr>
      <w:r>
        <w:rPr>
          <w:rFonts w:hint="eastAsia"/>
          <w:lang w:val="en-US" w:eastAsia="zh-CN"/>
        </w:rPr>
        <w:t>3.7.2</w:t>
      </w:r>
      <w:r>
        <w:t>内部救援队伍</w:t>
      </w:r>
    </w:p>
    <w:p w14:paraId="573D63F7">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3.7.2.1</w:t>
      </w:r>
      <w:r>
        <w:rPr>
          <w:rFonts w:hint="eastAsia" w:ascii="宋体" w:hAnsi="宋体" w:eastAsia="宋体" w:cs="宋体"/>
          <w:sz w:val="24"/>
          <w:szCs w:val="24"/>
        </w:rPr>
        <w:t>应急组织体系</w:t>
      </w:r>
    </w:p>
    <w:p w14:paraId="44C9C2E4">
      <w:pPr>
        <w:pStyle w:val="123"/>
        <w:pageBreakBefore w:val="0"/>
        <w:kinsoku/>
        <w:wordWrap/>
        <w:overflowPunct/>
        <w:topLinePunct w:val="0"/>
        <w:autoSpaceDE/>
        <w:autoSpaceDN/>
        <w:bidi w:val="0"/>
        <w:adjustRightInd/>
        <w:snapToGrid/>
        <w:spacing w:line="360" w:lineRule="auto"/>
        <w:textAlignment w:val="auto"/>
        <w:rPr>
          <w:lang w:eastAsia="zh-CN"/>
        </w:rPr>
      </w:pPr>
      <w:bookmarkStart w:id="55" w:name="_Hlk78130349"/>
      <w:bookmarkStart w:id="56" w:name="_Hlk113270044"/>
      <w:r>
        <w:rPr>
          <w:rFonts w:hint="eastAsia"/>
          <w:lang w:eastAsia="zh-CN"/>
        </w:rPr>
        <w:t>总指挥：于立涛</w:t>
      </w:r>
    </w:p>
    <w:p w14:paraId="3238F1B2">
      <w:pPr>
        <w:pStyle w:val="123"/>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aps w:val="0"/>
          <w:smallCaps w:val="0"/>
          <w:snapToGrid w:val="0"/>
          <w:color w:val="auto"/>
          <w:spacing w:val="0"/>
          <w:kern w:val="0"/>
          <w:position w:val="0"/>
          <w:sz w:val="24"/>
          <w:szCs w:val="24"/>
        </w:rPr>
      </w:pPr>
      <w:r>
        <w:rPr>
          <w:lang w:eastAsia="zh-CN"/>
        </w:rPr>
        <w:t>副总指挥：</w:t>
      </w:r>
      <w:r>
        <w:rPr>
          <w:rFonts w:hint="eastAsia" w:ascii="Times New Roman" w:hAnsi="Times New Roman" w:cs="Times New Roman"/>
          <w:bCs/>
          <w:caps w:val="0"/>
          <w:smallCaps w:val="0"/>
          <w:snapToGrid w:val="0"/>
          <w:color w:val="auto"/>
          <w:spacing w:val="0"/>
          <w:kern w:val="0"/>
          <w:position w:val="0"/>
          <w:sz w:val="24"/>
          <w:szCs w:val="24"/>
          <w:lang w:eastAsia="zh-CN"/>
        </w:rPr>
        <w:t>朱玉时</w:t>
      </w:r>
    </w:p>
    <w:p w14:paraId="4DE51205">
      <w:pPr>
        <w:pStyle w:val="123"/>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aps w:val="0"/>
          <w:smallCaps w:val="0"/>
          <w:color w:val="auto"/>
          <w:spacing w:val="0"/>
          <w:position w:val="0"/>
          <w:sz w:val="24"/>
          <w:szCs w:val="24"/>
          <w:lang w:val="en-US" w:eastAsia="zh-CN"/>
        </w:rPr>
      </w:pPr>
      <w:r>
        <w:rPr>
          <w:rFonts w:eastAsia="宋体"/>
          <w:lang w:eastAsia="zh-CN"/>
        </w:rPr>
        <w:t>指挥部成员：</w:t>
      </w:r>
      <w:r>
        <w:rPr>
          <w:rFonts w:hint="eastAsia" w:eastAsia="宋体"/>
          <w:lang w:eastAsia="zh-CN"/>
        </w:rPr>
        <w:t>李超</w:t>
      </w:r>
      <w:r>
        <w:rPr>
          <w:rFonts w:hint="default" w:eastAsia="宋体"/>
          <w:lang w:eastAsia="zh-CN"/>
        </w:rPr>
        <w:t>、</w:t>
      </w:r>
      <w:r>
        <w:rPr>
          <w:rFonts w:hint="eastAsia" w:eastAsia="宋体"/>
          <w:lang w:eastAsia="zh-CN"/>
        </w:rPr>
        <w:t>邹勇、马忠庆</w:t>
      </w:r>
      <w:r>
        <w:rPr>
          <w:rFonts w:hint="default" w:eastAsia="宋体"/>
          <w:lang w:eastAsia="zh-CN"/>
        </w:rPr>
        <w:t>、</w:t>
      </w:r>
      <w:r>
        <w:rPr>
          <w:rFonts w:hint="eastAsia" w:eastAsia="宋体"/>
          <w:lang w:eastAsia="zh-CN"/>
        </w:rPr>
        <w:t>苗建涛</w:t>
      </w:r>
      <w:r>
        <w:rPr>
          <w:rFonts w:hint="default" w:eastAsia="宋体"/>
          <w:lang w:eastAsia="zh-CN"/>
        </w:rPr>
        <w:t>、</w:t>
      </w:r>
      <w:r>
        <w:rPr>
          <w:rFonts w:hint="eastAsia" w:eastAsia="宋体"/>
          <w:lang w:eastAsia="zh-CN"/>
        </w:rPr>
        <w:t>刘华、王波</w:t>
      </w:r>
    </w:p>
    <w:p w14:paraId="2C079F5F">
      <w:pPr>
        <w:pStyle w:val="123"/>
        <w:pageBreakBefore w:val="0"/>
        <w:kinsoku/>
        <w:wordWrap/>
        <w:overflowPunct/>
        <w:topLinePunct w:val="0"/>
        <w:autoSpaceDE/>
        <w:autoSpaceDN/>
        <w:bidi w:val="0"/>
        <w:adjustRightInd/>
        <w:snapToGrid/>
        <w:spacing w:line="360" w:lineRule="auto"/>
        <w:textAlignment w:val="auto"/>
        <w:rPr>
          <w:lang w:eastAsia="zh-CN"/>
        </w:rPr>
      </w:pPr>
      <w:r>
        <w:rPr>
          <w:lang w:eastAsia="zh-CN"/>
        </w:rPr>
        <w:t>日常工作由</w:t>
      </w:r>
      <w:r>
        <w:rPr>
          <w:rFonts w:hint="eastAsia"/>
          <w:lang w:eastAsia="zh-CN"/>
        </w:rPr>
        <w:t>安环部</w:t>
      </w:r>
      <w:r>
        <w:rPr>
          <w:lang w:eastAsia="zh-CN"/>
        </w:rPr>
        <w:t>负责。事故发生时以应急指挥部为中心协调各专业组工作。</w:t>
      </w:r>
      <w:r>
        <w:rPr>
          <w:rFonts w:hint="eastAsia"/>
          <w:lang w:eastAsia="zh-CN"/>
        </w:rPr>
        <w:t>指挥部设在公司办公室。</w:t>
      </w:r>
      <w:bookmarkEnd w:id="55"/>
    </w:p>
    <w:p w14:paraId="519C04B7">
      <w:pPr>
        <w:pStyle w:val="123"/>
        <w:ind w:left="0" w:leftChars="0" w:firstLine="0" w:firstLineChars="0"/>
      </w:pPr>
      <w:r>
        <w:rPr>
          <w:rFonts w:hint="eastAsia"/>
          <w:lang w:eastAsia="zh-CN"/>
        </w:rPr>
        <w:t>事故指挥部成立各事故救援小组，统一由指挥部指挥。</w:t>
      </w:r>
      <w:r>
        <w:rPr>
          <w:rFonts w:hint="eastAsia"/>
        </w:rPr>
        <w:t>组织结构图如下所示：</w:t>
      </w:r>
    </w:p>
    <w:bookmarkEnd w:id="56"/>
    <w:p w14:paraId="7D21F927">
      <w:pPr>
        <w:pStyle w:val="123"/>
        <w:spacing w:before="120"/>
        <w:ind w:left="0" w:leftChars="0" w:firstLine="0" w:firstLineChars="0"/>
      </w:pPr>
      <w:r>
        <w:drawing>
          <wp:anchor distT="0" distB="0" distL="0" distR="0" simplePos="0" relativeHeight="251660288" behindDoc="0" locked="0" layoutInCell="1" allowOverlap="1">
            <wp:simplePos x="0" y="0"/>
            <wp:positionH relativeFrom="column">
              <wp:posOffset>1162050</wp:posOffset>
            </wp:positionH>
            <wp:positionV relativeFrom="paragraph">
              <wp:posOffset>348615</wp:posOffset>
            </wp:positionV>
            <wp:extent cx="3469005" cy="2737485"/>
            <wp:effectExtent l="0" t="0" r="17145" b="5715"/>
            <wp:wrapSquare wrapText="bothSides"/>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469005" cy="2737485"/>
                    </a:xfrm>
                    <a:prstGeom prst="rect">
                      <a:avLst/>
                    </a:prstGeom>
                    <a:noFill/>
                  </pic:spPr>
                </pic:pic>
              </a:graphicData>
            </a:graphic>
          </wp:anchor>
        </w:drawing>
      </w:r>
      <w:bookmarkStart w:id="57" w:name="_Toc15446"/>
      <w:bookmarkStart w:id="58" w:name="_Toc24041"/>
    </w:p>
    <w:p w14:paraId="08FCCCA4">
      <w:pPr>
        <w:pStyle w:val="123"/>
        <w:spacing w:before="120"/>
        <w:ind w:left="0" w:leftChars="0" w:firstLine="0" w:firstLineChars="0"/>
      </w:pPr>
    </w:p>
    <w:p w14:paraId="5EC2B175">
      <w:pPr>
        <w:pStyle w:val="123"/>
        <w:spacing w:before="120"/>
        <w:ind w:left="0" w:leftChars="0" w:firstLine="0" w:firstLineChars="0"/>
      </w:pPr>
    </w:p>
    <w:p w14:paraId="512383F1">
      <w:pPr>
        <w:pStyle w:val="123"/>
        <w:spacing w:before="120"/>
        <w:ind w:left="0" w:leftChars="0" w:firstLine="0" w:firstLineChars="0"/>
      </w:pPr>
    </w:p>
    <w:p w14:paraId="0FBE1360">
      <w:pPr>
        <w:pStyle w:val="123"/>
        <w:spacing w:before="120"/>
        <w:ind w:left="0" w:leftChars="0" w:firstLine="0" w:firstLineChars="0"/>
      </w:pPr>
    </w:p>
    <w:p w14:paraId="6EE2BD62">
      <w:pPr>
        <w:pStyle w:val="123"/>
        <w:spacing w:before="120"/>
        <w:ind w:left="0" w:leftChars="0" w:firstLine="0" w:firstLineChars="0"/>
      </w:pPr>
    </w:p>
    <w:p w14:paraId="2B58F7A5">
      <w:pPr>
        <w:pStyle w:val="123"/>
        <w:spacing w:before="120"/>
        <w:ind w:left="0" w:leftChars="0" w:firstLine="0" w:firstLineChars="0"/>
      </w:pPr>
    </w:p>
    <w:p w14:paraId="2ED93BBF">
      <w:pPr>
        <w:pStyle w:val="123"/>
        <w:spacing w:before="120"/>
        <w:ind w:left="0" w:leftChars="0" w:firstLine="0" w:firstLineChars="0"/>
      </w:pPr>
    </w:p>
    <w:p w14:paraId="50FD3DB9">
      <w:pPr>
        <w:pStyle w:val="129"/>
        <w:spacing w:after="240"/>
        <w:rPr>
          <w:rFonts w:hint="eastAsia"/>
        </w:rPr>
      </w:pPr>
    </w:p>
    <w:p w14:paraId="403B39A3">
      <w:pPr>
        <w:pStyle w:val="129"/>
        <w:spacing w:after="240"/>
        <w:rPr>
          <w:rFonts w:hint="eastAsia"/>
        </w:rPr>
      </w:pPr>
    </w:p>
    <w:p w14:paraId="40387BC7">
      <w:pPr>
        <w:pStyle w:val="129"/>
        <w:spacing w:after="240"/>
      </w:pPr>
      <w:r>
        <w:rPr>
          <w:rFonts w:hint="eastAsia"/>
        </w:rPr>
        <w:t xml:space="preserve">图 </w:t>
      </w:r>
      <w:r>
        <w:fldChar w:fldCharType="begin"/>
      </w:r>
      <w:r>
        <w:instrText xml:space="preserve"> </w:instrText>
      </w:r>
      <w:r>
        <w:rPr>
          <w:rFonts w:hint="eastAsia"/>
        </w:rPr>
        <w:instrText xml:space="preserve">STYLEREF 2 \s</w:instrText>
      </w:r>
      <w:r>
        <w:instrText xml:space="preserve"> </w:instrText>
      </w:r>
      <w:r>
        <w:fldChar w:fldCharType="separate"/>
      </w:r>
      <w:r>
        <w:t>3.7</w:t>
      </w:r>
      <w:r>
        <w:fldChar w:fldCharType="end"/>
      </w:r>
      <w:r>
        <w:noBreakHyphen/>
      </w:r>
      <w:r>
        <w:fldChar w:fldCharType="begin"/>
      </w:r>
      <w:r>
        <w:instrText xml:space="preserve"> </w:instrText>
      </w:r>
      <w:r>
        <w:rPr>
          <w:rFonts w:hint="eastAsia"/>
        </w:rPr>
        <w:instrText xml:space="preserve">SEQ 图表 \* ARABIC \s 2</w:instrText>
      </w:r>
      <w:r>
        <w:instrText xml:space="preserve"> </w:instrText>
      </w:r>
      <w:r>
        <w:fldChar w:fldCharType="separate"/>
      </w:r>
      <w:r>
        <w:t>1</w:t>
      </w:r>
      <w:r>
        <w:fldChar w:fldCharType="end"/>
      </w:r>
      <w:r>
        <w:t xml:space="preserve"> </w:t>
      </w:r>
      <w:r>
        <w:rPr>
          <w:rFonts w:hint="eastAsia"/>
        </w:rPr>
        <w:t>企业突发环境事件应急组织结构图</w:t>
      </w:r>
    </w:p>
    <w:p w14:paraId="62DCCCC0">
      <w:pPr>
        <w:pStyle w:val="123"/>
        <w:spacing w:before="120"/>
        <w:ind w:left="0" w:leftChars="0" w:firstLine="480" w:firstLineChars="200"/>
        <w:rPr>
          <w:rFonts w:hint="default" w:ascii="Times New Roman" w:hAnsi="Times New Roman"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lang w:eastAsia="zh-CN"/>
        </w:rPr>
        <w:t>发生突发环境事故时，指挥为现场指挥人，若指挥不在时，由副指挥为临时指挥，负责全厂应急救援工作的组织和指挥，指挥部设在现场值班室。</w:t>
      </w:r>
    </w:p>
    <w:p w14:paraId="678DDC02">
      <w:pPr>
        <w:pStyle w:val="123"/>
        <w:spacing w:before="120"/>
        <w:ind w:left="0" w:leftChars="0" w:firstLine="0" w:firstLineChars="0"/>
        <w:rPr>
          <w:rFonts w:hint="eastAsia" w:ascii="宋体" w:hAnsi="宋体" w:eastAsia="宋体" w:cs="宋体"/>
          <w:b/>
          <w:bCs/>
        </w:rPr>
      </w:pPr>
      <w:r>
        <w:rPr>
          <w:rFonts w:hint="eastAsia" w:ascii="宋体" w:hAnsi="宋体" w:eastAsia="宋体" w:cs="宋体"/>
          <w:b/>
          <w:bCs/>
          <w:lang w:val="en-US" w:eastAsia="zh-CN"/>
        </w:rPr>
        <w:t>3.7.2.2</w:t>
      </w:r>
      <w:r>
        <w:rPr>
          <w:rFonts w:hint="eastAsia" w:ascii="宋体" w:hAnsi="宋体" w:eastAsia="宋体" w:cs="宋体"/>
          <w:b/>
          <w:bCs/>
        </w:rPr>
        <w:t>指挥部职责</w:t>
      </w:r>
    </w:p>
    <w:p w14:paraId="17515BE5">
      <w:pPr>
        <w:pStyle w:val="123"/>
        <w:rPr>
          <w:lang w:eastAsia="zh-CN"/>
        </w:rPr>
      </w:pPr>
      <w:r>
        <w:rPr>
          <w:lang w:eastAsia="zh-CN"/>
        </w:rPr>
        <w:t>（1）负责事故应急救援预案的组织制定,审核重大环保事故处理预案；</w:t>
      </w:r>
    </w:p>
    <w:p w14:paraId="2DD688CD">
      <w:pPr>
        <w:pStyle w:val="123"/>
        <w:rPr>
          <w:lang w:eastAsia="zh-CN"/>
        </w:rPr>
      </w:pPr>
      <w:r>
        <w:rPr>
          <w:lang w:eastAsia="zh-CN"/>
        </w:rPr>
        <w:t>（2）负责重大环保事故应急救援工作的指挥，负责人员、资源配置、应急队伍的调动工作,组织调动各抢险队伍救灾抢险；</w:t>
      </w:r>
    </w:p>
    <w:p w14:paraId="4A56EA77">
      <w:pPr>
        <w:pStyle w:val="123"/>
        <w:rPr>
          <w:lang w:eastAsia="zh-CN"/>
        </w:rPr>
      </w:pPr>
      <w:r>
        <w:rPr>
          <w:lang w:eastAsia="zh-CN"/>
        </w:rPr>
        <w:t>（3）随时研究救灾情况与出现的新问题，对重大问题做出决策；</w:t>
      </w:r>
    </w:p>
    <w:p w14:paraId="0792549D">
      <w:pPr>
        <w:pStyle w:val="123"/>
        <w:rPr>
          <w:lang w:eastAsia="zh-CN"/>
        </w:rPr>
      </w:pPr>
      <w:r>
        <w:rPr>
          <w:lang w:eastAsia="zh-CN"/>
        </w:rPr>
        <w:t>（4）组织有关部门做好善后处理及事故统计报告工作。</w:t>
      </w:r>
    </w:p>
    <w:p w14:paraId="03993A6C">
      <w:pPr>
        <w:pStyle w:val="123"/>
        <w:rPr>
          <w:lang w:eastAsia="zh-CN"/>
        </w:rPr>
      </w:pPr>
      <w:r>
        <w:rPr>
          <w:lang w:eastAsia="zh-CN"/>
        </w:rPr>
        <w:t>（5）组织指挥全厂的应急救援工作；</w:t>
      </w:r>
    </w:p>
    <w:p w14:paraId="002537A0">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3.7.2.3指挥部成员职责 </w:t>
      </w:r>
    </w:p>
    <w:p w14:paraId="416D4A2C">
      <w:pPr>
        <w:pStyle w:val="123"/>
        <w:rPr>
          <w:lang w:eastAsia="zh-CN"/>
        </w:rPr>
      </w:pPr>
      <w:r>
        <w:rPr>
          <w:lang w:eastAsia="zh-CN"/>
        </w:rPr>
        <w:t>（1）总指挥：负责指挥、组织协调重大环保事故应急救援工作，对重大问题做出决策，下达救援抢险命令。</w:t>
      </w:r>
    </w:p>
    <w:p w14:paraId="337A8449">
      <w:pPr>
        <w:pStyle w:val="123"/>
        <w:rPr>
          <w:lang w:eastAsia="zh-CN"/>
        </w:rPr>
      </w:pPr>
      <w:r>
        <w:rPr>
          <w:rFonts w:hint="eastAsia"/>
          <w:lang w:eastAsia="zh-CN"/>
        </w:rPr>
        <w:t>①</w:t>
      </w:r>
      <w:r>
        <w:rPr>
          <w:lang w:eastAsia="zh-CN"/>
        </w:rPr>
        <w:t>组织制订突发环境事件应急预案；</w:t>
      </w:r>
    </w:p>
    <w:p w14:paraId="6D937C60">
      <w:pPr>
        <w:pStyle w:val="123"/>
        <w:rPr>
          <w:lang w:eastAsia="zh-CN"/>
        </w:rPr>
      </w:pPr>
      <w:r>
        <w:rPr>
          <w:rFonts w:hint="eastAsia"/>
          <w:lang w:eastAsia="zh-CN"/>
        </w:rPr>
        <w:t>②</w:t>
      </w:r>
      <w:r>
        <w:rPr>
          <w:lang w:eastAsia="zh-CN"/>
        </w:rPr>
        <w:t>负责人员、资源配置、应急队伍的调动；</w:t>
      </w:r>
    </w:p>
    <w:p w14:paraId="581A90F4">
      <w:pPr>
        <w:pStyle w:val="123"/>
        <w:rPr>
          <w:lang w:eastAsia="zh-CN"/>
        </w:rPr>
      </w:pPr>
      <w:r>
        <w:rPr>
          <w:rFonts w:hint="eastAsia"/>
          <w:lang w:eastAsia="zh-CN"/>
        </w:rPr>
        <w:t>③</w:t>
      </w:r>
      <w:r>
        <w:rPr>
          <w:lang w:eastAsia="zh-CN"/>
        </w:rPr>
        <w:t>确定现场指挥人员；</w:t>
      </w:r>
    </w:p>
    <w:p w14:paraId="0CEF6B1C">
      <w:pPr>
        <w:pStyle w:val="123"/>
        <w:rPr>
          <w:lang w:eastAsia="zh-CN"/>
        </w:rPr>
      </w:pPr>
      <w:r>
        <w:rPr>
          <w:rFonts w:hint="eastAsia"/>
          <w:lang w:eastAsia="zh-CN"/>
        </w:rPr>
        <w:t>④</w:t>
      </w:r>
      <w:r>
        <w:rPr>
          <w:lang w:eastAsia="zh-CN"/>
        </w:rPr>
        <w:t>协调事故现场有关工作；</w:t>
      </w:r>
    </w:p>
    <w:p w14:paraId="15D488C5">
      <w:pPr>
        <w:pStyle w:val="123"/>
        <w:rPr>
          <w:lang w:eastAsia="zh-CN"/>
        </w:rPr>
      </w:pPr>
      <w:r>
        <w:rPr>
          <w:rFonts w:hint="eastAsia"/>
          <w:lang w:eastAsia="zh-CN"/>
        </w:rPr>
        <w:t>⑤</w:t>
      </w:r>
      <w:r>
        <w:rPr>
          <w:lang w:eastAsia="zh-CN"/>
        </w:rPr>
        <w:t>发布本预案的启动与终止；</w:t>
      </w:r>
    </w:p>
    <w:p w14:paraId="75AB0FE3">
      <w:pPr>
        <w:pStyle w:val="123"/>
        <w:rPr>
          <w:lang w:eastAsia="zh-CN"/>
        </w:rPr>
      </w:pPr>
      <w:r>
        <w:rPr>
          <w:rFonts w:hint="eastAsia"/>
          <w:lang w:eastAsia="zh-CN"/>
        </w:rPr>
        <w:t>⑥</w:t>
      </w:r>
      <w:r>
        <w:rPr>
          <w:lang w:eastAsia="zh-CN"/>
        </w:rPr>
        <w:t>负责突发环境事件信息的上报工作；</w:t>
      </w:r>
    </w:p>
    <w:p w14:paraId="7C89B170">
      <w:pPr>
        <w:pStyle w:val="123"/>
        <w:rPr>
          <w:lang w:eastAsia="zh-CN"/>
        </w:rPr>
      </w:pPr>
      <w:r>
        <w:rPr>
          <w:rFonts w:hint="eastAsia"/>
          <w:lang w:eastAsia="zh-CN"/>
        </w:rPr>
        <w:t>⑦</w:t>
      </w:r>
      <w:r>
        <w:rPr>
          <w:lang w:eastAsia="zh-CN"/>
        </w:rPr>
        <w:t>接受政府的指令和调动；</w:t>
      </w:r>
    </w:p>
    <w:p w14:paraId="569A20E2">
      <w:pPr>
        <w:pStyle w:val="123"/>
        <w:rPr>
          <w:lang w:eastAsia="zh-CN"/>
        </w:rPr>
      </w:pPr>
      <w:r>
        <w:rPr>
          <w:rFonts w:hint="eastAsia"/>
          <w:lang w:eastAsia="zh-CN"/>
        </w:rPr>
        <w:t>⑧</w:t>
      </w:r>
      <w:r>
        <w:rPr>
          <w:lang w:eastAsia="zh-CN"/>
        </w:rPr>
        <w:t>组织应急预案的演练；</w:t>
      </w:r>
    </w:p>
    <w:p w14:paraId="3118A31D">
      <w:pPr>
        <w:pStyle w:val="123"/>
        <w:rPr>
          <w:lang w:eastAsia="zh-CN"/>
        </w:rPr>
      </w:pPr>
      <w:r>
        <w:rPr>
          <w:rFonts w:hint="eastAsia"/>
          <w:lang w:eastAsia="zh-CN"/>
        </w:rPr>
        <w:t>⑨</w:t>
      </w:r>
      <w:r>
        <w:rPr>
          <w:lang w:eastAsia="zh-CN"/>
        </w:rPr>
        <w:t>负责保护事故现场及相关数据。</w:t>
      </w:r>
    </w:p>
    <w:p w14:paraId="12318449">
      <w:pPr>
        <w:pStyle w:val="123"/>
        <w:rPr>
          <w:lang w:eastAsia="zh-CN"/>
        </w:rPr>
      </w:pPr>
      <w:r>
        <w:rPr>
          <w:lang w:eastAsia="zh-CN"/>
        </w:rPr>
        <w:t>（2）副总指挥：组织指挥应急抢险工作的实施，指挥协调各抢险队的抢险工作，向上级有关部门报告抢险情况，组织搞好善后处理。</w:t>
      </w:r>
    </w:p>
    <w:p w14:paraId="56C78CDE">
      <w:pPr>
        <w:pStyle w:val="123"/>
        <w:rPr>
          <w:lang w:eastAsia="zh-CN"/>
        </w:rPr>
      </w:pPr>
      <w:r>
        <w:rPr>
          <w:rFonts w:hint="eastAsia"/>
          <w:lang w:eastAsia="zh-CN"/>
        </w:rPr>
        <w:t>①判断是否可能或已经发生突发环境事故，是否要求应急服务机构帮助；</w:t>
      </w:r>
    </w:p>
    <w:p w14:paraId="498CA2AC">
      <w:pPr>
        <w:pStyle w:val="123"/>
        <w:rPr>
          <w:lang w:eastAsia="zh-CN"/>
        </w:rPr>
      </w:pPr>
      <w:r>
        <w:rPr>
          <w:rFonts w:hint="eastAsia"/>
          <w:lang w:eastAsia="zh-CN"/>
        </w:rPr>
        <w:t>②在确保安全的前提下，尝试对危险设施进行直接操作、控制；</w:t>
      </w:r>
    </w:p>
    <w:p w14:paraId="5461A26F">
      <w:pPr>
        <w:pStyle w:val="123"/>
        <w:rPr>
          <w:lang w:eastAsia="zh-CN"/>
        </w:rPr>
      </w:pPr>
      <w:r>
        <w:rPr>
          <w:rFonts w:hint="eastAsia"/>
          <w:lang w:eastAsia="zh-CN"/>
        </w:rPr>
        <w:t>③继续调查和评估事故的可能发展方向，以预测事故的发展过程；</w:t>
      </w:r>
    </w:p>
    <w:p w14:paraId="3ED53224">
      <w:pPr>
        <w:pStyle w:val="123"/>
        <w:rPr>
          <w:lang w:eastAsia="zh-CN"/>
        </w:rPr>
      </w:pPr>
      <w:r>
        <w:rPr>
          <w:rFonts w:hint="eastAsia"/>
          <w:lang w:eastAsia="zh-CN"/>
        </w:rPr>
        <w:t>④指导危险设施的全部或部分停止运行，并与现场管理人员和关键岗位的人员配合，指挥现场人员撤离；</w:t>
      </w:r>
    </w:p>
    <w:p w14:paraId="1666DCC1">
      <w:pPr>
        <w:pStyle w:val="123"/>
        <w:rPr>
          <w:lang w:eastAsia="zh-CN"/>
        </w:rPr>
      </w:pPr>
      <w:r>
        <w:rPr>
          <w:rFonts w:hint="eastAsia"/>
          <w:lang w:eastAsia="zh-CN"/>
        </w:rPr>
        <w:t>⑤与消防人员、地方政府和政府安全监管人员保持密切联系；</w:t>
      </w:r>
    </w:p>
    <w:p w14:paraId="0A1EE879">
      <w:pPr>
        <w:pStyle w:val="123"/>
        <w:rPr>
          <w:lang w:eastAsia="zh-CN"/>
        </w:rPr>
      </w:pPr>
      <w:r>
        <w:rPr>
          <w:rFonts w:hint="eastAsia"/>
          <w:lang w:eastAsia="zh-CN"/>
        </w:rPr>
        <w:t>⑥在危险源现场实施交通管制；</w:t>
      </w:r>
    </w:p>
    <w:p w14:paraId="42F7798D">
      <w:pPr>
        <w:pStyle w:val="123"/>
        <w:rPr>
          <w:lang w:eastAsia="zh-CN"/>
        </w:rPr>
      </w:pPr>
      <w:r>
        <w:rPr>
          <w:rFonts w:hint="eastAsia"/>
          <w:lang w:eastAsia="zh-CN"/>
        </w:rPr>
        <w:t>⑦对难以解决的紧急情况做出安排；</w:t>
      </w:r>
    </w:p>
    <w:p w14:paraId="7A9E738C">
      <w:pPr>
        <w:pStyle w:val="123"/>
        <w:rPr>
          <w:lang w:eastAsia="zh-CN"/>
        </w:rPr>
      </w:pPr>
      <w:r>
        <w:rPr>
          <w:rFonts w:hint="eastAsia"/>
          <w:lang w:eastAsia="zh-CN"/>
        </w:rPr>
        <w:t>⑧在事故紧急状态结束之后，安排恢复受事故影响地区的正常秩序；</w:t>
      </w:r>
    </w:p>
    <w:p w14:paraId="0813FB52">
      <w:pPr>
        <w:pStyle w:val="123"/>
        <w:rPr>
          <w:lang w:eastAsia="zh-CN"/>
        </w:rPr>
      </w:pPr>
      <w:r>
        <w:rPr>
          <w:rFonts w:hint="eastAsia"/>
          <w:lang w:eastAsia="zh-CN"/>
        </w:rPr>
        <w:t>⑨当总指挥不在企业时，负责代理总指挥行使应急救援权力。</w:t>
      </w:r>
    </w:p>
    <w:p w14:paraId="6C9F8618">
      <w:pPr>
        <w:pStyle w:val="123"/>
        <w:rPr>
          <w:lang w:eastAsia="zh-CN"/>
        </w:rPr>
      </w:pPr>
      <w:bookmarkStart w:id="59" w:name="_Hlk73092737"/>
      <w:r>
        <w:rPr>
          <w:lang w:eastAsia="zh-CN"/>
        </w:rPr>
        <w:t>（3）现场处置组：</w:t>
      </w:r>
      <w:r>
        <w:rPr>
          <w:rFonts w:hint="eastAsia"/>
          <w:lang w:eastAsia="zh-CN"/>
        </w:rPr>
        <w:t>由车间主任邹勇任组长，王波任副组长</w:t>
      </w:r>
      <w:r>
        <w:rPr>
          <w:lang w:eastAsia="zh-CN"/>
        </w:rPr>
        <w:t>，成员由班组长、技术工人组成，负责排除险情，抢救受伤受困员工，保护周边环境；负责抢险抢修物资的储备及管理。协助总指挥完成对设备的处置、隔离、修复和抢险用物资的调用，及时关闭雨水系统，打开污水系统阀门，将污水引入应急缓冲池，防止事故扩大。执行应急指挥部下达抢修任务。</w:t>
      </w:r>
    </w:p>
    <w:p w14:paraId="4F86C6DE">
      <w:pPr>
        <w:pStyle w:val="123"/>
        <w:rPr>
          <w:lang w:eastAsia="zh-CN"/>
        </w:rPr>
      </w:pPr>
      <w:r>
        <w:rPr>
          <w:rFonts w:hint="eastAsia"/>
          <w:lang w:eastAsia="zh-CN"/>
        </w:rPr>
        <w:t>①</w:t>
      </w:r>
      <w:r>
        <w:rPr>
          <w:lang w:eastAsia="zh-CN"/>
        </w:rPr>
        <w:t>发生事故后，厂值班室应立即通知有关部门和单位赶赴现场，按照总指挥下达的指令，做好厂内各部门及对外协调的工作。负责组织切断泄漏物料、平衡系统物料、安排紧急停车、泄露物料回收等事宜。划定危险区和指挥区，控制车辆、人员的进入。</w:t>
      </w:r>
    </w:p>
    <w:p w14:paraId="030D2239">
      <w:pPr>
        <w:pStyle w:val="123"/>
        <w:rPr>
          <w:lang w:eastAsia="zh-CN"/>
        </w:rPr>
      </w:pPr>
      <w:r>
        <w:rPr>
          <w:rFonts w:hint="eastAsia"/>
          <w:lang w:eastAsia="zh-CN"/>
        </w:rPr>
        <w:t>②</w:t>
      </w:r>
      <w:r>
        <w:rPr>
          <w:lang w:eastAsia="zh-CN"/>
        </w:rPr>
        <w:t>具体制定并实施防止事故扩大的安全防范措施。</w:t>
      </w:r>
    </w:p>
    <w:p w14:paraId="42C6C78C">
      <w:pPr>
        <w:pStyle w:val="123"/>
        <w:rPr>
          <w:lang w:eastAsia="zh-CN"/>
        </w:rPr>
      </w:pPr>
      <w:r>
        <w:rPr>
          <w:rFonts w:hint="eastAsia"/>
          <w:lang w:eastAsia="zh-CN"/>
        </w:rPr>
        <w:t>③</w:t>
      </w:r>
      <w:r>
        <w:rPr>
          <w:lang w:eastAsia="zh-CN"/>
        </w:rPr>
        <w:t>迅速查明事故的性质、类别、影响范围等基本情况，制定救援方案，报指挥部审定后实施。</w:t>
      </w:r>
    </w:p>
    <w:p w14:paraId="35F8A802">
      <w:pPr>
        <w:pStyle w:val="123"/>
        <w:rPr>
          <w:lang w:eastAsia="zh-CN"/>
        </w:rPr>
      </w:pPr>
      <w:r>
        <w:rPr>
          <w:rFonts w:hint="eastAsia"/>
          <w:lang w:eastAsia="zh-CN"/>
        </w:rPr>
        <w:t>④</w:t>
      </w:r>
      <w:r>
        <w:rPr>
          <w:lang w:eastAsia="zh-CN"/>
        </w:rPr>
        <w:t>负责事故现场人员疏散工作。</w:t>
      </w:r>
    </w:p>
    <w:p w14:paraId="69FA0A37">
      <w:pPr>
        <w:pStyle w:val="123"/>
        <w:rPr>
          <w:lang w:eastAsia="zh-CN"/>
        </w:rPr>
      </w:pPr>
      <w:r>
        <w:rPr>
          <w:rFonts w:hint="eastAsia"/>
          <w:lang w:eastAsia="zh-CN"/>
        </w:rPr>
        <w:t>⑤</w:t>
      </w:r>
      <w:r>
        <w:rPr>
          <w:lang w:eastAsia="zh-CN"/>
        </w:rPr>
        <w:t>承办指挥部负责人交办的其它工作。</w:t>
      </w:r>
    </w:p>
    <w:p w14:paraId="6BD28554">
      <w:pPr>
        <w:pStyle w:val="123"/>
        <w:rPr>
          <w:lang w:eastAsia="zh-CN"/>
        </w:rPr>
      </w:pPr>
      <w:r>
        <w:rPr>
          <w:rFonts w:hint="eastAsia"/>
          <w:lang w:eastAsia="zh-CN"/>
        </w:rPr>
        <w:t>⑥</w:t>
      </w:r>
      <w:r>
        <w:rPr>
          <w:lang w:eastAsia="zh-CN"/>
        </w:rPr>
        <w:t>主要负责事故现场及抢险过程泄漏物料和消防废水的监测、堵截、中和、洗消等。</w:t>
      </w:r>
    </w:p>
    <w:bookmarkEnd w:id="59"/>
    <w:p w14:paraId="7B8D3D4A">
      <w:pPr>
        <w:pStyle w:val="123"/>
        <w:rPr>
          <w:lang w:eastAsia="zh-CN"/>
        </w:rPr>
      </w:pPr>
      <w:r>
        <w:rPr>
          <w:rFonts w:hint="eastAsia"/>
          <w:lang w:eastAsia="zh-CN"/>
        </w:rPr>
        <w:t>（4）</w:t>
      </w:r>
      <w:r>
        <w:rPr>
          <w:lang w:eastAsia="zh-CN"/>
        </w:rPr>
        <w:t>通讯联络组：由</w:t>
      </w:r>
      <w:r>
        <w:rPr>
          <w:rFonts w:hint="eastAsia"/>
          <w:lang w:eastAsia="zh-CN"/>
        </w:rPr>
        <w:t>安环部长兼环保专工王鹏超</w:t>
      </w:r>
      <w:r>
        <w:rPr>
          <w:lang w:eastAsia="zh-CN"/>
        </w:rPr>
        <w:t>担任</w:t>
      </w:r>
      <w:r>
        <w:rPr>
          <w:rFonts w:hint="eastAsia"/>
          <w:lang w:eastAsia="zh-CN"/>
        </w:rPr>
        <w:t>组长</w:t>
      </w:r>
      <w:r>
        <w:rPr>
          <w:lang w:eastAsia="zh-CN"/>
        </w:rPr>
        <w:t>，负责紧急情况下，协助指挥部做好事故报警、情况通报及事故处置工作；</w:t>
      </w:r>
      <w:r>
        <w:rPr>
          <w:rFonts w:hint="eastAsia"/>
          <w:lang w:eastAsia="zh-CN"/>
        </w:rPr>
        <w:t>应急状态下负责与周边单位联系，通知相关单位做好事故扩大后可能波及的应急处置工作，联系方式包括电话、短信通知、喇叭广播、派遣人员下达通知，做好周边群众的疏散、避险、撤离工作，距离较远敏感目标可以通过报告镇政府后由镇政府通知组织疏散。</w:t>
      </w:r>
    </w:p>
    <w:p w14:paraId="1A5608CF">
      <w:pPr>
        <w:pStyle w:val="123"/>
        <w:rPr>
          <w:lang w:eastAsia="zh-CN"/>
        </w:rPr>
      </w:pPr>
      <w:r>
        <w:rPr>
          <w:lang w:eastAsia="zh-CN"/>
        </w:rPr>
        <w:t>（5）应急保障组：</w:t>
      </w:r>
      <w:r>
        <w:rPr>
          <w:rFonts w:hint="eastAsia"/>
          <w:lang w:eastAsia="zh-CN"/>
        </w:rPr>
        <w:t>由车间主任马忠庆</w:t>
      </w:r>
      <w:r>
        <w:rPr>
          <w:lang w:eastAsia="zh-CN"/>
        </w:rPr>
        <w:t>任组长，负责应急物资的日常维护、确保在第一时间供应充沛的应急物资。</w:t>
      </w:r>
    </w:p>
    <w:p w14:paraId="538582D8">
      <w:pPr>
        <w:pStyle w:val="123"/>
        <w:rPr>
          <w:lang w:eastAsia="zh-CN"/>
        </w:rPr>
      </w:pPr>
      <w:r>
        <w:rPr>
          <w:rFonts w:hint="eastAsia"/>
          <w:lang w:eastAsia="zh-CN"/>
        </w:rPr>
        <w:t>①</w:t>
      </w:r>
      <w:r>
        <w:rPr>
          <w:lang w:eastAsia="zh-CN"/>
        </w:rPr>
        <w:t>按规定保管好各种抢险、救援、救护物资及各种备用的消防、灭火器材、防毒器具。同时要登记建帐，定期检查、核实，确保其使用性能。</w:t>
      </w:r>
    </w:p>
    <w:p w14:paraId="12784AEA">
      <w:pPr>
        <w:pStyle w:val="123"/>
        <w:rPr>
          <w:lang w:eastAsia="zh-CN"/>
        </w:rPr>
      </w:pPr>
      <w:r>
        <w:rPr>
          <w:rFonts w:hint="eastAsia"/>
          <w:lang w:eastAsia="zh-CN"/>
        </w:rPr>
        <w:t>②</w:t>
      </w:r>
      <w:r>
        <w:rPr>
          <w:lang w:eastAsia="zh-CN"/>
        </w:rPr>
        <w:t>根据不同事故的需要，发放各类物资、器材。对临时供应不足的部分可请示总指挥向临近单位借用。</w:t>
      </w:r>
    </w:p>
    <w:p w14:paraId="52902EF7">
      <w:pPr>
        <w:pStyle w:val="123"/>
        <w:rPr>
          <w:lang w:eastAsia="zh-CN"/>
        </w:rPr>
      </w:pPr>
      <w:r>
        <w:rPr>
          <w:rFonts w:hint="eastAsia"/>
          <w:lang w:eastAsia="zh-CN"/>
        </w:rPr>
        <w:t>③</w:t>
      </w:r>
      <w:r>
        <w:rPr>
          <w:lang w:eastAsia="zh-CN"/>
        </w:rPr>
        <w:t xml:space="preserve">应急预案终止之后，及时收回各类抢险救援器具，清理、清点。对损失、损坏的部分要列出清单，打申请报告，补充添齐，妥善保管备用。 </w:t>
      </w:r>
    </w:p>
    <w:p w14:paraId="5C124C8C">
      <w:pPr>
        <w:pStyle w:val="123"/>
        <w:rPr>
          <w:lang w:eastAsia="zh-CN"/>
        </w:rPr>
      </w:pPr>
      <w:r>
        <w:rPr>
          <w:rFonts w:hint="eastAsia"/>
          <w:lang w:eastAsia="zh-CN"/>
        </w:rPr>
        <w:t>（</w:t>
      </w:r>
      <w:r>
        <w:rPr>
          <w:lang w:eastAsia="zh-CN"/>
        </w:rPr>
        <w:t xml:space="preserve">6）医疗救护组 </w:t>
      </w:r>
    </w:p>
    <w:p w14:paraId="0F8EBD7D">
      <w:pPr>
        <w:pStyle w:val="123"/>
        <w:rPr>
          <w:lang w:eastAsia="zh-CN"/>
        </w:rPr>
      </w:pPr>
      <w:r>
        <w:rPr>
          <w:rFonts w:hint="eastAsia"/>
          <w:lang w:eastAsia="zh-CN"/>
        </w:rPr>
        <w:t>由财务部长刘华任</w:t>
      </w:r>
      <w:r>
        <w:rPr>
          <w:lang w:eastAsia="zh-CN"/>
        </w:rPr>
        <w:t>组长，组织相关人员和外部救援力量编成医疗救助小组。主要职责如下：</w:t>
      </w:r>
    </w:p>
    <w:p w14:paraId="45FDA146">
      <w:pPr>
        <w:pStyle w:val="123"/>
        <w:rPr>
          <w:lang w:eastAsia="zh-CN"/>
        </w:rPr>
      </w:pPr>
      <w:r>
        <w:rPr>
          <w:rFonts w:hint="eastAsia"/>
          <w:lang w:eastAsia="zh-CN"/>
        </w:rPr>
        <w:t>①</w:t>
      </w:r>
      <w:r>
        <w:rPr>
          <w:lang w:eastAsia="zh-CN"/>
        </w:rPr>
        <w:t xml:space="preserve">负责事故现场的伤员转移、救助工作； </w:t>
      </w:r>
    </w:p>
    <w:p w14:paraId="14D5FA8B">
      <w:pPr>
        <w:pStyle w:val="123"/>
        <w:rPr>
          <w:lang w:eastAsia="zh-CN"/>
        </w:rPr>
      </w:pPr>
      <w:r>
        <w:rPr>
          <w:rFonts w:hint="eastAsia"/>
          <w:lang w:eastAsia="zh-CN"/>
        </w:rPr>
        <w:t>②</w:t>
      </w:r>
      <w:r>
        <w:rPr>
          <w:lang w:eastAsia="zh-CN"/>
        </w:rPr>
        <w:t xml:space="preserve">协助医疗救护部门将伤员护送到相关单位进行抢救和安置； </w:t>
      </w:r>
    </w:p>
    <w:p w14:paraId="33A4D91C">
      <w:pPr>
        <w:pStyle w:val="123"/>
        <w:rPr>
          <w:lang w:eastAsia="zh-CN"/>
        </w:rPr>
      </w:pPr>
      <w:r>
        <w:rPr>
          <w:rFonts w:hint="eastAsia"/>
          <w:lang w:eastAsia="zh-CN"/>
        </w:rPr>
        <w:t>③</w:t>
      </w:r>
      <w:r>
        <w:rPr>
          <w:lang w:eastAsia="zh-CN"/>
        </w:rPr>
        <w:t>发生重大污染事故时，组织厂区人员安全撤离现场</w:t>
      </w:r>
      <w:r>
        <w:rPr>
          <w:rFonts w:hint="eastAsia"/>
          <w:lang w:eastAsia="zh-CN"/>
        </w:rPr>
        <w:t>。</w:t>
      </w:r>
    </w:p>
    <w:p w14:paraId="77C7A6E6">
      <w:pPr>
        <w:pStyle w:val="123"/>
        <w:rPr>
          <w:lang w:eastAsia="zh-CN"/>
        </w:rPr>
      </w:pPr>
      <w:r>
        <w:rPr>
          <w:lang w:eastAsia="zh-CN"/>
        </w:rPr>
        <w:t>（7）警戒保卫组</w:t>
      </w:r>
    </w:p>
    <w:p w14:paraId="0281B575">
      <w:pPr>
        <w:pStyle w:val="123"/>
        <w:rPr>
          <w:lang w:eastAsia="zh-CN"/>
        </w:rPr>
      </w:pPr>
      <w:r>
        <w:rPr>
          <w:lang w:eastAsia="zh-CN"/>
        </w:rPr>
        <w:t>由</w:t>
      </w:r>
      <w:r>
        <w:rPr>
          <w:rFonts w:hint="eastAsia"/>
          <w:lang w:eastAsia="zh-CN"/>
        </w:rPr>
        <w:t>李超</w:t>
      </w:r>
      <w:r>
        <w:rPr>
          <w:lang w:eastAsia="zh-CN"/>
        </w:rPr>
        <w:t>任组长，组织相关人员和外部救援力量组成。主要负责警戒、治安保卫、疏散、道路管制工作。</w:t>
      </w:r>
    </w:p>
    <w:p w14:paraId="0E9BC6C4">
      <w:pPr>
        <w:pStyle w:val="123"/>
        <w:rPr>
          <w:lang w:eastAsia="zh-CN"/>
        </w:rPr>
      </w:pPr>
      <w:r>
        <w:rPr>
          <w:lang w:eastAsia="zh-CN"/>
        </w:rPr>
        <w:t>（8）环境应急监测组</w:t>
      </w:r>
    </w:p>
    <w:p w14:paraId="4842BF0D">
      <w:pPr>
        <w:pStyle w:val="123"/>
        <w:pageBreakBefore w:val="0"/>
        <w:kinsoku/>
        <w:wordWrap/>
        <w:overflowPunct/>
        <w:topLinePunct w:val="0"/>
        <w:autoSpaceDE/>
        <w:autoSpaceDN/>
        <w:bidi w:val="0"/>
        <w:adjustRightInd/>
        <w:snapToGrid/>
        <w:spacing w:line="360" w:lineRule="auto"/>
        <w:textAlignment w:val="auto"/>
        <w:rPr>
          <w:lang w:eastAsia="zh-CN"/>
        </w:rPr>
      </w:pPr>
      <w:r>
        <w:rPr>
          <w:rFonts w:hint="eastAsia"/>
          <w:lang w:eastAsia="zh-CN"/>
        </w:rPr>
        <w:t>由李作经任组长</w:t>
      </w:r>
      <w:r>
        <w:rPr>
          <w:lang w:eastAsia="zh-CN"/>
        </w:rPr>
        <w:t>负责对事故周围的环境进行取样监测分析，根据当前风向确定安全卫生防护距离，并将分析结果及时向指挥部报告，便于组织开展救援活动。</w:t>
      </w:r>
    </w:p>
    <w:p w14:paraId="1602ACED">
      <w:pPr>
        <w:pStyle w:val="123"/>
        <w:rPr>
          <w:lang w:eastAsia="zh-CN"/>
        </w:rPr>
      </w:pPr>
      <w:r>
        <w:rPr>
          <w:lang w:eastAsia="zh-CN"/>
        </w:rPr>
        <w:t>（9）应急专家组：对突发事件（故）进行分析、研判，提出决策建议，并为灾情核查、损失评估、灾害调查评估提供技术支持。</w:t>
      </w:r>
      <w:r>
        <w:rPr>
          <w:rFonts w:hint="eastAsia"/>
          <w:lang w:eastAsia="zh-CN"/>
        </w:rPr>
        <w:t>由公司技术专业负责人任组长，环保、安全、设备、化工等相关专业的专家组成应急专家组。专家组在公司应急指挥中心领导下开展应急工作，职责如下：</w:t>
      </w:r>
    </w:p>
    <w:p w14:paraId="36977FFE">
      <w:pPr>
        <w:pStyle w:val="123"/>
        <w:rPr>
          <w:lang w:eastAsia="zh-CN"/>
        </w:rPr>
      </w:pPr>
      <w:r>
        <w:rPr>
          <w:lang w:eastAsia="zh-CN"/>
        </w:rPr>
        <w:t>1、指导环境应急预案的编制及修改完善；参与制定应急救援方案；</w:t>
      </w:r>
    </w:p>
    <w:p w14:paraId="6C72ED39">
      <w:pPr>
        <w:pStyle w:val="123"/>
        <w:rPr>
          <w:lang w:eastAsia="zh-CN"/>
        </w:rPr>
      </w:pPr>
      <w:r>
        <w:rPr>
          <w:lang w:eastAsia="zh-CN"/>
        </w:rPr>
        <w:t>2、对环境污染事故的危害范围、发展趋势做出科学评估，预测事故发展趋势，及时提出事故应急处理对策，为应急领导组的决策和指挥提供科学依据；</w:t>
      </w:r>
    </w:p>
    <w:p w14:paraId="1526519F">
      <w:pPr>
        <w:pStyle w:val="123"/>
        <w:rPr>
          <w:lang w:eastAsia="zh-CN"/>
        </w:rPr>
      </w:pPr>
      <w:r>
        <w:rPr>
          <w:lang w:eastAsia="zh-CN"/>
        </w:rPr>
        <w:t>3、参与污染程度、危害范围、事件等级的判定，对污染区域的警报设立与解除等重大防护措施的决策提供技术依据。</w:t>
      </w:r>
    </w:p>
    <w:p w14:paraId="40FF71AC">
      <w:pPr>
        <w:pStyle w:val="123"/>
        <w:rPr>
          <w:lang w:eastAsia="zh-CN"/>
        </w:rPr>
      </w:pPr>
      <w:r>
        <w:rPr>
          <w:rFonts w:hint="eastAsia"/>
          <w:lang w:eastAsia="zh-CN"/>
        </w:rPr>
        <w:t>（</w:t>
      </w:r>
      <w:r>
        <w:rPr>
          <w:lang w:eastAsia="zh-CN"/>
        </w:rPr>
        <w:t>10）其他人员职责：服从安排积极参加事故救援；积极配合疏导、引导无关人员到安全区。</w:t>
      </w:r>
    </w:p>
    <w:p w14:paraId="23629E6A">
      <w:pPr>
        <w:pStyle w:val="123"/>
        <w:rPr>
          <w:lang w:eastAsia="zh-CN"/>
        </w:rPr>
      </w:pPr>
      <w:r>
        <w:rPr>
          <w:rFonts w:hint="eastAsia"/>
          <w:lang w:eastAsia="zh-CN"/>
        </w:rPr>
        <w:t>应急</w:t>
      </w:r>
      <w:r>
        <w:rPr>
          <w:lang w:eastAsia="zh-CN"/>
        </w:rPr>
        <w:t>组织机构内部通讯联络方式见下表：</w:t>
      </w:r>
    </w:p>
    <w:tbl>
      <w:tblPr>
        <w:tblStyle w:val="33"/>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441"/>
        <w:gridCol w:w="1945"/>
        <w:gridCol w:w="2601"/>
        <w:gridCol w:w="1578"/>
      </w:tblGrid>
      <w:tr w14:paraId="50B6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976" w:type="pct"/>
            <w:noWrap w:val="0"/>
            <w:vAlign w:val="center"/>
          </w:tcPr>
          <w:p w14:paraId="0A46D907">
            <w:pPr>
              <w:pStyle w:val="126"/>
              <w:keepNext w:val="0"/>
              <w:keepLines w:val="0"/>
              <w:widowControl/>
              <w:suppressLineNumbers w:val="0"/>
              <w:spacing w:before="0" w:beforeAutospacing="0" w:after="0" w:afterAutospacing="0"/>
              <w:ind w:left="360" w:right="0"/>
              <w:jc w:val="both"/>
              <w:rPr>
                <w:rFonts w:hint="default"/>
                <w:b/>
                <w:bCs/>
                <w:color w:val="auto"/>
              </w:rPr>
            </w:pPr>
            <w:r>
              <w:rPr>
                <w:rFonts w:hint="eastAsia"/>
                <w:b/>
                <w:bCs/>
                <w:color w:val="auto"/>
              </w:rPr>
              <w:t>机构名称</w:t>
            </w:r>
          </w:p>
        </w:tc>
        <w:tc>
          <w:tcPr>
            <w:tcW w:w="766" w:type="pct"/>
            <w:noWrap w:val="0"/>
            <w:vAlign w:val="center"/>
          </w:tcPr>
          <w:p w14:paraId="6C31FE74">
            <w:pPr>
              <w:pStyle w:val="126"/>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应急职务</w:t>
            </w:r>
          </w:p>
        </w:tc>
        <w:tc>
          <w:tcPr>
            <w:tcW w:w="1034" w:type="pct"/>
            <w:noWrap w:val="0"/>
            <w:vAlign w:val="center"/>
          </w:tcPr>
          <w:p w14:paraId="4E1C5D1D">
            <w:pPr>
              <w:pStyle w:val="126"/>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姓名</w:t>
            </w:r>
          </w:p>
        </w:tc>
        <w:tc>
          <w:tcPr>
            <w:tcW w:w="1383" w:type="pct"/>
            <w:noWrap w:val="0"/>
            <w:vAlign w:val="center"/>
          </w:tcPr>
          <w:p w14:paraId="1366CFDB">
            <w:pPr>
              <w:pStyle w:val="126"/>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日常职务</w:t>
            </w:r>
          </w:p>
        </w:tc>
        <w:tc>
          <w:tcPr>
            <w:tcW w:w="839" w:type="pct"/>
            <w:noWrap w:val="0"/>
            <w:vAlign w:val="center"/>
          </w:tcPr>
          <w:p w14:paraId="5BEE83A1">
            <w:pPr>
              <w:pStyle w:val="126"/>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手机号码</w:t>
            </w:r>
          </w:p>
        </w:tc>
      </w:tr>
      <w:tr w14:paraId="59DE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6" w:type="pct"/>
            <w:vMerge w:val="restart"/>
            <w:noWrap w:val="0"/>
            <w:vAlign w:val="center"/>
          </w:tcPr>
          <w:p w14:paraId="6709E9C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应急指挥部</w:t>
            </w:r>
          </w:p>
        </w:tc>
        <w:tc>
          <w:tcPr>
            <w:tcW w:w="766" w:type="pct"/>
            <w:noWrap w:val="0"/>
            <w:vAlign w:val="center"/>
          </w:tcPr>
          <w:p w14:paraId="304C717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总指挥</w:t>
            </w:r>
          </w:p>
        </w:tc>
        <w:tc>
          <w:tcPr>
            <w:tcW w:w="1034" w:type="pct"/>
            <w:noWrap w:val="0"/>
            <w:vAlign w:val="center"/>
          </w:tcPr>
          <w:p w14:paraId="749AB825">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于立涛</w:t>
            </w:r>
          </w:p>
        </w:tc>
        <w:tc>
          <w:tcPr>
            <w:tcW w:w="1383" w:type="pct"/>
            <w:noWrap w:val="0"/>
            <w:vAlign w:val="center"/>
          </w:tcPr>
          <w:p w14:paraId="003192E1">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制造部</w:t>
            </w:r>
            <w:r>
              <w:rPr>
                <w:rFonts w:hint="eastAsia" w:ascii="宋体" w:hAnsi="宋体" w:eastAsia="宋体" w:cs="宋体"/>
                <w:color w:val="auto"/>
                <w:sz w:val="21"/>
                <w:szCs w:val="21"/>
              </w:rPr>
              <w:t>经理</w:t>
            </w:r>
          </w:p>
        </w:tc>
        <w:tc>
          <w:tcPr>
            <w:tcW w:w="839" w:type="pct"/>
            <w:noWrap w:val="0"/>
            <w:vAlign w:val="center"/>
          </w:tcPr>
          <w:p w14:paraId="7AF31D17">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13969362345</w:t>
            </w:r>
          </w:p>
        </w:tc>
      </w:tr>
      <w:tr w14:paraId="2CEE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6" w:type="pct"/>
            <w:vMerge w:val="continue"/>
            <w:noWrap w:val="0"/>
            <w:vAlign w:val="center"/>
          </w:tcPr>
          <w:p w14:paraId="61E2E08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46A80CA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副总指挥</w:t>
            </w:r>
          </w:p>
        </w:tc>
        <w:tc>
          <w:tcPr>
            <w:tcW w:w="1034" w:type="pct"/>
            <w:noWrap w:val="0"/>
            <w:vAlign w:val="center"/>
          </w:tcPr>
          <w:p w14:paraId="6DD01E53">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朱玉时</w:t>
            </w:r>
          </w:p>
        </w:tc>
        <w:tc>
          <w:tcPr>
            <w:tcW w:w="1383" w:type="pct"/>
            <w:noWrap w:val="0"/>
            <w:vAlign w:val="center"/>
          </w:tcPr>
          <w:p w14:paraId="4E2878C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车间主任</w:t>
            </w:r>
          </w:p>
        </w:tc>
        <w:tc>
          <w:tcPr>
            <w:tcW w:w="839" w:type="pct"/>
            <w:noWrap w:val="0"/>
            <w:vAlign w:val="center"/>
          </w:tcPr>
          <w:p w14:paraId="4E623E73">
            <w:pPr>
              <w:pStyle w:val="126"/>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13953306613</w:t>
            </w:r>
          </w:p>
        </w:tc>
      </w:tr>
      <w:tr w14:paraId="200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3F82DD5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现场处置组</w:t>
            </w:r>
          </w:p>
        </w:tc>
        <w:tc>
          <w:tcPr>
            <w:tcW w:w="766" w:type="pct"/>
            <w:noWrap w:val="0"/>
            <w:vAlign w:val="center"/>
          </w:tcPr>
          <w:p w14:paraId="4DD0F94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0693996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邹勇</w:t>
            </w:r>
          </w:p>
        </w:tc>
        <w:tc>
          <w:tcPr>
            <w:tcW w:w="1383" w:type="pct"/>
            <w:noWrap w:val="0"/>
            <w:vAlign w:val="center"/>
          </w:tcPr>
          <w:p w14:paraId="142F187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车间主任</w:t>
            </w:r>
          </w:p>
        </w:tc>
        <w:tc>
          <w:tcPr>
            <w:tcW w:w="839" w:type="pct"/>
            <w:noWrap w:val="0"/>
            <w:vAlign w:val="center"/>
          </w:tcPr>
          <w:p w14:paraId="026DC52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18615123181</w:t>
            </w:r>
          </w:p>
        </w:tc>
      </w:tr>
      <w:tr w14:paraId="64EB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47B0E500">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6B4C1170">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副组长</w:t>
            </w:r>
          </w:p>
        </w:tc>
        <w:tc>
          <w:tcPr>
            <w:tcW w:w="1034" w:type="pct"/>
            <w:noWrap w:val="0"/>
            <w:vAlign w:val="center"/>
          </w:tcPr>
          <w:p w14:paraId="4A8A99F9">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王波</w:t>
            </w:r>
          </w:p>
        </w:tc>
        <w:tc>
          <w:tcPr>
            <w:tcW w:w="1383" w:type="pct"/>
            <w:noWrap w:val="0"/>
            <w:vAlign w:val="center"/>
          </w:tcPr>
          <w:p w14:paraId="78CAC095">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车间主任</w:t>
            </w:r>
          </w:p>
        </w:tc>
        <w:tc>
          <w:tcPr>
            <w:tcW w:w="839" w:type="pct"/>
            <w:noWrap w:val="0"/>
            <w:vAlign w:val="center"/>
          </w:tcPr>
          <w:p w14:paraId="25840D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18615123106</w:t>
            </w:r>
          </w:p>
        </w:tc>
      </w:tr>
      <w:tr w14:paraId="7B29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E98E0C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7541FF17">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68C0DFA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郗继生</w:t>
            </w:r>
          </w:p>
        </w:tc>
        <w:tc>
          <w:tcPr>
            <w:tcW w:w="1383" w:type="pct"/>
            <w:noWrap w:val="0"/>
            <w:vAlign w:val="center"/>
          </w:tcPr>
          <w:p w14:paraId="532681C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班长</w:t>
            </w:r>
          </w:p>
        </w:tc>
        <w:tc>
          <w:tcPr>
            <w:tcW w:w="839" w:type="pct"/>
            <w:noWrap w:val="0"/>
            <w:vAlign w:val="center"/>
          </w:tcPr>
          <w:p w14:paraId="310CBE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13518639754</w:t>
            </w:r>
          </w:p>
        </w:tc>
      </w:tr>
      <w:tr w14:paraId="7CAA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A9202A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386C2EC7">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4742B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000000"/>
                <w:kern w:val="0"/>
                <w:sz w:val="21"/>
                <w:szCs w:val="21"/>
                <w:u w:val="none"/>
                <w:lang w:val="en-US" w:eastAsia="zh-CN" w:bidi="ar"/>
              </w:rPr>
              <w:t>胡兆亮</w:t>
            </w:r>
          </w:p>
        </w:tc>
        <w:tc>
          <w:tcPr>
            <w:tcW w:w="1383" w:type="pct"/>
            <w:noWrap w:val="0"/>
            <w:vAlign w:val="center"/>
          </w:tcPr>
          <w:p w14:paraId="7723655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职工</w:t>
            </w:r>
          </w:p>
        </w:tc>
        <w:tc>
          <w:tcPr>
            <w:tcW w:w="839" w:type="pct"/>
            <w:noWrap w:val="0"/>
            <w:vAlign w:val="center"/>
          </w:tcPr>
          <w:p w14:paraId="38881A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13706431363</w:t>
            </w:r>
          </w:p>
        </w:tc>
      </w:tr>
      <w:tr w14:paraId="1319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6AB3E90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38C2C05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10A0E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000000"/>
                <w:kern w:val="0"/>
                <w:sz w:val="21"/>
                <w:szCs w:val="21"/>
                <w:u w:val="none"/>
                <w:lang w:val="en-US" w:eastAsia="zh-CN" w:bidi="ar"/>
              </w:rPr>
              <w:t>刘士国</w:t>
            </w:r>
          </w:p>
        </w:tc>
        <w:tc>
          <w:tcPr>
            <w:tcW w:w="1383" w:type="pct"/>
            <w:noWrap w:val="0"/>
            <w:vAlign w:val="center"/>
          </w:tcPr>
          <w:p w14:paraId="535D2B2A">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职工</w:t>
            </w:r>
          </w:p>
        </w:tc>
        <w:tc>
          <w:tcPr>
            <w:tcW w:w="839" w:type="pct"/>
            <w:noWrap w:val="0"/>
            <w:vAlign w:val="center"/>
          </w:tcPr>
          <w:p w14:paraId="784944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13864331080</w:t>
            </w:r>
          </w:p>
        </w:tc>
      </w:tr>
      <w:tr w14:paraId="1153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654D30F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766" w:type="pct"/>
            <w:noWrap w:val="0"/>
            <w:vAlign w:val="center"/>
          </w:tcPr>
          <w:p w14:paraId="7773ACD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492D0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i w:val="0"/>
                <w:iCs w:val="0"/>
                <w:color w:val="000000"/>
                <w:kern w:val="0"/>
                <w:sz w:val="21"/>
                <w:szCs w:val="21"/>
                <w:u w:val="none"/>
                <w:lang w:val="en-US" w:eastAsia="zh-CN" w:bidi="ar"/>
              </w:rPr>
              <w:t>冯道东</w:t>
            </w:r>
          </w:p>
        </w:tc>
        <w:tc>
          <w:tcPr>
            <w:tcW w:w="1383" w:type="pct"/>
            <w:noWrap w:val="0"/>
            <w:vAlign w:val="center"/>
          </w:tcPr>
          <w:p w14:paraId="079F417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职工</w:t>
            </w:r>
          </w:p>
        </w:tc>
        <w:tc>
          <w:tcPr>
            <w:tcW w:w="839" w:type="pct"/>
            <w:noWrap w:val="0"/>
            <w:vAlign w:val="center"/>
          </w:tcPr>
          <w:p w14:paraId="2CD191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15953371169</w:t>
            </w:r>
          </w:p>
        </w:tc>
      </w:tr>
      <w:tr w14:paraId="1D6B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278138E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通讯联络组</w:t>
            </w:r>
          </w:p>
        </w:tc>
        <w:tc>
          <w:tcPr>
            <w:tcW w:w="766" w:type="pct"/>
            <w:noWrap w:val="0"/>
            <w:vAlign w:val="center"/>
          </w:tcPr>
          <w:p w14:paraId="1A5482C2">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5733866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王鹏超</w:t>
            </w:r>
          </w:p>
        </w:tc>
        <w:tc>
          <w:tcPr>
            <w:tcW w:w="1383" w:type="pct"/>
            <w:noWrap w:val="0"/>
            <w:vAlign w:val="center"/>
          </w:tcPr>
          <w:p w14:paraId="5222587D">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安环部</w:t>
            </w:r>
            <w:r>
              <w:rPr>
                <w:rFonts w:hint="eastAsia" w:ascii="宋体" w:hAnsi="宋体" w:eastAsia="宋体" w:cs="宋体"/>
                <w:color w:val="auto"/>
                <w:sz w:val="21"/>
                <w:szCs w:val="21"/>
                <w:lang w:eastAsia="zh-CN"/>
              </w:rPr>
              <w:t>部长</w:t>
            </w:r>
          </w:p>
        </w:tc>
        <w:tc>
          <w:tcPr>
            <w:tcW w:w="839" w:type="pct"/>
            <w:noWrap w:val="0"/>
            <w:vAlign w:val="center"/>
          </w:tcPr>
          <w:p w14:paraId="6583F119">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18653326898</w:t>
            </w:r>
          </w:p>
        </w:tc>
      </w:tr>
      <w:tr w14:paraId="1783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33531689">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31CCF65A">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0CD60472">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color w:val="auto"/>
                <w:lang w:eastAsia="zh-CN"/>
              </w:rPr>
              <w:t>薛</w:t>
            </w:r>
            <w:r>
              <w:rPr>
                <w:rFonts w:hint="eastAsia"/>
                <w:color w:val="auto"/>
                <w:lang w:val="en-US" w:eastAsia="zh-CN"/>
              </w:rPr>
              <w:t xml:space="preserve"> </w:t>
            </w:r>
            <w:r>
              <w:rPr>
                <w:rFonts w:hint="eastAsia"/>
                <w:color w:val="auto"/>
                <w:lang w:eastAsia="zh-CN"/>
              </w:rPr>
              <w:t>贞</w:t>
            </w:r>
          </w:p>
        </w:tc>
        <w:tc>
          <w:tcPr>
            <w:tcW w:w="1383" w:type="pct"/>
            <w:noWrap w:val="0"/>
            <w:vAlign w:val="center"/>
          </w:tcPr>
          <w:p w14:paraId="57C2744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color w:val="auto"/>
                <w:lang w:eastAsia="zh-CN"/>
              </w:rPr>
              <w:t>环保员</w:t>
            </w:r>
          </w:p>
        </w:tc>
        <w:tc>
          <w:tcPr>
            <w:tcW w:w="839" w:type="pct"/>
            <w:noWrap w:val="0"/>
            <w:vAlign w:val="bottom"/>
          </w:tcPr>
          <w:p w14:paraId="469EE6E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13287028919</w:t>
            </w:r>
          </w:p>
        </w:tc>
      </w:tr>
      <w:tr w14:paraId="74CF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682F3A7B">
            <w:pPr>
              <w:pStyle w:val="126"/>
              <w:keepNext w:val="0"/>
              <w:keepLines w:val="0"/>
              <w:widowControl/>
              <w:suppressLineNumbers w:val="0"/>
              <w:spacing w:before="0" w:beforeAutospacing="0" w:after="0" w:afterAutospacing="0"/>
              <w:ind w:left="0" w:right="0"/>
              <w:rPr>
                <w:rFonts w:hint="default"/>
                <w:color w:val="auto"/>
              </w:rPr>
            </w:pPr>
            <w:r>
              <w:rPr>
                <w:rFonts w:hint="eastAsia"/>
                <w:color w:val="auto"/>
              </w:rPr>
              <w:t>应急保障组</w:t>
            </w:r>
          </w:p>
        </w:tc>
        <w:tc>
          <w:tcPr>
            <w:tcW w:w="766" w:type="pct"/>
            <w:noWrap w:val="0"/>
            <w:vAlign w:val="center"/>
          </w:tcPr>
          <w:p w14:paraId="3A4B971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4887E474">
            <w:pPr>
              <w:pStyle w:val="126"/>
              <w:keepNext w:val="0"/>
              <w:keepLines w:val="0"/>
              <w:widowControl/>
              <w:suppressLineNumbers w:val="0"/>
              <w:spacing w:before="0" w:beforeAutospacing="0" w:after="0" w:afterAutospacing="0"/>
              <w:ind w:left="0" w:right="0" w:firstLine="630" w:firstLineChars="3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马忠庆</w:t>
            </w:r>
          </w:p>
        </w:tc>
        <w:tc>
          <w:tcPr>
            <w:tcW w:w="1383" w:type="pct"/>
            <w:noWrap w:val="0"/>
            <w:vAlign w:val="center"/>
          </w:tcPr>
          <w:p w14:paraId="606B1F1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车间主任</w:t>
            </w:r>
          </w:p>
        </w:tc>
        <w:tc>
          <w:tcPr>
            <w:tcW w:w="839" w:type="pct"/>
            <w:noWrap w:val="0"/>
            <w:vAlign w:val="bottom"/>
          </w:tcPr>
          <w:p w14:paraId="32C908A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18615123190</w:t>
            </w:r>
          </w:p>
        </w:tc>
      </w:tr>
      <w:tr w14:paraId="7D9E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919B967">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014C0D7">
            <w:pPr>
              <w:pStyle w:val="126"/>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副组长</w:t>
            </w:r>
          </w:p>
        </w:tc>
        <w:tc>
          <w:tcPr>
            <w:tcW w:w="1034" w:type="pct"/>
            <w:noWrap w:val="0"/>
            <w:vAlign w:val="center"/>
          </w:tcPr>
          <w:p w14:paraId="3ABA673C">
            <w:pPr>
              <w:pStyle w:val="126"/>
              <w:keepNext w:val="0"/>
              <w:keepLines w:val="0"/>
              <w:widowControl/>
              <w:suppressLineNumbers w:val="0"/>
              <w:spacing w:before="0" w:beforeAutospacing="0" w:after="0" w:afterAutospacing="0"/>
              <w:ind w:left="0" w:right="0" w:firstLine="630" w:firstLineChars="3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苗建涛</w:t>
            </w:r>
          </w:p>
        </w:tc>
        <w:tc>
          <w:tcPr>
            <w:tcW w:w="1383" w:type="pct"/>
            <w:noWrap w:val="0"/>
            <w:vAlign w:val="center"/>
          </w:tcPr>
          <w:p w14:paraId="096AEABE">
            <w:pPr>
              <w:pStyle w:val="126"/>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销售专员</w:t>
            </w:r>
          </w:p>
        </w:tc>
        <w:tc>
          <w:tcPr>
            <w:tcW w:w="839" w:type="pct"/>
            <w:noWrap w:val="0"/>
            <w:vAlign w:val="bottom"/>
          </w:tcPr>
          <w:p w14:paraId="48FC41B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13853344533</w:t>
            </w:r>
          </w:p>
        </w:tc>
      </w:tr>
      <w:tr w14:paraId="4187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CBFACD1">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6F988665">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74A876AE">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宋</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eastAsia="zh-CN"/>
              </w:rPr>
              <w:t>慧</w:t>
            </w:r>
          </w:p>
        </w:tc>
        <w:tc>
          <w:tcPr>
            <w:tcW w:w="1383" w:type="pct"/>
            <w:noWrap w:val="0"/>
            <w:vAlign w:val="center"/>
          </w:tcPr>
          <w:p w14:paraId="3C2EC7A7">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仓库管理员</w:t>
            </w:r>
          </w:p>
        </w:tc>
        <w:tc>
          <w:tcPr>
            <w:tcW w:w="839" w:type="pct"/>
            <w:noWrap w:val="0"/>
            <w:vAlign w:val="bottom"/>
          </w:tcPr>
          <w:p w14:paraId="11A5B50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18865335856</w:t>
            </w:r>
          </w:p>
        </w:tc>
      </w:tr>
      <w:tr w14:paraId="1341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B9D42E1">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668EBFD1">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1E206AC3">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韩</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eastAsia="zh-CN"/>
              </w:rPr>
              <w:t>峰</w:t>
            </w:r>
          </w:p>
        </w:tc>
        <w:tc>
          <w:tcPr>
            <w:tcW w:w="1383" w:type="pct"/>
            <w:noWrap w:val="0"/>
            <w:vAlign w:val="center"/>
          </w:tcPr>
          <w:p w14:paraId="00EC891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采购</w:t>
            </w:r>
          </w:p>
        </w:tc>
        <w:tc>
          <w:tcPr>
            <w:tcW w:w="839" w:type="pct"/>
            <w:noWrap w:val="0"/>
            <w:vAlign w:val="bottom"/>
          </w:tcPr>
          <w:p w14:paraId="52B2149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13589486496</w:t>
            </w:r>
          </w:p>
        </w:tc>
      </w:tr>
      <w:tr w14:paraId="7C41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restart"/>
            <w:noWrap w:val="0"/>
            <w:vAlign w:val="center"/>
          </w:tcPr>
          <w:p w14:paraId="125108EF">
            <w:pPr>
              <w:pStyle w:val="126"/>
              <w:keepNext w:val="0"/>
              <w:keepLines w:val="0"/>
              <w:widowControl/>
              <w:suppressLineNumbers w:val="0"/>
              <w:spacing w:before="0" w:beforeAutospacing="0" w:after="0" w:afterAutospacing="0"/>
              <w:ind w:left="0" w:right="0"/>
              <w:rPr>
                <w:rFonts w:hint="default"/>
                <w:color w:val="auto"/>
              </w:rPr>
            </w:pPr>
            <w:r>
              <w:rPr>
                <w:rFonts w:hint="eastAsia"/>
                <w:color w:val="auto"/>
              </w:rPr>
              <w:t>医疗救护组</w:t>
            </w:r>
          </w:p>
        </w:tc>
        <w:tc>
          <w:tcPr>
            <w:tcW w:w="766" w:type="pct"/>
            <w:noWrap w:val="0"/>
            <w:vAlign w:val="center"/>
          </w:tcPr>
          <w:p w14:paraId="2376B82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0E5C900E">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刘</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eastAsia="zh-CN"/>
              </w:rPr>
              <w:t>华</w:t>
            </w:r>
          </w:p>
        </w:tc>
        <w:tc>
          <w:tcPr>
            <w:tcW w:w="1383" w:type="pct"/>
            <w:noWrap w:val="0"/>
            <w:vAlign w:val="center"/>
          </w:tcPr>
          <w:p w14:paraId="64208263">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财务部部长</w:t>
            </w:r>
          </w:p>
        </w:tc>
        <w:tc>
          <w:tcPr>
            <w:tcW w:w="839" w:type="pct"/>
            <w:noWrap w:val="0"/>
            <w:vAlign w:val="bottom"/>
          </w:tcPr>
          <w:p w14:paraId="4A117C5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18615123108</w:t>
            </w:r>
          </w:p>
        </w:tc>
      </w:tr>
      <w:tr w14:paraId="7784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43E80FA0">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3A57B54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6BB2378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陈延美</w:t>
            </w:r>
          </w:p>
        </w:tc>
        <w:tc>
          <w:tcPr>
            <w:tcW w:w="1383" w:type="pct"/>
            <w:noWrap w:val="0"/>
            <w:vAlign w:val="center"/>
          </w:tcPr>
          <w:p w14:paraId="68E21A5D">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会计</w:t>
            </w:r>
          </w:p>
        </w:tc>
        <w:tc>
          <w:tcPr>
            <w:tcW w:w="839" w:type="pct"/>
            <w:noWrap w:val="0"/>
            <w:vAlign w:val="bottom"/>
          </w:tcPr>
          <w:p w14:paraId="2C2BF73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13616446087</w:t>
            </w:r>
          </w:p>
        </w:tc>
      </w:tr>
      <w:tr w14:paraId="4D49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36D12DB3">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8D064A5">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73A90E67">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王伟伟</w:t>
            </w:r>
          </w:p>
        </w:tc>
        <w:tc>
          <w:tcPr>
            <w:tcW w:w="1383" w:type="pct"/>
            <w:noWrap w:val="0"/>
            <w:vAlign w:val="center"/>
          </w:tcPr>
          <w:p w14:paraId="18B4FA28">
            <w:pPr>
              <w:pStyle w:val="126"/>
              <w:keepNext w:val="0"/>
              <w:keepLines w:val="0"/>
              <w:widowControl/>
              <w:suppressLineNumbers w:val="0"/>
              <w:spacing w:before="0" w:beforeAutospacing="0" w:after="0" w:afterAutospacing="0"/>
              <w:ind w:left="0" w:right="0"/>
              <w:rPr>
                <w:rFonts w:hint="eastAsia" w:ascii="Times New Roman" w:hAnsi="Times New Roman" w:eastAsia="宋体" w:cs="Times New Roman"/>
                <w:color w:val="auto"/>
                <w:kern w:val="2"/>
                <w:sz w:val="21"/>
                <w:szCs w:val="21"/>
                <w:lang w:val="en-US" w:eastAsia="zh-CN" w:bidi="ar-SA"/>
              </w:rPr>
            </w:pPr>
            <w:r>
              <w:rPr>
                <w:rFonts w:hint="eastAsia"/>
                <w:color w:val="auto"/>
              </w:rPr>
              <w:t>文员</w:t>
            </w:r>
          </w:p>
        </w:tc>
        <w:tc>
          <w:tcPr>
            <w:tcW w:w="839" w:type="pct"/>
            <w:noWrap w:val="0"/>
            <w:vAlign w:val="bottom"/>
          </w:tcPr>
          <w:p w14:paraId="2C4D6C81">
            <w:pPr>
              <w:keepNext w:val="0"/>
              <w:keepLines w:val="0"/>
              <w:widowControl/>
              <w:suppressLineNumbers w:val="0"/>
              <w:spacing w:before="0" w:beforeAutospacing="0" w:after="0" w:afterAutospacing="0"/>
              <w:ind w:left="0" w:right="0"/>
              <w:jc w:val="center"/>
              <w:textAlignment w:val="bottom"/>
              <w:rPr>
                <w:rFonts w:hint="eastAsia"/>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15206681758</w:t>
            </w:r>
          </w:p>
        </w:tc>
      </w:tr>
      <w:tr w14:paraId="0B06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6189D208">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12AC973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168C1E5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王佳宁</w:t>
            </w:r>
          </w:p>
        </w:tc>
        <w:tc>
          <w:tcPr>
            <w:tcW w:w="1383" w:type="pct"/>
            <w:noWrap w:val="0"/>
            <w:vAlign w:val="center"/>
          </w:tcPr>
          <w:p w14:paraId="40DD7F66">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文员</w:t>
            </w:r>
          </w:p>
        </w:tc>
        <w:tc>
          <w:tcPr>
            <w:tcW w:w="839" w:type="pct"/>
            <w:noWrap w:val="0"/>
            <w:vAlign w:val="center"/>
          </w:tcPr>
          <w:p w14:paraId="268AB65F">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13616446200</w:t>
            </w:r>
          </w:p>
        </w:tc>
      </w:tr>
      <w:tr w14:paraId="6F8D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restart"/>
            <w:noWrap w:val="0"/>
            <w:vAlign w:val="center"/>
          </w:tcPr>
          <w:p w14:paraId="77973B2B">
            <w:pPr>
              <w:pStyle w:val="126"/>
              <w:keepNext w:val="0"/>
              <w:keepLines w:val="0"/>
              <w:widowControl/>
              <w:suppressLineNumbers w:val="0"/>
              <w:spacing w:before="0" w:beforeAutospacing="0" w:after="0" w:afterAutospacing="0"/>
              <w:ind w:left="0" w:right="0"/>
              <w:rPr>
                <w:rFonts w:hint="default"/>
                <w:color w:val="auto"/>
              </w:rPr>
            </w:pPr>
            <w:r>
              <w:rPr>
                <w:rFonts w:hint="eastAsia"/>
                <w:color w:val="auto"/>
              </w:rPr>
              <w:t>警戒保卫组</w:t>
            </w:r>
          </w:p>
        </w:tc>
        <w:tc>
          <w:tcPr>
            <w:tcW w:w="766" w:type="pct"/>
            <w:noWrap w:val="0"/>
            <w:vAlign w:val="center"/>
          </w:tcPr>
          <w:p w14:paraId="58C106BE">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4B33750C">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李</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超</w:t>
            </w:r>
          </w:p>
        </w:tc>
        <w:tc>
          <w:tcPr>
            <w:tcW w:w="1383" w:type="pct"/>
            <w:noWrap w:val="0"/>
            <w:vAlign w:val="center"/>
          </w:tcPr>
          <w:p w14:paraId="2F6036C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保安</w:t>
            </w:r>
            <w:r>
              <w:rPr>
                <w:rFonts w:hint="eastAsia" w:ascii="宋体" w:hAnsi="宋体" w:cs="宋体"/>
                <w:color w:val="auto"/>
                <w:sz w:val="21"/>
                <w:szCs w:val="21"/>
                <w:lang w:eastAsia="zh-CN"/>
              </w:rPr>
              <w:t>班</w:t>
            </w:r>
            <w:r>
              <w:rPr>
                <w:rFonts w:hint="eastAsia" w:ascii="宋体" w:hAnsi="宋体" w:eastAsia="宋体" w:cs="宋体"/>
                <w:color w:val="auto"/>
                <w:sz w:val="21"/>
                <w:szCs w:val="21"/>
                <w:lang w:eastAsia="zh-CN"/>
              </w:rPr>
              <w:t>长</w:t>
            </w:r>
          </w:p>
        </w:tc>
        <w:tc>
          <w:tcPr>
            <w:tcW w:w="839" w:type="pct"/>
            <w:noWrap w:val="0"/>
            <w:vAlign w:val="bottom"/>
          </w:tcPr>
          <w:p w14:paraId="65DF7A2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13964397861</w:t>
            </w:r>
          </w:p>
        </w:tc>
      </w:tr>
      <w:tr w14:paraId="631C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73E5BFA1">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0C4DC0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2C22F878">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石晨光</w:t>
            </w:r>
          </w:p>
        </w:tc>
        <w:tc>
          <w:tcPr>
            <w:tcW w:w="1383" w:type="pct"/>
            <w:noWrap w:val="0"/>
            <w:vAlign w:val="center"/>
          </w:tcPr>
          <w:p w14:paraId="0C028052">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保安队员</w:t>
            </w:r>
          </w:p>
        </w:tc>
        <w:tc>
          <w:tcPr>
            <w:tcW w:w="839" w:type="pct"/>
            <w:noWrap w:val="0"/>
            <w:vAlign w:val="center"/>
          </w:tcPr>
          <w:p w14:paraId="51CF85C9">
            <w:pPr>
              <w:pStyle w:val="126"/>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13884606067</w:t>
            </w:r>
          </w:p>
        </w:tc>
      </w:tr>
      <w:tr w14:paraId="0C8A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1E64BDE3">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428DB2D">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组员</w:t>
            </w:r>
          </w:p>
        </w:tc>
        <w:tc>
          <w:tcPr>
            <w:tcW w:w="1034" w:type="pct"/>
            <w:noWrap w:val="0"/>
            <w:vAlign w:val="center"/>
          </w:tcPr>
          <w:p w14:paraId="0D6FB115">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曹全民</w:t>
            </w:r>
          </w:p>
        </w:tc>
        <w:tc>
          <w:tcPr>
            <w:tcW w:w="1383" w:type="pct"/>
            <w:noWrap w:val="0"/>
            <w:vAlign w:val="center"/>
          </w:tcPr>
          <w:p w14:paraId="201DA550">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保安队员</w:t>
            </w:r>
          </w:p>
        </w:tc>
        <w:tc>
          <w:tcPr>
            <w:tcW w:w="839" w:type="pct"/>
            <w:noWrap w:val="0"/>
            <w:vAlign w:val="center"/>
          </w:tcPr>
          <w:p w14:paraId="6F276134">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13792163505</w:t>
            </w:r>
          </w:p>
        </w:tc>
      </w:tr>
      <w:tr w14:paraId="53A9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26C8E0B6">
            <w:pPr>
              <w:pStyle w:val="126"/>
              <w:keepNext w:val="0"/>
              <w:keepLines w:val="0"/>
              <w:widowControl/>
              <w:suppressLineNumbers w:val="0"/>
              <w:spacing w:before="0" w:beforeAutospacing="0" w:after="0" w:afterAutospacing="0"/>
              <w:ind w:left="0" w:right="0"/>
              <w:rPr>
                <w:rFonts w:hint="default"/>
                <w:color w:val="auto"/>
              </w:rPr>
            </w:pPr>
            <w:r>
              <w:rPr>
                <w:rFonts w:hint="eastAsia"/>
                <w:color w:val="auto"/>
              </w:rPr>
              <w:t>环境应急监测组</w:t>
            </w:r>
          </w:p>
        </w:tc>
        <w:tc>
          <w:tcPr>
            <w:tcW w:w="766" w:type="pct"/>
            <w:noWrap w:val="0"/>
            <w:vAlign w:val="center"/>
          </w:tcPr>
          <w:p w14:paraId="273DBD11">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3ABBC20F">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李</w:t>
            </w:r>
            <w:r>
              <w:rPr>
                <w:rFonts w:hint="eastAsia" w:ascii="宋体" w:hAnsi="宋体" w:cs="宋体"/>
                <w:color w:val="auto"/>
                <w:sz w:val="21"/>
                <w:szCs w:val="21"/>
                <w:lang w:eastAsia="zh-CN"/>
              </w:rPr>
              <w:t>作经</w:t>
            </w:r>
          </w:p>
        </w:tc>
        <w:tc>
          <w:tcPr>
            <w:tcW w:w="1383" w:type="pct"/>
            <w:noWrap w:val="0"/>
            <w:vAlign w:val="center"/>
          </w:tcPr>
          <w:p w14:paraId="0D719FB7">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cs="宋体"/>
                <w:color w:val="auto"/>
                <w:sz w:val="21"/>
                <w:szCs w:val="21"/>
                <w:lang w:eastAsia="zh-CN"/>
              </w:rPr>
              <w:t>环保员</w:t>
            </w:r>
          </w:p>
        </w:tc>
        <w:tc>
          <w:tcPr>
            <w:tcW w:w="839" w:type="pct"/>
            <w:noWrap w:val="0"/>
            <w:vAlign w:val="center"/>
          </w:tcPr>
          <w:p w14:paraId="48461EFB">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13964397861</w:t>
            </w:r>
          </w:p>
        </w:tc>
      </w:tr>
      <w:tr w14:paraId="5F79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63C1BB74">
            <w:pPr>
              <w:pStyle w:val="126"/>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7CBF082">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副组长</w:t>
            </w:r>
          </w:p>
        </w:tc>
        <w:tc>
          <w:tcPr>
            <w:tcW w:w="1034" w:type="pct"/>
            <w:noWrap w:val="0"/>
            <w:vAlign w:val="center"/>
          </w:tcPr>
          <w:p w14:paraId="6D681BB1">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郗继才</w:t>
            </w:r>
          </w:p>
        </w:tc>
        <w:tc>
          <w:tcPr>
            <w:tcW w:w="1383" w:type="pct"/>
            <w:noWrap w:val="0"/>
            <w:vAlign w:val="center"/>
          </w:tcPr>
          <w:p w14:paraId="40D033A7">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职工</w:t>
            </w:r>
          </w:p>
        </w:tc>
        <w:tc>
          <w:tcPr>
            <w:tcW w:w="839" w:type="pct"/>
            <w:noWrap w:val="0"/>
            <w:vAlign w:val="center"/>
          </w:tcPr>
          <w:p w14:paraId="2578E5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13969372036</w:t>
            </w:r>
          </w:p>
        </w:tc>
      </w:tr>
      <w:tr w14:paraId="78B6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34EE39A4">
            <w:pPr>
              <w:pStyle w:val="126"/>
              <w:keepNext w:val="0"/>
              <w:keepLines w:val="0"/>
              <w:widowControl/>
              <w:suppressLineNumbers w:val="0"/>
              <w:spacing w:before="0" w:beforeAutospacing="0" w:after="0" w:afterAutospacing="0"/>
              <w:ind w:left="0" w:right="0"/>
              <w:rPr>
                <w:rFonts w:hint="default"/>
                <w:color w:val="auto"/>
              </w:rPr>
            </w:pPr>
            <w:r>
              <w:rPr>
                <w:rFonts w:hint="eastAsia"/>
                <w:color w:val="auto"/>
              </w:rPr>
              <w:t>应急专家组</w:t>
            </w:r>
          </w:p>
        </w:tc>
        <w:tc>
          <w:tcPr>
            <w:tcW w:w="766" w:type="pct"/>
            <w:noWrap w:val="0"/>
            <w:vAlign w:val="center"/>
          </w:tcPr>
          <w:p w14:paraId="64451B19">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组长</w:t>
            </w:r>
          </w:p>
        </w:tc>
        <w:tc>
          <w:tcPr>
            <w:tcW w:w="1034" w:type="pct"/>
            <w:noWrap w:val="0"/>
            <w:vAlign w:val="center"/>
          </w:tcPr>
          <w:p w14:paraId="15F1689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邹勇</w:t>
            </w:r>
          </w:p>
        </w:tc>
        <w:tc>
          <w:tcPr>
            <w:tcW w:w="1383" w:type="pct"/>
            <w:noWrap w:val="0"/>
            <w:vAlign w:val="center"/>
          </w:tcPr>
          <w:p w14:paraId="4F04B8D2">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安全总监</w:t>
            </w:r>
          </w:p>
        </w:tc>
        <w:tc>
          <w:tcPr>
            <w:tcW w:w="839" w:type="pct"/>
            <w:noWrap w:val="0"/>
            <w:vAlign w:val="center"/>
          </w:tcPr>
          <w:p w14:paraId="2635E50C">
            <w:pPr>
              <w:pStyle w:val="126"/>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13953310759</w:t>
            </w:r>
          </w:p>
        </w:tc>
      </w:tr>
      <w:tr w14:paraId="6C27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46FE6E99">
            <w:pPr>
              <w:pStyle w:val="126"/>
              <w:keepNext w:val="0"/>
              <w:keepLines w:val="0"/>
              <w:widowControl/>
              <w:suppressLineNumbers w:val="0"/>
              <w:spacing w:before="0" w:beforeAutospacing="0" w:after="0" w:afterAutospacing="0"/>
              <w:ind w:left="0" w:right="0"/>
              <w:rPr>
                <w:rFonts w:hint="default"/>
                <w:color w:val="auto"/>
              </w:rPr>
            </w:pPr>
          </w:p>
        </w:tc>
        <w:tc>
          <w:tcPr>
            <w:tcW w:w="1800" w:type="pct"/>
            <w:gridSpan w:val="2"/>
            <w:noWrap w:val="0"/>
            <w:vAlign w:val="center"/>
          </w:tcPr>
          <w:p w14:paraId="386EB4FB">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24小时应急电话</w:t>
            </w:r>
          </w:p>
        </w:tc>
        <w:tc>
          <w:tcPr>
            <w:tcW w:w="2222" w:type="pct"/>
            <w:gridSpan w:val="2"/>
            <w:noWrap w:val="0"/>
            <w:vAlign w:val="center"/>
          </w:tcPr>
          <w:p w14:paraId="31F73404">
            <w:pPr>
              <w:pStyle w:val="126"/>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0533-</w:t>
            </w:r>
            <w:r>
              <w:rPr>
                <w:rFonts w:hint="eastAsia" w:ascii="宋体" w:hAnsi="宋体" w:cs="宋体"/>
                <w:color w:val="auto"/>
                <w:sz w:val="21"/>
                <w:szCs w:val="21"/>
                <w:lang w:val="en-US" w:eastAsia="zh-CN"/>
              </w:rPr>
              <w:t>7199909</w:t>
            </w:r>
          </w:p>
        </w:tc>
      </w:tr>
    </w:tbl>
    <w:p w14:paraId="796D1172">
      <w:pPr>
        <w:pStyle w:val="8"/>
        <w:spacing w:before="240"/>
      </w:pPr>
      <w:r>
        <w:rPr>
          <w:rFonts w:hint="eastAsia"/>
          <w:lang w:val="en-US" w:eastAsia="zh-CN"/>
        </w:rPr>
        <w:t>3.7.3</w:t>
      </w:r>
      <w:r>
        <w:t>外部救援机构</w:t>
      </w:r>
    </w:p>
    <w:p w14:paraId="0D4B37DE">
      <w:pPr>
        <w:pStyle w:val="123"/>
        <w:spacing w:after="120"/>
        <w:rPr>
          <w:lang w:eastAsia="zh-CN"/>
        </w:rPr>
      </w:pPr>
      <w:r>
        <w:rPr>
          <w:lang w:eastAsia="zh-CN"/>
        </w:rPr>
        <w:t>外部救援机构均为政府职能部门或服务型机构，一旦发生突发环境事件，通过信息传递需要实施外部救援时，相关部门本着“以人为本、快速响应”的原则，有责任和义务对本公司进行应急救援。</w:t>
      </w:r>
    </w:p>
    <w:p w14:paraId="5262D21B">
      <w:pPr>
        <w:bidi w:val="0"/>
        <w:ind w:firstLine="2520" w:firstLineChars="1200"/>
        <w:rPr>
          <w:lang w:eastAsia="zh-CN"/>
        </w:rPr>
      </w:pPr>
      <w:r>
        <w:rPr>
          <w:lang w:eastAsia="zh-CN"/>
        </w:rPr>
        <w:t>表</w:t>
      </w:r>
      <w:r>
        <w:rPr>
          <w:lang w:eastAsia="zh-CN"/>
        </w:rPr>
        <w:fldChar w:fldCharType="begin"/>
      </w:r>
      <w:r>
        <w:rPr>
          <w:lang w:eastAsia="zh-CN"/>
        </w:rPr>
        <w:instrText xml:space="preserve"> STYLEREF 2 \s </w:instrText>
      </w:r>
      <w:r>
        <w:rPr>
          <w:lang w:eastAsia="zh-CN"/>
        </w:rPr>
        <w:fldChar w:fldCharType="separate"/>
      </w:r>
      <w:r>
        <w:rPr>
          <w:lang w:eastAsia="zh-CN"/>
        </w:rPr>
        <w:t>3.7</w:t>
      </w:r>
      <w:r>
        <w:rPr>
          <w:lang w:eastAsia="zh-CN"/>
        </w:rPr>
        <w:fldChar w:fldCharType="end"/>
      </w:r>
      <w:r>
        <w:rPr>
          <w:lang w:eastAsia="zh-CN"/>
        </w:rPr>
        <w:noBreakHyphen/>
      </w:r>
      <w:r>
        <w:rPr>
          <w:lang w:eastAsia="zh-CN"/>
        </w:rPr>
        <w:fldChar w:fldCharType="begin"/>
      </w:r>
      <w:r>
        <w:rPr>
          <w:lang w:eastAsia="zh-CN"/>
        </w:rPr>
        <w:instrText xml:space="preserve"> SEQ 表格 \* ARABIC \s 2 </w:instrText>
      </w:r>
      <w:r>
        <w:rPr>
          <w:lang w:eastAsia="zh-CN"/>
        </w:rPr>
        <w:fldChar w:fldCharType="separate"/>
      </w:r>
      <w:r>
        <w:rPr>
          <w:lang w:eastAsia="zh-CN"/>
        </w:rPr>
        <w:t>4</w:t>
      </w:r>
      <w:r>
        <w:rPr>
          <w:lang w:eastAsia="zh-CN"/>
        </w:rPr>
        <w:fldChar w:fldCharType="end"/>
      </w:r>
      <w:r>
        <w:rPr>
          <w:lang w:eastAsia="zh-CN"/>
        </w:rPr>
        <w:t xml:space="preserve"> </w:t>
      </w:r>
      <w:bookmarkStart w:id="60" w:name="_Hlk73264474"/>
      <w:r>
        <w:rPr>
          <w:lang w:eastAsia="zh-CN"/>
        </w:rPr>
        <w:t>外部救援机构联络方式一览表</w:t>
      </w:r>
      <w:bookmarkEnd w:id="60"/>
    </w:p>
    <w:p w14:paraId="3C9B2981">
      <w:pPr>
        <w:bidi w:val="0"/>
        <w:rPr>
          <w:lang w:eastAsia="zh-CN"/>
        </w:rPr>
      </w:pP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228"/>
        <w:gridCol w:w="2835"/>
        <w:gridCol w:w="1723"/>
      </w:tblGrid>
      <w:tr w14:paraId="41F0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2842" w:type="dxa"/>
            <w:noWrap w:val="0"/>
            <w:vAlign w:val="center"/>
          </w:tcPr>
          <w:p w14:paraId="16425CD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2228" w:type="dxa"/>
            <w:noWrap w:val="0"/>
            <w:vAlign w:val="center"/>
          </w:tcPr>
          <w:p w14:paraId="5D6354E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c>
          <w:tcPr>
            <w:tcW w:w="2835" w:type="dxa"/>
            <w:noWrap w:val="0"/>
            <w:vAlign w:val="center"/>
          </w:tcPr>
          <w:p w14:paraId="4B50C2E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1723" w:type="dxa"/>
            <w:noWrap w:val="0"/>
            <w:vAlign w:val="center"/>
          </w:tcPr>
          <w:p w14:paraId="6AEE70B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r>
      <w:tr w14:paraId="23E3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842" w:type="dxa"/>
            <w:noWrap w:val="0"/>
            <w:vAlign w:val="center"/>
          </w:tcPr>
          <w:p w14:paraId="61B3B74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淄博市应急管理局</w:t>
            </w:r>
          </w:p>
        </w:tc>
        <w:tc>
          <w:tcPr>
            <w:tcW w:w="2228" w:type="dxa"/>
            <w:noWrap w:val="0"/>
            <w:vAlign w:val="center"/>
          </w:tcPr>
          <w:p w14:paraId="738A237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2301930</w:t>
            </w:r>
          </w:p>
        </w:tc>
        <w:tc>
          <w:tcPr>
            <w:tcW w:w="2835" w:type="dxa"/>
            <w:noWrap w:val="0"/>
            <w:vAlign w:val="center"/>
          </w:tcPr>
          <w:p w14:paraId="31FEBD1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w:t>
            </w:r>
          </w:p>
        </w:tc>
        <w:tc>
          <w:tcPr>
            <w:tcW w:w="1723" w:type="dxa"/>
            <w:noWrap w:val="0"/>
            <w:vAlign w:val="center"/>
          </w:tcPr>
          <w:p w14:paraId="4C39194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3</w:t>
            </w:r>
            <w:r>
              <w:rPr>
                <w:rFonts w:hint="default" w:ascii="Times New Roman" w:hAnsi="Times New Roman" w:cs="Times New Roman"/>
                <w:kern w:val="2"/>
                <w:sz w:val="21"/>
                <w:szCs w:val="21"/>
              </w:rPr>
              <w:t>183020</w:t>
            </w:r>
          </w:p>
        </w:tc>
      </w:tr>
      <w:tr w14:paraId="79F2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842" w:type="dxa"/>
            <w:noWrap w:val="0"/>
            <w:vAlign w:val="center"/>
          </w:tcPr>
          <w:p w14:paraId="784C36D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淄博市生态环境局临淄分局</w:t>
            </w:r>
          </w:p>
        </w:tc>
        <w:tc>
          <w:tcPr>
            <w:tcW w:w="2228" w:type="dxa"/>
            <w:noWrap w:val="0"/>
            <w:vAlign w:val="center"/>
          </w:tcPr>
          <w:p w14:paraId="5C98722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718</w:t>
            </w:r>
            <w:r>
              <w:rPr>
                <w:rFonts w:hint="default" w:ascii="Times New Roman" w:hAnsi="Times New Roman" w:cs="Times New Roman"/>
                <w:kern w:val="2"/>
                <w:sz w:val="21"/>
                <w:szCs w:val="21"/>
              </w:rPr>
              <w:t>4544</w:t>
            </w:r>
          </w:p>
        </w:tc>
        <w:tc>
          <w:tcPr>
            <w:tcW w:w="2835" w:type="dxa"/>
            <w:noWrap w:val="0"/>
            <w:vAlign w:val="center"/>
          </w:tcPr>
          <w:p w14:paraId="5C2D2B0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鲁中应急救援中心</w:t>
            </w:r>
          </w:p>
        </w:tc>
        <w:tc>
          <w:tcPr>
            <w:tcW w:w="1723" w:type="dxa"/>
            <w:noWrap w:val="0"/>
            <w:vAlign w:val="center"/>
          </w:tcPr>
          <w:p w14:paraId="2F0BF23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7585119</w:t>
            </w:r>
          </w:p>
        </w:tc>
      </w:tr>
      <w:tr w14:paraId="2F38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6F1FB2C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国家应急咨询电话</w:t>
            </w:r>
          </w:p>
        </w:tc>
        <w:tc>
          <w:tcPr>
            <w:tcW w:w="2228" w:type="dxa"/>
            <w:noWrap w:val="0"/>
            <w:vAlign w:val="center"/>
          </w:tcPr>
          <w:p w14:paraId="5D0FB4D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0532-83889090</w:t>
            </w:r>
          </w:p>
        </w:tc>
        <w:tc>
          <w:tcPr>
            <w:tcW w:w="2835" w:type="dxa"/>
            <w:noWrap w:val="0"/>
            <w:vAlign w:val="center"/>
          </w:tcPr>
          <w:p w14:paraId="0467FCB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临淄区应急管理局</w:t>
            </w:r>
          </w:p>
        </w:tc>
        <w:tc>
          <w:tcPr>
            <w:tcW w:w="1723" w:type="dxa"/>
            <w:noWrap w:val="0"/>
            <w:vAlign w:val="center"/>
          </w:tcPr>
          <w:p w14:paraId="2BD4102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lang w:val="en-US" w:eastAsia="zh-CN" w:bidi="ar-SA"/>
              </w:rPr>
              <w:t>7163086</w:t>
            </w:r>
          </w:p>
        </w:tc>
      </w:tr>
      <w:tr w14:paraId="6BE4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4D9BF01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临淄区政府值班电话</w:t>
            </w:r>
          </w:p>
        </w:tc>
        <w:tc>
          <w:tcPr>
            <w:tcW w:w="2228" w:type="dxa"/>
            <w:noWrap w:val="0"/>
            <w:vAlign w:val="center"/>
          </w:tcPr>
          <w:p w14:paraId="2AA0768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7220372</w:t>
            </w:r>
          </w:p>
        </w:tc>
        <w:tc>
          <w:tcPr>
            <w:tcW w:w="2835" w:type="dxa"/>
            <w:noWrap w:val="0"/>
            <w:vAlign w:val="center"/>
          </w:tcPr>
          <w:p w14:paraId="549A0FC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区水资源办公室</w:t>
            </w:r>
          </w:p>
        </w:tc>
        <w:tc>
          <w:tcPr>
            <w:tcW w:w="1723" w:type="dxa"/>
            <w:noWrap w:val="0"/>
            <w:vAlign w:val="center"/>
          </w:tcPr>
          <w:p w14:paraId="2D04E6A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7310569</w:t>
            </w:r>
          </w:p>
        </w:tc>
      </w:tr>
      <w:tr w14:paraId="44A0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12FF3DD8">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color w:val="000000"/>
                <w:kern w:val="2"/>
                <w:sz w:val="21"/>
                <w:szCs w:val="21"/>
                <w:lang w:eastAsia="zh-CN"/>
              </w:rPr>
              <w:t>辛店街道安环办</w:t>
            </w:r>
          </w:p>
        </w:tc>
        <w:tc>
          <w:tcPr>
            <w:tcW w:w="2228" w:type="dxa"/>
            <w:noWrap w:val="0"/>
            <w:vAlign w:val="center"/>
          </w:tcPr>
          <w:p w14:paraId="7F866F0A">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color w:val="000000"/>
                <w:kern w:val="2"/>
                <w:sz w:val="21"/>
                <w:szCs w:val="21"/>
              </w:rPr>
              <w:t>0533-</w:t>
            </w:r>
            <w:r>
              <w:rPr>
                <w:rFonts w:hint="eastAsia" w:ascii="Times New Roman" w:hAnsi="Times New Roman" w:cs="Times New Roman"/>
                <w:color w:val="000000"/>
                <w:kern w:val="2"/>
                <w:sz w:val="21"/>
                <w:szCs w:val="21"/>
                <w:lang w:val="en-US" w:eastAsia="zh-CN"/>
              </w:rPr>
              <w:t>7190880</w:t>
            </w:r>
          </w:p>
        </w:tc>
        <w:tc>
          <w:tcPr>
            <w:tcW w:w="2835" w:type="dxa"/>
            <w:noWrap w:val="0"/>
            <w:vAlign w:val="center"/>
          </w:tcPr>
          <w:p w14:paraId="78A2C87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齐鲁消防大队</w:t>
            </w:r>
          </w:p>
        </w:tc>
        <w:tc>
          <w:tcPr>
            <w:tcW w:w="1723" w:type="dxa"/>
            <w:noWrap w:val="0"/>
            <w:vAlign w:val="center"/>
          </w:tcPr>
          <w:p w14:paraId="440323C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7582129</w:t>
            </w:r>
          </w:p>
        </w:tc>
      </w:tr>
      <w:tr w14:paraId="1619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50CABD2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临淄区消防大队</w:t>
            </w:r>
          </w:p>
        </w:tc>
        <w:tc>
          <w:tcPr>
            <w:tcW w:w="2228" w:type="dxa"/>
            <w:noWrap w:val="0"/>
            <w:vAlign w:val="center"/>
          </w:tcPr>
          <w:p w14:paraId="694A4AE1">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0533-7180119/119</w:t>
            </w:r>
          </w:p>
        </w:tc>
        <w:tc>
          <w:tcPr>
            <w:tcW w:w="2835" w:type="dxa"/>
            <w:noWrap w:val="0"/>
            <w:vAlign w:val="center"/>
          </w:tcPr>
          <w:p w14:paraId="19D1100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临淄区人民医院</w:t>
            </w:r>
          </w:p>
        </w:tc>
        <w:tc>
          <w:tcPr>
            <w:tcW w:w="1723" w:type="dxa"/>
            <w:noWrap w:val="0"/>
            <w:vAlign w:val="center"/>
          </w:tcPr>
          <w:p w14:paraId="5327936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color w:val="000000"/>
                <w:kern w:val="2"/>
                <w:sz w:val="21"/>
                <w:szCs w:val="21"/>
              </w:rPr>
              <w:t>0533-7180120</w:t>
            </w:r>
          </w:p>
        </w:tc>
      </w:tr>
      <w:tr w14:paraId="014D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09FBE3D1">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lang w:eastAsia="zh-CN"/>
              </w:rPr>
              <w:t>山东隆盛和助剂有限公司</w:t>
            </w:r>
          </w:p>
        </w:tc>
        <w:tc>
          <w:tcPr>
            <w:tcW w:w="2228" w:type="dxa"/>
            <w:noWrap w:val="0"/>
            <w:vAlign w:val="center"/>
          </w:tcPr>
          <w:p w14:paraId="35F9E8C9">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0533-7199909</w:t>
            </w:r>
          </w:p>
        </w:tc>
        <w:tc>
          <w:tcPr>
            <w:tcW w:w="2835" w:type="dxa"/>
            <w:noWrap w:val="0"/>
            <w:vAlign w:val="center"/>
          </w:tcPr>
          <w:p w14:paraId="3BA67A32">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山东</w:t>
            </w:r>
            <w:r>
              <w:rPr>
                <w:rFonts w:hint="eastAsia" w:ascii="Times New Roman" w:hAnsi="Times New Roman" w:cs="Times New Roman"/>
                <w:color w:val="000000"/>
                <w:kern w:val="2"/>
                <w:sz w:val="21"/>
                <w:szCs w:val="21"/>
                <w:lang w:eastAsia="zh-CN"/>
              </w:rPr>
              <w:t>春城</w:t>
            </w:r>
            <w:r>
              <w:rPr>
                <w:rFonts w:hint="eastAsia" w:ascii="Times New Roman" w:hAnsi="Times New Roman" w:cs="Times New Roman"/>
                <w:color w:val="000000"/>
                <w:kern w:val="2"/>
                <w:sz w:val="21"/>
                <w:szCs w:val="21"/>
              </w:rPr>
              <w:t>检测有限公司</w:t>
            </w:r>
          </w:p>
        </w:tc>
        <w:tc>
          <w:tcPr>
            <w:tcW w:w="1723" w:type="dxa"/>
            <w:noWrap w:val="0"/>
            <w:vAlign w:val="center"/>
          </w:tcPr>
          <w:p w14:paraId="5A427F5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lang w:val="en-US" w:eastAsia="zh-CN"/>
              </w:rPr>
              <w:t>17560323988</w:t>
            </w:r>
          </w:p>
        </w:tc>
      </w:tr>
      <w:tr w14:paraId="5026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0A2792E0">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eastAsia="zh-CN"/>
              </w:rPr>
              <w:t>山东九盛检测科技有限公司</w:t>
            </w:r>
          </w:p>
        </w:tc>
        <w:tc>
          <w:tcPr>
            <w:tcW w:w="2228" w:type="dxa"/>
            <w:noWrap w:val="0"/>
            <w:vAlign w:val="center"/>
          </w:tcPr>
          <w:p w14:paraId="6A5EB6D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13969359122</w:t>
            </w:r>
          </w:p>
        </w:tc>
        <w:tc>
          <w:tcPr>
            <w:tcW w:w="2835" w:type="dxa"/>
            <w:noWrap w:val="0"/>
            <w:vAlign w:val="center"/>
          </w:tcPr>
          <w:p w14:paraId="1E3F1582">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山东隆信药业有限公司</w:t>
            </w:r>
          </w:p>
        </w:tc>
        <w:tc>
          <w:tcPr>
            <w:tcW w:w="1723" w:type="dxa"/>
            <w:noWrap w:val="0"/>
            <w:vAlign w:val="center"/>
          </w:tcPr>
          <w:p w14:paraId="518693D1">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kern w:val="2"/>
                <w:sz w:val="21"/>
                <w:szCs w:val="21"/>
                <w:lang w:val="en-US" w:eastAsia="zh-CN"/>
              </w:rPr>
              <w:t>0533-7199909</w:t>
            </w:r>
          </w:p>
        </w:tc>
      </w:tr>
      <w:tr w14:paraId="644A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1F8551F6">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东夏村</w:t>
            </w:r>
          </w:p>
        </w:tc>
        <w:tc>
          <w:tcPr>
            <w:tcW w:w="2228" w:type="dxa"/>
            <w:noWrap w:val="0"/>
            <w:vAlign w:val="center"/>
          </w:tcPr>
          <w:p w14:paraId="0AF1946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0533-7480226</w:t>
            </w:r>
          </w:p>
        </w:tc>
        <w:tc>
          <w:tcPr>
            <w:tcW w:w="2835" w:type="dxa"/>
            <w:noWrap w:val="0"/>
            <w:vAlign w:val="center"/>
          </w:tcPr>
          <w:p w14:paraId="5DA9BE63">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金岭三村</w:t>
            </w:r>
          </w:p>
        </w:tc>
        <w:tc>
          <w:tcPr>
            <w:tcW w:w="1723" w:type="dxa"/>
            <w:noWrap w:val="0"/>
            <w:vAlign w:val="center"/>
          </w:tcPr>
          <w:p w14:paraId="098B5E0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0533-7480378</w:t>
            </w:r>
          </w:p>
        </w:tc>
      </w:tr>
      <w:tr w14:paraId="2FDE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3DA6B5E4">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西夏村</w:t>
            </w:r>
          </w:p>
        </w:tc>
        <w:tc>
          <w:tcPr>
            <w:tcW w:w="2228" w:type="dxa"/>
            <w:noWrap w:val="0"/>
            <w:vAlign w:val="center"/>
          </w:tcPr>
          <w:p w14:paraId="3B1DC0A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0533-7480755</w:t>
            </w:r>
          </w:p>
        </w:tc>
        <w:tc>
          <w:tcPr>
            <w:tcW w:w="2835" w:type="dxa"/>
            <w:noWrap w:val="0"/>
            <w:vAlign w:val="center"/>
          </w:tcPr>
          <w:p w14:paraId="49069B85">
            <w:pPr>
              <w:keepNext w:val="0"/>
              <w:keepLines w:val="0"/>
              <w:suppressLineNumbers w:val="0"/>
              <w:spacing w:before="0" w:beforeAutospacing="0" w:after="0" w:afterAutospacing="0" w:line="245" w:lineRule="auto"/>
              <w:ind w:left="0" w:leftChars="0" w:right="0" w:rightChars="0"/>
              <w:jc w:val="center"/>
              <w:rPr>
                <w:rFonts w:hint="eastAsia" w:ascii="Times New Roman" w:hAnsi="Times New Roman" w:cs="Times New Roman"/>
                <w:color w:val="000000"/>
                <w:kern w:val="2"/>
                <w:sz w:val="21"/>
                <w:szCs w:val="21"/>
                <w:lang w:val="en-US" w:eastAsia="zh-CN" w:bidi="ar-SA"/>
              </w:rPr>
            </w:pPr>
            <w:r>
              <w:rPr>
                <w:rFonts w:hint="eastAsia" w:cs="Times New Roman"/>
                <w:color w:val="000000"/>
                <w:kern w:val="2"/>
                <w:sz w:val="21"/>
                <w:szCs w:val="21"/>
                <w:lang w:val="en-US" w:eastAsia="zh-CN" w:bidi="ar-SA"/>
              </w:rPr>
              <w:t>齐鲁化工园区</w:t>
            </w:r>
          </w:p>
        </w:tc>
        <w:tc>
          <w:tcPr>
            <w:tcW w:w="1723" w:type="dxa"/>
            <w:noWrap w:val="0"/>
            <w:vAlign w:val="center"/>
          </w:tcPr>
          <w:p w14:paraId="3A78137E">
            <w:pPr>
              <w:keepNext w:val="0"/>
              <w:keepLines w:val="0"/>
              <w:suppressLineNumbers w:val="0"/>
              <w:spacing w:before="0" w:beforeAutospacing="0" w:after="0" w:afterAutospacing="0" w:line="245" w:lineRule="auto"/>
              <w:ind w:left="0" w:leftChars="0" w:right="0" w:rightChars="0"/>
              <w:jc w:val="center"/>
              <w:rPr>
                <w:rFonts w:hint="eastAsia"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0533-7210501</w:t>
            </w:r>
          </w:p>
        </w:tc>
      </w:tr>
    </w:tbl>
    <w:p w14:paraId="56EAC422">
      <w:pPr>
        <w:bidi w:val="0"/>
        <w:jc w:val="left"/>
        <w:rPr>
          <w:lang w:eastAsia="zh-CN"/>
        </w:rPr>
      </w:pPr>
    </w:p>
    <w:p w14:paraId="186AB506">
      <w:pPr>
        <w:pStyle w:val="6"/>
        <w:pageBreakBefore w:val="0"/>
        <w:kinsoku/>
        <w:wordWrap/>
        <w:overflowPunct/>
        <w:topLinePunct w:val="0"/>
        <w:autoSpaceDE/>
        <w:autoSpaceDN/>
        <w:bidi w:val="0"/>
        <w:spacing w:beforeLines="0" w:afterLines="0"/>
        <w:textAlignment w:val="auto"/>
        <w:rPr>
          <w:rFonts w:ascii="Times New Roman" w:hAnsi="Times New Roman" w:cs="Times New Roman"/>
        </w:rPr>
      </w:pPr>
      <w:bookmarkStart w:id="61" w:name="_Toc9151"/>
      <w:bookmarkStart w:id="62" w:name="_Toc127256779"/>
      <w:bookmarkStart w:id="63" w:name="_Toc73285821"/>
      <w:r>
        <w:rPr>
          <w:rFonts w:hint="eastAsia" w:ascii="Times New Roman" w:hAnsi="Times New Roman" w:cs="Times New Roman"/>
          <w:lang w:val="en-US" w:eastAsia="zh-CN"/>
        </w:rPr>
        <w:t>4</w:t>
      </w:r>
      <w:r>
        <w:rPr>
          <w:rFonts w:ascii="Times New Roman" w:hAnsi="Times New Roman" w:cs="Times New Roman"/>
        </w:rPr>
        <w:t>突发环境事件及后果分析</w:t>
      </w:r>
      <w:bookmarkEnd w:id="61"/>
      <w:bookmarkEnd w:id="62"/>
      <w:bookmarkEnd w:id="63"/>
    </w:p>
    <w:p w14:paraId="525BF7CC">
      <w:pPr>
        <w:pStyle w:val="7"/>
        <w:pageBreakBefore w:val="0"/>
        <w:kinsoku/>
        <w:wordWrap/>
        <w:overflowPunct/>
        <w:topLinePunct w:val="0"/>
        <w:autoSpaceDE/>
        <w:autoSpaceDN/>
        <w:bidi w:val="0"/>
        <w:spacing w:before="0" w:after="0"/>
        <w:textAlignment w:val="auto"/>
        <w:rPr>
          <w:rFonts w:cs="Times New Roman"/>
        </w:rPr>
      </w:pPr>
      <w:bookmarkStart w:id="64" w:name="_Toc73285822"/>
      <w:bookmarkStart w:id="65" w:name="_Toc32704"/>
      <w:bookmarkStart w:id="66" w:name="_Toc127256780"/>
      <w:r>
        <w:rPr>
          <w:rFonts w:hint="eastAsia" w:cs="Times New Roman"/>
          <w:lang w:val="en-US" w:eastAsia="zh-CN"/>
        </w:rPr>
        <w:t>4.1</w:t>
      </w:r>
      <w:r>
        <w:rPr>
          <w:rFonts w:cs="Times New Roman"/>
        </w:rPr>
        <w:t>突发环境事件情景分析</w:t>
      </w:r>
      <w:bookmarkEnd w:id="64"/>
      <w:bookmarkEnd w:id="65"/>
      <w:bookmarkEnd w:id="66"/>
    </w:p>
    <w:p w14:paraId="5D2B74EE">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4.1.1</w:t>
      </w:r>
      <w:r>
        <w:rPr>
          <w:sz w:val="24"/>
          <w:szCs w:val="24"/>
        </w:rPr>
        <w:t>国内外同类企业突发环境事件案例</w:t>
      </w:r>
    </w:p>
    <w:p w14:paraId="6678296B">
      <w:pPr>
        <w:pStyle w:val="9"/>
        <w:pageBreakBefore w:val="0"/>
        <w:numPr>
          <w:ilvl w:val="3"/>
          <w:numId w:val="0"/>
        </w:numPr>
        <w:kinsoku/>
        <w:wordWrap/>
        <w:overflowPunct/>
        <w:topLinePunct w:val="0"/>
        <w:autoSpaceDE/>
        <w:autoSpaceDN/>
        <w:bidi w:val="0"/>
        <w:ind w:leftChars="0"/>
        <w:textAlignment w:val="auto"/>
        <w:rPr>
          <w:rFonts w:hint="default" w:ascii="Times New Roman" w:hAnsi="Times New Roman" w:eastAsia="宋体" w:cs="Times New Roman"/>
          <w:b/>
          <w:bCs/>
          <w:color w:val="auto"/>
          <w:sz w:val="24"/>
          <w:highlight w:val="none"/>
          <w:lang w:eastAsia="zh-CN"/>
        </w:rPr>
      </w:pPr>
      <w:bookmarkStart w:id="67" w:name="_Toc432846617"/>
      <w:r>
        <w:rPr>
          <w:rFonts w:hint="eastAsia" w:ascii="宋体" w:hAnsi="宋体" w:eastAsia="宋体" w:cs="宋体"/>
          <w:b/>
          <w:bCs/>
          <w:sz w:val="24"/>
          <w:szCs w:val="24"/>
          <w:lang w:val="en-US" w:eastAsia="zh-CN"/>
        </w:rPr>
        <w:t>4.1.1.1</w:t>
      </w:r>
      <w:r>
        <w:rPr>
          <w:rFonts w:hint="eastAsia" w:cs="Times New Roman"/>
          <w:b/>
          <w:bCs/>
          <w:color w:val="auto"/>
          <w:sz w:val="24"/>
          <w:szCs w:val="24"/>
          <w:highlight w:val="none"/>
          <w:lang w:val="en-US" w:eastAsia="zh-CN"/>
        </w:rPr>
        <w:t>濮阳市宏业生物科技有限公司</w:t>
      </w:r>
      <w:r>
        <w:rPr>
          <w:rFonts w:hint="default" w:ascii="Times New Roman" w:hAnsi="Times New Roman" w:eastAsia="宋体" w:cs="Times New Roman"/>
          <w:b/>
          <w:bCs/>
          <w:color w:val="auto"/>
          <w:sz w:val="24"/>
          <w:highlight w:val="none"/>
          <w:lang w:eastAsia="zh-CN"/>
        </w:rPr>
        <w:t>火灾爆炸事故</w:t>
      </w:r>
      <w:r>
        <w:rPr>
          <w:rFonts w:hint="eastAsia" w:ascii="宋体" w:hAnsi="宋体" w:eastAsia="宋体" w:cs="宋体"/>
          <w:sz w:val="24"/>
          <w:szCs w:val="24"/>
        </w:rPr>
        <w:t>析及预防</w:t>
      </w:r>
    </w:p>
    <w:p w14:paraId="1889AF50">
      <w:pPr>
        <w:pStyle w:val="123"/>
        <w:rPr>
          <w:rFonts w:hint="eastAsia" w:ascii="Times New Roman" w:hAnsi="Times New Roman" w:eastAsia="宋体" w:cs="Times New Roman"/>
          <w:color w:val="auto"/>
          <w:sz w:val="24"/>
          <w:highlight w:val="none"/>
          <w:lang w:val="en-US" w:eastAsia="zh-CN"/>
        </w:rPr>
      </w:pPr>
      <w:r>
        <w:rPr>
          <w:rFonts w:hint="eastAsia"/>
          <w:b/>
          <w:bCs/>
          <w:color w:val="000000" w:themeColor="text1"/>
          <w:sz w:val="24"/>
          <w:szCs w:val="24"/>
          <w:lang w:val="en-US" w:eastAsia="zh-CN"/>
          <w14:textFill>
            <w14:solidFill>
              <w14:schemeClr w14:val="tx1"/>
            </w14:solidFill>
          </w14:textFill>
        </w:rPr>
        <w:t>1.</w:t>
      </w:r>
      <w:r>
        <w:rPr>
          <w:rFonts w:hint="eastAsia"/>
          <w:b/>
          <w:bCs/>
          <w:color w:val="000000" w:themeColor="text1"/>
          <w:sz w:val="24"/>
          <w:szCs w:val="24"/>
          <w:lang w:eastAsia="zh-CN"/>
          <w14:textFill>
            <w14:solidFill>
              <w14:schemeClr w14:val="tx1"/>
            </w14:solidFill>
          </w14:textFill>
        </w:rPr>
        <w:t>事件经过</w:t>
      </w:r>
    </w:p>
    <w:p w14:paraId="6210FED6">
      <w:pPr>
        <w:spacing w:line="360" w:lineRule="auto"/>
        <w:ind w:firstLine="480" w:firstLineChars="200"/>
        <w:rPr>
          <w:rFonts w:hint="eastAsia" w:cs="Times New Roman"/>
          <w:color w:val="auto"/>
          <w:sz w:val="24"/>
          <w:highlight w:val="none"/>
          <w:lang w:val="en-US" w:eastAsia="zh-CN"/>
        </w:rPr>
      </w:pPr>
      <w:r>
        <w:rPr>
          <w:rFonts w:hint="default" w:ascii="Times New Roman" w:hAnsi="Times New Roman" w:eastAsia="宋体" w:cs="Times New Roman"/>
          <w:color w:val="auto"/>
          <w:sz w:val="24"/>
          <w:highlight w:val="none"/>
        </w:rPr>
        <w:t xml:space="preserve"> 20</w:t>
      </w:r>
      <w:r>
        <w:rPr>
          <w:rFonts w:hint="eastAsia" w:cs="Times New Roman"/>
          <w:color w:val="auto"/>
          <w:sz w:val="24"/>
          <w:highlight w:val="none"/>
          <w:lang w:val="en-US" w:eastAsia="zh-CN"/>
        </w:rPr>
        <w:t>20</w:t>
      </w:r>
      <w:r>
        <w:rPr>
          <w:rFonts w:hint="default" w:ascii="Times New Roman" w:hAnsi="Times New Roman" w:eastAsia="宋体" w:cs="Times New Roman"/>
          <w:color w:val="auto"/>
          <w:sz w:val="24"/>
          <w:highlight w:val="none"/>
        </w:rPr>
        <w:t>年</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月</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lang w:val="en-US" w:eastAsia="zh-CN"/>
        </w:rPr>
        <w:t>濮阳市宏业生物科技有限公司</w:t>
      </w:r>
      <w:r>
        <w:rPr>
          <w:rFonts w:hint="eastAsia" w:cs="Times New Roman"/>
          <w:color w:val="auto"/>
          <w:sz w:val="24"/>
          <w:highlight w:val="none"/>
          <w:lang w:val="en-US" w:eastAsia="zh-CN"/>
        </w:rPr>
        <w:t>糠醛车间B10水解釜进行装料后时产生醛气，醛气送入初馏塔后发生爆炸事故，造成1人死亡1人受伤。</w:t>
      </w:r>
    </w:p>
    <w:p w14:paraId="30D19DA4">
      <w:pPr>
        <w:pStyle w:val="123"/>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2.事件的原因分析</w:t>
      </w:r>
    </w:p>
    <w:p w14:paraId="2743FADF">
      <w:pPr>
        <w:spacing w:line="360" w:lineRule="auto"/>
        <w:ind w:firstLine="480" w:firstLineChars="200"/>
        <w:rPr>
          <w:rFonts w:hint="eastAsia" w:hAnsi="Courier New" w:eastAsia="宋体"/>
          <w:bCs/>
          <w:sz w:val="24"/>
          <w:szCs w:val="24"/>
          <w:lang w:eastAsia="zh-CN"/>
        </w:rPr>
      </w:pPr>
      <w:r>
        <w:rPr>
          <w:rFonts w:hint="eastAsia" w:hAnsi="Courier New"/>
          <w:bCs/>
          <w:sz w:val="24"/>
          <w:szCs w:val="24"/>
          <w:lang w:eastAsia="zh-CN"/>
        </w:rPr>
        <w:t>（</w:t>
      </w:r>
      <w:r>
        <w:rPr>
          <w:rFonts w:hAnsi="Courier New"/>
          <w:bCs/>
          <w:sz w:val="24"/>
          <w:szCs w:val="24"/>
        </w:rPr>
        <w:t>1</w:t>
      </w:r>
      <w:r>
        <w:rPr>
          <w:rFonts w:hint="eastAsia" w:hAnsi="Courier New"/>
          <w:bCs/>
          <w:sz w:val="24"/>
          <w:szCs w:val="24"/>
          <w:lang w:eastAsia="zh-CN"/>
        </w:rPr>
        <w:t>）</w:t>
      </w:r>
      <w:r>
        <w:rPr>
          <w:rFonts w:hAnsi="Courier New"/>
          <w:bCs/>
          <w:sz w:val="24"/>
          <w:szCs w:val="24"/>
        </w:rPr>
        <w:t>直接原因</w:t>
      </w:r>
      <w:r>
        <w:rPr>
          <w:rFonts w:hint="eastAsia" w:hAnsi="Courier New"/>
          <w:bCs/>
          <w:sz w:val="24"/>
          <w:szCs w:val="24"/>
          <w:lang w:eastAsia="zh-CN"/>
        </w:rPr>
        <w:t>：设备腐蚀泄漏；导致水解釜超压爆炸，</w:t>
      </w:r>
    </w:p>
    <w:p w14:paraId="61B92D7B">
      <w:pPr>
        <w:spacing w:line="360" w:lineRule="auto"/>
        <w:ind w:firstLine="480" w:firstLineChars="200"/>
        <w:rPr>
          <w:rFonts w:hAnsi="Courier New"/>
          <w:bCs/>
          <w:sz w:val="24"/>
          <w:szCs w:val="24"/>
        </w:rPr>
      </w:pPr>
      <w:r>
        <w:rPr>
          <w:rFonts w:hint="eastAsia" w:hAnsi="Courier New"/>
          <w:bCs/>
          <w:sz w:val="24"/>
          <w:szCs w:val="24"/>
          <w:lang w:eastAsia="zh-CN"/>
        </w:rPr>
        <w:t>（</w:t>
      </w:r>
      <w:r>
        <w:rPr>
          <w:rFonts w:hAnsi="Courier New"/>
          <w:bCs/>
          <w:sz w:val="24"/>
          <w:szCs w:val="24"/>
        </w:rPr>
        <w:t>2</w:t>
      </w:r>
      <w:r>
        <w:rPr>
          <w:rFonts w:hint="eastAsia" w:hAnsi="Courier New"/>
          <w:bCs/>
          <w:sz w:val="24"/>
          <w:szCs w:val="24"/>
          <w:lang w:eastAsia="zh-CN"/>
        </w:rPr>
        <w:t>）</w:t>
      </w:r>
      <w:r>
        <w:rPr>
          <w:rFonts w:hAnsi="Courier New"/>
          <w:bCs/>
          <w:sz w:val="24"/>
          <w:szCs w:val="24"/>
        </w:rPr>
        <w:t>间接原因</w:t>
      </w:r>
      <w:r>
        <w:rPr>
          <w:rFonts w:hint="eastAsia" w:hAnsi="Courier New"/>
          <w:bCs/>
          <w:sz w:val="24"/>
          <w:szCs w:val="24"/>
          <w:lang w:eastAsia="zh-CN"/>
        </w:rPr>
        <w:t>：未执行防爆措施，员工未按操作规程操作致使物料分解；</w:t>
      </w:r>
      <w:r>
        <w:rPr>
          <w:rFonts w:hint="eastAsia" w:hAnsi="Courier New"/>
          <w:bCs/>
          <w:sz w:val="24"/>
          <w:szCs w:val="24"/>
        </w:rPr>
        <w:t>现场安全监护员未尽到现场安全监护的责任。</w:t>
      </w:r>
    </w:p>
    <w:p w14:paraId="22409055">
      <w:pPr>
        <w:pStyle w:val="123"/>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3.事件的预防措施</w:t>
      </w:r>
    </w:p>
    <w:p w14:paraId="156EA2A1">
      <w:pPr>
        <w:spacing w:line="360" w:lineRule="auto"/>
        <w:ind w:firstLine="480" w:firstLineChars="200"/>
        <w:rPr>
          <w:rFonts w:hint="eastAsia" w:ascii="Times New Roman" w:hAnsi="Times New Roman" w:eastAsia="宋体"/>
          <w:bCs/>
          <w:sz w:val="24"/>
          <w:szCs w:val="24"/>
          <w:lang w:eastAsia="zh-CN"/>
        </w:rPr>
      </w:pPr>
      <w:r>
        <w:rPr>
          <w:rFonts w:hint="eastAsia" w:ascii="Times New Roman" w:hAnsi="Times New Roman"/>
          <w:bCs/>
          <w:sz w:val="24"/>
          <w:szCs w:val="24"/>
        </w:rPr>
        <w:t>（</w:t>
      </w:r>
      <w:r>
        <w:rPr>
          <w:rFonts w:ascii="Times New Roman" w:hAnsi="Times New Roman"/>
          <w:bCs/>
          <w:sz w:val="24"/>
          <w:szCs w:val="24"/>
        </w:rPr>
        <w:t>1）</w:t>
      </w:r>
      <w:r>
        <w:rPr>
          <w:rFonts w:hint="eastAsia" w:ascii="Times New Roman" w:hAnsi="Times New Roman"/>
          <w:bCs/>
          <w:sz w:val="24"/>
          <w:szCs w:val="24"/>
        </w:rPr>
        <w:t>严格执行</w:t>
      </w:r>
      <w:r>
        <w:rPr>
          <w:rFonts w:ascii="Times New Roman" w:hAnsi="Times New Roman"/>
          <w:bCs/>
          <w:sz w:val="24"/>
          <w:szCs w:val="24"/>
        </w:rPr>
        <w:t>安全生产管理制度</w:t>
      </w:r>
      <w:r>
        <w:rPr>
          <w:rFonts w:hint="eastAsia"/>
          <w:bCs/>
          <w:sz w:val="24"/>
          <w:szCs w:val="24"/>
          <w:lang w:eastAsia="zh-CN"/>
        </w:rPr>
        <w:t>；</w:t>
      </w:r>
    </w:p>
    <w:p w14:paraId="11B64BC2">
      <w:pPr>
        <w:spacing w:line="360" w:lineRule="auto"/>
        <w:ind w:firstLine="480" w:firstLineChars="200"/>
        <w:rPr>
          <w:rFonts w:ascii="Times New Roman" w:hAnsi="Times New Roman"/>
          <w:bCs/>
          <w:sz w:val="24"/>
          <w:szCs w:val="24"/>
        </w:rPr>
      </w:pPr>
      <w:r>
        <w:rPr>
          <w:rFonts w:hint="eastAsia" w:ascii="Times New Roman" w:hAnsi="Times New Roman"/>
          <w:bCs/>
          <w:sz w:val="24"/>
          <w:szCs w:val="24"/>
        </w:rPr>
        <w:t>（</w:t>
      </w:r>
      <w:r>
        <w:rPr>
          <w:rFonts w:ascii="Times New Roman" w:hAnsi="Times New Roman"/>
          <w:bCs/>
          <w:sz w:val="24"/>
          <w:szCs w:val="24"/>
        </w:rPr>
        <w:t>2）</w:t>
      </w:r>
      <w:r>
        <w:rPr>
          <w:rFonts w:hint="eastAsia" w:ascii="Times New Roman" w:hAnsi="Times New Roman"/>
          <w:bCs/>
          <w:sz w:val="24"/>
          <w:szCs w:val="24"/>
        </w:rPr>
        <w:t>重视安全生产管理中暴露出的问题，及时整改</w:t>
      </w:r>
      <w:r>
        <w:rPr>
          <w:rFonts w:ascii="Times New Roman" w:hAnsi="Times New Roman"/>
          <w:bCs/>
          <w:sz w:val="24"/>
          <w:szCs w:val="24"/>
        </w:rPr>
        <w:t>。</w:t>
      </w:r>
    </w:p>
    <w:p w14:paraId="0F102520">
      <w:pPr>
        <w:spacing w:line="360" w:lineRule="auto"/>
        <w:ind w:firstLine="480" w:firstLineChars="200"/>
        <w:rPr>
          <w:rFonts w:hint="eastAsia" w:ascii="Times New Roman" w:hAnsi="Times New Roman"/>
          <w:bCs/>
          <w:sz w:val="24"/>
          <w:szCs w:val="24"/>
        </w:rPr>
      </w:pPr>
      <w:r>
        <w:rPr>
          <w:rFonts w:hint="eastAsia" w:ascii="Times New Roman" w:hAnsi="Times New Roman"/>
          <w:bCs/>
          <w:sz w:val="24"/>
          <w:szCs w:val="24"/>
        </w:rPr>
        <w:t>（</w:t>
      </w:r>
      <w:r>
        <w:rPr>
          <w:rFonts w:ascii="Times New Roman" w:hAnsi="Times New Roman"/>
          <w:bCs/>
          <w:sz w:val="24"/>
          <w:szCs w:val="24"/>
        </w:rPr>
        <w:t>3）</w:t>
      </w:r>
      <w:r>
        <w:rPr>
          <w:rFonts w:hint="eastAsia" w:ascii="Times New Roman" w:hAnsi="Times New Roman"/>
          <w:bCs/>
          <w:sz w:val="24"/>
          <w:szCs w:val="24"/>
        </w:rPr>
        <w:t>认真组织开展危险化学品事故经验教训的宣传和交流活动，进一步提高。</w:t>
      </w:r>
    </w:p>
    <w:p w14:paraId="236C9B0D">
      <w:pPr>
        <w:pStyle w:val="9"/>
        <w:pageBreakBefore w:val="0"/>
        <w:numPr>
          <w:ilvl w:val="3"/>
          <w:numId w:val="0"/>
        </w:numPr>
        <w:kinsoku/>
        <w:wordWrap/>
        <w:overflowPunct/>
        <w:topLinePunct w:val="0"/>
        <w:autoSpaceDE/>
        <w:autoSpaceDN/>
        <w:bidi w:val="0"/>
        <w:ind w:leftChars="0"/>
        <w:textAlignment w:val="auto"/>
        <w:rPr>
          <w:rFonts w:hint="default" w:ascii="Times New Roman" w:hAnsi="Times New Roman" w:eastAsia="宋体" w:cs="Times New Roman"/>
          <w:b/>
          <w:bCs/>
          <w:color w:val="auto"/>
          <w:sz w:val="24"/>
          <w:highlight w:val="none"/>
          <w:lang w:eastAsia="zh-CN"/>
        </w:rPr>
      </w:pPr>
      <w:r>
        <w:rPr>
          <w:rFonts w:hint="eastAsia" w:ascii="宋体" w:hAnsi="宋体" w:eastAsia="宋体" w:cs="宋体"/>
          <w:b/>
          <w:bCs/>
          <w:sz w:val="24"/>
          <w:szCs w:val="24"/>
          <w:lang w:val="en-US" w:eastAsia="zh-CN"/>
        </w:rPr>
        <w:t>4.1.1.2</w:t>
      </w:r>
      <w:r>
        <w:rPr>
          <w:rFonts w:hint="eastAsia" w:cs="Times New Roman"/>
          <w:b/>
          <w:bCs/>
          <w:color w:val="auto"/>
          <w:sz w:val="24"/>
          <w:szCs w:val="24"/>
          <w:highlight w:val="none"/>
          <w:lang w:val="en-US" w:eastAsia="zh-CN"/>
        </w:rPr>
        <w:t>京澳高速韶关段</w:t>
      </w:r>
      <w:r>
        <w:rPr>
          <w:rFonts w:hint="eastAsia" w:ascii="Times New Roman" w:hAnsi="Times New Roman" w:eastAsia="宋体" w:cs="Times New Roman"/>
          <w:b/>
          <w:bCs/>
          <w:color w:val="auto"/>
          <w:sz w:val="24"/>
          <w:highlight w:val="none"/>
          <w:lang w:eastAsia="zh-CN"/>
        </w:rPr>
        <w:t>糠醇泄漏</w:t>
      </w:r>
      <w:r>
        <w:rPr>
          <w:rFonts w:hint="default" w:ascii="Times New Roman" w:hAnsi="Times New Roman" w:eastAsia="宋体" w:cs="Times New Roman"/>
          <w:b/>
          <w:bCs/>
          <w:color w:val="auto"/>
          <w:sz w:val="24"/>
          <w:highlight w:val="none"/>
          <w:lang w:eastAsia="zh-CN"/>
        </w:rPr>
        <w:t>事故</w:t>
      </w:r>
      <w:r>
        <w:rPr>
          <w:rFonts w:hint="eastAsia" w:ascii="宋体" w:hAnsi="宋体" w:eastAsia="宋体" w:cs="宋体"/>
          <w:sz w:val="24"/>
          <w:szCs w:val="24"/>
        </w:rPr>
        <w:t>析及预防</w:t>
      </w:r>
    </w:p>
    <w:p w14:paraId="235D916F">
      <w:pPr>
        <w:pStyle w:val="123"/>
        <w:pageBreakBefore w:val="0"/>
        <w:numPr>
          <w:ilvl w:val="0"/>
          <w:numId w:val="4"/>
        </w:numPr>
        <w:kinsoku/>
        <w:wordWrap/>
        <w:overflowPunct/>
        <w:topLinePunct w:val="0"/>
        <w:autoSpaceDE/>
        <w:autoSpaceDN/>
        <w:bidi w:val="0"/>
        <w:textAlignment w:val="auto"/>
        <w:rPr>
          <w:rFonts w:hint="eastAsia" w:ascii="Times New Roman" w:hAnsi="Times New Roman" w:eastAsia="宋体" w:cs="Times New Roman"/>
          <w:color w:val="auto"/>
          <w:sz w:val="24"/>
          <w:highlight w:val="none"/>
          <w:lang w:val="en-US" w:eastAsia="zh-CN"/>
        </w:rPr>
      </w:pPr>
      <w:r>
        <w:rPr>
          <w:rFonts w:hint="eastAsia"/>
          <w:b/>
          <w:bCs/>
          <w:color w:val="000000" w:themeColor="text1"/>
          <w:sz w:val="24"/>
          <w:szCs w:val="24"/>
          <w:lang w:eastAsia="zh-CN"/>
          <w14:textFill>
            <w14:solidFill>
              <w14:schemeClr w14:val="tx1"/>
            </w14:solidFill>
          </w14:textFill>
        </w:rPr>
        <w:t>事件经过</w:t>
      </w:r>
    </w:p>
    <w:p w14:paraId="4399EC7D">
      <w:pPr>
        <w:spacing w:line="360" w:lineRule="auto"/>
        <w:ind w:firstLine="480" w:firstLineChars="200"/>
        <w:rPr>
          <w:rFonts w:hint="default"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 xml:space="preserve"> 20</w:t>
      </w:r>
      <w:r>
        <w:rPr>
          <w:rFonts w:hint="eastAsia" w:cs="Times New Roman"/>
          <w:color w:val="auto"/>
          <w:sz w:val="24"/>
          <w:highlight w:val="none"/>
          <w:lang w:val="en-US" w:eastAsia="zh-CN"/>
        </w:rPr>
        <w:t>21</w:t>
      </w:r>
      <w:r>
        <w:rPr>
          <w:rFonts w:hint="default" w:ascii="Times New Roman" w:hAnsi="Times New Roman" w:eastAsia="宋体" w:cs="Times New Roman"/>
          <w:color w:val="auto"/>
          <w:sz w:val="24"/>
          <w:highlight w:val="none"/>
        </w:rPr>
        <w:t>年，</w:t>
      </w:r>
      <w:r>
        <w:rPr>
          <w:rFonts w:hint="default" w:ascii="Times New Roman" w:hAnsi="Times New Roman" w:eastAsia="宋体" w:cs="Times New Roman"/>
          <w:color w:val="auto"/>
          <w:sz w:val="24"/>
          <w:highlight w:val="none"/>
          <w:lang w:val="en-US" w:eastAsia="zh-CN"/>
        </w:rPr>
        <w:t>京澳高速韶关段</w:t>
      </w:r>
      <w:r>
        <w:rPr>
          <w:rFonts w:hint="eastAsia" w:ascii="Times New Roman" w:hAnsi="Times New Roman" w:cs="Times New Roman"/>
          <w:color w:val="auto"/>
          <w:sz w:val="24"/>
          <w:highlight w:val="none"/>
          <w:lang w:eastAsia="zh-CN"/>
        </w:rPr>
        <w:t>一辆载</w:t>
      </w:r>
      <w:r>
        <w:rPr>
          <w:rFonts w:hint="eastAsia" w:ascii="Times New Roman" w:hAnsi="Times New Roman" w:cs="Times New Roman"/>
          <w:color w:val="auto"/>
          <w:sz w:val="24"/>
          <w:highlight w:val="none"/>
          <w:lang w:val="en-US" w:eastAsia="zh-CN"/>
        </w:rPr>
        <w:t>30余吨的糠醇罐车因追尾导致罐体棱角处破裂泄漏，罐体冒出白色烟雾并伴有强烈刺激性气味。造成高速公路中断4h，造成水体和土壤污染风险。</w:t>
      </w:r>
    </w:p>
    <w:p w14:paraId="20B8AFF5">
      <w:pPr>
        <w:pStyle w:val="123"/>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2.事件的原因分析</w:t>
      </w:r>
    </w:p>
    <w:p w14:paraId="00FBCBD0">
      <w:pPr>
        <w:spacing w:line="360" w:lineRule="auto"/>
        <w:ind w:firstLine="480" w:firstLineChars="200"/>
        <w:rPr>
          <w:rFonts w:hint="eastAsia" w:hAnsi="Courier New"/>
          <w:bCs/>
          <w:sz w:val="24"/>
          <w:szCs w:val="24"/>
          <w:lang w:eastAsia="zh-CN"/>
        </w:rPr>
      </w:pPr>
      <w:r>
        <w:rPr>
          <w:rFonts w:hint="eastAsia" w:hAnsi="Courier New"/>
          <w:bCs/>
          <w:sz w:val="24"/>
          <w:szCs w:val="24"/>
          <w:lang w:eastAsia="zh-CN"/>
        </w:rPr>
        <w:t>（</w:t>
      </w:r>
      <w:r>
        <w:rPr>
          <w:rFonts w:hAnsi="Courier New"/>
          <w:bCs/>
          <w:sz w:val="24"/>
          <w:szCs w:val="24"/>
        </w:rPr>
        <w:t>1</w:t>
      </w:r>
      <w:r>
        <w:rPr>
          <w:rFonts w:hint="eastAsia" w:hAnsi="Courier New"/>
          <w:bCs/>
          <w:sz w:val="24"/>
          <w:szCs w:val="24"/>
          <w:lang w:eastAsia="zh-CN"/>
        </w:rPr>
        <w:t>）</w:t>
      </w:r>
      <w:r>
        <w:rPr>
          <w:rFonts w:hAnsi="Courier New"/>
          <w:bCs/>
          <w:sz w:val="24"/>
          <w:szCs w:val="24"/>
        </w:rPr>
        <w:t>直接原因</w:t>
      </w:r>
      <w:r>
        <w:rPr>
          <w:rFonts w:hint="eastAsia" w:hAnsi="Courier New"/>
          <w:bCs/>
          <w:sz w:val="24"/>
          <w:szCs w:val="24"/>
          <w:lang w:eastAsia="zh-CN"/>
        </w:rPr>
        <w:t>：受追尾、碰撞等外力影响导致物理受损，部分车辆清洗不彻底，残留化学品与糠醇发生反应产生内压，引发密闭失效泄漏。</w:t>
      </w:r>
    </w:p>
    <w:p w14:paraId="4BF3184E">
      <w:pPr>
        <w:spacing w:line="360" w:lineRule="auto"/>
        <w:ind w:firstLine="480" w:firstLineChars="200"/>
        <w:rPr>
          <w:rFonts w:hAnsi="Courier New"/>
          <w:bCs/>
          <w:sz w:val="24"/>
          <w:szCs w:val="24"/>
        </w:rPr>
      </w:pPr>
      <w:r>
        <w:rPr>
          <w:rFonts w:hint="eastAsia" w:hAnsi="Courier New"/>
          <w:bCs/>
          <w:sz w:val="24"/>
          <w:szCs w:val="24"/>
          <w:lang w:eastAsia="zh-CN"/>
        </w:rPr>
        <w:t>（</w:t>
      </w:r>
      <w:r>
        <w:rPr>
          <w:rFonts w:hAnsi="Courier New"/>
          <w:bCs/>
          <w:sz w:val="24"/>
          <w:szCs w:val="24"/>
        </w:rPr>
        <w:t>2</w:t>
      </w:r>
      <w:r>
        <w:rPr>
          <w:rFonts w:hint="eastAsia" w:hAnsi="Courier New"/>
          <w:bCs/>
          <w:sz w:val="24"/>
          <w:szCs w:val="24"/>
          <w:lang w:eastAsia="zh-CN"/>
        </w:rPr>
        <w:t>）</w:t>
      </w:r>
      <w:r>
        <w:rPr>
          <w:rFonts w:hAnsi="Courier New"/>
          <w:bCs/>
          <w:sz w:val="24"/>
          <w:szCs w:val="24"/>
        </w:rPr>
        <w:t>间接原因</w:t>
      </w:r>
      <w:r>
        <w:rPr>
          <w:rFonts w:hint="eastAsia" w:hAnsi="Courier New"/>
          <w:bCs/>
          <w:sz w:val="24"/>
          <w:szCs w:val="24"/>
          <w:lang w:eastAsia="zh-CN"/>
        </w:rPr>
        <w:t>：装卸前未彻底清洗置换，存在混装反应。</w:t>
      </w:r>
    </w:p>
    <w:p w14:paraId="5EAAC0A0">
      <w:pPr>
        <w:pStyle w:val="123"/>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3.事件的预防措施</w:t>
      </w:r>
    </w:p>
    <w:p w14:paraId="6E512D30">
      <w:pPr>
        <w:spacing w:line="360" w:lineRule="auto"/>
        <w:ind w:firstLine="480" w:firstLineChars="200"/>
        <w:rPr>
          <w:rFonts w:hint="eastAsia" w:ascii="Times New Roman" w:hAnsi="Times New Roman"/>
          <w:bCs/>
          <w:sz w:val="24"/>
          <w:szCs w:val="24"/>
        </w:rPr>
      </w:pPr>
      <w:r>
        <w:rPr>
          <w:rFonts w:hint="eastAsia" w:ascii="Times New Roman" w:hAnsi="Courier New" w:cs="Times New Roman"/>
          <w:bCs/>
          <w:sz w:val="24"/>
          <w:szCs w:val="24"/>
          <w:lang w:eastAsia="zh-CN"/>
        </w:rPr>
        <w:t>（1）严格执行危化品运输资质审核，确保槽罐车定期检测，装卸前彻底清洗置换，防治混装。</w:t>
      </w:r>
    </w:p>
    <w:p w14:paraId="6BF972DC">
      <w:pPr>
        <w:spacing w:line="360" w:lineRule="auto"/>
        <w:ind w:firstLine="480" w:firstLineChars="200"/>
        <w:rPr>
          <w:rFonts w:hint="eastAsia" w:ascii="Times New Roman" w:hAnsi="Courier New" w:cs="Times New Roman"/>
          <w:bCs/>
          <w:sz w:val="24"/>
          <w:szCs w:val="24"/>
          <w:lang w:eastAsia="zh-CN"/>
        </w:rPr>
      </w:pPr>
      <w:r>
        <w:rPr>
          <w:rFonts w:hint="eastAsia" w:ascii="Times New Roman" w:hAnsi="Courier New" w:cs="Times New Roman"/>
          <w:bCs/>
          <w:sz w:val="24"/>
          <w:szCs w:val="24"/>
          <w:lang w:eastAsia="zh-CN"/>
        </w:rPr>
        <w:t>（</w:t>
      </w:r>
      <w:r>
        <w:rPr>
          <w:rFonts w:hint="eastAsia" w:ascii="Times New Roman" w:hAnsi="Courier New" w:cs="Times New Roman"/>
          <w:bCs/>
          <w:sz w:val="24"/>
          <w:szCs w:val="24"/>
          <w:lang w:val="en-US" w:eastAsia="zh-CN"/>
        </w:rPr>
        <w:t>2</w:t>
      </w:r>
      <w:r>
        <w:rPr>
          <w:rFonts w:hint="eastAsia" w:ascii="Times New Roman" w:hAnsi="Courier New" w:cs="Times New Roman"/>
          <w:bCs/>
          <w:sz w:val="24"/>
          <w:szCs w:val="24"/>
          <w:lang w:eastAsia="zh-CN"/>
        </w:rPr>
        <w:t>）规划合理运输路线，配备专用堵漏工具和吸附材料。运输人员配备防腐蚀手套，避免吸入或皮肤接触。</w:t>
      </w:r>
    </w:p>
    <w:p w14:paraId="46E790F8">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4.1.1.3</w:t>
      </w:r>
      <w:r>
        <w:rPr>
          <w:rFonts w:hint="eastAsia" w:cs="Times New Roman"/>
          <w:b/>
          <w:bCs/>
          <w:color w:val="auto"/>
          <w:sz w:val="24"/>
          <w:szCs w:val="24"/>
          <w:highlight w:val="none"/>
          <w:lang w:val="en-US" w:eastAsia="zh-CN"/>
        </w:rPr>
        <w:t>浙江中天东方材料有限公司高沸物</w:t>
      </w:r>
      <w:r>
        <w:rPr>
          <w:rFonts w:hint="eastAsia" w:ascii="Times New Roman" w:hAnsi="Times New Roman" w:eastAsia="宋体" w:cs="Times New Roman"/>
          <w:b/>
          <w:bCs/>
          <w:color w:val="auto"/>
          <w:sz w:val="24"/>
          <w:highlight w:val="none"/>
          <w:lang w:eastAsia="zh-CN"/>
        </w:rPr>
        <w:t>火灾</w:t>
      </w:r>
      <w:r>
        <w:rPr>
          <w:rFonts w:hint="default" w:ascii="Times New Roman" w:hAnsi="Times New Roman" w:eastAsia="宋体" w:cs="Times New Roman"/>
          <w:b/>
          <w:bCs/>
          <w:color w:val="auto"/>
          <w:sz w:val="24"/>
          <w:highlight w:val="none"/>
          <w:lang w:eastAsia="zh-CN"/>
        </w:rPr>
        <w:t>事故</w:t>
      </w:r>
      <w:r>
        <w:rPr>
          <w:rFonts w:hint="eastAsia" w:ascii="宋体" w:hAnsi="宋体" w:eastAsia="宋体" w:cs="宋体"/>
          <w:sz w:val="24"/>
          <w:szCs w:val="24"/>
        </w:rPr>
        <w:t>析及预防</w:t>
      </w:r>
    </w:p>
    <w:p w14:paraId="1331B200">
      <w:pPr>
        <w:pStyle w:val="123"/>
        <w:pageBreakBefore w:val="0"/>
        <w:numPr>
          <w:ilvl w:val="0"/>
          <w:numId w:val="0"/>
        </w:numPr>
        <w:kinsoku/>
        <w:wordWrap/>
        <w:overflowPunct/>
        <w:topLinePunct w:val="0"/>
        <w:autoSpaceDE/>
        <w:autoSpaceDN/>
        <w:bidi w:val="0"/>
        <w:ind w:firstLine="482" w:firstLineChars="200"/>
        <w:textAlignment w:val="auto"/>
        <w:rPr>
          <w:rFonts w:hint="eastAsia" w:ascii="Times New Roman" w:hAnsi="Times New Roman" w:eastAsia="宋体" w:cs="Times New Roman"/>
          <w:color w:val="auto"/>
          <w:sz w:val="24"/>
          <w:highlight w:val="none"/>
          <w:lang w:val="en-US" w:eastAsia="zh-CN"/>
        </w:rPr>
      </w:pPr>
      <w:r>
        <w:rPr>
          <w:rFonts w:hint="eastAsia"/>
          <w:b/>
          <w:bCs/>
          <w:color w:val="000000" w:themeColor="text1"/>
          <w:sz w:val="24"/>
          <w:szCs w:val="24"/>
          <w:lang w:val="en-US" w:eastAsia="zh-CN"/>
          <w14:textFill>
            <w14:solidFill>
              <w14:schemeClr w14:val="tx1"/>
            </w14:solidFill>
          </w14:textFill>
        </w:rPr>
        <w:t>1.</w:t>
      </w:r>
      <w:r>
        <w:rPr>
          <w:rFonts w:hint="eastAsia"/>
          <w:b/>
          <w:bCs/>
          <w:color w:val="000000" w:themeColor="text1"/>
          <w:sz w:val="24"/>
          <w:szCs w:val="24"/>
          <w:lang w:eastAsia="zh-CN"/>
          <w14:textFill>
            <w14:solidFill>
              <w14:schemeClr w14:val="tx1"/>
            </w14:solidFill>
          </w14:textFill>
        </w:rPr>
        <w:t>事件经过</w:t>
      </w:r>
    </w:p>
    <w:p w14:paraId="2214ECFF">
      <w:pPr>
        <w:pStyle w:val="123"/>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 xml:space="preserve"> 20</w:t>
      </w:r>
      <w:r>
        <w:rPr>
          <w:rFonts w:hint="eastAsia" w:cs="Times New Roman"/>
          <w:color w:val="auto"/>
          <w:sz w:val="24"/>
          <w:highlight w:val="none"/>
          <w:lang w:val="en-US" w:eastAsia="zh-CN"/>
        </w:rPr>
        <w:t>20</w:t>
      </w:r>
      <w:r>
        <w:rPr>
          <w:rFonts w:hint="default" w:ascii="Times New Roman" w:hAnsi="Times New Roman" w:eastAsia="宋体" w:cs="Times New Roman"/>
          <w:color w:val="auto"/>
          <w:sz w:val="24"/>
          <w:highlight w:val="none"/>
        </w:rPr>
        <w:t>年</w:t>
      </w:r>
      <w:r>
        <w:rPr>
          <w:rFonts w:hint="eastAsia" w:ascii="Times New Roman" w:hAnsi="Times New Roman" w:cs="Times New Roman"/>
          <w:color w:val="auto"/>
          <w:sz w:val="24"/>
          <w:highlight w:val="none"/>
          <w:lang w:val="en-US" w:eastAsia="zh-CN"/>
        </w:rPr>
        <w:t>9月</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浙江中天东方材料有限公司</w:t>
      </w:r>
      <w:r>
        <w:rPr>
          <w:rFonts w:hint="eastAsia" w:ascii="Times New Roman" w:hAnsi="Times New Roman" w:cs="Times New Roman"/>
          <w:color w:val="auto"/>
          <w:sz w:val="24"/>
          <w:highlight w:val="none"/>
          <w:lang w:val="en-US" w:eastAsia="zh-CN"/>
        </w:rPr>
        <w:t>3号堆场吨桶存放的高沸物泄漏，作业人员用熟石灰中和，引发剧烈放热反应，混合物点燃编织袋，导致流淌火蔓延，面积约900平方米，虽无人伤亡但造成重大大气（氯化氢、烟尘）与消防废水污染。</w:t>
      </w:r>
    </w:p>
    <w:p w14:paraId="5BC70432">
      <w:pPr>
        <w:pStyle w:val="123"/>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2.事件的原因分析</w:t>
      </w:r>
    </w:p>
    <w:p w14:paraId="54782105">
      <w:pPr>
        <w:spacing w:line="360" w:lineRule="auto"/>
        <w:ind w:firstLine="480" w:firstLineChars="200"/>
        <w:rPr>
          <w:rFonts w:hint="eastAsia" w:hAnsi="Courier New"/>
          <w:bCs/>
          <w:sz w:val="24"/>
          <w:szCs w:val="24"/>
          <w:lang w:eastAsia="zh-CN"/>
        </w:rPr>
      </w:pPr>
      <w:r>
        <w:rPr>
          <w:rFonts w:hint="eastAsia" w:hAnsi="Courier New"/>
          <w:bCs/>
          <w:sz w:val="24"/>
          <w:szCs w:val="24"/>
          <w:lang w:eastAsia="zh-CN"/>
        </w:rPr>
        <w:t>（</w:t>
      </w:r>
      <w:r>
        <w:rPr>
          <w:rFonts w:hAnsi="Courier New"/>
          <w:bCs/>
          <w:sz w:val="24"/>
          <w:szCs w:val="24"/>
        </w:rPr>
        <w:t>1</w:t>
      </w:r>
      <w:r>
        <w:rPr>
          <w:rFonts w:hint="eastAsia" w:hAnsi="Courier New"/>
          <w:bCs/>
          <w:sz w:val="24"/>
          <w:szCs w:val="24"/>
          <w:lang w:eastAsia="zh-CN"/>
        </w:rPr>
        <w:t>）</w:t>
      </w:r>
      <w:r>
        <w:rPr>
          <w:rFonts w:hAnsi="Courier New"/>
          <w:bCs/>
          <w:sz w:val="24"/>
          <w:szCs w:val="24"/>
        </w:rPr>
        <w:t>直接原因</w:t>
      </w:r>
      <w:r>
        <w:rPr>
          <w:rFonts w:hint="eastAsia" w:hAnsi="Courier New"/>
          <w:bCs/>
          <w:sz w:val="24"/>
          <w:szCs w:val="24"/>
          <w:lang w:eastAsia="zh-CN"/>
        </w:rPr>
        <w:t>：误用碱性物质处置高沸物，引发放热链式反应。</w:t>
      </w:r>
    </w:p>
    <w:p w14:paraId="61A0D7E8">
      <w:pPr>
        <w:spacing w:line="360" w:lineRule="auto"/>
        <w:ind w:firstLine="480" w:firstLineChars="200"/>
        <w:rPr>
          <w:rFonts w:hAnsi="Courier New"/>
          <w:bCs/>
          <w:sz w:val="24"/>
          <w:szCs w:val="24"/>
        </w:rPr>
      </w:pPr>
      <w:r>
        <w:rPr>
          <w:rFonts w:hint="eastAsia" w:hAnsi="Courier New"/>
          <w:bCs/>
          <w:sz w:val="24"/>
          <w:szCs w:val="24"/>
          <w:lang w:eastAsia="zh-CN"/>
        </w:rPr>
        <w:t>（</w:t>
      </w:r>
      <w:r>
        <w:rPr>
          <w:rFonts w:hAnsi="Courier New"/>
          <w:bCs/>
          <w:sz w:val="24"/>
          <w:szCs w:val="24"/>
        </w:rPr>
        <w:t>2</w:t>
      </w:r>
      <w:r>
        <w:rPr>
          <w:rFonts w:hint="eastAsia" w:hAnsi="Courier New"/>
          <w:bCs/>
          <w:sz w:val="24"/>
          <w:szCs w:val="24"/>
          <w:lang w:eastAsia="zh-CN"/>
        </w:rPr>
        <w:t>）</w:t>
      </w:r>
      <w:r>
        <w:rPr>
          <w:rFonts w:hAnsi="Courier New"/>
          <w:bCs/>
          <w:sz w:val="24"/>
          <w:szCs w:val="24"/>
        </w:rPr>
        <w:t>间接原因</w:t>
      </w:r>
      <w:r>
        <w:rPr>
          <w:rFonts w:hint="eastAsia" w:hAnsi="Courier New"/>
          <w:bCs/>
          <w:sz w:val="24"/>
          <w:szCs w:val="24"/>
          <w:lang w:eastAsia="zh-CN"/>
        </w:rPr>
        <w:t>：未识别高沸物具体组分，操作人员未培训，违规储存，无应急处置方案。</w:t>
      </w:r>
    </w:p>
    <w:p w14:paraId="2F1E894B">
      <w:pPr>
        <w:pStyle w:val="123"/>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3.事件的预防措施</w:t>
      </w:r>
    </w:p>
    <w:p w14:paraId="4F77A584">
      <w:pPr>
        <w:spacing w:line="360" w:lineRule="auto"/>
        <w:ind w:firstLine="480" w:firstLineChars="200"/>
        <w:rPr>
          <w:rFonts w:hint="eastAsia" w:ascii="Times New Roman" w:hAnsi="Courier New" w:cs="Times New Roman"/>
          <w:bCs/>
          <w:sz w:val="24"/>
          <w:szCs w:val="24"/>
          <w:lang w:eastAsia="zh-CN"/>
        </w:rPr>
      </w:pPr>
      <w:r>
        <w:rPr>
          <w:rFonts w:hint="eastAsia" w:ascii="Times New Roman" w:hAnsi="Courier New" w:cs="Times New Roman"/>
          <w:bCs/>
          <w:sz w:val="24"/>
          <w:szCs w:val="24"/>
          <w:lang w:eastAsia="zh-CN"/>
        </w:rPr>
        <w:t>（1）高沸物泄漏时用干沙、硅藻土吸附，禁止用水或石灰。</w:t>
      </w:r>
    </w:p>
    <w:p w14:paraId="171E7FF8">
      <w:pPr>
        <w:spacing w:line="360" w:lineRule="auto"/>
        <w:ind w:firstLine="480" w:firstLineChars="200"/>
        <w:rPr>
          <w:rFonts w:hint="eastAsia"/>
          <w:lang w:val="en-US" w:eastAsia="zh-CN"/>
        </w:rPr>
      </w:pPr>
      <w:r>
        <w:rPr>
          <w:rFonts w:hint="eastAsia" w:ascii="Times New Roman" w:hAnsi="Courier New" w:cs="Times New Roman"/>
          <w:bCs/>
          <w:sz w:val="24"/>
          <w:szCs w:val="24"/>
          <w:lang w:eastAsia="zh-CN"/>
        </w:rPr>
        <w:t>（</w:t>
      </w:r>
      <w:r>
        <w:rPr>
          <w:rFonts w:hint="eastAsia" w:ascii="Times New Roman" w:hAnsi="Courier New" w:cs="Times New Roman"/>
          <w:bCs/>
          <w:sz w:val="24"/>
          <w:szCs w:val="24"/>
          <w:lang w:val="en-US" w:eastAsia="zh-CN"/>
        </w:rPr>
        <w:t>2</w:t>
      </w:r>
      <w:r>
        <w:rPr>
          <w:rFonts w:hint="eastAsia" w:ascii="Times New Roman" w:hAnsi="Courier New" w:cs="Times New Roman"/>
          <w:bCs/>
          <w:sz w:val="24"/>
          <w:szCs w:val="24"/>
          <w:lang w:eastAsia="zh-CN"/>
        </w:rPr>
        <w:t>）存放阴凉通风处，防雨防晒，使用耐腐蚀吨桶，严禁与水、酸、碱类混存。配备干粉</w:t>
      </w:r>
      <w:r>
        <w:rPr>
          <w:rFonts w:hint="eastAsia" w:ascii="Times New Roman" w:hAnsi="Courier New" w:cs="Times New Roman"/>
          <w:bCs/>
          <w:sz w:val="24"/>
          <w:szCs w:val="24"/>
          <w:lang w:val="en-US" w:eastAsia="zh-CN"/>
        </w:rPr>
        <w:t>/CO2</w:t>
      </w:r>
      <w:r>
        <w:rPr>
          <w:rFonts w:hint="eastAsia" w:ascii="Times New Roman" w:hAnsi="Courier New" w:cs="Times New Roman"/>
          <w:bCs/>
          <w:sz w:val="24"/>
          <w:szCs w:val="24"/>
          <w:lang w:eastAsia="zh-CN"/>
        </w:rPr>
        <w:t>灭火器及吸附材料。</w:t>
      </w:r>
    </w:p>
    <w:p w14:paraId="3AF9BD3D">
      <w:pPr>
        <w:pStyle w:val="8"/>
        <w:rPr>
          <w:sz w:val="24"/>
          <w:szCs w:val="24"/>
        </w:rPr>
      </w:pPr>
      <w:r>
        <w:rPr>
          <w:rFonts w:hint="eastAsia"/>
          <w:sz w:val="24"/>
          <w:szCs w:val="24"/>
          <w:lang w:val="en-US" w:eastAsia="zh-CN"/>
        </w:rPr>
        <w:t>4.1.2</w:t>
      </w:r>
      <w:r>
        <w:rPr>
          <w:sz w:val="24"/>
          <w:szCs w:val="24"/>
        </w:rPr>
        <w:t>本企业可能发生的突发环境事件情景分析</w:t>
      </w:r>
      <w:bookmarkEnd w:id="67"/>
    </w:p>
    <w:p w14:paraId="4C763060">
      <w:pPr>
        <w:pStyle w:val="8"/>
        <w:spacing w:before="0" w:after="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4.1.2.1 生产过程突发环境事件情景分析</w:t>
      </w:r>
    </w:p>
    <w:p w14:paraId="2356616B">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生产过程突发环境事件</w:t>
      </w:r>
      <w:r>
        <w:rPr>
          <w:rFonts w:hint="default" w:ascii="Times New Roman" w:hAnsi="Times New Roman" w:cs="Times New Roman"/>
          <w:color w:val="auto"/>
          <w:sz w:val="24"/>
          <w:szCs w:val="24"/>
          <w:highlight w:val="none"/>
          <w:lang w:eastAsia="zh-CN"/>
        </w:rPr>
        <w:t>主要为泄漏、</w:t>
      </w:r>
      <w:r>
        <w:rPr>
          <w:rFonts w:hint="default" w:ascii="Times New Roman" w:hAnsi="Times New Roman" w:cs="Times New Roman"/>
          <w:color w:val="auto"/>
          <w:sz w:val="24"/>
          <w:szCs w:val="24"/>
          <w:highlight w:val="none"/>
        </w:rPr>
        <w:t>火灾、爆炸危险</w:t>
      </w:r>
    </w:p>
    <w:p w14:paraId="08E247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（1）本公司生产、储存过程中主要原料：</w:t>
      </w:r>
      <w:r>
        <w:rPr>
          <w:rFonts w:hint="default" w:ascii="Times New Roman" w:hAnsi="Times New Roman" w:cs="Times New Roman"/>
          <w:color w:val="auto"/>
          <w:kern w:val="0"/>
          <w:sz w:val="24"/>
          <w:szCs w:val="24"/>
          <w:highlight w:val="none"/>
          <w:lang w:val="en-US" w:eastAsia="zh-CN" w:bidi="ar"/>
        </w:rPr>
        <w:t>糠醇、糠醛、氢气、呋喃</w:t>
      </w:r>
      <w:r>
        <w:rPr>
          <w:rFonts w:hint="default" w:ascii="Times New Roman" w:hAnsi="Times New Roman" w:eastAsia="宋体" w:cs="Times New Roman"/>
          <w:color w:val="auto"/>
          <w:kern w:val="0"/>
          <w:sz w:val="24"/>
          <w:szCs w:val="24"/>
          <w:highlight w:val="none"/>
          <w:lang w:val="en-US" w:eastAsia="zh-CN" w:bidi="ar"/>
        </w:rPr>
        <w:t>等都具有易燃</w:t>
      </w:r>
      <w:r>
        <w:rPr>
          <w:rFonts w:hint="default" w:ascii="Times New Roman" w:hAnsi="Times New Roman" w:cs="Times New Roman"/>
          <w:color w:val="auto"/>
          <w:kern w:val="0"/>
          <w:sz w:val="24"/>
          <w:szCs w:val="24"/>
          <w:highlight w:val="none"/>
          <w:lang w:val="en-US" w:eastAsia="zh-CN" w:bidi="ar"/>
        </w:rPr>
        <w:t>品</w:t>
      </w:r>
      <w:r>
        <w:rPr>
          <w:rFonts w:hint="default" w:ascii="Times New Roman" w:hAnsi="Times New Roman" w:eastAsia="宋体" w:cs="Times New Roman"/>
          <w:color w:val="auto"/>
          <w:kern w:val="0"/>
          <w:sz w:val="24"/>
          <w:szCs w:val="24"/>
          <w:highlight w:val="none"/>
          <w:lang w:val="en-US" w:eastAsia="zh-CN" w:bidi="ar"/>
        </w:rPr>
        <w:t>，由于反应釜、容器、管道、阀门、法兰损坏，则有可能造成物料泄漏，遇明火、高热接触有可能引起燃烧的危险，引起火灾、爆炸事故。</w:t>
      </w:r>
    </w:p>
    <w:p w14:paraId="32C185E7">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车间、仓库、中控室</w:t>
      </w:r>
      <w:r>
        <w:rPr>
          <w:rFonts w:hint="default" w:ascii="Times New Roman" w:hAnsi="Times New Roman" w:cs="Times New Roman"/>
          <w:color w:val="auto"/>
          <w:sz w:val="24"/>
          <w:szCs w:val="24"/>
          <w:highlight w:val="none"/>
        </w:rPr>
        <w:t>、配电室等生产装置区所使用的各种设备、照明灯具等电气设施，当电器元件、电气线路发生短路、过载、接触不良、绝缘损坏和有外来火源等，都易引发电气火灾。电缆的绝缘材料、填充物和覆盖层等都具有可燃性，遇到高温或外界火源极容易被引燃，电缆一旦着火会很快蔓延，波及临近的电缆和电气设备使火灾扩大。</w:t>
      </w:r>
    </w:p>
    <w:p w14:paraId="6BFCEC39">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）危险作业场所，避雷设施不能覆盖整个应保护的装置或避雷引下线接地电阻超标，有遭受雷击引发火灾的危险。</w:t>
      </w:r>
    </w:p>
    <w:p w14:paraId="679B3F8E">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电气线路由于地埋式电线裸露或老化破旧，电线接头松动脱落发生短路；电线盖板没有盖好，或盖板设计的不合理，长时间移动摩擦，造成电源线破损，引起线路短路；由于现场工作环境不好，如生产过程产生的粉尘以及碎纸屑粘附在电器上，引起控制柜电器短路。电气线路短路可烧坏电机、电器零件，造成生产线停产，重则引发火灾和人员伤害。</w:t>
      </w:r>
    </w:p>
    <w:p w14:paraId="055758DE">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变压器是电力系统的重要元件之一。变压器存在着火灾隐患，因为变压器油是可燃液体，还有纸、布料等可燃材料、绝缘材料，运行时会产生热量，绝缘会老化，变压器一旦发生故障时，产生的电弧使箱体内绝缘油的温度、压力升高喷出甚至爆裂喷出，同时电弧引起绝缘油着火，而且火势发展很快，如果没有有效的防护措施，会导致严重的后果。</w:t>
      </w:r>
    </w:p>
    <w:p w14:paraId="52DA4C08">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变压器爆炸着火的原因有：</w:t>
      </w:r>
    </w:p>
    <w:p w14:paraId="4B540716">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①绕组绝缘损毁产生短路（如老化、变质、绝缘强度降低、焊渣或铁磁物质进入变压器、制造质量不良等）引起着火爆炸事故。</w:t>
      </w:r>
    </w:p>
    <w:p w14:paraId="4021628D">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②变压器主绝缘击穿（如操作不当引起过电压，变压器内部发生闪络，密封不良，雨水漏入变压器，引线对油箱内距离不够等）。</w:t>
      </w:r>
    </w:p>
    <w:p w14:paraId="4A70CD04">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③变压器套管闪络。</w:t>
      </w:r>
    </w:p>
    <w:p w14:paraId="7BC17864">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④分接开关和绕组连接处接触不良，产生高温。</w:t>
      </w:r>
    </w:p>
    <w:p w14:paraId="650E7C2D">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⑤磁路发生故障，铁芯故障，产生涡流、环流发热，引起变压器故障等。</w:t>
      </w:r>
    </w:p>
    <w:p w14:paraId="75900F01">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配电装置、电动机以及各种照明设备等存在电气火灾的危险。电气设备本身除可构成引燃源外，也可能成为易燃物的危险源。</w:t>
      </w:r>
    </w:p>
    <w:p w14:paraId="7DF877F7">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①部分电气设备中充有大量易燃物，如油浸变压器等，在电弧作用下油可分解为大量油雾可燃性气体。</w:t>
      </w:r>
    </w:p>
    <w:p w14:paraId="5468AB05">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②过载</w:t>
      </w:r>
    </w:p>
    <w:p w14:paraId="6374527B">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过载又称过负荷，是指电力线路和电气设备在运行过程中通过的电流量超过安全载流量或额定值的现象。由于电流的发热量与电流的平方成正比，因此，过载时，发热量往往大大超过允许限度，轻则加速绝缘层老化，重则会使可燃绝缘层燃烧而引起火灾事故。</w:t>
      </w:r>
    </w:p>
    <w:p w14:paraId="1AAB7091">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③短路</w:t>
      </w:r>
    </w:p>
    <w:p w14:paraId="7A93CD44">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短路又称碰线、混线或连电，是指电气线路或设备中相线与相线之间短接，或相线与大地、相线与中性线之间的短接现象。发生短路时，电源电动势被短接，短路电阻抗变小，造成电气回路中电流突然增大，在短路处可产生火花，甚至产生6000℃以上的电弧；不仅会使金属导线熔化和绝缘材料燃烧，还会引起附近的可燃物着火及可燃性气体、蒸气、粉尘与空气混合物爆炸。</w:t>
      </w:r>
    </w:p>
    <w:p w14:paraId="45895B7F">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④接触电阻过大</w:t>
      </w:r>
    </w:p>
    <w:p w14:paraId="00C05BEE">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这是指导线与导线、导线与电气设备的连接处，由于接触不良，使接触部位的局部电阻过大的现象。当电流通过时，在接触电阻过大的部位，就会吸收很大的电能，产生极大的热量，从而使绝缘层损坏以致燃烧，使金属导线变色甚至熔化，严重时可引起附近的可燃物质着火而造成火灾。</w:t>
      </w:r>
    </w:p>
    <w:p w14:paraId="0EB56010">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汽轮机轴承及油系统漏油，主变压器、厂用变压器以及高、低压配电装置技术状况不符合要求或非正常运行，未进行电缆巡查、未采取防火措施等，电缆铺设不符合安全要求等，避雷措施不符合规定等，均可能引发火灾事故。</w:t>
      </w:r>
    </w:p>
    <w:p w14:paraId="09161BDB">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管理、操作不当导致的火灾爆炸危险</w:t>
      </w:r>
    </w:p>
    <w:p w14:paraId="14346601">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生产过程中安全管理不到位或管理不当，可能因违章指挥、违章作业、违反操作规程而引发火灾爆炸事故。</w:t>
      </w:r>
    </w:p>
    <w:p w14:paraId="51E518AD">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作业人员素质低或未经培训即上岗作业，对生产过程中出现的异常现象不能及时发现、正确处理，可能因贻误处理时机或处理不当而引发火灾爆炸事故。</w:t>
      </w:r>
    </w:p>
    <w:p w14:paraId="4BA71F3F">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2"/>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4.1.2.2 储存过程中突发环境事件情景分析</w:t>
      </w:r>
    </w:p>
    <w:p w14:paraId="11C0F9CB">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生产</w:t>
      </w:r>
      <w:r>
        <w:rPr>
          <w:rFonts w:hint="default" w:ascii="Times New Roman" w:hAnsi="Times New Roman" w:cs="Times New Roman"/>
          <w:color w:val="auto"/>
          <w:sz w:val="24"/>
          <w:highlight w:val="none"/>
          <w:lang w:val="en-US" w:eastAsia="zh-CN"/>
        </w:rPr>
        <w:t>装置的原料及产品多存放于储罐区，属于易燃、易爆物品。若易燃易爆物质包装物的破损、裂缝造成泄漏，潜在事故主要是火灾、爆炸和泄漏所造成的环境污染。</w:t>
      </w:r>
    </w:p>
    <w:p w14:paraId="79882CF9">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a.储罐质量因素泄漏：包括设计不当，材料错误，品质不符，强度不足，加工焊接组装缺陷，结构缺陷，附件不符合要求等。</w:t>
      </w:r>
    </w:p>
    <w:p w14:paraId="06DE1236">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工艺因素：在装卸时有高流速介质冲击磨损，反复应力作用，腐蚀破坏，冷脆断裂，老化变质，内压超高等。储罐的排污阀，因其处于储罐的最底部，最容易被冻破，并且经常操作易损坏发生泄漏。储罐上及连接管道的法兰垫片质量问题破裂造成泄漏。</w:t>
      </w:r>
    </w:p>
    <w:p w14:paraId="6279A1FD">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c.外来因素破坏：如外来飞射物打击，外来车辆撞击，施工破坏，基础下沉或倾斜等。</w:t>
      </w:r>
    </w:p>
    <w:p w14:paraId="0BEB1327">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d.操作失误引起泄漏：误开阀门；对液位监测错误或不及时，超量罐装超压，导致储罐本体破裂或法兰垫片破裂泄漏；违章检修等。</w:t>
      </w:r>
    </w:p>
    <w:p w14:paraId="3E29E5D7">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e.受热破裂泄漏：夏季高温辐射储罐受热后罐壁温度升高导致设备的材料强度降低，以及内部介质压力骤升，储罐的主体或支撑件产生的应力高于其可承受的最大应力值时，机械性破裂或软榻，造成储罐泄漏。</w:t>
      </w:r>
    </w:p>
    <w:p w14:paraId="22F6C768">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2"/>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公用工程突发环境事件情景分析</w:t>
      </w:r>
    </w:p>
    <w:p w14:paraId="34C7A40B">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（1）厂区内违章进行动土作业，造成地埋敷设的电气线路、供水管线及工艺管线损坏，导致工艺停电、停水或是易燃、可燃物料泄漏等，有引发火灾爆炸的危险。</w:t>
      </w:r>
    </w:p>
    <w:p w14:paraId="06D1B5FD">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（2）若生产用汽意外中断，反应温度失控可造成事故发生，蒸汽包及蒸汽管道安全附件不全、超温超压、未定期检查，可能会发生爆裂继而引发生产系统火灾爆炸事故</w:t>
      </w:r>
    </w:p>
    <w:p w14:paraId="4677535A">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（3）企业配套原变配电室，内设变压器、高低压供配电设备，若供配电系统存在以下不安全因素，可能引发火灾爆炸事故发生：</w:t>
      </w:r>
    </w:p>
    <w:p w14:paraId="09FE7D0B">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a.变配电室若无避雷装置或避雷接地装置不健全，有遭雷击危险，或能引发变压器发生火灾，导致突发停电事故，进而引发生产系统火灾爆炸事故发生。</w:t>
      </w:r>
    </w:p>
    <w:p w14:paraId="2353E74E">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变配电室若无挡鼠板，门窗及通风气孔无防小动物网，变配电室电缆入口未堵塞，电缆沟未用细砂填实，可能造成供电线路因动物窜入、咬伤等引发短路、跳闸故障而突发停电，进而引发生产装置发生火灾爆炸事故。</w:t>
      </w:r>
    </w:p>
    <w:p w14:paraId="6F2D85A1">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c.直埋式地下电缆深度在冻土层以上、没有填细砂层进行保护，会受到冻土和鼠咬的破坏，造成停电，进而引发火灾爆炸事故。</w:t>
      </w:r>
    </w:p>
    <w:p w14:paraId="2493F2EA">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d.电缆沟未用细砂填实，生产系统的助燃气体在电缆沟积聚，在一定条件下遇火源能引发火灾爆炸事故发生。</w:t>
      </w:r>
    </w:p>
    <w:p w14:paraId="1F54418B">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e.因变压器油是可燃液体，变压器运行时会产生热量，绝缘可能老化，故变压器本身存在火灾隐患。变压器一旦发生故障，产生的电弧可使箱体内绝缘油的温度、压力升高导致绝缘油喷出甚至引起箱体爆裂；同时电弧可引起绝缘油着火，若无有效的防护措施，火势会发展很快，导致严重的后果。</w:t>
      </w:r>
    </w:p>
    <w:p w14:paraId="496D1D4D">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低压配电系统中漏电产生的电流和电压等均可引起火灾。若因安装质量差、有酸碱腐蚀性的环境中电线明敷、设备未做保护直接安装、布线时绝缘层损伤、导线接头连接质量和绝缘包扎质量不符合要求等原因导致低压配电系统发生漏电，可因产生火花、电弧、过热高温等而造成火灾。</w:t>
      </w:r>
    </w:p>
    <w:p w14:paraId="75A4D05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2"/>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w:t>
      </w:r>
      <w:r>
        <w:rPr>
          <w:rFonts w:hint="eastAsia"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环保设施突发环境事件情景分析</w:t>
      </w:r>
    </w:p>
    <w:p w14:paraId="1D799E53">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糠醇装置工艺废气包括：原料混料废气（</w:t>
      </w:r>
      <w:r>
        <w:rPr>
          <w:rFonts w:hint="default" w:ascii="Times New Roman" w:hAnsi="Times New Roman" w:cs="Times New Roman"/>
          <w:color w:val="auto"/>
          <w:sz w:val="24"/>
          <w:szCs w:val="24"/>
          <w:highlight w:val="none"/>
          <w:lang w:eastAsia="zh-CN"/>
        </w:rPr>
        <w:t>糠醛</w:t>
      </w:r>
      <w:r>
        <w:rPr>
          <w:rFonts w:hint="default" w:ascii="Times New Roman" w:hAnsi="Times New Roman" w:eastAsia="宋体" w:cs="Times New Roman"/>
          <w:color w:val="auto"/>
          <w:sz w:val="24"/>
          <w:szCs w:val="24"/>
          <w:highlight w:val="none"/>
        </w:rPr>
        <w:t>）、加氢反应驰放气（</w:t>
      </w:r>
      <w:r>
        <w:rPr>
          <w:rFonts w:hint="default" w:ascii="Times New Roman" w:hAnsi="Times New Roman" w:cs="Times New Roman"/>
          <w:color w:val="auto"/>
          <w:sz w:val="24"/>
          <w:szCs w:val="24"/>
          <w:highlight w:val="none"/>
          <w:lang w:eastAsia="zh-CN"/>
        </w:rPr>
        <w:t>糠醛、糠醇</w:t>
      </w:r>
      <w:r>
        <w:rPr>
          <w:rFonts w:hint="default" w:ascii="Times New Roman" w:hAnsi="Times New Roman" w:eastAsia="宋体" w:cs="Times New Roman"/>
          <w:color w:val="auto"/>
          <w:sz w:val="24"/>
          <w:szCs w:val="24"/>
          <w:highlight w:val="none"/>
        </w:rPr>
        <w:t>）、沉降槽糠醇蒸汽（</w:t>
      </w:r>
      <w:r>
        <w:rPr>
          <w:rFonts w:hint="default" w:ascii="Times New Roman" w:hAnsi="Times New Roman" w:cs="Times New Roman"/>
          <w:color w:val="auto"/>
          <w:sz w:val="24"/>
          <w:szCs w:val="24"/>
          <w:highlight w:val="none"/>
          <w:lang w:eastAsia="zh-CN"/>
        </w:rPr>
        <w:t>糠醛、糠醇</w:t>
      </w:r>
      <w:r>
        <w:rPr>
          <w:rFonts w:hint="default" w:ascii="Times New Roman" w:hAnsi="Times New Roman" w:eastAsia="宋体" w:cs="Times New Roman"/>
          <w:color w:val="auto"/>
          <w:sz w:val="24"/>
          <w:szCs w:val="24"/>
          <w:highlight w:val="none"/>
        </w:rPr>
        <w:t>）、精馏过程产生的不凝气（</w:t>
      </w:r>
      <w:r>
        <w:rPr>
          <w:rFonts w:hint="default" w:ascii="Times New Roman" w:hAnsi="Times New Roman" w:cs="Times New Roman"/>
          <w:color w:val="auto"/>
          <w:sz w:val="24"/>
          <w:szCs w:val="24"/>
          <w:highlight w:val="none"/>
          <w:lang w:eastAsia="zh-CN"/>
        </w:rPr>
        <w:t>糠醛、糠醇、呋喃</w:t>
      </w:r>
      <w:r>
        <w:rPr>
          <w:rFonts w:hint="default" w:ascii="Times New Roman" w:hAnsi="Times New Roman" w:eastAsia="宋体" w:cs="Times New Roman"/>
          <w:color w:val="auto"/>
          <w:sz w:val="24"/>
          <w:szCs w:val="24"/>
          <w:highlight w:val="none"/>
        </w:rPr>
        <w:t>）。</w:t>
      </w:r>
    </w:p>
    <w:p w14:paraId="51941308">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二甲基呋喃装置工艺废气包括：蒸发反应废气（糠醛、糠醇、二甲基呋喃）、加氢反应放气（糠醛、糠醇、二甲基呋喃）、精馏过程产生的不凝气（糠醛、糠醇、二甲基呋喃）。</w:t>
      </w:r>
    </w:p>
    <w:p w14:paraId="5C0B437B">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以上废气全部经管线收集，合并成一条管线后进入废气深冷处理装置处理，经活性炭吸附后</w:t>
      </w:r>
      <w:r>
        <w:rPr>
          <w:rFonts w:hint="eastAsia" w:ascii="Times New Roman" w:hAnsi="Times New Roman" w:cs="Times New Roman"/>
          <w:color w:val="auto"/>
          <w:sz w:val="24"/>
          <w:szCs w:val="24"/>
          <w:highlight w:val="none"/>
          <w:lang w:eastAsia="zh-CN"/>
        </w:rPr>
        <w:t>达标</w:t>
      </w:r>
      <w:r>
        <w:rPr>
          <w:rFonts w:hint="default" w:ascii="Times New Roman" w:hAnsi="Times New Roman" w:eastAsia="宋体" w:cs="Times New Roman"/>
          <w:color w:val="auto"/>
          <w:sz w:val="24"/>
          <w:szCs w:val="24"/>
          <w:highlight w:val="none"/>
        </w:rPr>
        <w:t>排出。</w:t>
      </w:r>
    </w:p>
    <w:p w14:paraId="4676DD9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将所有原料储罐的呼吸口全部接入管线收集，收集后合并为一条管线后，与工艺废气一同经过活性炭吸附处理后</w:t>
      </w:r>
      <w:r>
        <w:rPr>
          <w:rFonts w:hint="eastAsia" w:ascii="Times New Roman" w:hAnsi="Times New Roman" w:cs="Times New Roman"/>
          <w:color w:val="auto"/>
          <w:sz w:val="24"/>
          <w:szCs w:val="24"/>
          <w:highlight w:val="none"/>
          <w:lang w:eastAsia="zh-CN"/>
        </w:rPr>
        <w:t>达标</w:t>
      </w:r>
      <w:r>
        <w:rPr>
          <w:rFonts w:hint="default" w:ascii="Times New Roman" w:hAnsi="Times New Roman" w:eastAsia="宋体" w:cs="Times New Roman"/>
          <w:color w:val="auto"/>
          <w:sz w:val="24"/>
          <w:szCs w:val="24"/>
          <w:highlight w:val="none"/>
        </w:rPr>
        <w:t>排出。</w:t>
      </w:r>
    </w:p>
    <w:p w14:paraId="70AE20B1">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2"/>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4.1.2.</w:t>
      </w:r>
      <w:r>
        <w:rPr>
          <w:rFonts w:hint="eastAsia" w:ascii="Times New Roman" w:hAnsi="Times New Roman" w:cs="Times New Roman"/>
          <w:b/>
          <w:color w:val="auto"/>
          <w:sz w:val="24"/>
          <w:highlight w:val="none"/>
          <w:lang w:val="en-US" w:eastAsia="zh-CN"/>
        </w:rPr>
        <w:t>5</w:t>
      </w:r>
      <w:r>
        <w:rPr>
          <w:rFonts w:hint="default" w:ascii="Times New Roman" w:hAnsi="Times New Roman" w:cs="Times New Roman"/>
          <w:b/>
          <w:color w:val="auto"/>
          <w:sz w:val="24"/>
          <w:highlight w:val="none"/>
        </w:rPr>
        <w:t>其他突发环境事件情景分析</w:t>
      </w:r>
    </w:p>
    <w:p w14:paraId="50D84113">
      <w:pPr>
        <w:autoSpaceDE w:val="0"/>
        <w:autoSpaceDN w:val="0"/>
        <w:adjustRightInd w:val="0"/>
        <w:snapToGrid w:val="0"/>
        <w:spacing w:line="360" w:lineRule="auto"/>
        <w:ind w:firstLine="480" w:firstLineChars="200"/>
        <w:rPr>
          <w:rFonts w:hint="default" w:ascii="Times New Roman" w:hAnsi="Times New Roman" w:cs="Times New Roman"/>
          <w:color w:val="auto"/>
          <w:kern w:val="44"/>
          <w:sz w:val="24"/>
          <w:highlight w:val="none"/>
        </w:rPr>
      </w:pPr>
      <w:r>
        <w:rPr>
          <w:rFonts w:hint="default" w:ascii="Times New Roman" w:hAnsi="Times New Roman" w:cs="Times New Roman"/>
          <w:color w:val="auto"/>
          <w:kern w:val="44"/>
          <w:sz w:val="24"/>
          <w:highlight w:val="none"/>
        </w:rPr>
        <w:t>企业的违法排污、各种自然灾害、极端天气或不利气象条件等都可能会造成废气、废水未经处理直接超标排放，对附近的居民或地表水体等造成较大影响。</w:t>
      </w:r>
    </w:p>
    <w:p w14:paraId="48D45F9A">
      <w:pPr>
        <w:pStyle w:val="130"/>
        <w:ind w:firstLine="480"/>
        <w:rPr>
          <w:rFonts w:ascii="Times New Roman" w:hAnsi="Times New Roman"/>
          <w:szCs w:val="24"/>
          <w:lang w:eastAsia="zh-CN"/>
        </w:rPr>
      </w:pPr>
      <w:r>
        <w:rPr>
          <w:rFonts w:hint="default" w:ascii="Times New Roman" w:hAnsi="Times New Roman" w:cs="Times New Roman"/>
          <w:color w:val="auto"/>
          <w:kern w:val="44"/>
          <w:sz w:val="24"/>
          <w:highlight w:val="none"/>
        </w:rPr>
        <w:t>废气处理设施运转不正常造成</w:t>
      </w:r>
      <w:r>
        <w:rPr>
          <w:rFonts w:hint="default" w:ascii="Times New Roman" w:hAnsi="Times New Roman" w:cs="Times New Roman"/>
          <w:color w:val="auto"/>
          <w:kern w:val="44"/>
          <w:sz w:val="24"/>
          <w:highlight w:val="none"/>
          <w:lang w:eastAsia="zh-CN"/>
        </w:rPr>
        <w:t>废气</w:t>
      </w:r>
      <w:r>
        <w:rPr>
          <w:rFonts w:hint="default" w:ascii="Times New Roman" w:hAnsi="Times New Roman" w:cs="Times New Roman"/>
          <w:color w:val="auto"/>
          <w:kern w:val="44"/>
          <w:sz w:val="24"/>
          <w:highlight w:val="none"/>
        </w:rPr>
        <w:t>超标排放，对大气环境造成较大影响。</w:t>
      </w:r>
    </w:p>
    <w:p w14:paraId="2E372FF7">
      <w:pPr>
        <w:pStyle w:val="7"/>
        <w:spacing w:before="0" w:after="0"/>
        <w:rPr>
          <w:rFonts w:hint="default" w:ascii="Times New Roman" w:hAnsi="Times New Roman" w:cs="Times New Roman"/>
          <w:color w:val="auto"/>
          <w:highlight w:val="none"/>
        </w:rPr>
      </w:pPr>
      <w:bookmarkStart w:id="68" w:name="_Toc13394"/>
      <w:r>
        <w:rPr>
          <w:rFonts w:hint="default" w:ascii="Times New Roman" w:hAnsi="Times New Roman" w:cs="Times New Roman"/>
          <w:color w:val="auto"/>
          <w:highlight w:val="none"/>
        </w:rPr>
        <w:t>4.2 突发环境事件情景源强分析</w:t>
      </w:r>
      <w:bookmarkEnd w:id="68"/>
    </w:p>
    <w:p w14:paraId="74D1DF20">
      <w:pPr>
        <w:spacing w:line="360" w:lineRule="auto"/>
        <w:ind w:firstLine="480" w:firstLineChars="200"/>
        <w:rPr>
          <w:rFonts w:hint="default" w:ascii="Times New Roman" w:hAnsi="Times New Roman" w:cs="Times New Roman"/>
          <w:color w:val="auto"/>
          <w:sz w:val="24"/>
          <w:highlight w:val="none"/>
        </w:rPr>
      </w:pPr>
      <w:bookmarkStart w:id="69" w:name="_Toc23148"/>
      <w:bookmarkStart w:id="70" w:name="_Toc426701452"/>
      <w:bookmarkStart w:id="71" w:name="_Toc127256782"/>
      <w:r>
        <w:rPr>
          <w:rFonts w:hint="eastAsia" w:cs="Times New Roman"/>
          <w:color w:val="auto"/>
          <w:sz w:val="24"/>
          <w:highlight w:val="none"/>
          <w:lang w:eastAsia="zh-CN"/>
        </w:rPr>
        <w:t>公司</w:t>
      </w:r>
      <w:r>
        <w:rPr>
          <w:rFonts w:hint="default" w:ascii="Times New Roman" w:hAnsi="Times New Roman" w:cs="Times New Roman"/>
          <w:color w:val="auto"/>
          <w:sz w:val="24"/>
          <w:highlight w:val="none"/>
        </w:rPr>
        <w:t>虽具有多个事故风险源，但环境风险将来自主要危险源的事故性泄漏。</w:t>
      </w:r>
      <w:r>
        <w:rPr>
          <w:rFonts w:hint="eastAsia" w:cs="Times New Roman"/>
          <w:color w:val="auto"/>
          <w:sz w:val="24"/>
          <w:highlight w:val="none"/>
          <w:lang w:eastAsia="zh-CN"/>
        </w:rPr>
        <w:t>公司</w:t>
      </w:r>
      <w:r>
        <w:rPr>
          <w:rFonts w:hint="default" w:ascii="Times New Roman" w:hAnsi="Times New Roman" w:cs="Times New Roman"/>
          <w:color w:val="auto"/>
          <w:sz w:val="24"/>
          <w:highlight w:val="none"/>
        </w:rPr>
        <w:t>最大可信事故的确定是依据事故源大小和物质特性对环境的影响程度确定。根据事故源识别和事故因素分析表明，生产物料泄漏为重大环境污染事故隐患，事故原因主要是生产装置和储罐壳件出口部位断裂、阀门破损等。</w:t>
      </w:r>
    </w:p>
    <w:p w14:paraId="530B01F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考虑到原料、产品等物料在理化性质、储存量及毒性、危险性的差异，评价确定本项目最大可信事故及类型为：生产装置或储罐发生泄漏事故（污染物为</w:t>
      </w:r>
      <w:r>
        <w:rPr>
          <w:rFonts w:hint="default" w:ascii="Times New Roman" w:hAnsi="Times New Roman" w:cs="Times New Roman"/>
          <w:color w:val="auto"/>
          <w:sz w:val="24"/>
          <w:highlight w:val="none"/>
          <w:lang w:eastAsia="zh-CN"/>
        </w:rPr>
        <w:t>糠醇、糠醛、二甲基呋喃、氢气</w:t>
      </w:r>
      <w:r>
        <w:rPr>
          <w:rFonts w:hint="default" w:ascii="Times New Roman" w:hAnsi="Times New Roman" w:cs="Times New Roman"/>
          <w:color w:val="auto"/>
          <w:sz w:val="24"/>
          <w:highlight w:val="none"/>
        </w:rPr>
        <w:t>泄漏后引发的</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w:t>
      </w:r>
    </w:p>
    <w:bookmarkEnd w:id="69"/>
    <w:bookmarkEnd w:id="70"/>
    <w:p w14:paraId="3CFB346D">
      <w:pPr>
        <w:spacing w:line="360" w:lineRule="auto"/>
        <w:ind w:firstLine="482" w:firstLineChars="200"/>
        <w:rPr>
          <w:rFonts w:hint="eastAsia" w:ascii="Times New Roman" w:hAnsi="Times New Roman" w:eastAsia="宋体" w:cs="Times New Roman"/>
          <w:b/>
          <w:bCs/>
          <w:color w:val="auto"/>
          <w:sz w:val="24"/>
          <w:highlight w:val="none"/>
          <w:lang w:eastAsia="zh-CN"/>
        </w:rPr>
      </w:pPr>
      <w:r>
        <w:rPr>
          <w:rFonts w:hint="eastAsia" w:cs="Times New Roman"/>
          <w:b/>
          <w:bCs/>
          <w:color w:val="auto"/>
          <w:sz w:val="24"/>
          <w:highlight w:val="none"/>
          <w:lang w:val="en-US" w:eastAsia="zh-CN"/>
        </w:rPr>
        <w:t>4.2.1</w:t>
      </w:r>
      <w:r>
        <w:rPr>
          <w:rFonts w:hint="default" w:ascii="Times New Roman" w:hAnsi="Times New Roman" w:cs="Times New Roman"/>
          <w:b/>
          <w:bCs/>
          <w:color w:val="auto"/>
          <w:sz w:val="24"/>
          <w:highlight w:val="none"/>
        </w:rPr>
        <w:t>糠醛泄漏事故源强</w:t>
      </w:r>
      <w:r>
        <w:rPr>
          <w:rFonts w:hint="eastAsia" w:cs="Times New Roman"/>
          <w:b/>
          <w:bCs/>
          <w:color w:val="auto"/>
          <w:sz w:val="24"/>
          <w:highlight w:val="none"/>
          <w:lang w:eastAsia="zh-CN"/>
        </w:rPr>
        <w:t>分析</w:t>
      </w:r>
    </w:p>
    <w:p w14:paraId="46AAA116">
      <w:pPr>
        <w:numPr>
          <w:ilvl w:val="0"/>
          <w:numId w:val="5"/>
        </w:numPr>
        <w:spacing w:line="360" w:lineRule="auto"/>
        <w:ind w:firstLine="480" w:firstLineChars="200"/>
        <w:rPr>
          <w:rFonts w:hint="eastAsia" w:cs="Times New Roman"/>
          <w:color w:val="auto"/>
          <w:sz w:val="24"/>
          <w:highlight w:val="none"/>
          <w:lang w:eastAsia="zh-CN"/>
        </w:rPr>
      </w:pPr>
      <w:r>
        <w:rPr>
          <w:rFonts w:hint="eastAsia" w:cs="Times New Roman"/>
          <w:color w:val="auto"/>
          <w:sz w:val="24"/>
          <w:highlight w:val="none"/>
          <w:lang w:eastAsia="zh-CN"/>
        </w:rPr>
        <w:t>泄漏量确定</w:t>
      </w:r>
    </w:p>
    <w:p w14:paraId="7CB3E15B">
      <w:pPr>
        <w:spacing w:line="360" w:lineRule="auto"/>
        <w:ind w:firstLine="480" w:firstLineChars="200"/>
        <w:rPr>
          <w:sz w:val="24"/>
          <w:szCs w:val="24"/>
          <w:highlight w:val="none"/>
        </w:rPr>
      </w:pPr>
      <w:r>
        <w:rPr>
          <w:rFonts w:hint="eastAsia"/>
          <w:sz w:val="24"/>
          <w:szCs w:val="24"/>
          <w:highlight w:val="none"/>
        </w:rPr>
        <w:t>该厂区内</w:t>
      </w:r>
      <w:r>
        <w:rPr>
          <w:rFonts w:hint="eastAsia"/>
          <w:sz w:val="24"/>
          <w:szCs w:val="24"/>
          <w:highlight w:val="none"/>
          <w:lang w:eastAsia="zh-CN"/>
        </w:rPr>
        <w:t>糠醛</w:t>
      </w:r>
      <w:r>
        <w:rPr>
          <w:rFonts w:hint="eastAsia"/>
          <w:sz w:val="24"/>
          <w:szCs w:val="24"/>
          <w:highlight w:val="none"/>
        </w:rPr>
        <w:t>存储在罐区中，本次评价选择最大的</w:t>
      </w:r>
      <w:r>
        <w:rPr>
          <w:rFonts w:hint="eastAsia"/>
          <w:sz w:val="24"/>
          <w:szCs w:val="24"/>
          <w:highlight w:val="none"/>
          <w:lang w:eastAsia="zh-CN"/>
        </w:rPr>
        <w:t>糠醛</w:t>
      </w:r>
      <w:r>
        <w:rPr>
          <w:rFonts w:hint="eastAsia"/>
          <w:sz w:val="24"/>
          <w:szCs w:val="24"/>
          <w:highlight w:val="none"/>
        </w:rPr>
        <w:t>储罐发生泄漏作为该厂区的风险事故源强。本次分析将</w:t>
      </w:r>
      <w:r>
        <w:rPr>
          <w:rFonts w:hint="eastAsia"/>
          <w:sz w:val="24"/>
          <w:szCs w:val="24"/>
          <w:highlight w:val="none"/>
          <w:lang w:eastAsia="zh-CN"/>
        </w:rPr>
        <w:t>糠醛</w:t>
      </w:r>
      <w:r>
        <w:rPr>
          <w:rFonts w:hint="eastAsia"/>
          <w:sz w:val="24"/>
          <w:szCs w:val="24"/>
          <w:highlight w:val="none"/>
        </w:rPr>
        <w:t>输送管线接头破裂和阀门螺丝松动造成泄漏归为一种情况，设定与</w:t>
      </w:r>
      <w:r>
        <w:rPr>
          <w:rFonts w:hint="eastAsia"/>
          <w:sz w:val="24"/>
          <w:szCs w:val="24"/>
          <w:highlight w:val="none"/>
          <w:lang w:eastAsia="zh-CN"/>
        </w:rPr>
        <w:t>糠醛</w:t>
      </w:r>
      <w:r>
        <w:rPr>
          <w:rFonts w:hint="eastAsia"/>
          <w:sz w:val="24"/>
          <w:szCs w:val="24"/>
          <w:highlight w:val="none"/>
        </w:rPr>
        <w:t>储罐相连接的管道发生泄漏，根据《建设项目环境风险评价技术导则》（征求意见稿）附录表</w:t>
      </w:r>
      <w:r>
        <w:rPr>
          <w:sz w:val="24"/>
          <w:szCs w:val="24"/>
          <w:highlight w:val="none"/>
        </w:rPr>
        <w:t>B-2 中管道泄露的尺寸按照管径的100%计算。</w:t>
      </w:r>
      <w:r>
        <w:rPr>
          <w:rFonts w:hint="eastAsia"/>
          <w:sz w:val="24"/>
          <w:szCs w:val="24"/>
          <w:highlight w:val="none"/>
        </w:rPr>
        <w:t>假定储罐泄漏后，操作人员在</w:t>
      </w:r>
      <w:r>
        <w:rPr>
          <w:sz w:val="24"/>
          <w:szCs w:val="24"/>
          <w:highlight w:val="none"/>
        </w:rPr>
        <w:t>10min内使储罐泄漏得到控制，并采取有效的收集措施</w:t>
      </w:r>
      <w:r>
        <w:rPr>
          <w:rFonts w:hint="eastAsia"/>
          <w:sz w:val="24"/>
          <w:szCs w:val="24"/>
          <w:highlight w:val="none"/>
        </w:rPr>
        <w:t>。</w:t>
      </w:r>
    </w:p>
    <w:p w14:paraId="4FB0B8FC">
      <w:pPr>
        <w:spacing w:line="360" w:lineRule="auto"/>
        <w:ind w:firstLine="480" w:firstLineChars="200"/>
        <w:rPr>
          <w:sz w:val="24"/>
          <w:szCs w:val="24"/>
          <w:highlight w:val="none"/>
        </w:rPr>
      </w:pPr>
      <w:r>
        <w:rPr>
          <w:rFonts w:hint="eastAsia"/>
          <w:sz w:val="24"/>
          <w:szCs w:val="24"/>
          <w:highlight w:val="none"/>
          <w:lang w:eastAsia="zh-CN"/>
        </w:rPr>
        <w:t>糠醛</w:t>
      </w:r>
      <w:r>
        <w:rPr>
          <w:rFonts w:hint="eastAsia"/>
          <w:sz w:val="24"/>
          <w:szCs w:val="24"/>
          <w:highlight w:val="none"/>
        </w:rPr>
        <w:t>储存状态为液态，其泄漏速率采用《建设项目环境风险评价导则》</w:t>
      </w:r>
      <w:r>
        <w:rPr>
          <w:sz w:val="24"/>
          <w:szCs w:val="24"/>
          <w:highlight w:val="none"/>
        </w:rPr>
        <w:t>(HJ/T169-2018)</w:t>
      </w:r>
      <w:r>
        <w:rPr>
          <w:rFonts w:hint="eastAsia"/>
          <w:sz w:val="24"/>
          <w:szCs w:val="24"/>
          <w:highlight w:val="none"/>
        </w:rPr>
        <w:t>附录</w:t>
      </w:r>
      <w:r>
        <w:rPr>
          <w:sz w:val="24"/>
          <w:szCs w:val="24"/>
          <w:highlight w:val="none"/>
        </w:rPr>
        <w:t>A 中推荐的液体泄漏速率公式进行估算，泄漏量按下面公式计算</w:t>
      </w:r>
      <w:r>
        <w:rPr>
          <w:rFonts w:hint="eastAsia"/>
          <w:sz w:val="24"/>
          <w:szCs w:val="24"/>
          <w:highlight w:val="none"/>
        </w:rPr>
        <w:t>：</w:t>
      </w:r>
    </w:p>
    <w:p w14:paraId="472F187B">
      <w:pPr>
        <w:ind w:firstLine="482"/>
        <w:jc w:val="center"/>
        <w:rPr>
          <w:color w:val="FF0000"/>
          <w:sz w:val="24"/>
          <w:szCs w:val="24"/>
          <w:highlight w:val="none"/>
        </w:rPr>
      </w:pPr>
      <w:r>
        <w:rPr>
          <w:color w:val="FF0000"/>
          <w:sz w:val="24"/>
          <w:szCs w:val="24"/>
          <w:highlight w:val="none"/>
        </w:rPr>
        <w:drawing>
          <wp:inline distT="0" distB="0" distL="0" distR="0">
            <wp:extent cx="2171700" cy="438150"/>
            <wp:effectExtent l="0" t="0" r="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19"/>
                    <a:stretch>
                      <a:fillRect/>
                    </a:stretch>
                  </pic:blipFill>
                  <pic:spPr>
                    <a:xfrm>
                      <a:off x="0" y="0"/>
                      <a:ext cx="2171700" cy="438150"/>
                    </a:xfrm>
                    <a:prstGeom prst="rect">
                      <a:avLst/>
                    </a:prstGeom>
                  </pic:spPr>
                </pic:pic>
              </a:graphicData>
            </a:graphic>
          </wp:inline>
        </w:drawing>
      </w:r>
    </w:p>
    <w:p w14:paraId="38172E3C">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式中：</w:t>
      </w:r>
      <w:r>
        <w:rPr>
          <w:i/>
          <w:iCs/>
          <w:color w:val="000000" w:themeColor="text1"/>
          <w:sz w:val="24"/>
          <w:szCs w:val="24"/>
          <w:highlight w:val="none"/>
          <w14:textFill>
            <w14:solidFill>
              <w14:schemeClr w14:val="tx1"/>
            </w14:solidFill>
          </w14:textFill>
        </w:rPr>
        <w:t xml:space="preserve">L Q </w:t>
      </w:r>
      <w:r>
        <w:rPr>
          <w:color w:val="000000" w:themeColor="text1"/>
          <w:sz w:val="24"/>
          <w:szCs w:val="24"/>
          <w:highlight w:val="none"/>
          <w14:textFill>
            <w14:solidFill>
              <w14:schemeClr w14:val="tx1"/>
            </w14:solidFill>
          </w14:textFill>
        </w:rPr>
        <w:t>——液体泄漏速度，kg/s；</w:t>
      </w:r>
    </w:p>
    <w:p w14:paraId="7F419809">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Cd </w:t>
      </w:r>
      <w:r>
        <w:rPr>
          <w:color w:val="000000" w:themeColor="text1"/>
          <w:sz w:val="24"/>
          <w:szCs w:val="24"/>
          <w:highlight w:val="none"/>
          <w14:textFill>
            <w14:solidFill>
              <w14:schemeClr w14:val="tx1"/>
            </w14:solidFill>
          </w14:textFill>
        </w:rPr>
        <w:t>——液体泄漏系数；</w:t>
      </w:r>
      <w:r>
        <w:rPr>
          <w:rFonts w:hint="eastAsia"/>
          <w:color w:val="000000" w:themeColor="text1"/>
          <w:sz w:val="24"/>
          <w:szCs w:val="24"/>
          <w:highlight w:val="none"/>
          <w14:textFill>
            <w14:solidFill>
              <w14:schemeClr w14:val="tx1"/>
            </w14:solidFill>
          </w14:textFill>
        </w:rPr>
        <w:t>取0</w:t>
      </w:r>
      <w:r>
        <w:rPr>
          <w:color w:val="000000" w:themeColor="text1"/>
          <w:sz w:val="24"/>
          <w:szCs w:val="24"/>
          <w:highlight w:val="none"/>
          <w14:textFill>
            <w14:solidFill>
              <w14:schemeClr w14:val="tx1"/>
            </w14:solidFill>
          </w14:textFill>
        </w:rPr>
        <w:t>.62</w:t>
      </w:r>
      <w:r>
        <w:rPr>
          <w:rFonts w:hint="eastAsia"/>
          <w:color w:val="000000" w:themeColor="text1"/>
          <w:sz w:val="24"/>
          <w:szCs w:val="24"/>
          <w:highlight w:val="none"/>
          <w14:textFill>
            <w14:solidFill>
              <w14:schemeClr w14:val="tx1"/>
            </w14:solidFill>
          </w14:textFill>
        </w:rPr>
        <w:t>；</w:t>
      </w:r>
    </w:p>
    <w:p w14:paraId="68155491">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A </w:t>
      </w:r>
      <w:r>
        <w:rPr>
          <w:color w:val="000000" w:themeColor="text1"/>
          <w:sz w:val="24"/>
          <w:szCs w:val="24"/>
          <w:highlight w:val="none"/>
          <w14:textFill>
            <w14:solidFill>
              <w14:schemeClr w14:val="tx1"/>
            </w14:solidFill>
          </w14:textFill>
        </w:rPr>
        <w:t>——裂口面积，m</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5EC70DE9">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P </w:t>
      </w:r>
      <w:r>
        <w:rPr>
          <w:color w:val="000000" w:themeColor="text1"/>
          <w:sz w:val="24"/>
          <w:szCs w:val="24"/>
          <w:highlight w:val="none"/>
          <w14:textFill>
            <w14:solidFill>
              <w14:schemeClr w14:val="tx1"/>
            </w14:solidFill>
          </w14:textFill>
        </w:rPr>
        <w:t>——容器内介质压力</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P</w:t>
      </w:r>
      <w:r>
        <w:rPr>
          <w:rFonts w:hint="eastAsia"/>
          <w:color w:val="000000" w:themeColor="text1"/>
          <w:sz w:val="24"/>
          <w:szCs w:val="24"/>
          <w:highlight w:val="none"/>
          <w14:textFill>
            <w14:solidFill>
              <w14:schemeClr w14:val="tx1"/>
            </w14:solidFill>
          </w14:textFill>
        </w:rPr>
        <w:t>a；</w:t>
      </w:r>
    </w:p>
    <w:p w14:paraId="14878D64">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P</w:t>
      </w:r>
      <w:r>
        <w:rPr>
          <w:i/>
          <w:iCs/>
          <w:color w:val="000000" w:themeColor="text1"/>
          <w:sz w:val="24"/>
          <w:szCs w:val="24"/>
          <w:highlight w:val="none"/>
          <w:vertAlign w:val="subscript"/>
          <w14:textFill>
            <w14:solidFill>
              <w14:schemeClr w14:val="tx1"/>
            </w14:solidFill>
          </w14:textFill>
        </w:rPr>
        <w:t>0</w:t>
      </w:r>
      <w:r>
        <w:rPr>
          <w:color w:val="000000" w:themeColor="text1"/>
          <w:sz w:val="24"/>
          <w:szCs w:val="24"/>
          <w:highlight w:val="none"/>
          <w14:textFill>
            <w14:solidFill>
              <w14:schemeClr w14:val="tx1"/>
            </w14:solidFill>
          </w14:textFill>
        </w:rPr>
        <w:t>——环境压力，Pa；</w:t>
      </w:r>
    </w:p>
    <w:p w14:paraId="5AC1A559">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g </w:t>
      </w:r>
      <w:r>
        <w:rPr>
          <w:color w:val="000000" w:themeColor="text1"/>
          <w:sz w:val="24"/>
          <w:szCs w:val="24"/>
          <w:highlight w:val="none"/>
          <w14:textFill>
            <w14:solidFill>
              <w14:schemeClr w14:val="tx1"/>
            </w14:solidFill>
          </w14:textFill>
        </w:rPr>
        <w:t>——重力加速度，9.8m/s</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39D90370">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h——裂口之上液位高度，m</w:t>
      </w:r>
      <w:r>
        <w:rPr>
          <w:rFonts w:hint="eastAsia"/>
          <w:color w:val="000000" w:themeColor="text1"/>
          <w:sz w:val="24"/>
          <w:szCs w:val="24"/>
          <w:highlight w:val="none"/>
          <w14:textFill>
            <w14:solidFill>
              <w14:schemeClr w14:val="tx1"/>
            </w14:solidFill>
          </w14:textFill>
        </w:rPr>
        <w:t>；取2m</w:t>
      </w:r>
      <w:r>
        <w:rPr>
          <w:color w:val="000000" w:themeColor="text1"/>
          <w:sz w:val="24"/>
          <w:szCs w:val="24"/>
          <w:highlight w:val="none"/>
          <w14:textFill>
            <w14:solidFill>
              <w14:schemeClr w14:val="tx1"/>
            </w14:solidFill>
          </w14:textFill>
        </w:rPr>
        <w:t>。</w:t>
      </w:r>
    </w:p>
    <w:p w14:paraId="6C53BF1D">
      <w:pPr>
        <w:pStyle w:val="127"/>
        <w:spacing w:before="72" w:after="48"/>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STYLEREF 2 \s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noBreakHyphen/>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SEQ 表格 \* ARABIC \s 2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t>设定事故条件下的泄漏速率</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6"/>
        <w:gridCol w:w="659"/>
        <w:gridCol w:w="1131"/>
        <w:gridCol w:w="890"/>
        <w:gridCol w:w="1165"/>
        <w:gridCol w:w="1147"/>
        <w:gridCol w:w="683"/>
        <w:gridCol w:w="753"/>
        <w:gridCol w:w="870"/>
        <w:gridCol w:w="828"/>
        <w:gridCol w:w="670"/>
      </w:tblGrid>
      <w:tr w14:paraId="749C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6882023E">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w:t>
            </w:r>
          </w:p>
          <w:p w14:paraId="44582222">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源</w:t>
            </w:r>
          </w:p>
        </w:tc>
        <w:tc>
          <w:tcPr>
            <w:tcW w:w="351" w:type="pct"/>
            <w:vAlign w:val="center"/>
          </w:tcPr>
          <w:p w14:paraId="7209427D">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温度(K)</w:t>
            </w:r>
          </w:p>
        </w:tc>
        <w:tc>
          <w:tcPr>
            <w:tcW w:w="601" w:type="pct"/>
            <w:vAlign w:val="center"/>
          </w:tcPr>
          <w:p w14:paraId="2C435113">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容器内压力(pa)</w:t>
            </w:r>
          </w:p>
        </w:tc>
        <w:tc>
          <w:tcPr>
            <w:tcW w:w="473" w:type="pct"/>
            <w:vAlign w:val="center"/>
          </w:tcPr>
          <w:p w14:paraId="59FDD7EE">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环境压力(pa)</w:t>
            </w:r>
          </w:p>
        </w:tc>
        <w:tc>
          <w:tcPr>
            <w:tcW w:w="619" w:type="pct"/>
            <w:vAlign w:val="center"/>
          </w:tcPr>
          <w:p w14:paraId="4D275CEA">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裂口面积</w:t>
            </w:r>
          </w:p>
          <w:p w14:paraId="0835A550">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w:t>
            </w:r>
            <w:r>
              <w:rPr>
                <w:rFonts w:hint="default"/>
                <w:sz w:val="24"/>
                <w:szCs w:val="24"/>
                <w:highlight w:val="none"/>
                <w:vertAlign w:val="superscript"/>
              </w:rPr>
              <w:t>2</w:t>
            </w:r>
            <w:r>
              <w:rPr>
                <w:rFonts w:hint="eastAsia"/>
                <w:sz w:val="24"/>
                <w:szCs w:val="24"/>
                <w:highlight w:val="none"/>
              </w:rPr>
              <w:t>)</w:t>
            </w:r>
          </w:p>
        </w:tc>
        <w:tc>
          <w:tcPr>
            <w:tcW w:w="609" w:type="pct"/>
            <w:vAlign w:val="center"/>
          </w:tcPr>
          <w:p w14:paraId="41C3752E">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液体密度(kg/ m</w:t>
            </w:r>
            <w:r>
              <w:rPr>
                <w:rFonts w:hint="default"/>
                <w:sz w:val="24"/>
                <w:szCs w:val="24"/>
                <w:highlight w:val="none"/>
                <w:vertAlign w:val="superscript"/>
              </w:rPr>
              <w:t>3</w:t>
            </w:r>
            <w:r>
              <w:rPr>
                <w:rFonts w:hint="eastAsia"/>
                <w:sz w:val="24"/>
                <w:szCs w:val="24"/>
                <w:highlight w:val="none"/>
              </w:rPr>
              <w:t>)</w:t>
            </w:r>
          </w:p>
        </w:tc>
        <w:tc>
          <w:tcPr>
            <w:tcW w:w="363" w:type="pct"/>
            <w:vAlign w:val="center"/>
          </w:tcPr>
          <w:p w14:paraId="315A6D6B">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裂口形状</w:t>
            </w:r>
          </w:p>
        </w:tc>
        <w:tc>
          <w:tcPr>
            <w:tcW w:w="400" w:type="pct"/>
            <w:vAlign w:val="center"/>
          </w:tcPr>
          <w:p w14:paraId="5954C993">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液体泄漏系数</w:t>
            </w:r>
          </w:p>
        </w:tc>
        <w:tc>
          <w:tcPr>
            <w:tcW w:w="462" w:type="pct"/>
            <w:vAlign w:val="center"/>
          </w:tcPr>
          <w:p w14:paraId="2F96BE34">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泄漏速率(kg/s)</w:t>
            </w:r>
          </w:p>
        </w:tc>
        <w:tc>
          <w:tcPr>
            <w:tcW w:w="440" w:type="pct"/>
            <w:vAlign w:val="center"/>
          </w:tcPr>
          <w:p w14:paraId="67D9D107">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泄漏持续时间</w:t>
            </w:r>
          </w:p>
          <w:p w14:paraId="47CB2F3F">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(min)</w:t>
            </w:r>
          </w:p>
        </w:tc>
        <w:tc>
          <w:tcPr>
            <w:tcW w:w="349" w:type="pct"/>
            <w:vAlign w:val="center"/>
          </w:tcPr>
          <w:p w14:paraId="3BF2C260">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泄漏量(t)</w:t>
            </w:r>
          </w:p>
        </w:tc>
      </w:tr>
      <w:tr w14:paraId="7D09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61068971">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储罐</w:t>
            </w:r>
          </w:p>
        </w:tc>
        <w:tc>
          <w:tcPr>
            <w:tcW w:w="351" w:type="pct"/>
            <w:vAlign w:val="center"/>
          </w:tcPr>
          <w:p w14:paraId="6E1DB8AD">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25</w:t>
            </w:r>
          </w:p>
        </w:tc>
        <w:tc>
          <w:tcPr>
            <w:tcW w:w="601" w:type="pct"/>
            <w:vAlign w:val="center"/>
          </w:tcPr>
          <w:p w14:paraId="3346DD30">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473" w:type="pct"/>
            <w:vAlign w:val="center"/>
          </w:tcPr>
          <w:p w14:paraId="694E3FCB">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619" w:type="pct"/>
            <w:vAlign w:val="center"/>
          </w:tcPr>
          <w:p w14:paraId="172405EC">
            <w:pPr>
              <w:pStyle w:val="126"/>
              <w:keepNext w:val="0"/>
              <w:keepLines w:val="0"/>
              <w:widowControl/>
              <w:suppressLineNumbers w:val="0"/>
              <w:spacing w:before="0" w:beforeAutospacing="0" w:after="0" w:afterAutospacing="0"/>
              <w:ind w:left="0" w:right="0"/>
              <w:rPr>
                <w:rFonts w:hint="eastAsia"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14:textFill>
                  <w14:solidFill>
                    <w14:schemeClr w14:val="tx1"/>
                  </w14:solidFill>
                </w14:textFill>
              </w:rPr>
              <w:t>000</w:t>
            </w:r>
            <w:r>
              <w:rPr>
                <w:rFonts w:hint="eastAsia"/>
                <w:color w:val="000000" w:themeColor="text1"/>
                <w:sz w:val="24"/>
                <w:szCs w:val="24"/>
                <w:highlight w:val="none"/>
                <w:lang w:val="en-US" w:eastAsia="zh-CN"/>
                <w14:textFill>
                  <w14:solidFill>
                    <w14:schemeClr w14:val="tx1"/>
                  </w14:solidFill>
                </w14:textFill>
              </w:rPr>
              <w:t>0</w:t>
            </w:r>
            <w:r>
              <w:rPr>
                <w:rFonts w:hint="eastAsia"/>
                <w:color w:val="000000" w:themeColor="text1"/>
                <w:sz w:val="24"/>
                <w:szCs w:val="24"/>
                <w:highlight w:val="none"/>
                <w14:textFill>
                  <w14:solidFill>
                    <w14:schemeClr w14:val="tx1"/>
                  </w14:solidFill>
                </w14:textFill>
              </w:rPr>
              <w:t>200</w:t>
            </w:r>
            <w:r>
              <w:rPr>
                <w:rFonts w:hint="eastAsia"/>
                <w:color w:val="000000" w:themeColor="text1"/>
                <w:sz w:val="24"/>
                <w:szCs w:val="24"/>
                <w:highlight w:val="none"/>
                <w:lang w:val="en-US" w:eastAsia="zh-CN"/>
                <w14:textFill>
                  <w14:solidFill>
                    <w14:schemeClr w14:val="tx1"/>
                  </w14:solidFill>
                </w14:textFill>
              </w:rPr>
              <w:t>3</w:t>
            </w:r>
          </w:p>
        </w:tc>
        <w:tc>
          <w:tcPr>
            <w:tcW w:w="609" w:type="pct"/>
            <w:vAlign w:val="center"/>
          </w:tcPr>
          <w:p w14:paraId="1B3B7547">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1160</w:t>
            </w:r>
          </w:p>
        </w:tc>
        <w:tc>
          <w:tcPr>
            <w:tcW w:w="363" w:type="pct"/>
            <w:vAlign w:val="center"/>
          </w:tcPr>
          <w:p w14:paraId="681F38A2">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圆形</w:t>
            </w:r>
          </w:p>
        </w:tc>
        <w:tc>
          <w:tcPr>
            <w:tcW w:w="400" w:type="pct"/>
            <w:vAlign w:val="center"/>
          </w:tcPr>
          <w:p w14:paraId="097AA837">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0.62</w:t>
            </w:r>
          </w:p>
        </w:tc>
        <w:tc>
          <w:tcPr>
            <w:tcW w:w="462" w:type="pct"/>
            <w:vAlign w:val="center"/>
          </w:tcPr>
          <w:p w14:paraId="4E07F592">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0</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0143</w:t>
            </w:r>
          </w:p>
        </w:tc>
        <w:tc>
          <w:tcPr>
            <w:tcW w:w="440" w:type="pct"/>
            <w:vAlign w:val="center"/>
          </w:tcPr>
          <w:p w14:paraId="6158BBED">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10</w:t>
            </w:r>
          </w:p>
        </w:tc>
        <w:tc>
          <w:tcPr>
            <w:tcW w:w="349" w:type="pct"/>
            <w:vAlign w:val="center"/>
          </w:tcPr>
          <w:p w14:paraId="20B160EE">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lang w:val="en-US"/>
                <w14:textFill>
                  <w14:solidFill>
                    <w14:schemeClr w14:val="tx1"/>
                  </w14:solidFill>
                </w14:textFill>
              </w:rPr>
            </w:pPr>
            <w:r>
              <w:rPr>
                <w:rFonts w:hint="eastAsia"/>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0089</w:t>
            </w:r>
          </w:p>
        </w:tc>
      </w:tr>
    </w:tbl>
    <w:p w14:paraId="54AE6FC2">
      <w:pPr>
        <w:spacing w:before="240"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设定泄漏时间为 </w:t>
      </w:r>
      <w:r>
        <w:rPr>
          <w:color w:val="000000" w:themeColor="text1"/>
          <w:sz w:val="24"/>
          <w:szCs w:val="24"/>
          <w:highlight w:val="none"/>
          <w14:textFill>
            <w14:solidFill>
              <w14:schemeClr w14:val="tx1"/>
            </w14:solidFill>
          </w14:textFill>
        </w:rPr>
        <w:t>10</w:t>
      </w:r>
      <w:r>
        <w:rPr>
          <w:rFonts w:hint="eastAsia"/>
          <w:color w:val="000000" w:themeColor="text1"/>
          <w:sz w:val="24"/>
          <w:szCs w:val="24"/>
          <w:highlight w:val="none"/>
          <w14:textFill>
            <w14:solidFill>
              <w14:schemeClr w14:val="tx1"/>
            </w14:solidFill>
          </w14:textFill>
        </w:rPr>
        <w:t>min，经计算，泄漏速率为0.</w:t>
      </w:r>
      <w:r>
        <w:rPr>
          <w:rFonts w:hint="eastAsia"/>
          <w:color w:val="000000" w:themeColor="text1"/>
          <w:sz w:val="24"/>
          <w:szCs w:val="24"/>
          <w:highlight w:val="none"/>
          <w:lang w:val="en-US" w:eastAsia="zh-CN"/>
          <w14:textFill>
            <w14:solidFill>
              <w14:schemeClr w14:val="tx1"/>
            </w14:solidFill>
          </w14:textFill>
        </w:rPr>
        <w:t>0143</w:t>
      </w:r>
      <w:r>
        <w:rPr>
          <w:rFonts w:hint="eastAsia"/>
          <w:color w:val="000000" w:themeColor="text1"/>
          <w:sz w:val="24"/>
          <w:szCs w:val="24"/>
          <w:highlight w:val="none"/>
          <w14:textFill>
            <w14:solidFill>
              <w14:schemeClr w14:val="tx1"/>
            </w14:solidFill>
          </w14:textFill>
        </w:rPr>
        <w:t>kg/s，泄漏量为</w:t>
      </w:r>
      <w:r>
        <w:rPr>
          <w:rFonts w:hint="eastAsia"/>
          <w:color w:val="000000" w:themeColor="text1"/>
          <w:sz w:val="24"/>
          <w:szCs w:val="24"/>
          <w:highlight w:val="none"/>
          <w:lang w:val="en-US" w:eastAsia="zh-CN"/>
          <w14:textFill>
            <w14:solidFill>
              <w14:schemeClr w14:val="tx1"/>
            </w14:solidFill>
          </w14:textFill>
        </w:rPr>
        <w:t>0.0089</w:t>
      </w:r>
      <w:r>
        <w:rPr>
          <w:rFonts w:hint="eastAsia"/>
          <w:color w:val="000000" w:themeColor="text1"/>
          <w:sz w:val="24"/>
          <w:szCs w:val="24"/>
          <w:highlight w:val="none"/>
          <w14:textFill>
            <w14:solidFill>
              <w14:schemeClr w14:val="tx1"/>
            </w14:solidFill>
          </w14:textFill>
        </w:rPr>
        <w:t xml:space="preserve">t；假设泄漏事故发生后，液态物料部分蒸发进入大气，其余仍以液态形式存在，待收容处理。 </w:t>
      </w:r>
    </w:p>
    <w:p w14:paraId="3709ED53">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（2）漏后蒸发量计算</w:t>
      </w:r>
    </w:p>
    <w:p w14:paraId="7DC85E0A">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drawing>
          <wp:anchor distT="0" distB="0" distL="114300" distR="114300" simplePos="0" relativeHeight="251668480"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highlight w:val="none"/>
          <w14:textFill>
            <w14:solidFill>
              <w14:schemeClr w14:val="tx1"/>
            </w14:solidFill>
          </w14:textFill>
        </w:rPr>
        <w:t>当</w:t>
      </w:r>
      <w:r>
        <w:rPr>
          <w:rFonts w:hint="eastAsia"/>
          <w:color w:val="000000" w:themeColor="text1"/>
          <w:sz w:val="24"/>
          <w:szCs w:val="24"/>
          <w:highlight w:val="none"/>
          <w:lang w:eastAsia="zh-CN"/>
          <w14:textFill>
            <w14:solidFill>
              <w14:schemeClr w14:val="tx1"/>
            </w14:solidFill>
          </w14:textFill>
        </w:rPr>
        <w:t>糠醛</w:t>
      </w:r>
      <w:r>
        <w:rPr>
          <w:rFonts w:hint="eastAsia"/>
          <w:color w:val="000000" w:themeColor="text1"/>
          <w:sz w:val="24"/>
          <w:szCs w:val="24"/>
          <w:highlight w:val="none"/>
          <w14:textFill>
            <w14:solidFill>
              <w14:schemeClr w14:val="tx1"/>
            </w14:solidFill>
          </w14:textFill>
        </w:rPr>
        <w:t>储罐发生泄漏时，泄漏的物质在储罐围堰地面形成液池。其蒸发量按照《建设项目环境风险评价导则》（</w:t>
      </w:r>
      <w:r>
        <w:rPr>
          <w:color w:val="000000" w:themeColor="text1"/>
          <w:sz w:val="24"/>
          <w:szCs w:val="24"/>
          <w:highlight w:val="none"/>
          <w14:textFill>
            <w14:solidFill>
              <w14:schemeClr w14:val="tx1"/>
            </w14:solidFill>
          </w14:textFill>
        </w:rPr>
        <w:t>HJ/T169-2018）附录A 中推荐的泄漏液体蒸发量计算公式</w:t>
      </w:r>
      <w:r>
        <w:rPr>
          <w:rFonts w:hint="eastAsia"/>
          <w:color w:val="000000" w:themeColor="text1"/>
          <w:sz w:val="24"/>
          <w:szCs w:val="24"/>
          <w:highlight w:val="none"/>
          <w14:textFill>
            <w14:solidFill>
              <w14:schemeClr w14:val="tx1"/>
            </w14:solidFill>
          </w14:textFill>
        </w:rPr>
        <w:t>计算。计算公式如下：</w:t>
      </w:r>
    </w:p>
    <w:p w14:paraId="11C8995D">
      <w:pPr>
        <w:pStyle w:val="131"/>
        <w:snapToGrid w:val="0"/>
        <w:spacing w:line="336" w:lineRule="auto"/>
        <w:ind w:firstLine="198" w:firstLineChars="80"/>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式中：</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质量蒸发速度，</w:t>
      </w:r>
      <w:r>
        <w:rPr>
          <w:color w:val="000000" w:themeColor="text1"/>
          <w:spacing w:val="4"/>
          <w:sz w:val="24"/>
          <w:szCs w:val="24"/>
          <w:highlight w:val="none"/>
          <w14:textFill>
            <w14:solidFill>
              <w14:schemeClr w14:val="tx1"/>
            </w14:solidFill>
          </w14:textFill>
        </w:rPr>
        <w:t>kg/s</w:t>
      </w:r>
      <w:r>
        <w:rPr>
          <w:rFonts w:hint="eastAsia"/>
          <w:color w:val="000000" w:themeColor="text1"/>
          <w:spacing w:val="4"/>
          <w:sz w:val="24"/>
          <w:szCs w:val="24"/>
          <w:highlight w:val="none"/>
          <w14:textFill>
            <w14:solidFill>
              <w14:schemeClr w14:val="tx1"/>
            </w14:solidFill>
          </w14:textFill>
        </w:rPr>
        <w:t>；</w:t>
      </w:r>
    </w:p>
    <w:p w14:paraId="34DC8125">
      <w:pPr>
        <w:pStyle w:val="131"/>
        <w:ind w:firstLine="992" w:firstLineChars="400"/>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a,n——</w:t>
      </w:r>
      <w:r>
        <w:rPr>
          <w:rFonts w:hint="eastAsia"/>
          <w:color w:val="000000" w:themeColor="text1"/>
          <w:spacing w:val="4"/>
          <w:sz w:val="24"/>
          <w:szCs w:val="24"/>
          <w:highlight w:val="none"/>
          <w14:textFill>
            <w14:solidFill>
              <w14:schemeClr w14:val="tx1"/>
            </w14:solidFill>
          </w14:textFill>
        </w:rPr>
        <w:t>大气稳定度系数；</w:t>
      </w:r>
    </w:p>
    <w:p w14:paraId="2FC7974B">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p——</w:t>
      </w:r>
      <w:r>
        <w:rPr>
          <w:rFonts w:hint="eastAsia"/>
          <w:color w:val="000000" w:themeColor="text1"/>
          <w:spacing w:val="4"/>
          <w:sz w:val="24"/>
          <w:szCs w:val="24"/>
          <w:highlight w:val="none"/>
          <w14:textFill>
            <w14:solidFill>
              <w14:schemeClr w14:val="tx1"/>
            </w14:solidFill>
          </w14:textFill>
        </w:rPr>
        <w:t>液体表面蒸气压，</w:t>
      </w:r>
      <w:r>
        <w:rPr>
          <w:color w:val="000000" w:themeColor="text1"/>
          <w:spacing w:val="4"/>
          <w:sz w:val="24"/>
          <w:szCs w:val="24"/>
          <w:highlight w:val="none"/>
          <w14:textFill>
            <w14:solidFill>
              <w14:schemeClr w14:val="tx1"/>
            </w14:solidFill>
          </w14:textFill>
        </w:rPr>
        <w:t>10742Pa</w:t>
      </w:r>
      <w:r>
        <w:rPr>
          <w:rFonts w:hint="eastAsia"/>
          <w:color w:val="000000" w:themeColor="text1"/>
          <w:spacing w:val="4"/>
          <w:sz w:val="24"/>
          <w:szCs w:val="24"/>
          <w:highlight w:val="none"/>
          <w14:textFill>
            <w14:solidFill>
              <w14:schemeClr w14:val="tx1"/>
            </w14:solidFill>
          </w14:textFill>
        </w:rPr>
        <w:t>；</w:t>
      </w:r>
    </w:p>
    <w:p w14:paraId="6EA4D507">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气体常数；</w:t>
      </w:r>
      <w:r>
        <w:rPr>
          <w:color w:val="000000" w:themeColor="text1"/>
          <w:spacing w:val="4"/>
          <w:sz w:val="24"/>
          <w:szCs w:val="24"/>
          <w:highlight w:val="none"/>
          <w14:textFill>
            <w14:solidFill>
              <w14:schemeClr w14:val="tx1"/>
            </w14:solidFill>
          </w14:textFill>
        </w:rPr>
        <w:t>8.31</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J/mol•k</w:t>
      </w:r>
      <w:r>
        <w:rPr>
          <w:rFonts w:hint="eastAsia"/>
          <w:color w:val="000000" w:themeColor="text1"/>
          <w:spacing w:val="4"/>
          <w:sz w:val="24"/>
          <w:szCs w:val="24"/>
          <w:highlight w:val="none"/>
          <w14:textFill>
            <w14:solidFill>
              <w14:schemeClr w14:val="tx1"/>
            </w14:solidFill>
          </w14:textFill>
        </w:rPr>
        <w:t>）；</w:t>
      </w:r>
    </w:p>
    <w:p w14:paraId="70F485E8">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T</w:t>
      </w:r>
      <w:r>
        <w:rPr>
          <w:color w:val="000000" w:themeColor="text1"/>
          <w:spacing w:val="4"/>
          <w:sz w:val="24"/>
          <w:szCs w:val="24"/>
          <w:highlight w:val="none"/>
          <w:vertAlign w:val="subscript"/>
          <w14:textFill>
            <w14:solidFill>
              <w14:schemeClr w14:val="tx1"/>
            </w14:solidFill>
          </w14:textFill>
        </w:rPr>
        <w:t>0</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环境温度，</w:t>
      </w:r>
      <w:r>
        <w:rPr>
          <w:color w:val="000000" w:themeColor="text1"/>
          <w:spacing w:val="4"/>
          <w:sz w:val="24"/>
          <w:szCs w:val="24"/>
          <w:highlight w:val="none"/>
          <w14:textFill>
            <w14:solidFill>
              <w14:schemeClr w14:val="tx1"/>
            </w14:solidFill>
          </w14:textFill>
        </w:rPr>
        <w:t>K</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(按303k计算)</w:t>
      </w:r>
    </w:p>
    <w:p w14:paraId="35701A48">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u——</w:t>
      </w:r>
      <w:r>
        <w:rPr>
          <w:rFonts w:hint="eastAsia"/>
          <w:color w:val="000000" w:themeColor="text1"/>
          <w:spacing w:val="4"/>
          <w:sz w:val="24"/>
          <w:szCs w:val="24"/>
          <w:highlight w:val="none"/>
          <w14:textFill>
            <w14:solidFill>
              <w14:schemeClr w14:val="tx1"/>
            </w14:solidFill>
          </w14:textFill>
        </w:rPr>
        <w:t>平均风速，</w:t>
      </w:r>
      <w:r>
        <w:rPr>
          <w:color w:val="000000" w:themeColor="text1"/>
          <w:spacing w:val="4"/>
          <w:sz w:val="24"/>
          <w:szCs w:val="24"/>
          <w:highlight w:val="none"/>
          <w14:textFill>
            <w14:solidFill>
              <w14:schemeClr w14:val="tx1"/>
            </w14:solidFill>
          </w14:textFill>
        </w:rPr>
        <w:t>m/s</w:t>
      </w:r>
      <w:r>
        <w:rPr>
          <w:rFonts w:hint="eastAsia"/>
          <w:color w:val="000000" w:themeColor="text1"/>
          <w:spacing w:val="4"/>
          <w:sz w:val="24"/>
          <w:szCs w:val="24"/>
          <w:highlight w:val="none"/>
          <w14:textFill>
            <w14:solidFill>
              <w14:schemeClr w14:val="tx1"/>
            </w14:solidFill>
          </w14:textFill>
        </w:rPr>
        <w:t>；</w:t>
      </w:r>
    </w:p>
    <w:p w14:paraId="42FAD289">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液池半径，</w:t>
      </w:r>
      <w:r>
        <w:rPr>
          <w:color w:val="000000" w:themeColor="text1"/>
          <w:spacing w:val="4"/>
          <w:sz w:val="24"/>
          <w:szCs w:val="24"/>
          <w:highlight w:val="none"/>
          <w14:textFill>
            <w14:solidFill>
              <w14:schemeClr w14:val="tx1"/>
            </w14:solidFill>
          </w14:textFill>
        </w:rPr>
        <w:t>m</w:t>
      </w:r>
      <w:r>
        <w:rPr>
          <w:rFonts w:hint="eastAsia"/>
          <w:color w:val="000000" w:themeColor="text1"/>
          <w:spacing w:val="4"/>
          <w:sz w:val="24"/>
          <w:szCs w:val="24"/>
          <w:highlight w:val="none"/>
          <w14:textFill>
            <w14:solidFill>
              <w14:schemeClr w14:val="tx1"/>
            </w14:solidFill>
          </w14:textFill>
        </w:rPr>
        <w:t>，取6m。</w:t>
      </w:r>
    </w:p>
    <w:p w14:paraId="282C42D0">
      <w:pPr>
        <w:pStyle w:val="127"/>
        <w:spacing w:before="72" w:after="48"/>
        <w:rPr>
          <w:sz w:val="24"/>
          <w:szCs w:val="24"/>
          <w:highlight w:val="none"/>
        </w:rPr>
      </w:pPr>
      <w:r>
        <w:rPr>
          <w:sz w:val="24"/>
          <w:szCs w:val="24"/>
          <w:highlight w:val="none"/>
        </w:rPr>
        <w:t>表</w:t>
      </w:r>
      <w:r>
        <w:rPr>
          <w:sz w:val="24"/>
          <w:szCs w:val="24"/>
          <w:highlight w:val="none"/>
        </w:rPr>
        <w:fldChar w:fldCharType="begin"/>
      </w:r>
      <w:r>
        <w:rPr>
          <w:sz w:val="24"/>
          <w:szCs w:val="24"/>
          <w:highlight w:val="none"/>
        </w:rPr>
        <w:instrText xml:space="preserve"> STYLEREF 2 \s </w:instrText>
      </w:r>
      <w:r>
        <w:rPr>
          <w:sz w:val="24"/>
          <w:szCs w:val="24"/>
          <w:highlight w:val="none"/>
        </w:rPr>
        <w:fldChar w:fldCharType="separate"/>
      </w:r>
      <w:r>
        <w:rPr>
          <w:sz w:val="24"/>
          <w:szCs w:val="24"/>
          <w:highlight w:val="none"/>
        </w:rPr>
        <w:t>4.2</w:t>
      </w:r>
      <w:r>
        <w:rPr>
          <w:sz w:val="24"/>
          <w:szCs w:val="24"/>
          <w:highlight w:val="none"/>
        </w:rPr>
        <w:fldChar w:fldCharType="end"/>
      </w:r>
      <w:r>
        <w:rPr>
          <w:sz w:val="24"/>
          <w:szCs w:val="24"/>
          <w:highlight w:val="none"/>
        </w:rPr>
        <w:noBreakHyphen/>
      </w:r>
      <w:r>
        <w:rPr>
          <w:sz w:val="24"/>
          <w:szCs w:val="24"/>
          <w:highlight w:val="none"/>
        </w:rPr>
        <w:fldChar w:fldCharType="begin"/>
      </w:r>
      <w:r>
        <w:rPr>
          <w:sz w:val="24"/>
          <w:szCs w:val="24"/>
          <w:highlight w:val="none"/>
        </w:rPr>
        <w:instrText xml:space="preserve"> SEQ 表格 \* ARABIC \s 2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sz w:val="24"/>
          <w:szCs w:val="24"/>
          <w:highlight w:val="none"/>
        </w:rPr>
        <w:t>液池蒸发模式参数</w:t>
      </w:r>
    </w:p>
    <w:tbl>
      <w:tblPr>
        <w:tblStyle w:val="3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1A8E81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0D571B55">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稳定度</w:t>
            </w:r>
          </w:p>
        </w:tc>
        <w:tc>
          <w:tcPr>
            <w:tcW w:w="2289" w:type="pct"/>
            <w:vAlign w:val="center"/>
          </w:tcPr>
          <w:p w14:paraId="273C6E49">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a</w:t>
            </w:r>
          </w:p>
        </w:tc>
        <w:tc>
          <w:tcPr>
            <w:tcW w:w="1667" w:type="pct"/>
            <w:vAlign w:val="center"/>
          </w:tcPr>
          <w:p w14:paraId="0C61BA4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n</w:t>
            </w:r>
          </w:p>
        </w:tc>
      </w:tr>
      <w:tr w14:paraId="719CE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4391C5A9">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不稳定（A,B）</w:t>
            </w:r>
          </w:p>
        </w:tc>
        <w:tc>
          <w:tcPr>
            <w:tcW w:w="2289" w:type="pct"/>
            <w:vAlign w:val="center"/>
          </w:tcPr>
          <w:p w14:paraId="670A0B78">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rFonts w:hint="default"/>
                <w:color w:val="000000" w:themeColor="text1"/>
                <w:sz w:val="24"/>
                <w:szCs w:val="24"/>
                <w:highlight w:val="none"/>
                <w14:textFill>
                  <w14:solidFill>
                    <w14:schemeClr w14:val="tx1"/>
                  </w14:solidFill>
                </w14:textFill>
              </w:rPr>
              <w:t>.846×10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15CE4311">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12</w:t>
            </w:r>
          </w:p>
        </w:tc>
      </w:tr>
      <w:tr w14:paraId="6A677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13D28159">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中性（D）</w:t>
            </w:r>
          </w:p>
        </w:tc>
        <w:tc>
          <w:tcPr>
            <w:tcW w:w="2289" w:type="pct"/>
            <w:vAlign w:val="center"/>
          </w:tcPr>
          <w:p w14:paraId="6782CDE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14:textFill>
                  <w14:solidFill>
                    <w14:schemeClr w14:val="tx1"/>
                  </w14:solidFill>
                </w14:textFill>
              </w:rPr>
              <w:t>.685×10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3C7D4D30">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131</w:t>
            </w:r>
          </w:p>
        </w:tc>
      </w:tr>
      <w:tr w14:paraId="385D0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459AD2B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稳定（E,F）</w:t>
            </w:r>
          </w:p>
        </w:tc>
        <w:tc>
          <w:tcPr>
            <w:tcW w:w="2289" w:type="pct"/>
            <w:vAlign w:val="center"/>
          </w:tcPr>
          <w:p w14:paraId="5653CDC9">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rFonts w:hint="default"/>
                <w:color w:val="000000" w:themeColor="text1"/>
                <w:sz w:val="24"/>
                <w:szCs w:val="24"/>
                <w:highlight w:val="none"/>
                <w14:textFill>
                  <w14:solidFill>
                    <w14:schemeClr w14:val="tx1"/>
                  </w14:solidFill>
                </w14:textFill>
              </w:rPr>
              <w:t>.285×10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6638FAA0">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15</w:t>
            </w:r>
          </w:p>
        </w:tc>
      </w:tr>
    </w:tbl>
    <w:p w14:paraId="22C81D54">
      <w:pPr>
        <w:pStyle w:val="131"/>
        <w:pageBreakBefore w:val="0"/>
        <w:kinsoku/>
        <w:wordWrap/>
        <w:overflowPunct/>
        <w:topLinePunct w:val="0"/>
        <w:bidi w:val="0"/>
        <w:spacing w:line="360" w:lineRule="auto"/>
        <w:ind w:firstLine="496"/>
        <w:textAlignment w:val="auto"/>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按最不利气象条件（F稳定度，1</w:t>
      </w:r>
      <w:r>
        <w:rPr>
          <w:color w:val="000000" w:themeColor="text1"/>
          <w:spacing w:val="4"/>
          <w:sz w:val="24"/>
          <w:szCs w:val="24"/>
          <w:highlight w:val="none"/>
          <w14:textFill>
            <w14:solidFill>
              <w14:schemeClr w14:val="tx1"/>
            </w14:solidFill>
          </w14:textFill>
        </w:rPr>
        <w:t>.5</w:t>
      </w:r>
      <w:r>
        <w:rPr>
          <w:rFonts w:hint="eastAsia"/>
          <w:color w:val="000000" w:themeColor="text1"/>
          <w:spacing w:val="4"/>
          <w:sz w:val="24"/>
          <w:szCs w:val="24"/>
          <w:highlight w:val="none"/>
          <w14:textFill>
            <w14:solidFill>
              <w14:schemeClr w14:val="tx1"/>
            </w14:solidFill>
          </w14:textFill>
        </w:rPr>
        <w:t>m风速）计算得</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rFonts w:hint="eastAsia"/>
          <w:color w:val="000000" w:themeColor="text1"/>
          <w:spacing w:val="4"/>
          <w:sz w:val="24"/>
          <w:szCs w:val="24"/>
          <w:highlight w:val="none"/>
          <w14:textFill>
            <w14:solidFill>
              <w14:schemeClr w14:val="tx1"/>
            </w14:solidFill>
          </w14:textFill>
        </w:rPr>
        <w:t>为0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0012</w:t>
      </w:r>
      <w:r>
        <w:rPr>
          <w:rFonts w:hint="eastAsia"/>
          <w:color w:val="000000" w:themeColor="text1"/>
          <w:spacing w:val="4"/>
          <w:sz w:val="24"/>
          <w:szCs w:val="24"/>
          <w:highlight w:val="none"/>
          <w14:textFill>
            <w14:solidFill>
              <w14:schemeClr w14:val="tx1"/>
            </w14:solidFill>
          </w14:textFill>
        </w:rPr>
        <w:t xml:space="preserve"> 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p>
    <w:p w14:paraId="58F8808E">
      <w:pPr>
        <w:pStyle w:val="8"/>
        <w:pageBreakBefore w:val="0"/>
        <w:kinsoku/>
        <w:wordWrap/>
        <w:overflowPunct/>
        <w:topLinePunct w:val="0"/>
        <w:bidi w:val="0"/>
        <w:spacing w:before="0" w:after="0" w:line="360" w:lineRule="auto"/>
        <w:textAlignment w:val="auto"/>
        <w:rPr>
          <w:sz w:val="24"/>
          <w:szCs w:val="24"/>
          <w:highlight w:val="none"/>
        </w:rPr>
      </w:pPr>
      <w:r>
        <w:rPr>
          <w:rFonts w:hint="eastAsia"/>
          <w:sz w:val="24"/>
          <w:szCs w:val="24"/>
          <w:highlight w:val="none"/>
          <w:lang w:val="en-US" w:eastAsia="zh-CN"/>
        </w:rPr>
        <w:t>4.2.2</w:t>
      </w:r>
      <w:r>
        <w:rPr>
          <w:rFonts w:hint="eastAsia"/>
          <w:sz w:val="24"/>
          <w:szCs w:val="24"/>
          <w:highlight w:val="none"/>
        </w:rPr>
        <w:t>火灾爆炸次生大气污染源强分析</w:t>
      </w:r>
    </w:p>
    <w:p w14:paraId="4FAC3E5D">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根据HJ169-2018，采用火灾伴生/次生一氧化碳计算公式，公式如下：</w:t>
      </w:r>
    </w:p>
    <w:p w14:paraId="0654B899">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highlight w:val="none"/>
                  <w:lang w:eastAsia="en-US"/>
                  <w14:textFill>
                    <w14:solidFill>
                      <w14:schemeClr w14:val="tx1"/>
                    </w14:solidFill>
                  </w14:textFill>
                </w:rPr>
              </m:ctrlPr>
            </m:sSubPr>
            <m:e>
              <m:r>
                <m:rPr/>
                <w:rPr>
                  <w:rFonts w:ascii="Cambria Math" w:hAnsi="Cambria Math" w:cs="Times New Roman"/>
                  <w:color w:val="000000" w:themeColor="text1"/>
                  <w:sz w:val="24"/>
                  <w:szCs w:val="24"/>
                  <w:highlight w:val="none"/>
                  <w:lang w:eastAsia="en-US"/>
                  <w14:textFill>
                    <w14:solidFill>
                      <w14:schemeClr w14:val="tx1"/>
                    </w14:solidFill>
                  </w14:textFill>
                </w:rPr>
                <m:t>G</m:t>
              </m:r>
              <m:ctrlPr>
                <w:rPr>
                  <w:rFonts w:ascii="Cambria Math" w:hAnsi="Cambria Math" w:cs="Times New Roman"/>
                  <w:bCs/>
                  <w:i/>
                  <w:color w:val="000000" w:themeColor="text1"/>
                  <w:sz w:val="24"/>
                  <w:szCs w:val="24"/>
                  <w:highlight w:val="none"/>
                  <w:lang w:eastAsia="en-US"/>
                  <w14:textFill>
                    <w14:solidFill>
                      <w14:schemeClr w14:val="tx1"/>
                    </w14:solidFill>
                  </w14:textFill>
                </w:rPr>
              </m:ctrlPr>
            </m:e>
            <m:sub>
              <m:r>
                <m:rPr/>
                <w:rPr>
                  <w:rFonts w:ascii="Cambria Math" w:hAnsi="Cambria Math" w:cs="Times New Roman"/>
                  <w:color w:val="000000" w:themeColor="text1"/>
                  <w:sz w:val="24"/>
                  <w:szCs w:val="24"/>
                  <w:highlight w:val="none"/>
                  <w:lang w:eastAsia="en-US"/>
                  <w14:textFill>
                    <w14:solidFill>
                      <w14:schemeClr w14:val="tx1"/>
                    </w14:solidFill>
                  </w14:textFill>
                </w:rPr>
                <m:t>一氧化碳</m:t>
              </m:r>
              <m:ctrlPr>
                <w:rPr>
                  <w:rFonts w:ascii="Cambria Math" w:hAnsi="Cambria Math" w:cs="Times New Roman"/>
                  <w:bCs/>
                  <w:i/>
                  <w:color w:val="000000" w:themeColor="text1"/>
                  <w:sz w:val="24"/>
                  <w:szCs w:val="24"/>
                  <w:highlight w:val="none"/>
                  <w:lang w:eastAsia="en-US"/>
                  <w14:textFill>
                    <w14:solidFill>
                      <w14:schemeClr w14:val="tx1"/>
                    </w14:solidFill>
                  </w14:textFill>
                </w:rPr>
              </m:ctrlPr>
            </m:sub>
          </m:sSub>
          <m:r>
            <m:rPr/>
            <w:rPr>
              <w:rFonts w:ascii="Cambria Math" w:hAnsi="Cambria Math" w:cs="Times New Roman"/>
              <w:color w:val="000000" w:themeColor="text1"/>
              <w:sz w:val="24"/>
              <w:szCs w:val="24"/>
              <w:highlight w:val="none"/>
              <w:lang w:eastAsia="en-US"/>
              <w14:textFill>
                <w14:solidFill>
                  <w14:schemeClr w14:val="tx1"/>
                </w14:solidFill>
              </w14:textFill>
            </w:rPr>
            <m:t>=2330qCQ</m:t>
          </m:r>
        </m:oMath>
      </m:oMathPara>
    </w:p>
    <w:p w14:paraId="07B35D86">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式中：G—一氧化碳的产生量，kg/s；</w:t>
      </w:r>
    </w:p>
    <w:p w14:paraId="706000D4">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C—物质中碳的含量，</w:t>
      </w:r>
    </w:p>
    <w:p w14:paraId="21B90F62">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q—化学不完全燃烧值，取值1.5~6.0%；</w:t>
      </w:r>
    </w:p>
    <w:p w14:paraId="1B7996D1">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Q—参与燃烧的物质量，t/s。</w:t>
      </w:r>
    </w:p>
    <w:p w14:paraId="033CB2FD">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依据上述公式，C取值90%，q取值</w:t>
      </w:r>
      <w:r>
        <w:rPr>
          <w:rFonts w:hint="eastAsia" w:ascii="Times New Roman" w:hAnsi="Times New Roman" w:cs="Times New Roman"/>
          <w:bCs/>
          <w:color w:val="000000" w:themeColor="text1"/>
          <w:sz w:val="24"/>
          <w:szCs w:val="24"/>
          <w:highlight w:val="none"/>
          <w14:textFill>
            <w14:solidFill>
              <w14:schemeClr w14:val="tx1"/>
            </w14:solidFill>
          </w14:textFill>
        </w:rPr>
        <w:t>6%</w:t>
      </w:r>
      <w:r>
        <w:rPr>
          <w:rFonts w:ascii="Times New Roman" w:hAnsi="Times New Roman" w:cs="Times New Roman"/>
          <w:bCs/>
          <w:color w:val="000000" w:themeColor="text1"/>
          <w:sz w:val="24"/>
          <w:szCs w:val="24"/>
          <w:highlight w:val="none"/>
          <w14:textFill>
            <w14:solidFill>
              <w14:schemeClr w14:val="tx1"/>
            </w14:solidFill>
          </w14:textFill>
        </w:rPr>
        <w:t>，Q取值</w:t>
      </w:r>
      <w:r>
        <w:rPr>
          <w:rFonts w:hint="eastAsia"/>
          <w:color w:val="000000" w:themeColor="text1"/>
          <w:spacing w:val="4"/>
          <w:sz w:val="24"/>
          <w:szCs w:val="24"/>
          <w:highlight w:val="none"/>
          <w14:textFill>
            <w14:solidFill>
              <w14:schemeClr w14:val="tx1"/>
            </w14:solidFill>
          </w14:textFill>
        </w:rPr>
        <w:t>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0012</w:t>
      </w:r>
      <w:r>
        <w:rPr>
          <w:rFonts w:hint="eastAsia"/>
          <w:color w:val="000000" w:themeColor="text1"/>
          <w:spacing w:val="4"/>
          <w:sz w:val="24"/>
          <w:szCs w:val="24"/>
          <w:highlight w:val="none"/>
          <w14:textFill>
            <w14:solidFill>
              <w14:schemeClr w14:val="tx1"/>
            </w14:solidFill>
          </w14:textFill>
        </w:rPr>
        <w:t xml:space="preserve"> 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，由此计算出CO的产生量为</w:t>
      </w:r>
      <w:r>
        <w:rPr>
          <w:rFonts w:hint="eastAsia" w:cs="Times New Roman"/>
          <w:bCs/>
          <w:color w:val="000000" w:themeColor="text1"/>
          <w:sz w:val="24"/>
          <w:szCs w:val="24"/>
          <w:highlight w:val="none"/>
          <w:lang w:val="en-US" w:eastAsia="zh-CN"/>
          <w14:textFill>
            <w14:solidFill>
              <w14:schemeClr w14:val="tx1"/>
            </w14:solidFill>
          </w14:textFill>
        </w:rPr>
        <w:t>0.0151</w:t>
      </w:r>
      <w:r>
        <w:rPr>
          <w:rFonts w:hint="eastAsia"/>
          <w:color w:val="000000" w:themeColor="text1"/>
          <w:spacing w:val="4"/>
          <w:sz w:val="24"/>
          <w:szCs w:val="24"/>
          <w:highlight w:val="none"/>
          <w14:textFill>
            <w14:solidFill>
              <w14:schemeClr w14:val="tx1"/>
            </w14:solidFill>
          </w14:textFill>
        </w:rPr>
        <w:t>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w:t>
      </w:r>
    </w:p>
    <w:p w14:paraId="14381C71">
      <w:pPr>
        <w:spacing w:line="360" w:lineRule="auto"/>
        <w:rPr>
          <w:rFonts w:hint="eastAsia" w:ascii="Times New Roman" w:hAnsi="Times New Roman" w:eastAsia="宋体" w:cs="Times New Roman"/>
          <w:b/>
          <w:bCs/>
          <w:color w:val="auto"/>
          <w:sz w:val="24"/>
          <w:highlight w:val="none"/>
          <w:lang w:eastAsia="zh-CN"/>
        </w:rPr>
      </w:pPr>
      <w:r>
        <w:rPr>
          <w:rFonts w:hint="eastAsia" w:cs="Times New Roman"/>
          <w:b/>
          <w:bCs/>
          <w:color w:val="auto"/>
          <w:sz w:val="24"/>
          <w:highlight w:val="none"/>
          <w:lang w:val="en-US" w:eastAsia="zh-CN"/>
        </w:rPr>
        <w:t>4.2.3</w:t>
      </w:r>
      <w:r>
        <w:rPr>
          <w:rFonts w:hint="default" w:ascii="Times New Roman" w:hAnsi="Times New Roman" w:cs="Times New Roman"/>
          <w:b/>
          <w:bCs/>
          <w:color w:val="auto"/>
          <w:sz w:val="24"/>
          <w:highlight w:val="none"/>
        </w:rPr>
        <w:t>糠</w:t>
      </w:r>
      <w:r>
        <w:rPr>
          <w:rFonts w:hint="eastAsia" w:cs="Times New Roman"/>
          <w:b/>
          <w:bCs/>
          <w:color w:val="auto"/>
          <w:sz w:val="24"/>
          <w:highlight w:val="none"/>
          <w:lang w:eastAsia="zh-CN"/>
        </w:rPr>
        <w:t>醇</w:t>
      </w:r>
      <w:r>
        <w:rPr>
          <w:rFonts w:hint="default" w:ascii="Times New Roman" w:hAnsi="Times New Roman" w:cs="Times New Roman"/>
          <w:b/>
          <w:bCs/>
          <w:color w:val="auto"/>
          <w:sz w:val="24"/>
          <w:highlight w:val="none"/>
        </w:rPr>
        <w:t>泄漏事故源强</w:t>
      </w:r>
      <w:r>
        <w:rPr>
          <w:rFonts w:hint="eastAsia" w:cs="Times New Roman"/>
          <w:b/>
          <w:bCs/>
          <w:color w:val="auto"/>
          <w:sz w:val="24"/>
          <w:highlight w:val="none"/>
          <w:lang w:eastAsia="zh-CN"/>
        </w:rPr>
        <w:t>分析</w:t>
      </w:r>
    </w:p>
    <w:p w14:paraId="74077D6C">
      <w:pPr>
        <w:numPr>
          <w:ilvl w:val="0"/>
          <w:numId w:val="5"/>
        </w:numPr>
        <w:spacing w:line="360" w:lineRule="auto"/>
        <w:ind w:firstLine="480" w:firstLineChars="200"/>
        <w:rPr>
          <w:rFonts w:hint="eastAsia" w:cs="Times New Roman"/>
          <w:color w:val="auto"/>
          <w:sz w:val="24"/>
          <w:highlight w:val="none"/>
          <w:lang w:eastAsia="zh-CN"/>
        </w:rPr>
      </w:pPr>
      <w:r>
        <w:rPr>
          <w:rFonts w:hint="eastAsia" w:cs="Times New Roman"/>
          <w:color w:val="auto"/>
          <w:sz w:val="24"/>
          <w:highlight w:val="none"/>
          <w:lang w:eastAsia="zh-CN"/>
        </w:rPr>
        <w:t>泄漏量确定</w:t>
      </w:r>
    </w:p>
    <w:p w14:paraId="1D1F62CF">
      <w:pPr>
        <w:spacing w:line="360" w:lineRule="auto"/>
        <w:ind w:firstLine="480" w:firstLineChars="200"/>
        <w:rPr>
          <w:sz w:val="24"/>
          <w:szCs w:val="24"/>
          <w:highlight w:val="none"/>
        </w:rPr>
      </w:pPr>
      <w:r>
        <w:rPr>
          <w:rFonts w:hint="eastAsia"/>
          <w:sz w:val="24"/>
          <w:szCs w:val="24"/>
          <w:highlight w:val="none"/>
        </w:rPr>
        <w:t>该厂区内</w:t>
      </w:r>
      <w:r>
        <w:rPr>
          <w:rFonts w:hint="eastAsia"/>
          <w:sz w:val="24"/>
          <w:szCs w:val="24"/>
          <w:highlight w:val="none"/>
          <w:lang w:eastAsia="zh-CN"/>
        </w:rPr>
        <w:t>糠醛</w:t>
      </w:r>
      <w:r>
        <w:rPr>
          <w:rFonts w:hint="eastAsia"/>
          <w:sz w:val="24"/>
          <w:szCs w:val="24"/>
          <w:highlight w:val="none"/>
        </w:rPr>
        <w:t>存储在罐区中，本次评价选择最大的</w:t>
      </w:r>
      <w:r>
        <w:rPr>
          <w:rFonts w:hint="eastAsia"/>
          <w:sz w:val="24"/>
          <w:szCs w:val="24"/>
          <w:highlight w:val="none"/>
          <w:lang w:eastAsia="zh-CN"/>
        </w:rPr>
        <w:t>糠醛</w:t>
      </w:r>
      <w:r>
        <w:rPr>
          <w:rFonts w:hint="eastAsia"/>
          <w:sz w:val="24"/>
          <w:szCs w:val="24"/>
          <w:highlight w:val="none"/>
        </w:rPr>
        <w:t>储罐发生泄漏作为该厂区的风险事故源强。本次分析将</w:t>
      </w:r>
      <w:r>
        <w:rPr>
          <w:rFonts w:hint="eastAsia"/>
          <w:sz w:val="24"/>
          <w:szCs w:val="24"/>
          <w:highlight w:val="none"/>
          <w:lang w:eastAsia="zh-CN"/>
        </w:rPr>
        <w:t>糠醛</w:t>
      </w:r>
      <w:r>
        <w:rPr>
          <w:rFonts w:hint="eastAsia"/>
          <w:sz w:val="24"/>
          <w:szCs w:val="24"/>
          <w:highlight w:val="none"/>
        </w:rPr>
        <w:t>输送管线接头破裂和阀门螺丝松动造成泄漏归为一种情况，设定与</w:t>
      </w:r>
      <w:r>
        <w:rPr>
          <w:rFonts w:hint="eastAsia"/>
          <w:sz w:val="24"/>
          <w:szCs w:val="24"/>
          <w:highlight w:val="none"/>
          <w:lang w:eastAsia="zh-CN"/>
        </w:rPr>
        <w:t>糠醛</w:t>
      </w:r>
      <w:r>
        <w:rPr>
          <w:rFonts w:hint="eastAsia"/>
          <w:sz w:val="24"/>
          <w:szCs w:val="24"/>
          <w:highlight w:val="none"/>
        </w:rPr>
        <w:t>储罐相连接的管道发生泄漏，根据《建设项目环境风险评价技术导则》（征求意见稿）附录表</w:t>
      </w:r>
      <w:r>
        <w:rPr>
          <w:sz w:val="24"/>
          <w:szCs w:val="24"/>
          <w:highlight w:val="none"/>
        </w:rPr>
        <w:t>B-2 中管道泄露的尺寸按照管径的100%计算。</w:t>
      </w:r>
      <w:r>
        <w:rPr>
          <w:rFonts w:hint="eastAsia"/>
          <w:sz w:val="24"/>
          <w:szCs w:val="24"/>
          <w:highlight w:val="none"/>
        </w:rPr>
        <w:t>假定储罐泄漏后，操作人员在</w:t>
      </w:r>
      <w:r>
        <w:rPr>
          <w:sz w:val="24"/>
          <w:szCs w:val="24"/>
          <w:highlight w:val="none"/>
        </w:rPr>
        <w:t>10min内使储罐泄漏得到控制，并采取有效的收集措施</w:t>
      </w:r>
      <w:r>
        <w:rPr>
          <w:rFonts w:hint="eastAsia"/>
          <w:sz w:val="24"/>
          <w:szCs w:val="24"/>
          <w:highlight w:val="none"/>
        </w:rPr>
        <w:t>。</w:t>
      </w:r>
    </w:p>
    <w:p w14:paraId="11BC7C4E">
      <w:pPr>
        <w:spacing w:line="360" w:lineRule="auto"/>
        <w:ind w:firstLine="480" w:firstLineChars="200"/>
        <w:rPr>
          <w:sz w:val="24"/>
          <w:szCs w:val="24"/>
          <w:highlight w:val="none"/>
        </w:rPr>
      </w:pPr>
      <w:r>
        <w:rPr>
          <w:rFonts w:hint="eastAsia"/>
          <w:sz w:val="24"/>
          <w:szCs w:val="24"/>
          <w:highlight w:val="none"/>
          <w:lang w:eastAsia="zh-CN"/>
        </w:rPr>
        <w:t>糠醛</w:t>
      </w:r>
      <w:r>
        <w:rPr>
          <w:rFonts w:hint="eastAsia"/>
          <w:sz w:val="24"/>
          <w:szCs w:val="24"/>
          <w:highlight w:val="none"/>
        </w:rPr>
        <w:t>储存状态为液态，其泄漏速率采用《建设项目环境风险评价导则》</w:t>
      </w:r>
      <w:r>
        <w:rPr>
          <w:sz w:val="24"/>
          <w:szCs w:val="24"/>
          <w:highlight w:val="none"/>
        </w:rPr>
        <w:t>(HJ/T169-2018)</w:t>
      </w:r>
      <w:r>
        <w:rPr>
          <w:rFonts w:hint="eastAsia"/>
          <w:sz w:val="24"/>
          <w:szCs w:val="24"/>
          <w:highlight w:val="none"/>
        </w:rPr>
        <w:t>附录</w:t>
      </w:r>
      <w:r>
        <w:rPr>
          <w:sz w:val="24"/>
          <w:szCs w:val="24"/>
          <w:highlight w:val="none"/>
        </w:rPr>
        <w:t>A 中推荐的液体泄漏速率公式进行估算，泄漏量按下面公式计算</w:t>
      </w:r>
      <w:r>
        <w:rPr>
          <w:rFonts w:hint="eastAsia"/>
          <w:sz w:val="24"/>
          <w:szCs w:val="24"/>
          <w:highlight w:val="none"/>
        </w:rPr>
        <w:t>：</w:t>
      </w:r>
    </w:p>
    <w:p w14:paraId="3A3CBEA8">
      <w:pPr>
        <w:ind w:firstLine="482"/>
        <w:jc w:val="center"/>
        <w:rPr>
          <w:color w:val="FF0000"/>
          <w:sz w:val="24"/>
          <w:szCs w:val="24"/>
          <w:highlight w:val="none"/>
        </w:rPr>
      </w:pPr>
      <w:r>
        <w:rPr>
          <w:color w:val="FF0000"/>
          <w:sz w:val="24"/>
          <w:szCs w:val="24"/>
          <w:highlight w:val="none"/>
        </w:rPr>
        <w:drawing>
          <wp:inline distT="0" distB="0" distL="0" distR="0">
            <wp:extent cx="2171700" cy="4381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a:stretch>
                      <a:fillRect/>
                    </a:stretch>
                  </pic:blipFill>
                  <pic:spPr>
                    <a:xfrm>
                      <a:off x="0" y="0"/>
                      <a:ext cx="2171700" cy="438150"/>
                    </a:xfrm>
                    <a:prstGeom prst="rect">
                      <a:avLst/>
                    </a:prstGeom>
                  </pic:spPr>
                </pic:pic>
              </a:graphicData>
            </a:graphic>
          </wp:inline>
        </w:drawing>
      </w:r>
    </w:p>
    <w:p w14:paraId="28893D4E">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式中：</w:t>
      </w:r>
      <w:r>
        <w:rPr>
          <w:i/>
          <w:iCs/>
          <w:color w:val="000000" w:themeColor="text1"/>
          <w:sz w:val="24"/>
          <w:szCs w:val="24"/>
          <w:highlight w:val="none"/>
          <w14:textFill>
            <w14:solidFill>
              <w14:schemeClr w14:val="tx1"/>
            </w14:solidFill>
          </w14:textFill>
        </w:rPr>
        <w:t xml:space="preserve">L Q </w:t>
      </w:r>
      <w:r>
        <w:rPr>
          <w:color w:val="000000" w:themeColor="text1"/>
          <w:sz w:val="24"/>
          <w:szCs w:val="24"/>
          <w:highlight w:val="none"/>
          <w14:textFill>
            <w14:solidFill>
              <w14:schemeClr w14:val="tx1"/>
            </w14:solidFill>
          </w14:textFill>
        </w:rPr>
        <w:t>——液体泄漏速度，kg/s；</w:t>
      </w:r>
    </w:p>
    <w:p w14:paraId="19549FEA">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Cd </w:t>
      </w:r>
      <w:r>
        <w:rPr>
          <w:color w:val="000000" w:themeColor="text1"/>
          <w:sz w:val="24"/>
          <w:szCs w:val="24"/>
          <w:highlight w:val="none"/>
          <w14:textFill>
            <w14:solidFill>
              <w14:schemeClr w14:val="tx1"/>
            </w14:solidFill>
          </w14:textFill>
        </w:rPr>
        <w:t>——液体泄漏系数；</w:t>
      </w:r>
      <w:r>
        <w:rPr>
          <w:rFonts w:hint="eastAsia"/>
          <w:color w:val="000000" w:themeColor="text1"/>
          <w:sz w:val="24"/>
          <w:szCs w:val="24"/>
          <w:highlight w:val="none"/>
          <w14:textFill>
            <w14:solidFill>
              <w14:schemeClr w14:val="tx1"/>
            </w14:solidFill>
          </w14:textFill>
        </w:rPr>
        <w:t>取0</w:t>
      </w:r>
      <w:r>
        <w:rPr>
          <w:color w:val="000000" w:themeColor="text1"/>
          <w:sz w:val="24"/>
          <w:szCs w:val="24"/>
          <w:highlight w:val="none"/>
          <w14:textFill>
            <w14:solidFill>
              <w14:schemeClr w14:val="tx1"/>
            </w14:solidFill>
          </w14:textFill>
        </w:rPr>
        <w:t>.62</w:t>
      </w:r>
      <w:r>
        <w:rPr>
          <w:rFonts w:hint="eastAsia"/>
          <w:color w:val="000000" w:themeColor="text1"/>
          <w:sz w:val="24"/>
          <w:szCs w:val="24"/>
          <w:highlight w:val="none"/>
          <w14:textFill>
            <w14:solidFill>
              <w14:schemeClr w14:val="tx1"/>
            </w14:solidFill>
          </w14:textFill>
        </w:rPr>
        <w:t>；</w:t>
      </w:r>
    </w:p>
    <w:p w14:paraId="70CBEE03">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A </w:t>
      </w:r>
      <w:r>
        <w:rPr>
          <w:color w:val="000000" w:themeColor="text1"/>
          <w:sz w:val="24"/>
          <w:szCs w:val="24"/>
          <w:highlight w:val="none"/>
          <w14:textFill>
            <w14:solidFill>
              <w14:schemeClr w14:val="tx1"/>
            </w14:solidFill>
          </w14:textFill>
        </w:rPr>
        <w:t>——裂口面积，m</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1BC41C7E">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P </w:t>
      </w:r>
      <w:r>
        <w:rPr>
          <w:color w:val="000000" w:themeColor="text1"/>
          <w:sz w:val="24"/>
          <w:szCs w:val="24"/>
          <w:highlight w:val="none"/>
          <w14:textFill>
            <w14:solidFill>
              <w14:schemeClr w14:val="tx1"/>
            </w14:solidFill>
          </w14:textFill>
        </w:rPr>
        <w:t>——容器内介质压力</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P</w:t>
      </w:r>
      <w:r>
        <w:rPr>
          <w:rFonts w:hint="eastAsia"/>
          <w:color w:val="000000" w:themeColor="text1"/>
          <w:sz w:val="24"/>
          <w:szCs w:val="24"/>
          <w:highlight w:val="none"/>
          <w14:textFill>
            <w14:solidFill>
              <w14:schemeClr w14:val="tx1"/>
            </w14:solidFill>
          </w14:textFill>
        </w:rPr>
        <w:t>a；</w:t>
      </w:r>
    </w:p>
    <w:p w14:paraId="1F34A826">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P</w:t>
      </w:r>
      <w:r>
        <w:rPr>
          <w:i/>
          <w:iCs/>
          <w:color w:val="000000" w:themeColor="text1"/>
          <w:sz w:val="24"/>
          <w:szCs w:val="24"/>
          <w:highlight w:val="none"/>
          <w:vertAlign w:val="subscript"/>
          <w14:textFill>
            <w14:solidFill>
              <w14:schemeClr w14:val="tx1"/>
            </w14:solidFill>
          </w14:textFill>
        </w:rPr>
        <w:t>0</w:t>
      </w:r>
      <w:r>
        <w:rPr>
          <w:color w:val="000000" w:themeColor="text1"/>
          <w:sz w:val="24"/>
          <w:szCs w:val="24"/>
          <w:highlight w:val="none"/>
          <w14:textFill>
            <w14:solidFill>
              <w14:schemeClr w14:val="tx1"/>
            </w14:solidFill>
          </w14:textFill>
        </w:rPr>
        <w:t>——环境压力，Pa；</w:t>
      </w:r>
    </w:p>
    <w:p w14:paraId="71C3CD4E">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g </w:t>
      </w:r>
      <w:r>
        <w:rPr>
          <w:color w:val="000000" w:themeColor="text1"/>
          <w:sz w:val="24"/>
          <w:szCs w:val="24"/>
          <w:highlight w:val="none"/>
          <w14:textFill>
            <w14:solidFill>
              <w14:schemeClr w14:val="tx1"/>
            </w14:solidFill>
          </w14:textFill>
        </w:rPr>
        <w:t>——重力加速度，9.8m/s</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15DD71C6">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h——裂口之上液位高度，m</w:t>
      </w:r>
      <w:r>
        <w:rPr>
          <w:rFonts w:hint="eastAsia"/>
          <w:color w:val="000000" w:themeColor="text1"/>
          <w:sz w:val="24"/>
          <w:szCs w:val="24"/>
          <w:highlight w:val="none"/>
          <w14:textFill>
            <w14:solidFill>
              <w14:schemeClr w14:val="tx1"/>
            </w14:solidFill>
          </w14:textFill>
        </w:rPr>
        <w:t>；取2m</w:t>
      </w:r>
      <w:r>
        <w:rPr>
          <w:color w:val="000000" w:themeColor="text1"/>
          <w:sz w:val="24"/>
          <w:szCs w:val="24"/>
          <w:highlight w:val="none"/>
          <w14:textFill>
            <w14:solidFill>
              <w14:schemeClr w14:val="tx1"/>
            </w14:solidFill>
          </w14:textFill>
        </w:rPr>
        <w:t>。</w:t>
      </w:r>
    </w:p>
    <w:p w14:paraId="42420C08">
      <w:pPr>
        <w:pStyle w:val="127"/>
        <w:spacing w:before="72" w:after="48"/>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STYLEREF 2 \s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noBreakHyphen/>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SEQ 表格 \* ARABIC \s 2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t>设定事故条件下的泄漏速率</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7"/>
        <w:gridCol w:w="661"/>
        <w:gridCol w:w="1133"/>
        <w:gridCol w:w="891"/>
        <w:gridCol w:w="1166"/>
        <w:gridCol w:w="1148"/>
        <w:gridCol w:w="684"/>
        <w:gridCol w:w="754"/>
        <w:gridCol w:w="871"/>
        <w:gridCol w:w="829"/>
        <w:gridCol w:w="658"/>
      </w:tblGrid>
      <w:tr w14:paraId="2006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30BF5364">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w:t>
            </w:r>
          </w:p>
          <w:p w14:paraId="65A297B7">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源</w:t>
            </w:r>
          </w:p>
        </w:tc>
        <w:tc>
          <w:tcPr>
            <w:tcW w:w="351" w:type="pct"/>
            <w:vAlign w:val="center"/>
          </w:tcPr>
          <w:p w14:paraId="4069D1A7">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温度(K)</w:t>
            </w:r>
          </w:p>
        </w:tc>
        <w:tc>
          <w:tcPr>
            <w:tcW w:w="601" w:type="pct"/>
            <w:vAlign w:val="center"/>
          </w:tcPr>
          <w:p w14:paraId="22C5A09F">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容器内压力(pa)</w:t>
            </w:r>
          </w:p>
        </w:tc>
        <w:tc>
          <w:tcPr>
            <w:tcW w:w="473" w:type="pct"/>
            <w:vAlign w:val="center"/>
          </w:tcPr>
          <w:p w14:paraId="61869FCE">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环境压力(pa)</w:t>
            </w:r>
          </w:p>
        </w:tc>
        <w:tc>
          <w:tcPr>
            <w:tcW w:w="619" w:type="pct"/>
            <w:vAlign w:val="center"/>
          </w:tcPr>
          <w:p w14:paraId="7C603064">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裂口面积</w:t>
            </w:r>
          </w:p>
          <w:p w14:paraId="660853CC">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w:t>
            </w:r>
            <w:r>
              <w:rPr>
                <w:rFonts w:hint="default"/>
                <w:sz w:val="24"/>
                <w:szCs w:val="24"/>
                <w:highlight w:val="none"/>
                <w:vertAlign w:val="superscript"/>
              </w:rPr>
              <w:t>2</w:t>
            </w:r>
            <w:r>
              <w:rPr>
                <w:rFonts w:hint="eastAsia"/>
                <w:sz w:val="24"/>
                <w:szCs w:val="24"/>
                <w:highlight w:val="none"/>
              </w:rPr>
              <w:t>)</w:t>
            </w:r>
          </w:p>
        </w:tc>
        <w:tc>
          <w:tcPr>
            <w:tcW w:w="609" w:type="pct"/>
            <w:vAlign w:val="center"/>
          </w:tcPr>
          <w:p w14:paraId="4EE98931">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液体密度(kg/ m</w:t>
            </w:r>
            <w:r>
              <w:rPr>
                <w:rFonts w:hint="default"/>
                <w:sz w:val="24"/>
                <w:szCs w:val="24"/>
                <w:highlight w:val="none"/>
                <w:vertAlign w:val="superscript"/>
              </w:rPr>
              <w:t>3</w:t>
            </w:r>
            <w:r>
              <w:rPr>
                <w:rFonts w:hint="eastAsia"/>
                <w:sz w:val="24"/>
                <w:szCs w:val="24"/>
                <w:highlight w:val="none"/>
              </w:rPr>
              <w:t>)</w:t>
            </w:r>
          </w:p>
        </w:tc>
        <w:tc>
          <w:tcPr>
            <w:tcW w:w="363" w:type="pct"/>
            <w:vAlign w:val="center"/>
          </w:tcPr>
          <w:p w14:paraId="611D58C4">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裂口形状</w:t>
            </w:r>
          </w:p>
        </w:tc>
        <w:tc>
          <w:tcPr>
            <w:tcW w:w="400" w:type="pct"/>
            <w:vAlign w:val="center"/>
          </w:tcPr>
          <w:p w14:paraId="6B92F7AF">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液体泄漏系数</w:t>
            </w:r>
          </w:p>
        </w:tc>
        <w:tc>
          <w:tcPr>
            <w:tcW w:w="462" w:type="pct"/>
            <w:vAlign w:val="center"/>
          </w:tcPr>
          <w:p w14:paraId="64423145">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泄漏速率(kg/s)</w:t>
            </w:r>
          </w:p>
        </w:tc>
        <w:tc>
          <w:tcPr>
            <w:tcW w:w="440" w:type="pct"/>
            <w:vAlign w:val="center"/>
          </w:tcPr>
          <w:p w14:paraId="45357E19">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泄漏持续时间</w:t>
            </w:r>
          </w:p>
          <w:p w14:paraId="6213C751">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(min)</w:t>
            </w:r>
          </w:p>
        </w:tc>
        <w:tc>
          <w:tcPr>
            <w:tcW w:w="349" w:type="pct"/>
            <w:vAlign w:val="center"/>
          </w:tcPr>
          <w:p w14:paraId="15265672">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泄漏量(t)</w:t>
            </w:r>
          </w:p>
        </w:tc>
      </w:tr>
      <w:tr w14:paraId="3F69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2BB670FC">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储罐</w:t>
            </w:r>
          </w:p>
        </w:tc>
        <w:tc>
          <w:tcPr>
            <w:tcW w:w="351" w:type="pct"/>
            <w:vAlign w:val="center"/>
          </w:tcPr>
          <w:p w14:paraId="380A5E47">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25</w:t>
            </w:r>
          </w:p>
        </w:tc>
        <w:tc>
          <w:tcPr>
            <w:tcW w:w="601" w:type="pct"/>
            <w:vAlign w:val="center"/>
          </w:tcPr>
          <w:p w14:paraId="119A74CE">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473" w:type="pct"/>
            <w:vAlign w:val="center"/>
          </w:tcPr>
          <w:p w14:paraId="2523571C">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619" w:type="pct"/>
            <w:vAlign w:val="center"/>
          </w:tcPr>
          <w:p w14:paraId="085076CD">
            <w:pPr>
              <w:pStyle w:val="126"/>
              <w:keepNext w:val="0"/>
              <w:keepLines w:val="0"/>
              <w:widowControl/>
              <w:suppressLineNumbers w:val="0"/>
              <w:spacing w:before="0" w:beforeAutospacing="0" w:after="0" w:afterAutospacing="0"/>
              <w:ind w:left="0" w:right="0"/>
              <w:rPr>
                <w:rFonts w:hint="eastAsia"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14:textFill>
                  <w14:solidFill>
                    <w14:schemeClr w14:val="tx1"/>
                  </w14:solidFill>
                </w14:textFill>
              </w:rPr>
              <w:t>000</w:t>
            </w:r>
            <w:r>
              <w:rPr>
                <w:rFonts w:hint="eastAsia"/>
                <w:color w:val="000000" w:themeColor="text1"/>
                <w:sz w:val="24"/>
                <w:szCs w:val="24"/>
                <w:highlight w:val="none"/>
                <w:lang w:val="en-US" w:eastAsia="zh-CN"/>
                <w14:textFill>
                  <w14:solidFill>
                    <w14:schemeClr w14:val="tx1"/>
                  </w14:solidFill>
                </w14:textFill>
              </w:rPr>
              <w:t>0</w:t>
            </w:r>
            <w:r>
              <w:rPr>
                <w:rFonts w:hint="eastAsia"/>
                <w:color w:val="000000" w:themeColor="text1"/>
                <w:sz w:val="24"/>
                <w:szCs w:val="24"/>
                <w:highlight w:val="none"/>
                <w14:textFill>
                  <w14:solidFill>
                    <w14:schemeClr w14:val="tx1"/>
                  </w14:solidFill>
                </w14:textFill>
              </w:rPr>
              <w:t>200</w:t>
            </w:r>
            <w:r>
              <w:rPr>
                <w:rFonts w:hint="eastAsia"/>
                <w:color w:val="000000" w:themeColor="text1"/>
                <w:sz w:val="24"/>
                <w:szCs w:val="24"/>
                <w:highlight w:val="none"/>
                <w:lang w:val="en-US" w:eastAsia="zh-CN"/>
                <w14:textFill>
                  <w14:solidFill>
                    <w14:schemeClr w14:val="tx1"/>
                  </w14:solidFill>
                </w14:textFill>
              </w:rPr>
              <w:t>3</w:t>
            </w:r>
          </w:p>
        </w:tc>
        <w:tc>
          <w:tcPr>
            <w:tcW w:w="609" w:type="pct"/>
            <w:vAlign w:val="center"/>
          </w:tcPr>
          <w:p w14:paraId="5343B147">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1135</w:t>
            </w:r>
          </w:p>
        </w:tc>
        <w:tc>
          <w:tcPr>
            <w:tcW w:w="363" w:type="pct"/>
            <w:vAlign w:val="center"/>
          </w:tcPr>
          <w:p w14:paraId="7F4B1C35">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圆形</w:t>
            </w:r>
          </w:p>
        </w:tc>
        <w:tc>
          <w:tcPr>
            <w:tcW w:w="400" w:type="pct"/>
            <w:vAlign w:val="center"/>
          </w:tcPr>
          <w:p w14:paraId="1E3D60B4">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0.62</w:t>
            </w:r>
          </w:p>
        </w:tc>
        <w:tc>
          <w:tcPr>
            <w:tcW w:w="462" w:type="pct"/>
            <w:vAlign w:val="center"/>
          </w:tcPr>
          <w:p w14:paraId="0FDE45F8">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0</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055</w:t>
            </w:r>
          </w:p>
        </w:tc>
        <w:tc>
          <w:tcPr>
            <w:tcW w:w="440" w:type="pct"/>
            <w:vAlign w:val="center"/>
          </w:tcPr>
          <w:p w14:paraId="771B9220">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10</w:t>
            </w:r>
          </w:p>
        </w:tc>
        <w:tc>
          <w:tcPr>
            <w:tcW w:w="349" w:type="pct"/>
            <w:vAlign w:val="center"/>
          </w:tcPr>
          <w:p w14:paraId="34B0CB3E">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0.033</w:t>
            </w:r>
          </w:p>
        </w:tc>
      </w:tr>
    </w:tbl>
    <w:p w14:paraId="3E9953AD">
      <w:pPr>
        <w:spacing w:before="240"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设定泄漏时间为 </w:t>
      </w:r>
      <w:r>
        <w:rPr>
          <w:color w:val="000000" w:themeColor="text1"/>
          <w:sz w:val="24"/>
          <w:szCs w:val="24"/>
          <w:highlight w:val="none"/>
          <w14:textFill>
            <w14:solidFill>
              <w14:schemeClr w14:val="tx1"/>
            </w14:solidFill>
          </w14:textFill>
        </w:rPr>
        <w:t>10</w:t>
      </w:r>
      <w:r>
        <w:rPr>
          <w:rFonts w:hint="eastAsia"/>
          <w:color w:val="000000" w:themeColor="text1"/>
          <w:sz w:val="24"/>
          <w:szCs w:val="24"/>
          <w:highlight w:val="none"/>
          <w14:textFill>
            <w14:solidFill>
              <w14:schemeClr w14:val="tx1"/>
            </w14:solidFill>
          </w14:textFill>
        </w:rPr>
        <w:t>min，经计算，泄漏速率为0.</w:t>
      </w:r>
      <w:r>
        <w:rPr>
          <w:rFonts w:hint="eastAsia"/>
          <w:color w:val="000000" w:themeColor="text1"/>
          <w:sz w:val="24"/>
          <w:szCs w:val="24"/>
          <w:highlight w:val="none"/>
          <w:lang w:val="en-US" w:eastAsia="zh-CN"/>
          <w14:textFill>
            <w14:solidFill>
              <w14:schemeClr w14:val="tx1"/>
            </w14:solidFill>
          </w14:textFill>
        </w:rPr>
        <w:t>055</w:t>
      </w:r>
      <w:r>
        <w:rPr>
          <w:rFonts w:hint="eastAsia"/>
          <w:color w:val="000000" w:themeColor="text1"/>
          <w:sz w:val="24"/>
          <w:szCs w:val="24"/>
          <w:highlight w:val="none"/>
          <w14:textFill>
            <w14:solidFill>
              <w14:schemeClr w14:val="tx1"/>
            </w14:solidFill>
          </w14:textFill>
        </w:rPr>
        <w:t>kg/s，泄漏量为</w:t>
      </w:r>
      <w:r>
        <w:rPr>
          <w:rFonts w:hint="eastAsia"/>
          <w:color w:val="000000" w:themeColor="text1"/>
          <w:sz w:val="24"/>
          <w:szCs w:val="24"/>
          <w:highlight w:val="none"/>
          <w:lang w:val="en-US" w:eastAsia="zh-CN"/>
          <w14:textFill>
            <w14:solidFill>
              <w14:schemeClr w14:val="tx1"/>
            </w14:solidFill>
          </w14:textFill>
        </w:rPr>
        <w:t>0.033</w:t>
      </w:r>
      <w:r>
        <w:rPr>
          <w:rFonts w:hint="eastAsia"/>
          <w:color w:val="000000" w:themeColor="text1"/>
          <w:sz w:val="24"/>
          <w:szCs w:val="24"/>
          <w:highlight w:val="none"/>
          <w14:textFill>
            <w14:solidFill>
              <w14:schemeClr w14:val="tx1"/>
            </w14:solidFill>
          </w14:textFill>
        </w:rPr>
        <w:t xml:space="preserve">t；假设泄漏事故发生后，液态物料部分蒸发进入大气，其余仍以液态形式存在，待收容处理。 </w:t>
      </w:r>
    </w:p>
    <w:p w14:paraId="2CC02C54">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（2）漏后蒸发量计算</w:t>
      </w:r>
    </w:p>
    <w:p w14:paraId="337A81EB">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drawing>
          <wp:anchor distT="0" distB="0" distL="114300" distR="114300" simplePos="0" relativeHeight="251680768"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highlight w:val="none"/>
          <w14:textFill>
            <w14:solidFill>
              <w14:schemeClr w14:val="tx1"/>
            </w14:solidFill>
          </w14:textFill>
        </w:rPr>
        <w:t>当</w:t>
      </w:r>
      <w:r>
        <w:rPr>
          <w:rFonts w:hint="eastAsia"/>
          <w:color w:val="000000" w:themeColor="text1"/>
          <w:sz w:val="24"/>
          <w:szCs w:val="24"/>
          <w:highlight w:val="none"/>
          <w:lang w:eastAsia="zh-CN"/>
          <w14:textFill>
            <w14:solidFill>
              <w14:schemeClr w14:val="tx1"/>
            </w14:solidFill>
          </w14:textFill>
        </w:rPr>
        <w:t>糠醛</w:t>
      </w:r>
      <w:r>
        <w:rPr>
          <w:rFonts w:hint="eastAsia"/>
          <w:color w:val="000000" w:themeColor="text1"/>
          <w:sz w:val="24"/>
          <w:szCs w:val="24"/>
          <w:highlight w:val="none"/>
          <w14:textFill>
            <w14:solidFill>
              <w14:schemeClr w14:val="tx1"/>
            </w14:solidFill>
          </w14:textFill>
        </w:rPr>
        <w:t>储罐发生泄漏时，泄漏的物质在储罐围堰地面形成液池。其蒸发量按照《建设项目环境风险评价导则》（</w:t>
      </w:r>
      <w:r>
        <w:rPr>
          <w:color w:val="000000" w:themeColor="text1"/>
          <w:sz w:val="24"/>
          <w:szCs w:val="24"/>
          <w:highlight w:val="none"/>
          <w14:textFill>
            <w14:solidFill>
              <w14:schemeClr w14:val="tx1"/>
            </w14:solidFill>
          </w14:textFill>
        </w:rPr>
        <w:t>HJ/T169-2018）附录A 中推荐的泄漏液体蒸发量计算公式</w:t>
      </w:r>
      <w:r>
        <w:rPr>
          <w:rFonts w:hint="eastAsia"/>
          <w:color w:val="000000" w:themeColor="text1"/>
          <w:sz w:val="24"/>
          <w:szCs w:val="24"/>
          <w:highlight w:val="none"/>
          <w14:textFill>
            <w14:solidFill>
              <w14:schemeClr w14:val="tx1"/>
            </w14:solidFill>
          </w14:textFill>
        </w:rPr>
        <w:t>计算。计算公式如下：</w:t>
      </w:r>
    </w:p>
    <w:p w14:paraId="3151BB3A">
      <w:pPr>
        <w:pStyle w:val="131"/>
        <w:snapToGrid w:val="0"/>
        <w:spacing w:line="336" w:lineRule="auto"/>
        <w:ind w:firstLine="198" w:firstLineChars="80"/>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式中：</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质量蒸发速度，</w:t>
      </w:r>
      <w:r>
        <w:rPr>
          <w:color w:val="000000" w:themeColor="text1"/>
          <w:spacing w:val="4"/>
          <w:sz w:val="24"/>
          <w:szCs w:val="24"/>
          <w:highlight w:val="none"/>
          <w14:textFill>
            <w14:solidFill>
              <w14:schemeClr w14:val="tx1"/>
            </w14:solidFill>
          </w14:textFill>
        </w:rPr>
        <w:t>kg/s</w:t>
      </w:r>
      <w:r>
        <w:rPr>
          <w:rFonts w:hint="eastAsia"/>
          <w:color w:val="000000" w:themeColor="text1"/>
          <w:spacing w:val="4"/>
          <w:sz w:val="24"/>
          <w:szCs w:val="24"/>
          <w:highlight w:val="none"/>
          <w14:textFill>
            <w14:solidFill>
              <w14:schemeClr w14:val="tx1"/>
            </w14:solidFill>
          </w14:textFill>
        </w:rPr>
        <w:t>；</w:t>
      </w:r>
    </w:p>
    <w:p w14:paraId="6A7C8AA6">
      <w:pPr>
        <w:pStyle w:val="131"/>
        <w:ind w:firstLine="992" w:firstLineChars="400"/>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a,n——</w:t>
      </w:r>
      <w:r>
        <w:rPr>
          <w:rFonts w:hint="eastAsia"/>
          <w:color w:val="000000" w:themeColor="text1"/>
          <w:spacing w:val="4"/>
          <w:sz w:val="24"/>
          <w:szCs w:val="24"/>
          <w:highlight w:val="none"/>
          <w14:textFill>
            <w14:solidFill>
              <w14:schemeClr w14:val="tx1"/>
            </w14:solidFill>
          </w14:textFill>
        </w:rPr>
        <w:t>大气稳定度系数；</w:t>
      </w:r>
    </w:p>
    <w:p w14:paraId="172D58F3">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p——</w:t>
      </w:r>
      <w:r>
        <w:rPr>
          <w:rFonts w:hint="eastAsia"/>
          <w:color w:val="000000" w:themeColor="text1"/>
          <w:spacing w:val="4"/>
          <w:sz w:val="24"/>
          <w:szCs w:val="24"/>
          <w:highlight w:val="none"/>
          <w14:textFill>
            <w14:solidFill>
              <w14:schemeClr w14:val="tx1"/>
            </w14:solidFill>
          </w14:textFill>
        </w:rPr>
        <w:t>液体表面蒸气压，</w:t>
      </w:r>
      <w:r>
        <w:rPr>
          <w:color w:val="000000" w:themeColor="text1"/>
          <w:spacing w:val="4"/>
          <w:sz w:val="24"/>
          <w:szCs w:val="24"/>
          <w:highlight w:val="none"/>
          <w14:textFill>
            <w14:solidFill>
              <w14:schemeClr w14:val="tx1"/>
            </w14:solidFill>
          </w14:textFill>
        </w:rPr>
        <w:t>10742Pa</w:t>
      </w:r>
      <w:r>
        <w:rPr>
          <w:rFonts w:hint="eastAsia"/>
          <w:color w:val="000000" w:themeColor="text1"/>
          <w:spacing w:val="4"/>
          <w:sz w:val="24"/>
          <w:szCs w:val="24"/>
          <w:highlight w:val="none"/>
          <w14:textFill>
            <w14:solidFill>
              <w14:schemeClr w14:val="tx1"/>
            </w14:solidFill>
          </w14:textFill>
        </w:rPr>
        <w:t>；</w:t>
      </w:r>
    </w:p>
    <w:p w14:paraId="28AA5C72">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气体常数；</w:t>
      </w:r>
      <w:r>
        <w:rPr>
          <w:color w:val="000000" w:themeColor="text1"/>
          <w:spacing w:val="4"/>
          <w:sz w:val="24"/>
          <w:szCs w:val="24"/>
          <w:highlight w:val="none"/>
          <w14:textFill>
            <w14:solidFill>
              <w14:schemeClr w14:val="tx1"/>
            </w14:solidFill>
          </w14:textFill>
        </w:rPr>
        <w:t>8.31</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J/mol•k</w:t>
      </w:r>
      <w:r>
        <w:rPr>
          <w:rFonts w:hint="eastAsia"/>
          <w:color w:val="000000" w:themeColor="text1"/>
          <w:spacing w:val="4"/>
          <w:sz w:val="24"/>
          <w:szCs w:val="24"/>
          <w:highlight w:val="none"/>
          <w14:textFill>
            <w14:solidFill>
              <w14:schemeClr w14:val="tx1"/>
            </w14:solidFill>
          </w14:textFill>
        </w:rPr>
        <w:t>）；</w:t>
      </w:r>
    </w:p>
    <w:p w14:paraId="6AD2639E">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T</w:t>
      </w:r>
      <w:r>
        <w:rPr>
          <w:color w:val="000000" w:themeColor="text1"/>
          <w:spacing w:val="4"/>
          <w:sz w:val="24"/>
          <w:szCs w:val="24"/>
          <w:highlight w:val="none"/>
          <w:vertAlign w:val="subscript"/>
          <w14:textFill>
            <w14:solidFill>
              <w14:schemeClr w14:val="tx1"/>
            </w14:solidFill>
          </w14:textFill>
        </w:rPr>
        <w:t>0</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环境温度，</w:t>
      </w:r>
      <w:r>
        <w:rPr>
          <w:color w:val="000000" w:themeColor="text1"/>
          <w:spacing w:val="4"/>
          <w:sz w:val="24"/>
          <w:szCs w:val="24"/>
          <w:highlight w:val="none"/>
          <w14:textFill>
            <w14:solidFill>
              <w14:schemeClr w14:val="tx1"/>
            </w14:solidFill>
          </w14:textFill>
        </w:rPr>
        <w:t>K</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(按303k计算)</w:t>
      </w:r>
    </w:p>
    <w:p w14:paraId="45A4DE6C">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u——</w:t>
      </w:r>
      <w:r>
        <w:rPr>
          <w:rFonts w:hint="eastAsia"/>
          <w:color w:val="000000" w:themeColor="text1"/>
          <w:spacing w:val="4"/>
          <w:sz w:val="24"/>
          <w:szCs w:val="24"/>
          <w:highlight w:val="none"/>
          <w14:textFill>
            <w14:solidFill>
              <w14:schemeClr w14:val="tx1"/>
            </w14:solidFill>
          </w14:textFill>
        </w:rPr>
        <w:t>平均风速，</w:t>
      </w:r>
      <w:r>
        <w:rPr>
          <w:color w:val="000000" w:themeColor="text1"/>
          <w:spacing w:val="4"/>
          <w:sz w:val="24"/>
          <w:szCs w:val="24"/>
          <w:highlight w:val="none"/>
          <w14:textFill>
            <w14:solidFill>
              <w14:schemeClr w14:val="tx1"/>
            </w14:solidFill>
          </w14:textFill>
        </w:rPr>
        <w:t>m/s</w:t>
      </w:r>
      <w:r>
        <w:rPr>
          <w:rFonts w:hint="eastAsia"/>
          <w:color w:val="000000" w:themeColor="text1"/>
          <w:spacing w:val="4"/>
          <w:sz w:val="24"/>
          <w:szCs w:val="24"/>
          <w:highlight w:val="none"/>
          <w14:textFill>
            <w14:solidFill>
              <w14:schemeClr w14:val="tx1"/>
            </w14:solidFill>
          </w14:textFill>
        </w:rPr>
        <w:t>；</w:t>
      </w:r>
    </w:p>
    <w:p w14:paraId="453956BD">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液池半径，</w:t>
      </w:r>
      <w:r>
        <w:rPr>
          <w:color w:val="000000" w:themeColor="text1"/>
          <w:spacing w:val="4"/>
          <w:sz w:val="24"/>
          <w:szCs w:val="24"/>
          <w:highlight w:val="none"/>
          <w14:textFill>
            <w14:solidFill>
              <w14:schemeClr w14:val="tx1"/>
            </w14:solidFill>
          </w14:textFill>
        </w:rPr>
        <w:t>m</w:t>
      </w:r>
      <w:r>
        <w:rPr>
          <w:rFonts w:hint="eastAsia"/>
          <w:color w:val="000000" w:themeColor="text1"/>
          <w:spacing w:val="4"/>
          <w:sz w:val="24"/>
          <w:szCs w:val="24"/>
          <w:highlight w:val="none"/>
          <w14:textFill>
            <w14:solidFill>
              <w14:schemeClr w14:val="tx1"/>
            </w14:solidFill>
          </w14:textFill>
        </w:rPr>
        <w:t>，取6m。</w:t>
      </w:r>
    </w:p>
    <w:p w14:paraId="78A406CA">
      <w:pPr>
        <w:pStyle w:val="127"/>
        <w:spacing w:before="72" w:after="48"/>
        <w:rPr>
          <w:sz w:val="24"/>
          <w:szCs w:val="24"/>
          <w:highlight w:val="none"/>
        </w:rPr>
      </w:pPr>
      <w:r>
        <w:rPr>
          <w:sz w:val="24"/>
          <w:szCs w:val="24"/>
          <w:highlight w:val="none"/>
        </w:rPr>
        <w:t>表</w:t>
      </w:r>
      <w:r>
        <w:rPr>
          <w:sz w:val="24"/>
          <w:szCs w:val="24"/>
          <w:highlight w:val="none"/>
        </w:rPr>
        <w:fldChar w:fldCharType="begin"/>
      </w:r>
      <w:r>
        <w:rPr>
          <w:sz w:val="24"/>
          <w:szCs w:val="24"/>
          <w:highlight w:val="none"/>
        </w:rPr>
        <w:instrText xml:space="preserve"> STYLEREF 2 \s </w:instrText>
      </w:r>
      <w:r>
        <w:rPr>
          <w:sz w:val="24"/>
          <w:szCs w:val="24"/>
          <w:highlight w:val="none"/>
        </w:rPr>
        <w:fldChar w:fldCharType="separate"/>
      </w:r>
      <w:r>
        <w:rPr>
          <w:sz w:val="24"/>
          <w:szCs w:val="24"/>
          <w:highlight w:val="none"/>
        </w:rPr>
        <w:t>4.2</w:t>
      </w:r>
      <w:r>
        <w:rPr>
          <w:sz w:val="24"/>
          <w:szCs w:val="24"/>
          <w:highlight w:val="none"/>
        </w:rPr>
        <w:fldChar w:fldCharType="end"/>
      </w:r>
      <w:r>
        <w:rPr>
          <w:sz w:val="24"/>
          <w:szCs w:val="24"/>
          <w:highlight w:val="none"/>
        </w:rPr>
        <w:noBreakHyphen/>
      </w:r>
      <w:r>
        <w:rPr>
          <w:sz w:val="24"/>
          <w:szCs w:val="24"/>
          <w:highlight w:val="none"/>
        </w:rPr>
        <w:fldChar w:fldCharType="begin"/>
      </w:r>
      <w:r>
        <w:rPr>
          <w:sz w:val="24"/>
          <w:szCs w:val="24"/>
          <w:highlight w:val="none"/>
        </w:rPr>
        <w:instrText xml:space="preserve"> SEQ 表格 \* ARABIC \s 2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sz w:val="24"/>
          <w:szCs w:val="24"/>
          <w:highlight w:val="none"/>
        </w:rPr>
        <w:t>液池蒸发模式参数</w:t>
      </w:r>
    </w:p>
    <w:tbl>
      <w:tblPr>
        <w:tblStyle w:val="3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0ABA5D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4DFD9DC0">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稳定度</w:t>
            </w:r>
          </w:p>
        </w:tc>
        <w:tc>
          <w:tcPr>
            <w:tcW w:w="2289" w:type="pct"/>
            <w:vAlign w:val="center"/>
          </w:tcPr>
          <w:p w14:paraId="2486E4D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a</w:t>
            </w:r>
          </w:p>
        </w:tc>
        <w:tc>
          <w:tcPr>
            <w:tcW w:w="1667" w:type="pct"/>
            <w:vAlign w:val="center"/>
          </w:tcPr>
          <w:p w14:paraId="3F3E641B">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n</w:t>
            </w:r>
          </w:p>
        </w:tc>
      </w:tr>
      <w:tr w14:paraId="1A73C8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13C717DA">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不稳定（A,B）</w:t>
            </w:r>
          </w:p>
        </w:tc>
        <w:tc>
          <w:tcPr>
            <w:tcW w:w="2289" w:type="pct"/>
            <w:vAlign w:val="center"/>
          </w:tcPr>
          <w:p w14:paraId="56ACD21A">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rFonts w:hint="default"/>
                <w:color w:val="000000" w:themeColor="text1"/>
                <w:sz w:val="24"/>
                <w:szCs w:val="24"/>
                <w:highlight w:val="none"/>
                <w14:textFill>
                  <w14:solidFill>
                    <w14:schemeClr w14:val="tx1"/>
                  </w14:solidFill>
                </w14:textFill>
              </w:rPr>
              <w:t>.846×10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0541AFE4">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12</w:t>
            </w:r>
          </w:p>
        </w:tc>
      </w:tr>
      <w:tr w14:paraId="648CBD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3DB25B30">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中性（D）</w:t>
            </w:r>
          </w:p>
        </w:tc>
        <w:tc>
          <w:tcPr>
            <w:tcW w:w="2289" w:type="pct"/>
            <w:vAlign w:val="center"/>
          </w:tcPr>
          <w:p w14:paraId="3C25AEAF">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14:textFill>
                  <w14:solidFill>
                    <w14:schemeClr w14:val="tx1"/>
                  </w14:solidFill>
                </w14:textFill>
              </w:rPr>
              <w:t>.685×10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62C6DA84">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131</w:t>
            </w:r>
          </w:p>
        </w:tc>
      </w:tr>
      <w:tr w14:paraId="73629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625A748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稳定（E,F）</w:t>
            </w:r>
          </w:p>
        </w:tc>
        <w:tc>
          <w:tcPr>
            <w:tcW w:w="2289" w:type="pct"/>
            <w:vAlign w:val="center"/>
          </w:tcPr>
          <w:p w14:paraId="372826C4">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rFonts w:hint="default"/>
                <w:color w:val="000000" w:themeColor="text1"/>
                <w:sz w:val="24"/>
                <w:szCs w:val="24"/>
                <w:highlight w:val="none"/>
                <w14:textFill>
                  <w14:solidFill>
                    <w14:schemeClr w14:val="tx1"/>
                  </w14:solidFill>
                </w14:textFill>
              </w:rPr>
              <w:t>.285×10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6D837B13">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15</w:t>
            </w:r>
          </w:p>
        </w:tc>
      </w:tr>
    </w:tbl>
    <w:p w14:paraId="38E02228">
      <w:pPr>
        <w:pStyle w:val="131"/>
        <w:pageBreakBefore w:val="0"/>
        <w:kinsoku/>
        <w:wordWrap/>
        <w:overflowPunct/>
        <w:topLinePunct w:val="0"/>
        <w:bidi w:val="0"/>
        <w:spacing w:line="360" w:lineRule="auto"/>
        <w:ind w:firstLine="496"/>
        <w:textAlignment w:val="auto"/>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按最不利气象条件（F稳定度，1</w:t>
      </w:r>
      <w:r>
        <w:rPr>
          <w:color w:val="000000" w:themeColor="text1"/>
          <w:spacing w:val="4"/>
          <w:sz w:val="24"/>
          <w:szCs w:val="24"/>
          <w:highlight w:val="none"/>
          <w14:textFill>
            <w14:solidFill>
              <w14:schemeClr w14:val="tx1"/>
            </w14:solidFill>
          </w14:textFill>
        </w:rPr>
        <w:t>.5</w:t>
      </w:r>
      <w:r>
        <w:rPr>
          <w:rFonts w:hint="eastAsia"/>
          <w:color w:val="000000" w:themeColor="text1"/>
          <w:spacing w:val="4"/>
          <w:sz w:val="24"/>
          <w:szCs w:val="24"/>
          <w:highlight w:val="none"/>
          <w14:textFill>
            <w14:solidFill>
              <w14:schemeClr w14:val="tx1"/>
            </w14:solidFill>
          </w14:textFill>
        </w:rPr>
        <w:t>m风速）计算得</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rFonts w:hint="eastAsia"/>
          <w:color w:val="000000" w:themeColor="text1"/>
          <w:spacing w:val="4"/>
          <w:sz w:val="24"/>
          <w:szCs w:val="24"/>
          <w:highlight w:val="none"/>
          <w14:textFill>
            <w14:solidFill>
              <w14:schemeClr w14:val="tx1"/>
            </w14:solidFill>
          </w14:textFill>
        </w:rPr>
        <w:t>为0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0031</w:t>
      </w:r>
      <w:r>
        <w:rPr>
          <w:rFonts w:hint="eastAsia"/>
          <w:color w:val="000000" w:themeColor="text1"/>
          <w:spacing w:val="4"/>
          <w:sz w:val="24"/>
          <w:szCs w:val="24"/>
          <w:highlight w:val="none"/>
          <w14:textFill>
            <w14:solidFill>
              <w14:schemeClr w14:val="tx1"/>
            </w14:solidFill>
          </w14:textFill>
        </w:rPr>
        <w:t xml:space="preserve"> 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p>
    <w:p w14:paraId="6D067F24">
      <w:pPr>
        <w:pStyle w:val="8"/>
        <w:pageBreakBefore w:val="0"/>
        <w:kinsoku/>
        <w:wordWrap/>
        <w:overflowPunct/>
        <w:topLinePunct w:val="0"/>
        <w:bidi w:val="0"/>
        <w:spacing w:before="0" w:after="0" w:line="360" w:lineRule="auto"/>
        <w:textAlignment w:val="auto"/>
        <w:rPr>
          <w:sz w:val="24"/>
          <w:szCs w:val="24"/>
          <w:highlight w:val="none"/>
        </w:rPr>
      </w:pPr>
      <w:r>
        <w:rPr>
          <w:rFonts w:hint="eastAsia"/>
          <w:sz w:val="24"/>
          <w:szCs w:val="24"/>
          <w:highlight w:val="none"/>
          <w:lang w:val="en-US" w:eastAsia="zh-CN"/>
        </w:rPr>
        <w:t>4.2.4</w:t>
      </w:r>
      <w:r>
        <w:rPr>
          <w:rFonts w:hint="eastAsia"/>
          <w:sz w:val="24"/>
          <w:szCs w:val="24"/>
          <w:highlight w:val="none"/>
        </w:rPr>
        <w:t>火灾爆炸次生大气污染源强分析</w:t>
      </w:r>
    </w:p>
    <w:p w14:paraId="679B860D">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根据HJ169-2018，采用火灾伴生/次生一氧化碳计算公式，公式如下：</w:t>
      </w:r>
    </w:p>
    <w:p w14:paraId="17717DF1">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highlight w:val="none"/>
                  <w:lang w:eastAsia="en-US"/>
                  <w14:textFill>
                    <w14:solidFill>
                      <w14:schemeClr w14:val="tx1"/>
                    </w14:solidFill>
                  </w14:textFill>
                </w:rPr>
              </m:ctrlPr>
            </m:sSubPr>
            <m:e>
              <m:r>
                <m:rPr/>
                <w:rPr>
                  <w:rFonts w:ascii="Cambria Math" w:hAnsi="Cambria Math" w:cs="Times New Roman"/>
                  <w:color w:val="000000" w:themeColor="text1"/>
                  <w:sz w:val="24"/>
                  <w:szCs w:val="24"/>
                  <w:highlight w:val="none"/>
                  <w:lang w:eastAsia="en-US"/>
                  <w14:textFill>
                    <w14:solidFill>
                      <w14:schemeClr w14:val="tx1"/>
                    </w14:solidFill>
                  </w14:textFill>
                </w:rPr>
                <m:t>G</m:t>
              </m:r>
              <m:ctrlPr>
                <w:rPr>
                  <w:rFonts w:ascii="Cambria Math" w:hAnsi="Cambria Math" w:cs="Times New Roman"/>
                  <w:bCs/>
                  <w:i/>
                  <w:color w:val="000000" w:themeColor="text1"/>
                  <w:sz w:val="24"/>
                  <w:szCs w:val="24"/>
                  <w:highlight w:val="none"/>
                  <w:lang w:eastAsia="en-US"/>
                  <w14:textFill>
                    <w14:solidFill>
                      <w14:schemeClr w14:val="tx1"/>
                    </w14:solidFill>
                  </w14:textFill>
                </w:rPr>
              </m:ctrlPr>
            </m:e>
            <m:sub>
              <m:r>
                <m:rPr/>
                <w:rPr>
                  <w:rFonts w:ascii="Cambria Math" w:hAnsi="Cambria Math" w:cs="Times New Roman"/>
                  <w:color w:val="000000" w:themeColor="text1"/>
                  <w:sz w:val="24"/>
                  <w:szCs w:val="24"/>
                  <w:highlight w:val="none"/>
                  <w:lang w:eastAsia="en-US"/>
                  <w14:textFill>
                    <w14:solidFill>
                      <w14:schemeClr w14:val="tx1"/>
                    </w14:solidFill>
                  </w14:textFill>
                </w:rPr>
                <m:t>一氧化碳</m:t>
              </m:r>
              <m:ctrlPr>
                <w:rPr>
                  <w:rFonts w:ascii="Cambria Math" w:hAnsi="Cambria Math" w:cs="Times New Roman"/>
                  <w:bCs/>
                  <w:i/>
                  <w:color w:val="000000" w:themeColor="text1"/>
                  <w:sz w:val="24"/>
                  <w:szCs w:val="24"/>
                  <w:highlight w:val="none"/>
                  <w:lang w:eastAsia="en-US"/>
                  <w14:textFill>
                    <w14:solidFill>
                      <w14:schemeClr w14:val="tx1"/>
                    </w14:solidFill>
                  </w14:textFill>
                </w:rPr>
              </m:ctrlPr>
            </m:sub>
          </m:sSub>
          <m:r>
            <m:rPr/>
            <w:rPr>
              <w:rFonts w:ascii="Cambria Math" w:hAnsi="Cambria Math" w:cs="Times New Roman"/>
              <w:color w:val="000000" w:themeColor="text1"/>
              <w:sz w:val="24"/>
              <w:szCs w:val="24"/>
              <w:highlight w:val="none"/>
              <w:lang w:eastAsia="en-US"/>
              <w14:textFill>
                <w14:solidFill>
                  <w14:schemeClr w14:val="tx1"/>
                </w14:solidFill>
              </w14:textFill>
            </w:rPr>
            <m:t>=2330qCQ</m:t>
          </m:r>
        </m:oMath>
      </m:oMathPara>
    </w:p>
    <w:p w14:paraId="37BC5DB0">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式中：G—一氧化碳的产生量，kg/s；</w:t>
      </w:r>
    </w:p>
    <w:p w14:paraId="2C54A76F">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C—物质中碳的含量，</w:t>
      </w:r>
    </w:p>
    <w:p w14:paraId="17CF2E1E">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q—化学不完全燃烧值，取值1.5~6.0%；</w:t>
      </w:r>
    </w:p>
    <w:p w14:paraId="4EAADDF6">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Q—参与燃烧的物质量，t/s。</w:t>
      </w:r>
    </w:p>
    <w:p w14:paraId="117D18DC">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依据上述公式，C取值90%，q取值</w:t>
      </w:r>
      <w:r>
        <w:rPr>
          <w:rFonts w:hint="eastAsia" w:ascii="Times New Roman" w:hAnsi="Times New Roman" w:cs="Times New Roman"/>
          <w:bCs/>
          <w:color w:val="000000" w:themeColor="text1"/>
          <w:sz w:val="24"/>
          <w:szCs w:val="24"/>
          <w:highlight w:val="none"/>
          <w14:textFill>
            <w14:solidFill>
              <w14:schemeClr w14:val="tx1"/>
            </w14:solidFill>
          </w14:textFill>
        </w:rPr>
        <w:t>6%</w:t>
      </w:r>
      <w:r>
        <w:rPr>
          <w:rFonts w:ascii="Times New Roman" w:hAnsi="Times New Roman" w:cs="Times New Roman"/>
          <w:bCs/>
          <w:color w:val="000000" w:themeColor="text1"/>
          <w:sz w:val="24"/>
          <w:szCs w:val="24"/>
          <w:highlight w:val="none"/>
          <w14:textFill>
            <w14:solidFill>
              <w14:schemeClr w14:val="tx1"/>
            </w14:solidFill>
          </w14:textFill>
        </w:rPr>
        <w:t>，Q取值</w:t>
      </w:r>
      <w:r>
        <w:rPr>
          <w:rFonts w:hint="eastAsia"/>
          <w:color w:val="000000" w:themeColor="text1"/>
          <w:spacing w:val="4"/>
          <w:sz w:val="24"/>
          <w:szCs w:val="24"/>
          <w:highlight w:val="none"/>
          <w14:textFill>
            <w14:solidFill>
              <w14:schemeClr w14:val="tx1"/>
            </w14:solidFill>
          </w14:textFill>
        </w:rPr>
        <w:t>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0031</w:t>
      </w:r>
      <w:r>
        <w:rPr>
          <w:rFonts w:hint="eastAsia"/>
          <w:color w:val="000000" w:themeColor="text1"/>
          <w:spacing w:val="4"/>
          <w:sz w:val="24"/>
          <w:szCs w:val="24"/>
          <w:highlight w:val="none"/>
          <w14:textFill>
            <w14:solidFill>
              <w14:schemeClr w14:val="tx1"/>
            </w14:solidFill>
          </w14:textFill>
        </w:rPr>
        <w:t>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，由此计算出CO的产生量为</w:t>
      </w:r>
      <w:r>
        <w:rPr>
          <w:rFonts w:hint="eastAsia" w:cs="Times New Roman"/>
          <w:bCs/>
          <w:color w:val="000000" w:themeColor="text1"/>
          <w:sz w:val="24"/>
          <w:szCs w:val="24"/>
          <w:highlight w:val="none"/>
          <w:lang w:val="en-US" w:eastAsia="zh-CN"/>
          <w14:textFill>
            <w14:solidFill>
              <w14:schemeClr w14:val="tx1"/>
            </w14:solidFill>
          </w14:textFill>
        </w:rPr>
        <w:t>0.0390</w:t>
      </w:r>
      <w:r>
        <w:rPr>
          <w:rFonts w:hint="eastAsia"/>
          <w:color w:val="000000" w:themeColor="text1"/>
          <w:spacing w:val="4"/>
          <w:sz w:val="24"/>
          <w:szCs w:val="24"/>
          <w:highlight w:val="none"/>
          <w14:textFill>
            <w14:solidFill>
              <w14:schemeClr w14:val="tx1"/>
            </w14:solidFill>
          </w14:textFill>
        </w:rPr>
        <w:t>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w:t>
      </w:r>
    </w:p>
    <w:p w14:paraId="23E5C362">
      <w:pPr>
        <w:spacing w:line="360" w:lineRule="auto"/>
        <w:rPr>
          <w:rFonts w:hint="eastAsia" w:ascii="Times New Roman" w:hAnsi="Times New Roman" w:eastAsia="宋体" w:cs="Times New Roman"/>
          <w:b/>
          <w:bCs/>
          <w:color w:val="auto"/>
          <w:sz w:val="24"/>
          <w:highlight w:val="none"/>
          <w:lang w:eastAsia="zh-CN"/>
        </w:rPr>
      </w:pPr>
      <w:r>
        <w:rPr>
          <w:rFonts w:hint="eastAsia" w:cs="Times New Roman"/>
          <w:b/>
          <w:bCs/>
          <w:color w:val="auto"/>
          <w:sz w:val="24"/>
          <w:highlight w:val="none"/>
          <w:lang w:val="en-US" w:eastAsia="zh-CN"/>
        </w:rPr>
        <w:t>4.2.5</w:t>
      </w:r>
      <w:r>
        <w:rPr>
          <w:rFonts w:hint="eastAsia" w:cs="Times New Roman"/>
          <w:b/>
          <w:bCs/>
          <w:color w:val="auto"/>
          <w:sz w:val="24"/>
          <w:highlight w:val="none"/>
          <w:lang w:eastAsia="zh-CN"/>
        </w:rPr>
        <w:t>二甲基呋喃</w:t>
      </w:r>
      <w:r>
        <w:rPr>
          <w:rFonts w:hint="default" w:ascii="Times New Roman" w:hAnsi="Times New Roman" w:cs="Times New Roman"/>
          <w:b/>
          <w:bCs/>
          <w:color w:val="auto"/>
          <w:sz w:val="24"/>
          <w:highlight w:val="none"/>
        </w:rPr>
        <w:t>泄漏事故源强</w:t>
      </w:r>
      <w:r>
        <w:rPr>
          <w:rFonts w:hint="eastAsia" w:cs="Times New Roman"/>
          <w:b/>
          <w:bCs/>
          <w:color w:val="auto"/>
          <w:sz w:val="24"/>
          <w:highlight w:val="none"/>
          <w:lang w:eastAsia="zh-CN"/>
        </w:rPr>
        <w:t>分析</w:t>
      </w:r>
    </w:p>
    <w:p w14:paraId="4E5B8BD9">
      <w:pPr>
        <w:numPr>
          <w:ilvl w:val="0"/>
          <w:numId w:val="5"/>
        </w:numPr>
        <w:spacing w:line="360" w:lineRule="auto"/>
        <w:ind w:firstLine="480" w:firstLineChars="200"/>
        <w:rPr>
          <w:rFonts w:hint="eastAsia" w:cs="Times New Roman"/>
          <w:color w:val="auto"/>
          <w:sz w:val="24"/>
          <w:highlight w:val="none"/>
          <w:lang w:eastAsia="zh-CN"/>
        </w:rPr>
      </w:pPr>
      <w:r>
        <w:rPr>
          <w:rFonts w:hint="eastAsia" w:cs="Times New Roman"/>
          <w:color w:val="auto"/>
          <w:sz w:val="24"/>
          <w:highlight w:val="none"/>
          <w:lang w:eastAsia="zh-CN"/>
        </w:rPr>
        <w:t>泄漏量确定</w:t>
      </w:r>
    </w:p>
    <w:p w14:paraId="1DABA360">
      <w:pPr>
        <w:spacing w:line="360" w:lineRule="auto"/>
        <w:ind w:firstLine="480" w:firstLineChars="200"/>
        <w:rPr>
          <w:sz w:val="24"/>
          <w:szCs w:val="24"/>
          <w:highlight w:val="none"/>
        </w:rPr>
      </w:pPr>
      <w:r>
        <w:rPr>
          <w:rFonts w:hint="eastAsia"/>
          <w:sz w:val="24"/>
          <w:szCs w:val="24"/>
          <w:highlight w:val="none"/>
        </w:rPr>
        <w:t>该厂区内</w:t>
      </w:r>
      <w:r>
        <w:rPr>
          <w:rFonts w:hint="eastAsia"/>
          <w:sz w:val="24"/>
          <w:szCs w:val="24"/>
          <w:highlight w:val="none"/>
          <w:lang w:eastAsia="zh-CN"/>
        </w:rPr>
        <w:t>糠醛</w:t>
      </w:r>
      <w:r>
        <w:rPr>
          <w:rFonts w:hint="eastAsia"/>
          <w:sz w:val="24"/>
          <w:szCs w:val="24"/>
          <w:highlight w:val="none"/>
        </w:rPr>
        <w:t>存储在罐区中，本次评价选择最大的</w:t>
      </w:r>
      <w:r>
        <w:rPr>
          <w:rFonts w:hint="eastAsia"/>
          <w:sz w:val="24"/>
          <w:szCs w:val="24"/>
          <w:highlight w:val="none"/>
          <w:lang w:eastAsia="zh-CN"/>
        </w:rPr>
        <w:t>糠醛</w:t>
      </w:r>
      <w:r>
        <w:rPr>
          <w:rFonts w:hint="eastAsia"/>
          <w:sz w:val="24"/>
          <w:szCs w:val="24"/>
          <w:highlight w:val="none"/>
        </w:rPr>
        <w:t>储罐发生泄漏作为该厂区的风险事故源强。本次分析将</w:t>
      </w:r>
      <w:r>
        <w:rPr>
          <w:rFonts w:hint="eastAsia"/>
          <w:sz w:val="24"/>
          <w:szCs w:val="24"/>
          <w:highlight w:val="none"/>
          <w:lang w:eastAsia="zh-CN"/>
        </w:rPr>
        <w:t>糠醛</w:t>
      </w:r>
      <w:r>
        <w:rPr>
          <w:rFonts w:hint="eastAsia"/>
          <w:sz w:val="24"/>
          <w:szCs w:val="24"/>
          <w:highlight w:val="none"/>
        </w:rPr>
        <w:t>输送管线接头破裂和阀门螺丝松动造成泄漏归为一种情况，设定与</w:t>
      </w:r>
      <w:r>
        <w:rPr>
          <w:rFonts w:hint="eastAsia"/>
          <w:sz w:val="24"/>
          <w:szCs w:val="24"/>
          <w:highlight w:val="none"/>
          <w:lang w:eastAsia="zh-CN"/>
        </w:rPr>
        <w:t>糠醛</w:t>
      </w:r>
      <w:r>
        <w:rPr>
          <w:rFonts w:hint="eastAsia"/>
          <w:sz w:val="24"/>
          <w:szCs w:val="24"/>
          <w:highlight w:val="none"/>
        </w:rPr>
        <w:t>储罐相连接的管道发生泄漏，根据《建设项目环境风险评价技术导则》（征求意见稿）附录表</w:t>
      </w:r>
      <w:r>
        <w:rPr>
          <w:sz w:val="24"/>
          <w:szCs w:val="24"/>
          <w:highlight w:val="none"/>
        </w:rPr>
        <w:t>B-2 中管道泄露的尺寸按照管径的100%计算。</w:t>
      </w:r>
      <w:r>
        <w:rPr>
          <w:rFonts w:hint="eastAsia"/>
          <w:sz w:val="24"/>
          <w:szCs w:val="24"/>
          <w:highlight w:val="none"/>
        </w:rPr>
        <w:t>假定储罐泄漏后，操作人员在</w:t>
      </w:r>
      <w:r>
        <w:rPr>
          <w:sz w:val="24"/>
          <w:szCs w:val="24"/>
          <w:highlight w:val="none"/>
        </w:rPr>
        <w:t>10min内使储罐泄漏得到控制，并采取有效的收集措施</w:t>
      </w:r>
      <w:r>
        <w:rPr>
          <w:rFonts w:hint="eastAsia"/>
          <w:sz w:val="24"/>
          <w:szCs w:val="24"/>
          <w:highlight w:val="none"/>
        </w:rPr>
        <w:t>。</w:t>
      </w:r>
    </w:p>
    <w:p w14:paraId="56720B25">
      <w:pPr>
        <w:spacing w:line="360" w:lineRule="auto"/>
        <w:ind w:firstLine="480" w:firstLineChars="200"/>
        <w:rPr>
          <w:sz w:val="24"/>
          <w:szCs w:val="24"/>
          <w:highlight w:val="none"/>
        </w:rPr>
      </w:pPr>
      <w:r>
        <w:rPr>
          <w:rFonts w:hint="eastAsia"/>
          <w:sz w:val="24"/>
          <w:szCs w:val="24"/>
          <w:highlight w:val="none"/>
          <w:lang w:eastAsia="zh-CN"/>
        </w:rPr>
        <w:t>糠醛</w:t>
      </w:r>
      <w:r>
        <w:rPr>
          <w:rFonts w:hint="eastAsia"/>
          <w:sz w:val="24"/>
          <w:szCs w:val="24"/>
          <w:highlight w:val="none"/>
        </w:rPr>
        <w:t>储存状态为液态，其泄漏速率采用《建设项目环境风险评价导则》</w:t>
      </w:r>
      <w:r>
        <w:rPr>
          <w:sz w:val="24"/>
          <w:szCs w:val="24"/>
          <w:highlight w:val="none"/>
        </w:rPr>
        <w:t>(HJ/T169-2018)</w:t>
      </w:r>
      <w:r>
        <w:rPr>
          <w:rFonts w:hint="eastAsia"/>
          <w:sz w:val="24"/>
          <w:szCs w:val="24"/>
          <w:highlight w:val="none"/>
        </w:rPr>
        <w:t>附录</w:t>
      </w:r>
      <w:r>
        <w:rPr>
          <w:sz w:val="24"/>
          <w:szCs w:val="24"/>
          <w:highlight w:val="none"/>
        </w:rPr>
        <w:t>A 中推荐的液体泄漏速率公式进行估算，泄漏量按下面公式计算</w:t>
      </w:r>
      <w:r>
        <w:rPr>
          <w:rFonts w:hint="eastAsia"/>
          <w:sz w:val="24"/>
          <w:szCs w:val="24"/>
          <w:highlight w:val="none"/>
        </w:rPr>
        <w:t>：</w:t>
      </w:r>
    </w:p>
    <w:p w14:paraId="1B0232AD">
      <w:pPr>
        <w:ind w:firstLine="482"/>
        <w:jc w:val="center"/>
        <w:rPr>
          <w:color w:val="FF0000"/>
          <w:sz w:val="24"/>
          <w:szCs w:val="24"/>
          <w:highlight w:val="none"/>
        </w:rPr>
      </w:pPr>
      <w:r>
        <w:rPr>
          <w:color w:val="FF0000"/>
          <w:sz w:val="24"/>
          <w:szCs w:val="24"/>
          <w:highlight w:val="none"/>
        </w:rPr>
        <w:drawing>
          <wp:inline distT="0" distB="0" distL="0" distR="0">
            <wp:extent cx="2171700" cy="4381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2171700" cy="438150"/>
                    </a:xfrm>
                    <a:prstGeom prst="rect">
                      <a:avLst/>
                    </a:prstGeom>
                  </pic:spPr>
                </pic:pic>
              </a:graphicData>
            </a:graphic>
          </wp:inline>
        </w:drawing>
      </w:r>
    </w:p>
    <w:p w14:paraId="249BE820">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式中：</w:t>
      </w:r>
      <w:r>
        <w:rPr>
          <w:i/>
          <w:iCs/>
          <w:color w:val="000000" w:themeColor="text1"/>
          <w:sz w:val="24"/>
          <w:szCs w:val="24"/>
          <w:highlight w:val="none"/>
          <w14:textFill>
            <w14:solidFill>
              <w14:schemeClr w14:val="tx1"/>
            </w14:solidFill>
          </w14:textFill>
        </w:rPr>
        <w:t xml:space="preserve">L Q </w:t>
      </w:r>
      <w:r>
        <w:rPr>
          <w:color w:val="000000" w:themeColor="text1"/>
          <w:sz w:val="24"/>
          <w:szCs w:val="24"/>
          <w:highlight w:val="none"/>
          <w14:textFill>
            <w14:solidFill>
              <w14:schemeClr w14:val="tx1"/>
            </w14:solidFill>
          </w14:textFill>
        </w:rPr>
        <w:t>——液体泄漏速度，kg/s；</w:t>
      </w:r>
    </w:p>
    <w:p w14:paraId="7883CC15">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Cd </w:t>
      </w:r>
      <w:r>
        <w:rPr>
          <w:color w:val="000000" w:themeColor="text1"/>
          <w:sz w:val="24"/>
          <w:szCs w:val="24"/>
          <w:highlight w:val="none"/>
          <w14:textFill>
            <w14:solidFill>
              <w14:schemeClr w14:val="tx1"/>
            </w14:solidFill>
          </w14:textFill>
        </w:rPr>
        <w:t>——液体泄漏系数；</w:t>
      </w:r>
      <w:r>
        <w:rPr>
          <w:rFonts w:hint="eastAsia"/>
          <w:color w:val="000000" w:themeColor="text1"/>
          <w:sz w:val="24"/>
          <w:szCs w:val="24"/>
          <w:highlight w:val="none"/>
          <w14:textFill>
            <w14:solidFill>
              <w14:schemeClr w14:val="tx1"/>
            </w14:solidFill>
          </w14:textFill>
        </w:rPr>
        <w:t>取0</w:t>
      </w:r>
      <w:r>
        <w:rPr>
          <w:color w:val="000000" w:themeColor="text1"/>
          <w:sz w:val="24"/>
          <w:szCs w:val="24"/>
          <w:highlight w:val="none"/>
          <w14:textFill>
            <w14:solidFill>
              <w14:schemeClr w14:val="tx1"/>
            </w14:solidFill>
          </w14:textFill>
        </w:rPr>
        <w:t>.62</w:t>
      </w:r>
      <w:r>
        <w:rPr>
          <w:rFonts w:hint="eastAsia"/>
          <w:color w:val="000000" w:themeColor="text1"/>
          <w:sz w:val="24"/>
          <w:szCs w:val="24"/>
          <w:highlight w:val="none"/>
          <w14:textFill>
            <w14:solidFill>
              <w14:schemeClr w14:val="tx1"/>
            </w14:solidFill>
          </w14:textFill>
        </w:rPr>
        <w:t>；</w:t>
      </w:r>
    </w:p>
    <w:p w14:paraId="6147657D">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A </w:t>
      </w:r>
      <w:r>
        <w:rPr>
          <w:color w:val="000000" w:themeColor="text1"/>
          <w:sz w:val="24"/>
          <w:szCs w:val="24"/>
          <w:highlight w:val="none"/>
          <w14:textFill>
            <w14:solidFill>
              <w14:schemeClr w14:val="tx1"/>
            </w14:solidFill>
          </w14:textFill>
        </w:rPr>
        <w:t>——裂口面积，m</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77CE7CBC">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P </w:t>
      </w:r>
      <w:r>
        <w:rPr>
          <w:color w:val="000000" w:themeColor="text1"/>
          <w:sz w:val="24"/>
          <w:szCs w:val="24"/>
          <w:highlight w:val="none"/>
          <w14:textFill>
            <w14:solidFill>
              <w14:schemeClr w14:val="tx1"/>
            </w14:solidFill>
          </w14:textFill>
        </w:rPr>
        <w:t>——容器内介质压力</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P</w:t>
      </w:r>
      <w:r>
        <w:rPr>
          <w:rFonts w:hint="eastAsia"/>
          <w:color w:val="000000" w:themeColor="text1"/>
          <w:sz w:val="24"/>
          <w:szCs w:val="24"/>
          <w:highlight w:val="none"/>
          <w14:textFill>
            <w14:solidFill>
              <w14:schemeClr w14:val="tx1"/>
            </w14:solidFill>
          </w14:textFill>
        </w:rPr>
        <w:t>a；</w:t>
      </w:r>
    </w:p>
    <w:p w14:paraId="03F9D14E">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P</w:t>
      </w:r>
      <w:r>
        <w:rPr>
          <w:i/>
          <w:iCs/>
          <w:color w:val="000000" w:themeColor="text1"/>
          <w:sz w:val="24"/>
          <w:szCs w:val="24"/>
          <w:highlight w:val="none"/>
          <w:vertAlign w:val="subscript"/>
          <w14:textFill>
            <w14:solidFill>
              <w14:schemeClr w14:val="tx1"/>
            </w14:solidFill>
          </w14:textFill>
        </w:rPr>
        <w:t>0</w:t>
      </w:r>
      <w:r>
        <w:rPr>
          <w:color w:val="000000" w:themeColor="text1"/>
          <w:sz w:val="24"/>
          <w:szCs w:val="24"/>
          <w:highlight w:val="none"/>
          <w14:textFill>
            <w14:solidFill>
              <w14:schemeClr w14:val="tx1"/>
            </w14:solidFill>
          </w14:textFill>
        </w:rPr>
        <w:t>——环境压力，Pa；</w:t>
      </w:r>
    </w:p>
    <w:p w14:paraId="238B5223">
      <w:pPr>
        <w:spacing w:line="360" w:lineRule="auto"/>
        <w:ind w:firstLine="480" w:firstLineChars="200"/>
        <w:rPr>
          <w:color w:val="000000" w:themeColor="text1"/>
          <w:sz w:val="24"/>
          <w:szCs w:val="24"/>
          <w:highlight w:val="none"/>
          <w14:textFill>
            <w14:solidFill>
              <w14:schemeClr w14:val="tx1"/>
            </w14:solidFill>
          </w14:textFill>
        </w:rPr>
      </w:pPr>
      <w:r>
        <w:rPr>
          <w:i/>
          <w:iCs/>
          <w:color w:val="000000" w:themeColor="text1"/>
          <w:sz w:val="24"/>
          <w:szCs w:val="24"/>
          <w:highlight w:val="none"/>
          <w14:textFill>
            <w14:solidFill>
              <w14:schemeClr w14:val="tx1"/>
            </w14:solidFill>
          </w14:textFill>
        </w:rPr>
        <w:t xml:space="preserve">g </w:t>
      </w:r>
      <w:r>
        <w:rPr>
          <w:color w:val="000000" w:themeColor="text1"/>
          <w:sz w:val="24"/>
          <w:szCs w:val="24"/>
          <w:highlight w:val="none"/>
          <w14:textFill>
            <w14:solidFill>
              <w14:schemeClr w14:val="tx1"/>
            </w14:solidFill>
          </w14:textFill>
        </w:rPr>
        <w:t>——重力加速度，9.8m/s</w:t>
      </w:r>
      <w:r>
        <w:rPr>
          <w:color w:val="000000" w:themeColor="text1"/>
          <w:sz w:val="24"/>
          <w:szCs w:val="24"/>
          <w:highlight w:val="none"/>
          <w:vertAlign w:val="superscript"/>
          <w14:textFill>
            <w14:solidFill>
              <w14:schemeClr w14:val="tx1"/>
            </w14:solidFill>
          </w14:textFill>
        </w:rPr>
        <w:t>2</w:t>
      </w:r>
      <w:r>
        <w:rPr>
          <w:color w:val="000000" w:themeColor="text1"/>
          <w:sz w:val="24"/>
          <w:szCs w:val="24"/>
          <w:highlight w:val="none"/>
          <w14:textFill>
            <w14:solidFill>
              <w14:schemeClr w14:val="tx1"/>
            </w14:solidFill>
          </w14:textFill>
        </w:rPr>
        <w:t>；</w:t>
      </w:r>
    </w:p>
    <w:p w14:paraId="02F2A464">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h——裂口之上液位高度，m</w:t>
      </w:r>
      <w:r>
        <w:rPr>
          <w:rFonts w:hint="eastAsia"/>
          <w:color w:val="000000" w:themeColor="text1"/>
          <w:sz w:val="24"/>
          <w:szCs w:val="24"/>
          <w:highlight w:val="none"/>
          <w14:textFill>
            <w14:solidFill>
              <w14:schemeClr w14:val="tx1"/>
            </w14:solidFill>
          </w14:textFill>
        </w:rPr>
        <w:t>；取2m</w:t>
      </w:r>
      <w:r>
        <w:rPr>
          <w:color w:val="000000" w:themeColor="text1"/>
          <w:sz w:val="24"/>
          <w:szCs w:val="24"/>
          <w:highlight w:val="none"/>
          <w14:textFill>
            <w14:solidFill>
              <w14:schemeClr w14:val="tx1"/>
            </w14:solidFill>
          </w14:textFill>
        </w:rPr>
        <w:t>。</w:t>
      </w:r>
    </w:p>
    <w:p w14:paraId="0825B830">
      <w:pPr>
        <w:pStyle w:val="127"/>
        <w:spacing w:before="72" w:after="48"/>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表</w:t>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STYLEREF 2 \s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noBreakHyphen/>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SEQ 表格 \* ARABIC \s 2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rFonts w:hint="eastAsia"/>
          <w:color w:val="000000" w:themeColor="text1"/>
          <w:sz w:val="24"/>
          <w:szCs w:val="24"/>
          <w:highlight w:val="none"/>
          <w14:textFill>
            <w14:solidFill>
              <w14:schemeClr w14:val="tx1"/>
            </w14:solidFill>
          </w14:textFill>
        </w:rPr>
        <w:t>设定事故条件下的泄漏速率</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6"/>
        <w:gridCol w:w="659"/>
        <w:gridCol w:w="1131"/>
        <w:gridCol w:w="890"/>
        <w:gridCol w:w="1165"/>
        <w:gridCol w:w="1147"/>
        <w:gridCol w:w="683"/>
        <w:gridCol w:w="753"/>
        <w:gridCol w:w="870"/>
        <w:gridCol w:w="828"/>
        <w:gridCol w:w="670"/>
      </w:tblGrid>
      <w:tr w14:paraId="2184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4BD43F8A">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w:t>
            </w:r>
          </w:p>
          <w:p w14:paraId="7B32B282">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源</w:t>
            </w:r>
          </w:p>
        </w:tc>
        <w:tc>
          <w:tcPr>
            <w:tcW w:w="351" w:type="pct"/>
            <w:vAlign w:val="center"/>
          </w:tcPr>
          <w:p w14:paraId="6F624664">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温度(K)</w:t>
            </w:r>
          </w:p>
        </w:tc>
        <w:tc>
          <w:tcPr>
            <w:tcW w:w="601" w:type="pct"/>
            <w:vAlign w:val="center"/>
          </w:tcPr>
          <w:p w14:paraId="442BD497">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容器内压力(pa)</w:t>
            </w:r>
          </w:p>
        </w:tc>
        <w:tc>
          <w:tcPr>
            <w:tcW w:w="473" w:type="pct"/>
            <w:vAlign w:val="center"/>
          </w:tcPr>
          <w:p w14:paraId="23A7B4F9">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环境压力(pa)</w:t>
            </w:r>
          </w:p>
        </w:tc>
        <w:tc>
          <w:tcPr>
            <w:tcW w:w="619" w:type="pct"/>
            <w:vAlign w:val="center"/>
          </w:tcPr>
          <w:p w14:paraId="3072CDB3">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裂口面积</w:t>
            </w:r>
          </w:p>
          <w:p w14:paraId="0D6D8E2C">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w:t>
            </w:r>
            <w:r>
              <w:rPr>
                <w:rFonts w:hint="default"/>
                <w:sz w:val="24"/>
                <w:szCs w:val="24"/>
                <w:highlight w:val="none"/>
                <w:vertAlign w:val="superscript"/>
              </w:rPr>
              <w:t>2</w:t>
            </w:r>
            <w:r>
              <w:rPr>
                <w:rFonts w:hint="eastAsia"/>
                <w:sz w:val="24"/>
                <w:szCs w:val="24"/>
                <w:highlight w:val="none"/>
              </w:rPr>
              <w:t>)</w:t>
            </w:r>
          </w:p>
        </w:tc>
        <w:tc>
          <w:tcPr>
            <w:tcW w:w="609" w:type="pct"/>
            <w:vAlign w:val="center"/>
          </w:tcPr>
          <w:p w14:paraId="77397F52">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液体密度(kg/ m</w:t>
            </w:r>
            <w:r>
              <w:rPr>
                <w:rFonts w:hint="default"/>
                <w:sz w:val="24"/>
                <w:szCs w:val="24"/>
                <w:highlight w:val="none"/>
                <w:vertAlign w:val="superscript"/>
              </w:rPr>
              <w:t>3</w:t>
            </w:r>
            <w:r>
              <w:rPr>
                <w:rFonts w:hint="eastAsia"/>
                <w:sz w:val="24"/>
                <w:szCs w:val="24"/>
                <w:highlight w:val="none"/>
              </w:rPr>
              <w:t>)</w:t>
            </w:r>
          </w:p>
        </w:tc>
        <w:tc>
          <w:tcPr>
            <w:tcW w:w="363" w:type="pct"/>
            <w:vAlign w:val="center"/>
          </w:tcPr>
          <w:p w14:paraId="1086FB32">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裂口形状</w:t>
            </w:r>
          </w:p>
        </w:tc>
        <w:tc>
          <w:tcPr>
            <w:tcW w:w="400" w:type="pct"/>
            <w:vAlign w:val="center"/>
          </w:tcPr>
          <w:p w14:paraId="1C245117">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液体泄漏系数</w:t>
            </w:r>
          </w:p>
        </w:tc>
        <w:tc>
          <w:tcPr>
            <w:tcW w:w="462" w:type="pct"/>
            <w:vAlign w:val="center"/>
          </w:tcPr>
          <w:p w14:paraId="418E318B">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泄漏速率(kg/s)</w:t>
            </w:r>
          </w:p>
        </w:tc>
        <w:tc>
          <w:tcPr>
            <w:tcW w:w="440" w:type="pct"/>
            <w:vAlign w:val="center"/>
          </w:tcPr>
          <w:p w14:paraId="57C064E3">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泄漏持续时间</w:t>
            </w:r>
          </w:p>
          <w:p w14:paraId="73E61B59">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(min)</w:t>
            </w:r>
          </w:p>
        </w:tc>
        <w:tc>
          <w:tcPr>
            <w:tcW w:w="349" w:type="pct"/>
            <w:vAlign w:val="center"/>
          </w:tcPr>
          <w:p w14:paraId="0A9B133E">
            <w:pPr>
              <w:pStyle w:val="126"/>
              <w:keepNext w:val="0"/>
              <w:keepLines w:val="0"/>
              <w:widowControl/>
              <w:suppressLineNumbers w:val="0"/>
              <w:spacing w:before="0" w:beforeAutospacing="0" w:after="0" w:afterAutospacing="0"/>
              <w:ind w:left="0" w:right="0"/>
              <w:rPr>
                <w:rFonts w:hint="default"/>
                <w:sz w:val="24"/>
                <w:szCs w:val="24"/>
                <w:highlight w:val="none"/>
              </w:rPr>
            </w:pPr>
            <w:r>
              <w:rPr>
                <w:rFonts w:hint="default"/>
                <w:sz w:val="24"/>
                <w:szCs w:val="24"/>
                <w:highlight w:val="none"/>
              </w:rPr>
              <w:t>泄漏量(t)</w:t>
            </w:r>
          </w:p>
        </w:tc>
      </w:tr>
      <w:tr w14:paraId="06CF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5B7F20D3">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储罐</w:t>
            </w:r>
          </w:p>
        </w:tc>
        <w:tc>
          <w:tcPr>
            <w:tcW w:w="351" w:type="pct"/>
            <w:vAlign w:val="center"/>
          </w:tcPr>
          <w:p w14:paraId="729AEAD1">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25</w:t>
            </w:r>
          </w:p>
        </w:tc>
        <w:tc>
          <w:tcPr>
            <w:tcW w:w="601" w:type="pct"/>
            <w:vAlign w:val="center"/>
          </w:tcPr>
          <w:p w14:paraId="3FAD0D11">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473" w:type="pct"/>
            <w:vAlign w:val="center"/>
          </w:tcPr>
          <w:p w14:paraId="42A967BE">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18000</w:t>
            </w:r>
          </w:p>
        </w:tc>
        <w:tc>
          <w:tcPr>
            <w:tcW w:w="619" w:type="pct"/>
            <w:vAlign w:val="center"/>
          </w:tcPr>
          <w:p w14:paraId="0004C75E">
            <w:pPr>
              <w:pStyle w:val="126"/>
              <w:keepNext w:val="0"/>
              <w:keepLines w:val="0"/>
              <w:widowControl/>
              <w:suppressLineNumbers w:val="0"/>
              <w:spacing w:before="0" w:beforeAutospacing="0" w:after="0" w:afterAutospacing="0"/>
              <w:ind w:left="0" w:right="0"/>
              <w:rPr>
                <w:rFonts w:hint="eastAsia"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14:textFill>
                  <w14:solidFill>
                    <w14:schemeClr w14:val="tx1"/>
                  </w14:solidFill>
                </w14:textFill>
              </w:rPr>
              <w:t>000</w:t>
            </w:r>
            <w:r>
              <w:rPr>
                <w:rFonts w:hint="eastAsia"/>
                <w:color w:val="000000" w:themeColor="text1"/>
                <w:sz w:val="24"/>
                <w:szCs w:val="24"/>
                <w:highlight w:val="none"/>
                <w:lang w:val="en-US" w:eastAsia="zh-CN"/>
                <w14:textFill>
                  <w14:solidFill>
                    <w14:schemeClr w14:val="tx1"/>
                  </w14:solidFill>
                </w14:textFill>
              </w:rPr>
              <w:t>0</w:t>
            </w:r>
            <w:r>
              <w:rPr>
                <w:rFonts w:hint="eastAsia"/>
                <w:color w:val="000000" w:themeColor="text1"/>
                <w:sz w:val="24"/>
                <w:szCs w:val="24"/>
                <w:highlight w:val="none"/>
                <w14:textFill>
                  <w14:solidFill>
                    <w14:schemeClr w14:val="tx1"/>
                  </w14:solidFill>
                </w14:textFill>
              </w:rPr>
              <w:t>200</w:t>
            </w:r>
            <w:r>
              <w:rPr>
                <w:rFonts w:hint="eastAsia"/>
                <w:color w:val="000000" w:themeColor="text1"/>
                <w:sz w:val="24"/>
                <w:szCs w:val="24"/>
                <w:highlight w:val="none"/>
                <w:lang w:val="en-US" w:eastAsia="zh-CN"/>
                <w14:textFill>
                  <w14:solidFill>
                    <w14:schemeClr w14:val="tx1"/>
                  </w14:solidFill>
                </w14:textFill>
              </w:rPr>
              <w:t>3</w:t>
            </w:r>
          </w:p>
        </w:tc>
        <w:tc>
          <w:tcPr>
            <w:tcW w:w="609" w:type="pct"/>
            <w:vAlign w:val="center"/>
          </w:tcPr>
          <w:p w14:paraId="144BD6BF">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905</w:t>
            </w:r>
          </w:p>
        </w:tc>
        <w:tc>
          <w:tcPr>
            <w:tcW w:w="363" w:type="pct"/>
            <w:vAlign w:val="center"/>
          </w:tcPr>
          <w:p w14:paraId="6793B530">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圆形</w:t>
            </w:r>
          </w:p>
        </w:tc>
        <w:tc>
          <w:tcPr>
            <w:tcW w:w="400" w:type="pct"/>
            <w:vAlign w:val="center"/>
          </w:tcPr>
          <w:p w14:paraId="0C9CD730">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0.62</w:t>
            </w:r>
          </w:p>
        </w:tc>
        <w:tc>
          <w:tcPr>
            <w:tcW w:w="462" w:type="pct"/>
            <w:vAlign w:val="center"/>
          </w:tcPr>
          <w:p w14:paraId="27C9CFD6">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14:textFill>
                  <w14:solidFill>
                    <w14:schemeClr w14:val="tx1"/>
                  </w14:solidFill>
                </w14:textFill>
              </w:rPr>
              <w:t>0</w:t>
            </w:r>
            <w:r>
              <w:rPr>
                <w:rFonts w:hint="default"/>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0168</w:t>
            </w:r>
          </w:p>
        </w:tc>
        <w:tc>
          <w:tcPr>
            <w:tcW w:w="440" w:type="pct"/>
            <w:vAlign w:val="center"/>
          </w:tcPr>
          <w:p w14:paraId="1BF5B11B">
            <w:pPr>
              <w:pStyle w:val="126"/>
              <w:keepNext w:val="0"/>
              <w:keepLines w:val="0"/>
              <w:widowControl/>
              <w:suppressLineNumbers w:val="0"/>
              <w:spacing w:before="0" w:beforeAutospacing="0" w:after="0" w:afterAutospacing="0"/>
              <w:ind w:left="0" w:right="0"/>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10</w:t>
            </w:r>
          </w:p>
        </w:tc>
        <w:tc>
          <w:tcPr>
            <w:tcW w:w="349" w:type="pct"/>
            <w:vAlign w:val="center"/>
          </w:tcPr>
          <w:p w14:paraId="264EE624">
            <w:pPr>
              <w:pStyle w:val="126"/>
              <w:keepNext w:val="0"/>
              <w:keepLines w:val="0"/>
              <w:widowControl/>
              <w:suppressLineNumbers w:val="0"/>
              <w:spacing w:before="0" w:beforeAutospacing="0" w:after="0" w:afterAutospacing="0"/>
              <w:ind w:left="0" w:right="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0.0101</w:t>
            </w:r>
          </w:p>
        </w:tc>
      </w:tr>
    </w:tbl>
    <w:p w14:paraId="02868907">
      <w:pPr>
        <w:spacing w:before="240"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设定泄漏时间为 </w:t>
      </w:r>
      <w:r>
        <w:rPr>
          <w:color w:val="000000" w:themeColor="text1"/>
          <w:sz w:val="24"/>
          <w:szCs w:val="24"/>
          <w:highlight w:val="none"/>
          <w14:textFill>
            <w14:solidFill>
              <w14:schemeClr w14:val="tx1"/>
            </w14:solidFill>
          </w14:textFill>
        </w:rPr>
        <w:t>10</w:t>
      </w:r>
      <w:r>
        <w:rPr>
          <w:rFonts w:hint="eastAsia"/>
          <w:color w:val="000000" w:themeColor="text1"/>
          <w:sz w:val="24"/>
          <w:szCs w:val="24"/>
          <w:highlight w:val="none"/>
          <w14:textFill>
            <w14:solidFill>
              <w14:schemeClr w14:val="tx1"/>
            </w14:solidFill>
          </w14:textFill>
        </w:rPr>
        <w:t>min，经计算，泄漏速率为0.</w:t>
      </w:r>
      <w:r>
        <w:rPr>
          <w:rFonts w:hint="eastAsia"/>
          <w:color w:val="000000" w:themeColor="text1"/>
          <w:sz w:val="24"/>
          <w:szCs w:val="24"/>
          <w:highlight w:val="none"/>
          <w:lang w:val="en-US" w:eastAsia="zh-CN"/>
          <w14:textFill>
            <w14:solidFill>
              <w14:schemeClr w14:val="tx1"/>
            </w14:solidFill>
          </w14:textFill>
        </w:rPr>
        <w:t>0168</w:t>
      </w:r>
      <w:r>
        <w:rPr>
          <w:rFonts w:hint="eastAsia"/>
          <w:color w:val="000000" w:themeColor="text1"/>
          <w:sz w:val="24"/>
          <w:szCs w:val="24"/>
          <w:highlight w:val="none"/>
          <w14:textFill>
            <w14:solidFill>
              <w14:schemeClr w14:val="tx1"/>
            </w14:solidFill>
          </w14:textFill>
        </w:rPr>
        <w:t>kg/s，泄漏量为</w:t>
      </w:r>
      <w:r>
        <w:rPr>
          <w:rFonts w:hint="eastAsia"/>
          <w:color w:val="000000" w:themeColor="text1"/>
          <w:sz w:val="24"/>
          <w:szCs w:val="24"/>
          <w:highlight w:val="none"/>
          <w:lang w:val="en-US" w:eastAsia="zh-CN"/>
          <w14:textFill>
            <w14:solidFill>
              <w14:schemeClr w14:val="tx1"/>
            </w14:solidFill>
          </w14:textFill>
        </w:rPr>
        <w:t>0.0101</w:t>
      </w:r>
      <w:r>
        <w:rPr>
          <w:rFonts w:hint="eastAsia"/>
          <w:color w:val="000000" w:themeColor="text1"/>
          <w:sz w:val="24"/>
          <w:szCs w:val="24"/>
          <w:highlight w:val="none"/>
          <w14:textFill>
            <w14:solidFill>
              <w14:schemeClr w14:val="tx1"/>
            </w14:solidFill>
          </w14:textFill>
        </w:rPr>
        <w:t xml:space="preserve">t；假设泄漏事故发生后，液态物料部分蒸发进入大气，其余仍以液态形式存在，待收容处理。 </w:t>
      </w:r>
    </w:p>
    <w:p w14:paraId="281A98DF">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（2）漏后蒸发量计算</w:t>
      </w:r>
    </w:p>
    <w:p w14:paraId="710EB6DF">
      <w:pPr>
        <w:spacing w:line="360" w:lineRule="auto"/>
        <w:ind w:firstLine="480" w:firstLineChars="20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drawing>
          <wp:anchor distT="0" distB="0" distL="114300" distR="114300" simplePos="0" relativeHeight="251681792"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highlight w:val="none"/>
          <w14:textFill>
            <w14:solidFill>
              <w14:schemeClr w14:val="tx1"/>
            </w14:solidFill>
          </w14:textFill>
        </w:rPr>
        <w:t>当</w:t>
      </w:r>
      <w:r>
        <w:rPr>
          <w:rFonts w:hint="eastAsia"/>
          <w:color w:val="000000" w:themeColor="text1"/>
          <w:sz w:val="24"/>
          <w:szCs w:val="24"/>
          <w:highlight w:val="none"/>
          <w:lang w:eastAsia="zh-CN"/>
          <w14:textFill>
            <w14:solidFill>
              <w14:schemeClr w14:val="tx1"/>
            </w14:solidFill>
          </w14:textFill>
        </w:rPr>
        <w:t>糠醛</w:t>
      </w:r>
      <w:r>
        <w:rPr>
          <w:rFonts w:hint="eastAsia"/>
          <w:color w:val="000000" w:themeColor="text1"/>
          <w:sz w:val="24"/>
          <w:szCs w:val="24"/>
          <w:highlight w:val="none"/>
          <w14:textFill>
            <w14:solidFill>
              <w14:schemeClr w14:val="tx1"/>
            </w14:solidFill>
          </w14:textFill>
        </w:rPr>
        <w:t>储罐发生泄漏时，泄漏的物质在储罐围堰地面形成液池。其蒸发量按照《建设项目环境风险评价导则》（</w:t>
      </w:r>
      <w:r>
        <w:rPr>
          <w:color w:val="000000" w:themeColor="text1"/>
          <w:sz w:val="24"/>
          <w:szCs w:val="24"/>
          <w:highlight w:val="none"/>
          <w14:textFill>
            <w14:solidFill>
              <w14:schemeClr w14:val="tx1"/>
            </w14:solidFill>
          </w14:textFill>
        </w:rPr>
        <w:t>HJ/T169-2018）附录A 中推荐的泄漏液体蒸发量计算公式</w:t>
      </w:r>
      <w:r>
        <w:rPr>
          <w:rFonts w:hint="eastAsia"/>
          <w:color w:val="000000" w:themeColor="text1"/>
          <w:sz w:val="24"/>
          <w:szCs w:val="24"/>
          <w:highlight w:val="none"/>
          <w14:textFill>
            <w14:solidFill>
              <w14:schemeClr w14:val="tx1"/>
            </w14:solidFill>
          </w14:textFill>
        </w:rPr>
        <w:t>计算。计算公式如下：</w:t>
      </w:r>
    </w:p>
    <w:p w14:paraId="210734BA">
      <w:pPr>
        <w:pStyle w:val="131"/>
        <w:snapToGrid w:val="0"/>
        <w:spacing w:line="336" w:lineRule="auto"/>
        <w:ind w:firstLine="198" w:firstLineChars="80"/>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式中：</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质量蒸发速度，</w:t>
      </w:r>
      <w:r>
        <w:rPr>
          <w:color w:val="000000" w:themeColor="text1"/>
          <w:spacing w:val="4"/>
          <w:sz w:val="24"/>
          <w:szCs w:val="24"/>
          <w:highlight w:val="none"/>
          <w14:textFill>
            <w14:solidFill>
              <w14:schemeClr w14:val="tx1"/>
            </w14:solidFill>
          </w14:textFill>
        </w:rPr>
        <w:t>kg/s</w:t>
      </w:r>
      <w:r>
        <w:rPr>
          <w:rFonts w:hint="eastAsia"/>
          <w:color w:val="000000" w:themeColor="text1"/>
          <w:spacing w:val="4"/>
          <w:sz w:val="24"/>
          <w:szCs w:val="24"/>
          <w:highlight w:val="none"/>
          <w14:textFill>
            <w14:solidFill>
              <w14:schemeClr w14:val="tx1"/>
            </w14:solidFill>
          </w14:textFill>
        </w:rPr>
        <w:t>；</w:t>
      </w:r>
    </w:p>
    <w:p w14:paraId="6C9D0CE0">
      <w:pPr>
        <w:pStyle w:val="131"/>
        <w:ind w:firstLine="992" w:firstLineChars="400"/>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a,n——</w:t>
      </w:r>
      <w:r>
        <w:rPr>
          <w:rFonts w:hint="eastAsia"/>
          <w:color w:val="000000" w:themeColor="text1"/>
          <w:spacing w:val="4"/>
          <w:sz w:val="24"/>
          <w:szCs w:val="24"/>
          <w:highlight w:val="none"/>
          <w14:textFill>
            <w14:solidFill>
              <w14:schemeClr w14:val="tx1"/>
            </w14:solidFill>
          </w14:textFill>
        </w:rPr>
        <w:t>大气稳定度系数；</w:t>
      </w:r>
    </w:p>
    <w:p w14:paraId="1409D490">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p——</w:t>
      </w:r>
      <w:r>
        <w:rPr>
          <w:rFonts w:hint="eastAsia"/>
          <w:color w:val="000000" w:themeColor="text1"/>
          <w:spacing w:val="4"/>
          <w:sz w:val="24"/>
          <w:szCs w:val="24"/>
          <w:highlight w:val="none"/>
          <w14:textFill>
            <w14:solidFill>
              <w14:schemeClr w14:val="tx1"/>
            </w14:solidFill>
          </w14:textFill>
        </w:rPr>
        <w:t>液体表面蒸气压，</w:t>
      </w:r>
      <w:r>
        <w:rPr>
          <w:color w:val="000000" w:themeColor="text1"/>
          <w:spacing w:val="4"/>
          <w:sz w:val="24"/>
          <w:szCs w:val="24"/>
          <w:highlight w:val="none"/>
          <w14:textFill>
            <w14:solidFill>
              <w14:schemeClr w14:val="tx1"/>
            </w14:solidFill>
          </w14:textFill>
        </w:rPr>
        <w:t>10742Pa</w:t>
      </w:r>
      <w:r>
        <w:rPr>
          <w:rFonts w:hint="eastAsia"/>
          <w:color w:val="000000" w:themeColor="text1"/>
          <w:spacing w:val="4"/>
          <w:sz w:val="24"/>
          <w:szCs w:val="24"/>
          <w:highlight w:val="none"/>
          <w14:textFill>
            <w14:solidFill>
              <w14:schemeClr w14:val="tx1"/>
            </w14:solidFill>
          </w14:textFill>
        </w:rPr>
        <w:t>；</w:t>
      </w:r>
    </w:p>
    <w:p w14:paraId="3F49ACE2">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气体常数；</w:t>
      </w:r>
      <w:r>
        <w:rPr>
          <w:color w:val="000000" w:themeColor="text1"/>
          <w:spacing w:val="4"/>
          <w:sz w:val="24"/>
          <w:szCs w:val="24"/>
          <w:highlight w:val="none"/>
          <w14:textFill>
            <w14:solidFill>
              <w14:schemeClr w14:val="tx1"/>
            </w14:solidFill>
          </w14:textFill>
        </w:rPr>
        <w:t>8.31</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J/mol•k</w:t>
      </w:r>
      <w:r>
        <w:rPr>
          <w:rFonts w:hint="eastAsia"/>
          <w:color w:val="000000" w:themeColor="text1"/>
          <w:spacing w:val="4"/>
          <w:sz w:val="24"/>
          <w:szCs w:val="24"/>
          <w:highlight w:val="none"/>
          <w14:textFill>
            <w14:solidFill>
              <w14:schemeClr w14:val="tx1"/>
            </w14:solidFill>
          </w14:textFill>
        </w:rPr>
        <w:t>）；</w:t>
      </w:r>
    </w:p>
    <w:p w14:paraId="707322AD">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T</w:t>
      </w:r>
      <w:r>
        <w:rPr>
          <w:color w:val="000000" w:themeColor="text1"/>
          <w:spacing w:val="4"/>
          <w:sz w:val="24"/>
          <w:szCs w:val="24"/>
          <w:highlight w:val="none"/>
          <w:vertAlign w:val="subscript"/>
          <w14:textFill>
            <w14:solidFill>
              <w14:schemeClr w14:val="tx1"/>
            </w14:solidFill>
          </w14:textFill>
        </w:rPr>
        <w:t>0</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环境温度，</w:t>
      </w:r>
      <w:r>
        <w:rPr>
          <w:color w:val="000000" w:themeColor="text1"/>
          <w:spacing w:val="4"/>
          <w:sz w:val="24"/>
          <w:szCs w:val="24"/>
          <w:highlight w:val="none"/>
          <w14:textFill>
            <w14:solidFill>
              <w14:schemeClr w14:val="tx1"/>
            </w14:solidFill>
          </w14:textFill>
        </w:rPr>
        <w:t>K</w:t>
      </w:r>
      <w:r>
        <w:rPr>
          <w:rFonts w:hint="eastAsia"/>
          <w:color w:val="000000" w:themeColor="text1"/>
          <w:spacing w:val="4"/>
          <w:sz w:val="24"/>
          <w:szCs w:val="24"/>
          <w:highlight w:val="none"/>
          <w14:textFill>
            <w14:solidFill>
              <w14:schemeClr w14:val="tx1"/>
            </w14:solidFill>
          </w14:textFill>
        </w:rPr>
        <w:t>；</w:t>
      </w:r>
      <w:r>
        <w:rPr>
          <w:color w:val="000000" w:themeColor="text1"/>
          <w:spacing w:val="4"/>
          <w:sz w:val="24"/>
          <w:szCs w:val="24"/>
          <w:highlight w:val="none"/>
          <w14:textFill>
            <w14:solidFill>
              <w14:schemeClr w14:val="tx1"/>
            </w14:solidFill>
          </w14:textFill>
        </w:rPr>
        <w:t>(按303k计算)</w:t>
      </w:r>
    </w:p>
    <w:p w14:paraId="550B0E23">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u——</w:t>
      </w:r>
      <w:r>
        <w:rPr>
          <w:rFonts w:hint="eastAsia"/>
          <w:color w:val="000000" w:themeColor="text1"/>
          <w:spacing w:val="4"/>
          <w:sz w:val="24"/>
          <w:szCs w:val="24"/>
          <w:highlight w:val="none"/>
          <w14:textFill>
            <w14:solidFill>
              <w14:schemeClr w14:val="tx1"/>
            </w14:solidFill>
          </w14:textFill>
        </w:rPr>
        <w:t>平均风速，</w:t>
      </w:r>
      <w:r>
        <w:rPr>
          <w:color w:val="000000" w:themeColor="text1"/>
          <w:spacing w:val="4"/>
          <w:sz w:val="24"/>
          <w:szCs w:val="24"/>
          <w:highlight w:val="none"/>
          <w14:textFill>
            <w14:solidFill>
              <w14:schemeClr w14:val="tx1"/>
            </w14:solidFill>
          </w14:textFill>
        </w:rPr>
        <w:t>m/s</w:t>
      </w:r>
      <w:r>
        <w:rPr>
          <w:rFonts w:hint="eastAsia"/>
          <w:color w:val="000000" w:themeColor="text1"/>
          <w:spacing w:val="4"/>
          <w:sz w:val="24"/>
          <w:szCs w:val="24"/>
          <w:highlight w:val="none"/>
          <w14:textFill>
            <w14:solidFill>
              <w14:schemeClr w14:val="tx1"/>
            </w14:solidFill>
          </w14:textFill>
        </w:rPr>
        <w:t>；</w:t>
      </w:r>
    </w:p>
    <w:p w14:paraId="0A991B18">
      <w:pPr>
        <w:pStyle w:val="131"/>
        <w:snapToGrid w:val="0"/>
        <w:spacing w:line="336" w:lineRule="auto"/>
        <w:ind w:firstLine="496"/>
        <w:rPr>
          <w:color w:val="000000" w:themeColor="text1"/>
          <w:spacing w:val="4"/>
          <w:sz w:val="24"/>
          <w:szCs w:val="24"/>
          <w:highlight w:val="none"/>
          <w14:textFill>
            <w14:solidFill>
              <w14:schemeClr w14:val="tx1"/>
            </w14:solidFill>
          </w14:textFill>
        </w:rPr>
      </w:pPr>
      <w:r>
        <w:rPr>
          <w:color w:val="000000" w:themeColor="text1"/>
          <w:spacing w:val="4"/>
          <w:sz w:val="24"/>
          <w:szCs w:val="24"/>
          <w:highlight w:val="none"/>
          <w14:textFill>
            <w14:solidFill>
              <w14:schemeClr w14:val="tx1"/>
            </w14:solidFill>
          </w14:textFill>
        </w:rPr>
        <w:t xml:space="preserve">    r——</w:t>
      </w:r>
      <w:r>
        <w:rPr>
          <w:rFonts w:hint="eastAsia"/>
          <w:color w:val="000000" w:themeColor="text1"/>
          <w:spacing w:val="4"/>
          <w:sz w:val="24"/>
          <w:szCs w:val="24"/>
          <w:highlight w:val="none"/>
          <w14:textFill>
            <w14:solidFill>
              <w14:schemeClr w14:val="tx1"/>
            </w14:solidFill>
          </w14:textFill>
        </w:rPr>
        <w:t>液池半径，</w:t>
      </w:r>
      <w:r>
        <w:rPr>
          <w:color w:val="000000" w:themeColor="text1"/>
          <w:spacing w:val="4"/>
          <w:sz w:val="24"/>
          <w:szCs w:val="24"/>
          <w:highlight w:val="none"/>
          <w14:textFill>
            <w14:solidFill>
              <w14:schemeClr w14:val="tx1"/>
            </w14:solidFill>
          </w14:textFill>
        </w:rPr>
        <w:t>m</w:t>
      </w:r>
      <w:r>
        <w:rPr>
          <w:rFonts w:hint="eastAsia"/>
          <w:color w:val="000000" w:themeColor="text1"/>
          <w:spacing w:val="4"/>
          <w:sz w:val="24"/>
          <w:szCs w:val="24"/>
          <w:highlight w:val="none"/>
          <w14:textFill>
            <w14:solidFill>
              <w14:schemeClr w14:val="tx1"/>
            </w14:solidFill>
          </w14:textFill>
        </w:rPr>
        <w:t>，取6m。</w:t>
      </w:r>
    </w:p>
    <w:p w14:paraId="66067248">
      <w:pPr>
        <w:pStyle w:val="127"/>
        <w:spacing w:before="72" w:after="48"/>
        <w:rPr>
          <w:sz w:val="24"/>
          <w:szCs w:val="24"/>
          <w:highlight w:val="none"/>
        </w:rPr>
      </w:pPr>
      <w:r>
        <w:rPr>
          <w:sz w:val="24"/>
          <w:szCs w:val="24"/>
          <w:highlight w:val="none"/>
        </w:rPr>
        <w:t>表</w:t>
      </w:r>
      <w:r>
        <w:rPr>
          <w:sz w:val="24"/>
          <w:szCs w:val="24"/>
          <w:highlight w:val="none"/>
        </w:rPr>
        <w:fldChar w:fldCharType="begin"/>
      </w:r>
      <w:r>
        <w:rPr>
          <w:sz w:val="24"/>
          <w:szCs w:val="24"/>
          <w:highlight w:val="none"/>
        </w:rPr>
        <w:instrText xml:space="preserve"> STYLEREF 2 \s </w:instrText>
      </w:r>
      <w:r>
        <w:rPr>
          <w:sz w:val="24"/>
          <w:szCs w:val="24"/>
          <w:highlight w:val="none"/>
        </w:rPr>
        <w:fldChar w:fldCharType="separate"/>
      </w:r>
      <w:r>
        <w:rPr>
          <w:sz w:val="24"/>
          <w:szCs w:val="24"/>
          <w:highlight w:val="none"/>
        </w:rPr>
        <w:t>4.2</w:t>
      </w:r>
      <w:r>
        <w:rPr>
          <w:sz w:val="24"/>
          <w:szCs w:val="24"/>
          <w:highlight w:val="none"/>
        </w:rPr>
        <w:fldChar w:fldCharType="end"/>
      </w:r>
      <w:r>
        <w:rPr>
          <w:sz w:val="24"/>
          <w:szCs w:val="24"/>
          <w:highlight w:val="none"/>
        </w:rPr>
        <w:noBreakHyphen/>
      </w:r>
      <w:r>
        <w:rPr>
          <w:sz w:val="24"/>
          <w:szCs w:val="24"/>
          <w:highlight w:val="none"/>
        </w:rPr>
        <w:fldChar w:fldCharType="begin"/>
      </w:r>
      <w:r>
        <w:rPr>
          <w:sz w:val="24"/>
          <w:szCs w:val="24"/>
          <w:highlight w:val="none"/>
        </w:rPr>
        <w:instrText xml:space="preserve"> SEQ 表格 \* ARABIC \s 2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sz w:val="24"/>
          <w:szCs w:val="24"/>
          <w:highlight w:val="none"/>
        </w:rPr>
        <w:t>液池蒸发模式参数</w:t>
      </w:r>
    </w:p>
    <w:tbl>
      <w:tblPr>
        <w:tblStyle w:val="3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50C6E6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2FB6C5D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稳定度</w:t>
            </w:r>
          </w:p>
        </w:tc>
        <w:tc>
          <w:tcPr>
            <w:tcW w:w="2289" w:type="pct"/>
            <w:vAlign w:val="center"/>
          </w:tcPr>
          <w:p w14:paraId="4571BE5B">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a</w:t>
            </w:r>
          </w:p>
        </w:tc>
        <w:tc>
          <w:tcPr>
            <w:tcW w:w="1667" w:type="pct"/>
            <w:vAlign w:val="center"/>
          </w:tcPr>
          <w:p w14:paraId="49DF1961">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default"/>
                <w:color w:val="000000" w:themeColor="text1"/>
                <w:sz w:val="24"/>
                <w:szCs w:val="24"/>
                <w:highlight w:val="none"/>
                <w14:textFill>
                  <w14:solidFill>
                    <w14:schemeClr w14:val="tx1"/>
                  </w14:solidFill>
                </w14:textFill>
              </w:rPr>
              <w:t>n</w:t>
            </w:r>
          </w:p>
        </w:tc>
      </w:tr>
      <w:tr w14:paraId="7A535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6302BE1E">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不稳定（A,B）</w:t>
            </w:r>
          </w:p>
        </w:tc>
        <w:tc>
          <w:tcPr>
            <w:tcW w:w="2289" w:type="pct"/>
            <w:vAlign w:val="center"/>
          </w:tcPr>
          <w:p w14:paraId="74637454">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rFonts w:hint="default"/>
                <w:color w:val="000000" w:themeColor="text1"/>
                <w:sz w:val="24"/>
                <w:szCs w:val="24"/>
                <w:highlight w:val="none"/>
                <w14:textFill>
                  <w14:solidFill>
                    <w14:schemeClr w14:val="tx1"/>
                  </w14:solidFill>
                </w14:textFill>
              </w:rPr>
              <w:t>.846×10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37C4C776">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12</w:t>
            </w:r>
          </w:p>
        </w:tc>
      </w:tr>
      <w:tr w14:paraId="4FD199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5F715647">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中性（D）</w:t>
            </w:r>
          </w:p>
        </w:tc>
        <w:tc>
          <w:tcPr>
            <w:tcW w:w="2289" w:type="pct"/>
            <w:vAlign w:val="center"/>
          </w:tcPr>
          <w:p w14:paraId="692C5FBA">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14:textFill>
                  <w14:solidFill>
                    <w14:schemeClr w14:val="tx1"/>
                  </w14:solidFill>
                </w14:textFill>
              </w:rPr>
              <w:t>.685×10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4159F5FC">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131</w:t>
            </w:r>
          </w:p>
        </w:tc>
      </w:tr>
      <w:tr w14:paraId="1EE594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3EC3A7A9">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稳定（E,F）</w:t>
            </w:r>
          </w:p>
        </w:tc>
        <w:tc>
          <w:tcPr>
            <w:tcW w:w="2289" w:type="pct"/>
            <w:vAlign w:val="center"/>
          </w:tcPr>
          <w:p w14:paraId="4A8A5552">
            <w:pPr>
              <w:pStyle w:val="131"/>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rFonts w:hint="default"/>
                <w:color w:val="000000" w:themeColor="text1"/>
                <w:sz w:val="24"/>
                <w:szCs w:val="24"/>
                <w:highlight w:val="none"/>
                <w14:textFill>
                  <w14:solidFill>
                    <w14:schemeClr w14:val="tx1"/>
                  </w14:solidFill>
                </w14:textFill>
              </w:rPr>
              <w:t>.285×10</w:t>
            </w:r>
            <w:r>
              <w:rPr>
                <w:rFonts w:hint="default"/>
                <w:color w:val="000000" w:themeColor="text1"/>
                <w:sz w:val="24"/>
                <w:szCs w:val="24"/>
                <w:highlight w:val="none"/>
                <w:vertAlign w:val="superscript"/>
                <w14:textFill>
                  <w14:solidFill>
                    <w14:schemeClr w14:val="tx1"/>
                  </w14:solidFill>
                </w14:textFill>
              </w:rPr>
              <w:t>—3</w:t>
            </w:r>
          </w:p>
        </w:tc>
        <w:tc>
          <w:tcPr>
            <w:tcW w:w="1667" w:type="pct"/>
            <w:vAlign w:val="center"/>
          </w:tcPr>
          <w:p w14:paraId="01868EBC">
            <w:pPr>
              <w:pStyle w:val="131"/>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14:textFill>
                  <w14:solidFill>
                    <w14:schemeClr w14:val="tx1"/>
                  </w14:solidFill>
                </w14:textFill>
              </w:rPr>
              <w:t>0.</w:t>
            </w:r>
            <w:r>
              <w:rPr>
                <w:rFonts w:hint="eastAsia"/>
                <w:color w:val="000000" w:themeColor="text1"/>
                <w:sz w:val="24"/>
                <w:szCs w:val="24"/>
                <w:highlight w:val="none"/>
                <w:lang w:val="en-US" w:eastAsia="zh-CN"/>
                <w14:textFill>
                  <w14:solidFill>
                    <w14:schemeClr w14:val="tx1"/>
                  </w14:solidFill>
                </w14:textFill>
              </w:rPr>
              <w:t>15</w:t>
            </w:r>
          </w:p>
        </w:tc>
      </w:tr>
    </w:tbl>
    <w:p w14:paraId="7C298276">
      <w:pPr>
        <w:pStyle w:val="131"/>
        <w:pageBreakBefore w:val="0"/>
        <w:kinsoku/>
        <w:wordWrap/>
        <w:overflowPunct/>
        <w:topLinePunct w:val="0"/>
        <w:bidi w:val="0"/>
        <w:spacing w:line="360" w:lineRule="auto"/>
        <w:ind w:firstLine="496"/>
        <w:textAlignment w:val="auto"/>
        <w:rPr>
          <w:color w:val="000000" w:themeColor="text1"/>
          <w:spacing w:val="4"/>
          <w:sz w:val="24"/>
          <w:szCs w:val="24"/>
          <w:highlight w:val="none"/>
          <w14:textFill>
            <w14:solidFill>
              <w14:schemeClr w14:val="tx1"/>
            </w14:solidFill>
          </w14:textFill>
        </w:rPr>
      </w:pPr>
      <w:r>
        <w:rPr>
          <w:rFonts w:hint="eastAsia"/>
          <w:color w:val="000000" w:themeColor="text1"/>
          <w:spacing w:val="4"/>
          <w:sz w:val="24"/>
          <w:szCs w:val="24"/>
          <w:highlight w:val="none"/>
          <w14:textFill>
            <w14:solidFill>
              <w14:schemeClr w14:val="tx1"/>
            </w14:solidFill>
          </w14:textFill>
        </w:rPr>
        <w:t>按最不利气象条件（F稳定度，1</w:t>
      </w:r>
      <w:r>
        <w:rPr>
          <w:color w:val="000000" w:themeColor="text1"/>
          <w:spacing w:val="4"/>
          <w:sz w:val="24"/>
          <w:szCs w:val="24"/>
          <w:highlight w:val="none"/>
          <w14:textFill>
            <w14:solidFill>
              <w14:schemeClr w14:val="tx1"/>
            </w14:solidFill>
          </w14:textFill>
        </w:rPr>
        <w:t>.5</w:t>
      </w:r>
      <w:r>
        <w:rPr>
          <w:rFonts w:hint="eastAsia"/>
          <w:color w:val="000000" w:themeColor="text1"/>
          <w:spacing w:val="4"/>
          <w:sz w:val="24"/>
          <w:szCs w:val="24"/>
          <w:highlight w:val="none"/>
          <w14:textFill>
            <w14:solidFill>
              <w14:schemeClr w14:val="tx1"/>
            </w14:solidFill>
          </w14:textFill>
        </w:rPr>
        <w:t>m风速）计算得</w:t>
      </w:r>
      <w:r>
        <w:rPr>
          <w:color w:val="000000" w:themeColor="text1"/>
          <w:spacing w:val="4"/>
          <w:sz w:val="24"/>
          <w:szCs w:val="24"/>
          <w:highlight w:val="none"/>
          <w14:textFill>
            <w14:solidFill>
              <w14:schemeClr w14:val="tx1"/>
            </w14:solidFill>
          </w14:textFill>
        </w:rPr>
        <w:t>Q</w:t>
      </w:r>
      <w:r>
        <w:rPr>
          <w:color w:val="000000" w:themeColor="text1"/>
          <w:spacing w:val="4"/>
          <w:sz w:val="24"/>
          <w:szCs w:val="24"/>
          <w:highlight w:val="none"/>
          <w:vertAlign w:val="subscript"/>
          <w14:textFill>
            <w14:solidFill>
              <w14:schemeClr w14:val="tx1"/>
            </w14:solidFill>
          </w14:textFill>
        </w:rPr>
        <w:t>3</w:t>
      </w:r>
      <w:r>
        <w:rPr>
          <w:rFonts w:hint="eastAsia"/>
          <w:color w:val="000000" w:themeColor="text1"/>
          <w:spacing w:val="4"/>
          <w:sz w:val="24"/>
          <w:szCs w:val="24"/>
          <w:highlight w:val="none"/>
          <w14:textFill>
            <w14:solidFill>
              <w14:schemeClr w14:val="tx1"/>
            </w14:solidFill>
          </w14:textFill>
        </w:rPr>
        <w:t>为0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1</w:t>
      </w:r>
      <w:r>
        <w:rPr>
          <w:rFonts w:hint="eastAsia"/>
          <w:color w:val="000000" w:themeColor="text1"/>
          <w:spacing w:val="4"/>
          <w:sz w:val="24"/>
          <w:szCs w:val="24"/>
          <w:highlight w:val="none"/>
          <w14:textFill>
            <w14:solidFill>
              <w14:schemeClr w14:val="tx1"/>
            </w14:solidFill>
          </w14:textFill>
        </w:rPr>
        <w:t xml:space="preserve"> 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p>
    <w:p w14:paraId="12F0327D">
      <w:pPr>
        <w:pStyle w:val="8"/>
        <w:pageBreakBefore w:val="0"/>
        <w:kinsoku/>
        <w:wordWrap/>
        <w:overflowPunct/>
        <w:topLinePunct w:val="0"/>
        <w:bidi w:val="0"/>
        <w:spacing w:before="0" w:after="0" w:line="360" w:lineRule="auto"/>
        <w:textAlignment w:val="auto"/>
        <w:rPr>
          <w:sz w:val="24"/>
          <w:szCs w:val="24"/>
          <w:highlight w:val="none"/>
        </w:rPr>
      </w:pPr>
      <w:r>
        <w:rPr>
          <w:rFonts w:hint="eastAsia"/>
          <w:sz w:val="24"/>
          <w:szCs w:val="24"/>
          <w:highlight w:val="none"/>
          <w:lang w:val="en-US" w:eastAsia="zh-CN"/>
        </w:rPr>
        <w:t>4.2.6</w:t>
      </w:r>
      <w:r>
        <w:rPr>
          <w:rFonts w:hint="eastAsia"/>
          <w:sz w:val="24"/>
          <w:szCs w:val="24"/>
          <w:highlight w:val="none"/>
        </w:rPr>
        <w:t>火灾爆炸次生大气污染源强分析</w:t>
      </w:r>
    </w:p>
    <w:p w14:paraId="0496FCEE">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根据HJ169-2018，采用火灾伴生/次生一氧化碳计算公式，公式如下：</w:t>
      </w:r>
    </w:p>
    <w:p w14:paraId="7F7EB672">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highlight w:val="none"/>
                  <w:lang w:eastAsia="en-US"/>
                  <w14:textFill>
                    <w14:solidFill>
                      <w14:schemeClr w14:val="tx1"/>
                    </w14:solidFill>
                  </w14:textFill>
                </w:rPr>
              </m:ctrlPr>
            </m:sSubPr>
            <m:e>
              <m:r>
                <m:rPr/>
                <w:rPr>
                  <w:rFonts w:ascii="Cambria Math" w:hAnsi="Cambria Math" w:cs="Times New Roman"/>
                  <w:color w:val="000000" w:themeColor="text1"/>
                  <w:sz w:val="24"/>
                  <w:szCs w:val="24"/>
                  <w:highlight w:val="none"/>
                  <w:lang w:eastAsia="en-US"/>
                  <w14:textFill>
                    <w14:solidFill>
                      <w14:schemeClr w14:val="tx1"/>
                    </w14:solidFill>
                  </w14:textFill>
                </w:rPr>
                <m:t>G</m:t>
              </m:r>
              <m:ctrlPr>
                <w:rPr>
                  <w:rFonts w:ascii="Cambria Math" w:hAnsi="Cambria Math" w:cs="Times New Roman"/>
                  <w:bCs/>
                  <w:i/>
                  <w:color w:val="000000" w:themeColor="text1"/>
                  <w:sz w:val="24"/>
                  <w:szCs w:val="24"/>
                  <w:highlight w:val="none"/>
                  <w:lang w:eastAsia="en-US"/>
                  <w14:textFill>
                    <w14:solidFill>
                      <w14:schemeClr w14:val="tx1"/>
                    </w14:solidFill>
                  </w14:textFill>
                </w:rPr>
              </m:ctrlPr>
            </m:e>
            <m:sub>
              <m:r>
                <m:rPr/>
                <w:rPr>
                  <w:rFonts w:ascii="Cambria Math" w:hAnsi="Cambria Math" w:cs="Times New Roman"/>
                  <w:color w:val="000000" w:themeColor="text1"/>
                  <w:sz w:val="24"/>
                  <w:szCs w:val="24"/>
                  <w:highlight w:val="none"/>
                  <w:lang w:eastAsia="en-US"/>
                  <w14:textFill>
                    <w14:solidFill>
                      <w14:schemeClr w14:val="tx1"/>
                    </w14:solidFill>
                  </w14:textFill>
                </w:rPr>
                <m:t>一氧化碳</m:t>
              </m:r>
              <m:ctrlPr>
                <w:rPr>
                  <w:rFonts w:ascii="Cambria Math" w:hAnsi="Cambria Math" w:cs="Times New Roman"/>
                  <w:bCs/>
                  <w:i/>
                  <w:color w:val="000000" w:themeColor="text1"/>
                  <w:sz w:val="24"/>
                  <w:szCs w:val="24"/>
                  <w:highlight w:val="none"/>
                  <w:lang w:eastAsia="en-US"/>
                  <w14:textFill>
                    <w14:solidFill>
                      <w14:schemeClr w14:val="tx1"/>
                    </w14:solidFill>
                  </w14:textFill>
                </w:rPr>
              </m:ctrlPr>
            </m:sub>
          </m:sSub>
          <m:r>
            <m:rPr/>
            <w:rPr>
              <w:rFonts w:ascii="Cambria Math" w:hAnsi="Cambria Math" w:cs="Times New Roman"/>
              <w:color w:val="000000" w:themeColor="text1"/>
              <w:sz w:val="24"/>
              <w:szCs w:val="24"/>
              <w:highlight w:val="none"/>
              <w:lang w:eastAsia="en-US"/>
              <w14:textFill>
                <w14:solidFill>
                  <w14:schemeClr w14:val="tx1"/>
                </w14:solidFill>
              </w14:textFill>
            </w:rPr>
            <m:t>=2330qCQ</m:t>
          </m:r>
        </m:oMath>
      </m:oMathPara>
    </w:p>
    <w:p w14:paraId="61D2D6E8">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式中：G—一氧化碳的产生量，kg/s；</w:t>
      </w:r>
    </w:p>
    <w:p w14:paraId="0009804D">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C—物质中碳的含量，</w:t>
      </w:r>
    </w:p>
    <w:p w14:paraId="7E1692D9">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q—化学不完全燃烧值，取值1.5~6.0%；</w:t>
      </w:r>
    </w:p>
    <w:p w14:paraId="0779F546">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 xml:space="preserve">      Q—参与燃烧的物质量，t/s。</w:t>
      </w:r>
    </w:p>
    <w:p w14:paraId="66721962">
      <w:pPr>
        <w:pageBreakBefore w:val="0"/>
        <w:kinsoku/>
        <w:wordWrap/>
        <w:overflowPunct/>
        <w:topLinePunct w:val="0"/>
        <w:bidi w:val="0"/>
        <w:spacing w:line="360" w:lineRule="auto"/>
        <w:ind w:firstLine="482"/>
        <w:textAlignment w:val="auto"/>
      </w:pPr>
      <w:r>
        <w:rPr>
          <w:rFonts w:ascii="Times New Roman" w:hAnsi="Times New Roman" w:cs="Times New Roman"/>
          <w:bCs/>
          <w:color w:val="000000" w:themeColor="text1"/>
          <w:sz w:val="24"/>
          <w:szCs w:val="24"/>
          <w:highlight w:val="none"/>
          <w14:textFill>
            <w14:solidFill>
              <w14:schemeClr w14:val="tx1"/>
            </w14:solidFill>
          </w14:textFill>
        </w:rPr>
        <w:t>依据上述公式，C取值90%，q取值</w:t>
      </w:r>
      <w:r>
        <w:rPr>
          <w:rFonts w:hint="eastAsia" w:ascii="Times New Roman" w:hAnsi="Times New Roman" w:cs="Times New Roman"/>
          <w:bCs/>
          <w:color w:val="000000" w:themeColor="text1"/>
          <w:sz w:val="24"/>
          <w:szCs w:val="24"/>
          <w:highlight w:val="none"/>
          <w14:textFill>
            <w14:solidFill>
              <w14:schemeClr w14:val="tx1"/>
            </w14:solidFill>
          </w14:textFill>
        </w:rPr>
        <w:t>6%</w:t>
      </w:r>
      <w:r>
        <w:rPr>
          <w:rFonts w:ascii="Times New Roman" w:hAnsi="Times New Roman" w:cs="Times New Roman"/>
          <w:bCs/>
          <w:color w:val="000000" w:themeColor="text1"/>
          <w:sz w:val="24"/>
          <w:szCs w:val="24"/>
          <w:highlight w:val="none"/>
          <w14:textFill>
            <w14:solidFill>
              <w14:schemeClr w14:val="tx1"/>
            </w14:solidFill>
          </w14:textFill>
        </w:rPr>
        <w:t>，Q取值</w:t>
      </w:r>
      <w:r>
        <w:rPr>
          <w:rFonts w:hint="eastAsia"/>
          <w:color w:val="000000" w:themeColor="text1"/>
          <w:spacing w:val="4"/>
          <w:sz w:val="24"/>
          <w:szCs w:val="24"/>
          <w:highlight w:val="none"/>
          <w14:textFill>
            <w14:solidFill>
              <w14:schemeClr w14:val="tx1"/>
            </w14:solidFill>
          </w14:textFill>
        </w:rPr>
        <w:t>0</w:t>
      </w:r>
      <w:r>
        <w:rPr>
          <w:color w:val="000000" w:themeColor="text1"/>
          <w:spacing w:val="4"/>
          <w:sz w:val="24"/>
          <w:szCs w:val="24"/>
          <w:highlight w:val="none"/>
          <w14:textFill>
            <w14:solidFill>
              <w14:schemeClr w14:val="tx1"/>
            </w14:solidFill>
          </w14:textFill>
        </w:rPr>
        <w:t>.0</w:t>
      </w:r>
      <w:r>
        <w:rPr>
          <w:rFonts w:hint="eastAsia"/>
          <w:color w:val="000000" w:themeColor="text1"/>
          <w:spacing w:val="4"/>
          <w:sz w:val="24"/>
          <w:szCs w:val="24"/>
          <w:highlight w:val="none"/>
          <w:lang w:val="en-US" w:eastAsia="zh-CN"/>
          <w14:textFill>
            <w14:solidFill>
              <w14:schemeClr w14:val="tx1"/>
            </w14:solidFill>
          </w14:textFill>
        </w:rPr>
        <w:t>1</w:t>
      </w:r>
      <w:r>
        <w:rPr>
          <w:rFonts w:hint="eastAsia"/>
          <w:color w:val="000000" w:themeColor="text1"/>
          <w:spacing w:val="4"/>
          <w:sz w:val="24"/>
          <w:szCs w:val="24"/>
          <w:highlight w:val="none"/>
          <w14:textFill>
            <w14:solidFill>
              <w14:schemeClr w14:val="tx1"/>
            </w14:solidFill>
          </w14:textFill>
        </w:rPr>
        <w:t xml:space="preserve"> 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，由此计算出CO的产生量为</w:t>
      </w:r>
      <w:r>
        <w:rPr>
          <w:rFonts w:hint="eastAsia" w:cs="Times New Roman"/>
          <w:bCs/>
          <w:color w:val="000000" w:themeColor="text1"/>
          <w:sz w:val="24"/>
          <w:szCs w:val="24"/>
          <w:highlight w:val="none"/>
          <w:lang w:val="en-US" w:eastAsia="zh-CN"/>
          <w14:textFill>
            <w14:solidFill>
              <w14:schemeClr w14:val="tx1"/>
            </w14:solidFill>
          </w14:textFill>
        </w:rPr>
        <w:t>1.2582</w:t>
      </w:r>
      <w:r>
        <w:rPr>
          <w:rFonts w:hint="eastAsia"/>
          <w:color w:val="000000" w:themeColor="text1"/>
          <w:spacing w:val="4"/>
          <w:sz w:val="24"/>
          <w:szCs w:val="24"/>
          <w:highlight w:val="none"/>
          <w14:textFill>
            <w14:solidFill>
              <w14:schemeClr w14:val="tx1"/>
            </w14:solidFill>
          </w14:textFill>
        </w:rPr>
        <w:t>kg</w:t>
      </w:r>
      <w:r>
        <w:rPr>
          <w:color w:val="000000" w:themeColor="text1"/>
          <w:spacing w:val="4"/>
          <w:sz w:val="24"/>
          <w:szCs w:val="24"/>
          <w:highlight w:val="none"/>
          <w14:textFill>
            <w14:solidFill>
              <w14:schemeClr w14:val="tx1"/>
            </w14:solidFill>
          </w14:textFill>
        </w:rPr>
        <w:t>/</w:t>
      </w:r>
      <w:r>
        <w:rPr>
          <w:rFonts w:hint="eastAsia"/>
          <w:color w:val="000000" w:themeColor="text1"/>
          <w:spacing w:val="4"/>
          <w:sz w:val="24"/>
          <w:szCs w:val="24"/>
          <w:highlight w:val="none"/>
          <w14:textFill>
            <w14:solidFill>
              <w14:schemeClr w14:val="tx1"/>
            </w14:solidFill>
          </w14:textFill>
        </w:rPr>
        <w:t>s</w:t>
      </w:r>
      <w:r>
        <w:rPr>
          <w:rFonts w:ascii="Times New Roman" w:hAnsi="Times New Roman" w:cs="Times New Roman"/>
          <w:bCs/>
          <w:color w:val="000000" w:themeColor="text1"/>
          <w:sz w:val="24"/>
          <w:szCs w:val="24"/>
          <w:highlight w:val="none"/>
          <w14:textFill>
            <w14:solidFill>
              <w14:schemeClr w14:val="tx1"/>
            </w14:solidFill>
          </w14:textFill>
        </w:rPr>
        <w:t>。</w:t>
      </w:r>
    </w:p>
    <w:p w14:paraId="3320B371">
      <w:pPr>
        <w:pStyle w:val="8"/>
        <w:pageBreakBefore w:val="0"/>
        <w:kinsoku/>
        <w:wordWrap/>
        <w:overflowPunct/>
        <w:topLinePunct w:val="0"/>
        <w:bidi w:val="0"/>
        <w:spacing w:before="0" w:after="0" w:line="360" w:lineRule="auto"/>
        <w:textAlignment w:val="auto"/>
        <w:rPr>
          <w:sz w:val="24"/>
          <w:szCs w:val="24"/>
          <w:highlight w:val="none"/>
        </w:rPr>
      </w:pPr>
      <w:r>
        <w:rPr>
          <w:rFonts w:hint="eastAsia"/>
          <w:sz w:val="24"/>
          <w:szCs w:val="24"/>
          <w:highlight w:val="none"/>
          <w:lang w:val="en-US" w:eastAsia="zh-CN"/>
        </w:rPr>
        <w:t>4.2.7</w:t>
      </w:r>
      <w:r>
        <w:rPr>
          <w:rFonts w:hint="eastAsia"/>
          <w:sz w:val="24"/>
          <w:szCs w:val="24"/>
          <w:highlight w:val="none"/>
        </w:rPr>
        <w:t>火灾爆炸事故衍生水污染源强分析</w:t>
      </w:r>
    </w:p>
    <w:p w14:paraId="3719015F">
      <w:pPr>
        <w:pageBreakBefore w:val="0"/>
        <w:kinsoku/>
        <w:wordWrap/>
        <w:overflowPunct/>
        <w:topLinePunct w:val="0"/>
        <w:bidi w:val="0"/>
        <w:spacing w:line="360" w:lineRule="auto"/>
        <w:ind w:firstLine="480" w:firstLineChars="200"/>
        <w:textAlignment w:val="auto"/>
        <w:rPr>
          <w:sz w:val="24"/>
          <w:szCs w:val="24"/>
          <w:highlight w:val="none"/>
        </w:rPr>
      </w:pPr>
      <w:r>
        <w:rPr>
          <w:rFonts w:hint="eastAsia"/>
          <w:sz w:val="24"/>
          <w:szCs w:val="24"/>
          <w:highlight w:val="none"/>
        </w:rPr>
        <w:t>火灾爆炸事故除产生大气污染外，还会伴生危险化学品泄漏及消防尾水。</w:t>
      </w:r>
    </w:p>
    <w:p w14:paraId="70485EB3">
      <w:pPr>
        <w:pageBreakBefore w:val="0"/>
        <w:kinsoku/>
        <w:wordWrap/>
        <w:overflowPunct/>
        <w:topLinePunct w:val="0"/>
        <w:bidi w:val="0"/>
        <w:spacing w:line="360" w:lineRule="auto"/>
        <w:ind w:firstLine="480" w:firstLineChars="200"/>
        <w:textAlignment w:val="auto"/>
        <w:rPr>
          <w:sz w:val="24"/>
          <w:szCs w:val="24"/>
          <w:highlight w:val="none"/>
        </w:rPr>
      </w:pPr>
      <w:r>
        <w:rPr>
          <w:rFonts w:hint="eastAsia"/>
          <w:sz w:val="24"/>
          <w:szCs w:val="24"/>
          <w:highlight w:val="none"/>
        </w:rPr>
        <w:t>一般一个厂区按一处事故设防，同一时间，厂区内只按一处发生事故计，即装置区与贮罐区事故不作同时发生考虑。灭火消防给水量按最大的</w:t>
      </w:r>
      <w:r>
        <w:rPr>
          <w:sz w:val="24"/>
          <w:szCs w:val="24"/>
          <w:highlight w:val="none"/>
        </w:rPr>
        <w:t>110</w:t>
      </w:r>
      <w:r>
        <w:rPr>
          <w:rFonts w:hint="eastAsia"/>
          <w:sz w:val="24"/>
          <w:szCs w:val="24"/>
          <w:highlight w:val="none"/>
        </w:rPr>
        <w:t>L/s计，消防灭火时间按</w:t>
      </w:r>
      <w:r>
        <w:rPr>
          <w:sz w:val="24"/>
          <w:szCs w:val="24"/>
          <w:highlight w:val="none"/>
        </w:rPr>
        <w:t>2</w:t>
      </w:r>
      <w:r>
        <w:rPr>
          <w:rFonts w:hint="eastAsia"/>
          <w:sz w:val="24"/>
          <w:szCs w:val="24"/>
          <w:highlight w:val="none"/>
        </w:rPr>
        <w:t>小时计，则最大消防用水量为</w:t>
      </w:r>
      <w:r>
        <w:rPr>
          <w:rFonts w:hint="eastAsia"/>
          <w:sz w:val="24"/>
          <w:szCs w:val="24"/>
          <w:highlight w:val="none"/>
          <w:lang w:val="en-US" w:eastAsia="zh-CN"/>
        </w:rPr>
        <w:t>243</w:t>
      </w:r>
      <w:r>
        <w:rPr>
          <w:rFonts w:hint="eastAsia"/>
          <w:sz w:val="24"/>
          <w:szCs w:val="24"/>
          <w:highlight w:val="none"/>
        </w:rPr>
        <w:t>m</w:t>
      </w:r>
      <w:r>
        <w:rPr>
          <w:rFonts w:hint="eastAsia"/>
          <w:sz w:val="24"/>
          <w:szCs w:val="24"/>
          <w:highlight w:val="none"/>
          <w:vertAlign w:val="superscript"/>
        </w:rPr>
        <w:t>3</w:t>
      </w:r>
      <w:r>
        <w:rPr>
          <w:rFonts w:hint="eastAsia"/>
          <w:sz w:val="24"/>
          <w:szCs w:val="24"/>
          <w:highlight w:val="none"/>
        </w:rPr>
        <w:t>。事故应急池总容积为</w:t>
      </w:r>
      <w:r>
        <w:rPr>
          <w:rFonts w:hint="eastAsia"/>
          <w:sz w:val="24"/>
          <w:szCs w:val="24"/>
          <w:highlight w:val="none"/>
          <w:lang w:val="en-US" w:eastAsia="zh-CN"/>
        </w:rPr>
        <w:t>240</w:t>
      </w:r>
      <w:r>
        <w:rPr>
          <w:rFonts w:hint="eastAsia"/>
          <w:sz w:val="24"/>
          <w:szCs w:val="24"/>
          <w:highlight w:val="none"/>
        </w:rPr>
        <w:t>m</w:t>
      </w:r>
      <w:r>
        <w:rPr>
          <w:sz w:val="24"/>
          <w:szCs w:val="24"/>
          <w:highlight w:val="none"/>
          <w:vertAlign w:val="superscript"/>
        </w:rPr>
        <w:t>3</w:t>
      </w:r>
      <w:r>
        <w:rPr>
          <w:rFonts w:hint="eastAsia"/>
          <w:sz w:val="24"/>
          <w:szCs w:val="24"/>
          <w:highlight w:val="none"/>
          <w:vertAlign w:val="superscript"/>
          <w:lang w:eastAsia="zh-CN"/>
        </w:rPr>
        <w:t>、</w:t>
      </w:r>
      <w:r>
        <w:rPr>
          <w:rFonts w:hint="eastAsia"/>
          <w:sz w:val="24"/>
          <w:szCs w:val="24"/>
          <w:highlight w:val="none"/>
          <w:lang w:val="en-US" w:eastAsia="zh-CN"/>
        </w:rPr>
        <w:t>500</w:t>
      </w:r>
      <w:r>
        <w:rPr>
          <w:rFonts w:hint="eastAsia"/>
          <w:sz w:val="24"/>
          <w:szCs w:val="24"/>
          <w:highlight w:val="none"/>
        </w:rPr>
        <w:t>m</w:t>
      </w:r>
      <w:r>
        <w:rPr>
          <w:sz w:val="24"/>
          <w:szCs w:val="24"/>
          <w:highlight w:val="none"/>
          <w:vertAlign w:val="superscript"/>
        </w:rPr>
        <w:t>3</w:t>
      </w:r>
      <w:r>
        <w:rPr>
          <w:rFonts w:hint="eastAsia"/>
          <w:sz w:val="24"/>
          <w:szCs w:val="24"/>
          <w:highlight w:val="none"/>
        </w:rPr>
        <w:t>，其容积满足要求。消防尾水中会携带有毒有害危险化学品，导致消防水COD增大。</w:t>
      </w:r>
    </w:p>
    <w:p w14:paraId="3A35A16C">
      <w:pPr>
        <w:pStyle w:val="8"/>
        <w:pageBreakBefore w:val="0"/>
        <w:kinsoku/>
        <w:wordWrap/>
        <w:overflowPunct/>
        <w:topLinePunct w:val="0"/>
        <w:bidi w:val="0"/>
        <w:spacing w:before="0" w:after="0" w:line="360" w:lineRule="auto"/>
        <w:textAlignment w:val="auto"/>
        <w:rPr>
          <w:sz w:val="24"/>
          <w:szCs w:val="24"/>
          <w:highlight w:val="none"/>
        </w:rPr>
      </w:pPr>
      <w:r>
        <w:rPr>
          <w:rFonts w:hint="eastAsia"/>
          <w:sz w:val="24"/>
          <w:szCs w:val="24"/>
          <w:highlight w:val="none"/>
          <w:lang w:val="en-US" w:eastAsia="zh-CN"/>
        </w:rPr>
        <w:t>4.2.4</w:t>
      </w:r>
      <w:r>
        <w:rPr>
          <w:rFonts w:hint="eastAsia"/>
          <w:sz w:val="24"/>
          <w:szCs w:val="24"/>
          <w:highlight w:val="none"/>
        </w:rPr>
        <w:t>企业违法排污的源强分析</w:t>
      </w:r>
    </w:p>
    <w:p w14:paraId="27E0F628">
      <w:pPr>
        <w:pStyle w:val="123"/>
        <w:pageBreakBefore w:val="0"/>
        <w:kinsoku/>
        <w:wordWrap/>
        <w:overflowPunct/>
        <w:topLinePunct w:val="0"/>
        <w:bidi w:val="0"/>
        <w:spacing w:line="360" w:lineRule="auto"/>
        <w:textAlignment w:val="auto"/>
        <w:rPr>
          <w:sz w:val="24"/>
          <w:szCs w:val="24"/>
          <w:highlight w:val="none"/>
          <w:lang w:eastAsia="zh-CN"/>
        </w:rPr>
      </w:pPr>
      <w:r>
        <w:rPr>
          <w:rFonts w:hint="eastAsia"/>
          <w:sz w:val="24"/>
          <w:szCs w:val="24"/>
          <w:highlight w:val="none"/>
          <w:lang w:eastAsia="zh-CN"/>
        </w:rPr>
        <w:t>违法排污的最坏情景有：</w:t>
      </w:r>
    </w:p>
    <w:p w14:paraId="59FE5894">
      <w:pPr>
        <w:pStyle w:val="123"/>
        <w:pageBreakBefore w:val="0"/>
        <w:kinsoku/>
        <w:wordWrap/>
        <w:overflowPunct/>
        <w:topLinePunct w:val="0"/>
        <w:bidi w:val="0"/>
        <w:spacing w:line="360" w:lineRule="auto"/>
        <w:textAlignment w:val="auto"/>
        <w:rPr>
          <w:sz w:val="24"/>
          <w:szCs w:val="24"/>
          <w:highlight w:val="none"/>
          <w:lang w:eastAsia="zh-CN"/>
        </w:rPr>
      </w:pPr>
      <w:r>
        <w:rPr>
          <w:rFonts w:hint="eastAsia"/>
          <w:sz w:val="24"/>
          <w:szCs w:val="24"/>
          <w:highlight w:val="none"/>
          <w:lang w:eastAsia="zh-CN"/>
        </w:rPr>
        <w:t>（1）废水未经处理直接通过雨排口排放。</w:t>
      </w:r>
    </w:p>
    <w:p w14:paraId="160AD03D">
      <w:pPr>
        <w:pStyle w:val="123"/>
        <w:pageBreakBefore w:val="0"/>
        <w:kinsoku/>
        <w:wordWrap/>
        <w:overflowPunct/>
        <w:topLinePunct w:val="0"/>
        <w:bidi w:val="0"/>
        <w:spacing w:line="360" w:lineRule="auto"/>
        <w:textAlignment w:val="auto"/>
        <w:rPr>
          <w:sz w:val="24"/>
          <w:szCs w:val="24"/>
          <w:highlight w:val="none"/>
          <w:lang w:eastAsia="zh-CN"/>
        </w:rPr>
      </w:pPr>
      <w:r>
        <w:rPr>
          <w:rFonts w:hint="eastAsia"/>
          <w:sz w:val="24"/>
          <w:szCs w:val="24"/>
          <w:highlight w:val="none"/>
          <w:lang w:eastAsia="zh-CN"/>
        </w:rPr>
        <w:t>（2）废气未经处理超标直接排入大气环境。</w:t>
      </w:r>
    </w:p>
    <w:p w14:paraId="163C87F3">
      <w:pPr>
        <w:pStyle w:val="7"/>
        <w:pageBreakBefore w:val="0"/>
        <w:kinsoku/>
        <w:wordWrap/>
        <w:overflowPunct/>
        <w:topLinePunct w:val="0"/>
        <w:bidi w:val="0"/>
        <w:spacing w:before="0" w:after="0" w:line="360" w:lineRule="auto"/>
        <w:textAlignment w:val="auto"/>
        <w:rPr>
          <w:rFonts w:cs="Times New Roman"/>
          <w:sz w:val="28"/>
          <w:szCs w:val="28"/>
          <w:highlight w:val="none"/>
        </w:rPr>
      </w:pPr>
      <w:bookmarkStart w:id="72" w:name="_Toc20742"/>
      <w:r>
        <w:rPr>
          <w:rFonts w:hint="eastAsia" w:cs="Times New Roman"/>
          <w:sz w:val="28"/>
          <w:szCs w:val="28"/>
          <w:highlight w:val="none"/>
          <w:lang w:val="en-US" w:eastAsia="zh-CN"/>
        </w:rPr>
        <w:t>4.3</w:t>
      </w:r>
      <w:r>
        <w:rPr>
          <w:rFonts w:cs="Times New Roman"/>
          <w:sz w:val="28"/>
          <w:szCs w:val="28"/>
          <w:highlight w:val="none"/>
        </w:rPr>
        <w:t>释放环境风险物质的扩散途径、涉及环境风险防控与应急措施、应急资源情况分析</w:t>
      </w:r>
      <w:bookmarkEnd w:id="72"/>
    </w:p>
    <w:p w14:paraId="067F15F4">
      <w:pPr>
        <w:pageBreakBefore w:val="0"/>
        <w:kinsoku/>
        <w:wordWrap/>
        <w:overflowPunct/>
        <w:topLinePunct w:val="0"/>
        <w:bidi w:val="0"/>
        <w:spacing w:before="0" w:after="0" w:line="360" w:lineRule="auto"/>
        <w:textAlignment w:val="auto"/>
        <w:outlineLvl w:val="9"/>
        <w:rPr>
          <w:b/>
          <w:bCs/>
          <w:sz w:val="24"/>
          <w:szCs w:val="24"/>
          <w:highlight w:val="none"/>
        </w:rPr>
      </w:pPr>
      <w:r>
        <w:rPr>
          <w:rFonts w:hint="eastAsia"/>
          <w:b/>
          <w:bCs/>
          <w:sz w:val="24"/>
          <w:szCs w:val="24"/>
          <w:highlight w:val="none"/>
          <w:lang w:val="en-US" w:eastAsia="zh-CN"/>
        </w:rPr>
        <w:t>4.3.1</w:t>
      </w:r>
      <w:r>
        <w:rPr>
          <w:b/>
          <w:bCs/>
          <w:sz w:val="24"/>
          <w:szCs w:val="24"/>
          <w:highlight w:val="none"/>
        </w:rPr>
        <w:t>环境风险物质的扩散途径及危害形式</w:t>
      </w:r>
    </w:p>
    <w:p w14:paraId="1039821B">
      <w:pPr>
        <w:pStyle w:val="123"/>
        <w:pageBreakBefore w:val="0"/>
        <w:kinsoku/>
        <w:wordWrap/>
        <w:overflowPunct/>
        <w:topLinePunct w:val="0"/>
        <w:bidi w:val="0"/>
        <w:spacing w:line="360" w:lineRule="auto"/>
        <w:textAlignment w:val="auto"/>
        <w:rPr>
          <w:sz w:val="24"/>
          <w:szCs w:val="24"/>
          <w:lang w:eastAsia="zh-CN"/>
        </w:rPr>
      </w:pPr>
      <w:r>
        <w:rPr>
          <w:rFonts w:hint="eastAsia"/>
          <w:sz w:val="24"/>
          <w:szCs w:val="24"/>
          <w:lang w:eastAsia="zh-CN"/>
        </w:rPr>
        <w:t>环境风险物质糠醛、糠醇、二甲基呋喃、</w:t>
      </w:r>
      <w:r>
        <w:rPr>
          <w:rFonts w:hint="eastAsia"/>
          <w:sz w:val="24"/>
          <w:szCs w:val="24"/>
          <w:lang w:val="en-US" w:eastAsia="zh-CN"/>
        </w:rPr>
        <w:t>高沸物、废有机溶剂</w:t>
      </w:r>
      <w:r>
        <w:rPr>
          <w:sz w:val="24"/>
          <w:szCs w:val="24"/>
          <w:lang w:eastAsia="zh-CN"/>
        </w:rPr>
        <w:t>主要影响大气、地表水、土壤地下水。</w:t>
      </w:r>
    </w:p>
    <w:p w14:paraId="7B7EF09B">
      <w:pPr>
        <w:pStyle w:val="123"/>
        <w:pageBreakBefore w:val="0"/>
        <w:kinsoku/>
        <w:wordWrap/>
        <w:overflowPunct/>
        <w:topLinePunct w:val="0"/>
        <w:bidi w:val="0"/>
        <w:spacing w:line="360" w:lineRule="auto"/>
        <w:ind w:left="0" w:leftChars="0" w:firstLine="0" w:firstLineChars="0"/>
        <w:textAlignment w:val="auto"/>
        <w:rPr>
          <w:rFonts w:hint="eastAsia"/>
          <w:sz w:val="24"/>
          <w:szCs w:val="24"/>
          <w:highlight w:val="none"/>
          <w:lang w:eastAsia="zh-CN"/>
        </w:rPr>
      </w:pPr>
      <w:r>
        <w:rPr>
          <w:rFonts w:hint="eastAsia"/>
          <w:sz w:val="24"/>
          <w:szCs w:val="24"/>
          <w:highlight w:val="none"/>
          <w:lang w:val="en-US" w:eastAsia="zh-CN"/>
        </w:rPr>
        <w:t>4.3.1.1</w:t>
      </w:r>
      <w:r>
        <w:rPr>
          <w:rFonts w:hint="eastAsia"/>
          <w:sz w:val="24"/>
          <w:szCs w:val="24"/>
          <w:highlight w:val="none"/>
          <w:lang w:eastAsia="zh-CN"/>
        </w:rPr>
        <w:t>糠醛风险物质的扩散途径及危害形式</w:t>
      </w:r>
    </w:p>
    <w:p w14:paraId="45699A71">
      <w:pPr>
        <w:pStyle w:val="123"/>
        <w:pageBreakBefore w:val="0"/>
        <w:numPr>
          <w:ilvl w:val="0"/>
          <w:numId w:val="6"/>
        </w:numPr>
        <w:kinsoku/>
        <w:wordWrap/>
        <w:overflowPunct/>
        <w:topLinePunct w:val="0"/>
        <w:bidi w:val="0"/>
        <w:spacing w:line="360" w:lineRule="auto"/>
        <w:textAlignment w:val="auto"/>
        <w:rPr>
          <w:rFonts w:hint="eastAsia"/>
          <w:sz w:val="24"/>
          <w:szCs w:val="24"/>
          <w:highlight w:val="none"/>
          <w:lang w:eastAsia="zh-CN"/>
        </w:rPr>
      </w:pPr>
      <w:r>
        <w:rPr>
          <w:rFonts w:hint="eastAsia"/>
          <w:sz w:val="24"/>
          <w:szCs w:val="24"/>
          <w:highlight w:val="none"/>
          <w:lang w:eastAsia="zh-CN"/>
        </w:rPr>
        <w:t>大气污染释放条件在蒸馏、精制等工序中因高温加速糠醛挥发，动静密封点密封不严导致的跑冒滴漏等；主要排放途径有组织通过排气筒排放，无组织通过缝隙、敞口容器直接向周围环境扩散。</w:t>
      </w:r>
    </w:p>
    <w:p w14:paraId="4BBE265B">
      <w:pPr>
        <w:pStyle w:val="123"/>
        <w:pageBreakBefore w:val="0"/>
        <w:numPr>
          <w:ilvl w:val="0"/>
          <w:numId w:val="6"/>
        </w:numPr>
        <w:kinsoku/>
        <w:wordWrap/>
        <w:overflowPunct/>
        <w:topLinePunct w:val="0"/>
        <w:bidi w:val="0"/>
        <w:spacing w:line="360" w:lineRule="auto"/>
        <w:ind w:left="0" w:leftChars="0" w:firstLine="482" w:firstLineChars="0"/>
        <w:textAlignment w:val="auto"/>
        <w:rPr>
          <w:rFonts w:hint="eastAsia"/>
          <w:sz w:val="24"/>
          <w:szCs w:val="24"/>
          <w:highlight w:val="none"/>
          <w:lang w:eastAsia="zh-CN"/>
        </w:rPr>
      </w:pPr>
      <w:r>
        <w:rPr>
          <w:rFonts w:hint="eastAsia"/>
          <w:sz w:val="24"/>
          <w:szCs w:val="24"/>
          <w:highlight w:val="none"/>
          <w:lang w:eastAsia="zh-CN"/>
        </w:rPr>
        <w:t>地表水释放条件生产装置故障、管道破裂导致高浓度物料直接泄漏；主要排放途径厂区地面冲洗水、泄漏液体经雨水管网汇入地表水。</w:t>
      </w:r>
    </w:p>
    <w:p w14:paraId="4B1954B0">
      <w:pPr>
        <w:pStyle w:val="123"/>
        <w:pageBreakBefore w:val="0"/>
        <w:numPr>
          <w:ilvl w:val="0"/>
          <w:numId w:val="6"/>
        </w:numPr>
        <w:kinsoku/>
        <w:wordWrap/>
        <w:overflowPunct/>
        <w:topLinePunct w:val="0"/>
        <w:bidi w:val="0"/>
        <w:spacing w:line="360" w:lineRule="auto"/>
        <w:ind w:left="0" w:leftChars="0" w:firstLine="482" w:firstLineChars="0"/>
        <w:textAlignment w:val="auto"/>
        <w:rPr>
          <w:rFonts w:hint="eastAsia"/>
          <w:sz w:val="24"/>
          <w:szCs w:val="24"/>
          <w:highlight w:val="none"/>
          <w:lang w:eastAsia="zh-CN"/>
        </w:rPr>
      </w:pPr>
      <w:r>
        <w:rPr>
          <w:rFonts w:hint="eastAsia"/>
          <w:sz w:val="24"/>
          <w:szCs w:val="24"/>
          <w:highlight w:val="none"/>
          <w:lang w:val="en-US" w:eastAsia="zh-CN"/>
        </w:rPr>
        <w:t>土壤地下水</w:t>
      </w:r>
      <w:r>
        <w:rPr>
          <w:rFonts w:hint="eastAsia"/>
          <w:sz w:val="24"/>
          <w:szCs w:val="24"/>
          <w:highlight w:val="none"/>
          <w:lang w:eastAsia="zh-CN"/>
        </w:rPr>
        <w:t>释放条件泄漏物料在地面积聚，未被及时处理，若防渗失败，地面防渗</w:t>
      </w:r>
    </w:p>
    <w:p w14:paraId="794E50CE">
      <w:pPr>
        <w:pStyle w:val="123"/>
        <w:pageBreakBefore w:val="0"/>
        <w:numPr>
          <w:ilvl w:val="0"/>
          <w:numId w:val="0"/>
        </w:numPr>
        <w:kinsoku/>
        <w:wordWrap/>
        <w:overflowPunct/>
        <w:topLinePunct w:val="0"/>
        <w:bidi w:val="0"/>
        <w:spacing w:line="360" w:lineRule="auto"/>
        <w:textAlignment w:val="auto"/>
        <w:rPr>
          <w:rFonts w:hint="eastAsia"/>
          <w:sz w:val="24"/>
          <w:szCs w:val="24"/>
          <w:highlight w:val="none"/>
          <w:lang w:eastAsia="zh-CN"/>
        </w:rPr>
      </w:pPr>
      <w:r>
        <w:rPr>
          <w:rFonts w:hint="eastAsia"/>
          <w:sz w:val="24"/>
          <w:szCs w:val="24"/>
          <w:highlight w:val="none"/>
          <w:lang w:eastAsia="zh-CN"/>
        </w:rPr>
        <w:t>层破坏，通过裂纹缓慢下渗；主要排放途径污染物通过土壤空隙垂直向下迁移，进入含水层。</w:t>
      </w:r>
    </w:p>
    <w:p w14:paraId="507273E9">
      <w:pPr>
        <w:pStyle w:val="123"/>
        <w:pageBreakBefore w:val="0"/>
        <w:numPr>
          <w:ilvl w:val="0"/>
          <w:numId w:val="6"/>
        </w:numPr>
        <w:kinsoku/>
        <w:wordWrap/>
        <w:overflowPunct/>
        <w:topLinePunct w:val="0"/>
        <w:bidi w:val="0"/>
        <w:spacing w:line="360" w:lineRule="auto"/>
        <w:ind w:left="0" w:leftChars="0" w:firstLine="482" w:firstLineChars="0"/>
        <w:textAlignment w:val="auto"/>
        <w:rPr>
          <w:rFonts w:hint="eastAsia"/>
          <w:sz w:val="24"/>
          <w:szCs w:val="24"/>
          <w:highlight w:val="none"/>
          <w:lang w:eastAsia="zh-CN"/>
        </w:rPr>
      </w:pPr>
      <w:r>
        <w:rPr>
          <w:rFonts w:hint="eastAsia"/>
          <w:sz w:val="24"/>
          <w:szCs w:val="24"/>
          <w:highlight w:val="none"/>
          <w:lang w:eastAsia="zh-CN"/>
        </w:rPr>
        <w:t>环境影响：强烈的刺激性气味降低周边空气质量，刺激呼吸道黏膜。</w:t>
      </w:r>
    </w:p>
    <w:p w14:paraId="03277F30">
      <w:pPr>
        <w:pStyle w:val="123"/>
        <w:pageBreakBefore w:val="0"/>
        <w:numPr>
          <w:ilvl w:val="0"/>
          <w:numId w:val="6"/>
        </w:numPr>
        <w:kinsoku/>
        <w:wordWrap/>
        <w:overflowPunct/>
        <w:topLinePunct w:val="0"/>
        <w:bidi w:val="0"/>
        <w:spacing w:line="360" w:lineRule="auto"/>
        <w:ind w:left="0" w:leftChars="0" w:firstLine="482" w:firstLineChars="0"/>
        <w:textAlignment w:val="auto"/>
        <w:rPr>
          <w:rFonts w:hint="eastAsia"/>
          <w:sz w:val="24"/>
          <w:szCs w:val="24"/>
          <w:highlight w:val="none"/>
          <w:lang w:eastAsia="zh-CN"/>
        </w:rPr>
      </w:pPr>
      <w:r>
        <w:rPr>
          <w:rFonts w:hint="eastAsia"/>
          <w:sz w:val="24"/>
          <w:szCs w:val="24"/>
          <w:highlight w:val="none"/>
          <w:lang w:eastAsia="zh-CN"/>
        </w:rPr>
        <w:t>环境风险防控：源头控制，重点加强储罐区、生产装置等防渗防腐措施，防治泄漏物进入外环境。</w:t>
      </w:r>
    </w:p>
    <w:p w14:paraId="6B5987A8">
      <w:pPr>
        <w:pStyle w:val="123"/>
        <w:pageBreakBefore w:val="0"/>
        <w:kinsoku/>
        <w:wordWrap/>
        <w:overflowPunct/>
        <w:topLinePunct w:val="0"/>
        <w:bidi w:val="0"/>
        <w:spacing w:line="360" w:lineRule="auto"/>
        <w:ind w:left="0" w:leftChars="0" w:firstLine="0" w:firstLineChars="0"/>
        <w:textAlignment w:val="auto"/>
        <w:rPr>
          <w:rFonts w:hint="eastAsia"/>
          <w:sz w:val="24"/>
          <w:szCs w:val="24"/>
          <w:highlight w:val="none"/>
          <w:lang w:eastAsia="zh-CN"/>
        </w:rPr>
      </w:pPr>
      <w:r>
        <w:rPr>
          <w:rFonts w:hint="eastAsia"/>
          <w:sz w:val="24"/>
          <w:szCs w:val="24"/>
          <w:highlight w:val="none"/>
          <w:lang w:val="en-US" w:eastAsia="zh-CN"/>
        </w:rPr>
        <w:t>4.3.1.2</w:t>
      </w:r>
      <w:r>
        <w:rPr>
          <w:rFonts w:hint="eastAsia"/>
          <w:sz w:val="24"/>
          <w:szCs w:val="24"/>
          <w:highlight w:val="none"/>
          <w:lang w:eastAsia="zh-CN"/>
        </w:rPr>
        <w:t>糠醇风险物质的扩散途径及危害形式</w:t>
      </w:r>
    </w:p>
    <w:p w14:paraId="1541F3CB">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1、</w:t>
      </w:r>
      <w:r>
        <w:rPr>
          <w:rFonts w:hint="eastAsia"/>
          <w:sz w:val="24"/>
          <w:szCs w:val="24"/>
          <w:highlight w:val="none"/>
          <w:lang w:eastAsia="zh-CN"/>
        </w:rPr>
        <w:t>大气污染释放条件常温下蒸汽压较低，但在高温搅拌或敞口操作时挥发加剧；主要排放途径有组织通过排气筒排放，无组织通过缝隙、敞口容器直接向周围环境扩散。</w:t>
      </w:r>
    </w:p>
    <w:p w14:paraId="761B128D">
      <w:pPr>
        <w:pStyle w:val="123"/>
        <w:pageBreakBefore w:val="0"/>
        <w:numPr>
          <w:ilvl w:val="0"/>
          <w:numId w:val="0"/>
        </w:numPr>
        <w:kinsoku/>
        <w:wordWrap/>
        <w:overflowPunct/>
        <w:topLinePunct w:val="0"/>
        <w:bidi w:val="0"/>
        <w:spacing w:line="360" w:lineRule="auto"/>
        <w:ind w:left="482" w:leftChars="0"/>
        <w:textAlignment w:val="auto"/>
        <w:rPr>
          <w:rFonts w:hint="eastAsia"/>
          <w:sz w:val="24"/>
          <w:szCs w:val="24"/>
          <w:highlight w:val="none"/>
          <w:lang w:eastAsia="zh-CN"/>
        </w:rPr>
      </w:pPr>
      <w:r>
        <w:rPr>
          <w:rFonts w:hint="eastAsia"/>
          <w:sz w:val="24"/>
          <w:szCs w:val="24"/>
          <w:highlight w:val="none"/>
          <w:lang w:val="en-US" w:eastAsia="zh-CN"/>
        </w:rPr>
        <w:t>2、</w:t>
      </w:r>
      <w:r>
        <w:rPr>
          <w:rFonts w:hint="eastAsia"/>
          <w:sz w:val="24"/>
          <w:szCs w:val="24"/>
          <w:highlight w:val="none"/>
          <w:lang w:eastAsia="zh-CN"/>
        </w:rPr>
        <w:t>地表水释放条件生产装置法兰密封失效、管道破裂导致高浓度物料直接泄漏流入雨</w:t>
      </w:r>
    </w:p>
    <w:p w14:paraId="6C9EBBB4">
      <w:pPr>
        <w:pStyle w:val="123"/>
        <w:pageBreakBefore w:val="0"/>
        <w:numPr>
          <w:ilvl w:val="0"/>
          <w:numId w:val="0"/>
        </w:numPr>
        <w:kinsoku/>
        <w:wordWrap/>
        <w:overflowPunct/>
        <w:topLinePunct w:val="0"/>
        <w:bidi w:val="0"/>
        <w:spacing w:line="360" w:lineRule="auto"/>
        <w:textAlignment w:val="auto"/>
        <w:rPr>
          <w:rFonts w:hint="eastAsia"/>
          <w:sz w:val="24"/>
          <w:szCs w:val="24"/>
          <w:highlight w:val="none"/>
          <w:lang w:eastAsia="zh-CN"/>
        </w:rPr>
      </w:pPr>
      <w:r>
        <w:rPr>
          <w:rFonts w:hint="eastAsia"/>
          <w:sz w:val="24"/>
          <w:szCs w:val="24"/>
          <w:highlight w:val="none"/>
          <w:lang w:eastAsia="zh-CN"/>
        </w:rPr>
        <w:t>水管网或地表水体；主要排放途径厂区地面冲洗水、泄漏液体经雨水管网汇入地表水。</w:t>
      </w:r>
    </w:p>
    <w:p w14:paraId="6E0096FF">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3、土壤地下水</w:t>
      </w:r>
      <w:r>
        <w:rPr>
          <w:rFonts w:hint="eastAsia"/>
          <w:sz w:val="24"/>
          <w:szCs w:val="24"/>
          <w:highlight w:val="none"/>
          <w:lang w:eastAsia="zh-CN"/>
        </w:rPr>
        <w:t>释放条件生产过程中跑冒滴漏，泄漏物料在地面积聚，未被及时处理，若防渗失败，泄漏物料在土壤中长期滞留并下渗；主要排放途径浸润土壤空隙，通过包气带土壤垂直渗入含水层，随地下水流向水平迁移，形成污染。</w:t>
      </w:r>
    </w:p>
    <w:p w14:paraId="4AA4CF17">
      <w:pPr>
        <w:pStyle w:val="123"/>
        <w:pageBreakBefore w:val="0"/>
        <w:numPr>
          <w:ilvl w:val="0"/>
          <w:numId w:val="0"/>
        </w:numPr>
        <w:kinsoku/>
        <w:wordWrap/>
        <w:overflowPunct/>
        <w:topLinePunct w:val="0"/>
        <w:bidi w:val="0"/>
        <w:spacing w:line="360" w:lineRule="auto"/>
        <w:ind w:left="482" w:leftChars="0"/>
        <w:textAlignment w:val="auto"/>
        <w:rPr>
          <w:rFonts w:hint="eastAsia"/>
          <w:sz w:val="24"/>
          <w:szCs w:val="24"/>
          <w:highlight w:val="none"/>
          <w:lang w:eastAsia="zh-CN"/>
        </w:rPr>
      </w:pPr>
      <w:r>
        <w:rPr>
          <w:rFonts w:hint="eastAsia"/>
          <w:sz w:val="24"/>
          <w:szCs w:val="24"/>
          <w:highlight w:val="none"/>
          <w:lang w:val="en-US" w:eastAsia="zh-CN"/>
        </w:rPr>
        <w:t>4、</w:t>
      </w:r>
      <w:r>
        <w:rPr>
          <w:rFonts w:hint="eastAsia"/>
          <w:sz w:val="24"/>
          <w:szCs w:val="24"/>
          <w:highlight w:val="none"/>
          <w:lang w:eastAsia="zh-CN"/>
        </w:rPr>
        <w:t>环境影响：糠醇易溶于水，会迅速稀释但消耗水中溶解氧，导致水生物缺氧，具有</w:t>
      </w:r>
    </w:p>
    <w:p w14:paraId="35C6C451">
      <w:pPr>
        <w:pStyle w:val="123"/>
        <w:pageBreakBefore w:val="0"/>
        <w:numPr>
          <w:ilvl w:val="0"/>
          <w:numId w:val="0"/>
        </w:numPr>
        <w:kinsoku/>
        <w:wordWrap/>
        <w:overflowPunct/>
        <w:topLinePunct w:val="0"/>
        <w:bidi w:val="0"/>
        <w:spacing w:line="360" w:lineRule="auto"/>
        <w:textAlignment w:val="auto"/>
        <w:rPr>
          <w:rFonts w:hint="eastAsia"/>
          <w:sz w:val="24"/>
          <w:szCs w:val="24"/>
          <w:highlight w:val="none"/>
          <w:lang w:eastAsia="zh-CN"/>
        </w:rPr>
      </w:pPr>
      <w:r>
        <w:rPr>
          <w:rFonts w:hint="eastAsia"/>
          <w:sz w:val="24"/>
          <w:szCs w:val="24"/>
          <w:highlight w:val="none"/>
          <w:lang w:eastAsia="zh-CN"/>
        </w:rPr>
        <w:t>中等毒性，造成地下水有机物指标超标，短期高浓度接触可造成局部土壤毒性效应。破环局部水生态系统平衡。</w:t>
      </w:r>
    </w:p>
    <w:p w14:paraId="0A27E91C">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5、</w:t>
      </w:r>
      <w:r>
        <w:rPr>
          <w:rFonts w:hint="eastAsia"/>
          <w:sz w:val="24"/>
          <w:szCs w:val="24"/>
          <w:highlight w:val="none"/>
          <w:lang w:eastAsia="zh-CN"/>
        </w:rPr>
        <w:t>环境风险防控：发生泄漏时，首要任务是围堵防治入渗，使用沙土吸附后收集，严禁直接冲入下水道。</w:t>
      </w:r>
    </w:p>
    <w:p w14:paraId="30909124">
      <w:pPr>
        <w:pStyle w:val="123"/>
        <w:pageBreakBefore w:val="0"/>
        <w:kinsoku/>
        <w:wordWrap/>
        <w:overflowPunct/>
        <w:topLinePunct w:val="0"/>
        <w:bidi w:val="0"/>
        <w:spacing w:line="360" w:lineRule="auto"/>
        <w:ind w:left="0" w:leftChars="0" w:firstLine="0" w:firstLineChars="0"/>
        <w:textAlignment w:val="auto"/>
        <w:rPr>
          <w:rFonts w:hint="eastAsia"/>
          <w:sz w:val="24"/>
          <w:szCs w:val="24"/>
          <w:highlight w:val="none"/>
          <w:lang w:eastAsia="zh-CN"/>
        </w:rPr>
      </w:pPr>
      <w:r>
        <w:rPr>
          <w:rFonts w:hint="eastAsia"/>
          <w:sz w:val="24"/>
          <w:szCs w:val="24"/>
          <w:highlight w:val="none"/>
          <w:lang w:val="en-US" w:eastAsia="zh-CN"/>
        </w:rPr>
        <w:t>4.3.1.3</w:t>
      </w:r>
      <w:r>
        <w:rPr>
          <w:rFonts w:hint="eastAsia"/>
          <w:sz w:val="24"/>
          <w:szCs w:val="24"/>
          <w:highlight w:val="none"/>
          <w:lang w:eastAsia="zh-CN"/>
        </w:rPr>
        <w:t>二甲基呋喃风险物质的扩散途径及危害形式</w:t>
      </w:r>
    </w:p>
    <w:p w14:paraId="565CFAF0">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1、</w:t>
      </w:r>
      <w:r>
        <w:rPr>
          <w:rFonts w:hint="eastAsia"/>
          <w:sz w:val="24"/>
          <w:szCs w:val="24"/>
          <w:highlight w:val="none"/>
          <w:lang w:eastAsia="zh-CN"/>
        </w:rPr>
        <w:t>大气污染释放条件常温下极易挥发，储罐呼吸阀损耗、法兰</w:t>
      </w:r>
      <w:r>
        <w:rPr>
          <w:rFonts w:hint="eastAsia"/>
          <w:sz w:val="24"/>
          <w:szCs w:val="24"/>
          <w:highlight w:val="none"/>
          <w:lang w:val="en-US" w:eastAsia="zh-CN"/>
        </w:rPr>
        <w:t>/阀门密封失效、装卸作业时的气相空间置换，高温环境加速蒸发</w:t>
      </w:r>
      <w:r>
        <w:rPr>
          <w:rFonts w:hint="eastAsia"/>
          <w:sz w:val="24"/>
          <w:szCs w:val="24"/>
          <w:highlight w:val="none"/>
          <w:lang w:eastAsia="zh-CN"/>
        </w:rPr>
        <w:t>；主要排放途径有组织通过排气筒排放，无组织通过缝隙、敞口容器直接向周围环境扩散。</w:t>
      </w:r>
    </w:p>
    <w:p w14:paraId="120FF021">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2、</w:t>
      </w:r>
      <w:r>
        <w:rPr>
          <w:rFonts w:hint="eastAsia"/>
          <w:sz w:val="24"/>
          <w:szCs w:val="24"/>
          <w:highlight w:val="none"/>
          <w:lang w:eastAsia="zh-CN"/>
        </w:rPr>
        <w:t>地表水释放条件物料直接泄漏至雨水管网、地表径流携带，初期雨水冲刷污染地面，事故应急池防渗破损导致废水外排；主要排放途径通过雨水排放口进入地表水体。</w:t>
      </w:r>
    </w:p>
    <w:p w14:paraId="1883117F">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3、土壤地下水</w:t>
      </w:r>
      <w:r>
        <w:rPr>
          <w:rFonts w:hint="eastAsia"/>
          <w:sz w:val="24"/>
          <w:szCs w:val="24"/>
          <w:highlight w:val="none"/>
          <w:lang w:eastAsia="zh-CN"/>
        </w:rPr>
        <w:t>释放条件生产过程中跑冒滴漏，泄漏为及时清理，泄漏物料垂直入渗穿过包气带，被土壤吸附，大气沉降；主要排放途径浸润土壤空隙下渗至含水层，有机质含量高的土壤对二甲基呋喃有较强吸附性，通过包气带土壤垂直渗入含水层，深层可能随雨水淋溶进入地下水形成污染。</w:t>
      </w:r>
    </w:p>
    <w:p w14:paraId="4356BC71">
      <w:pPr>
        <w:pStyle w:val="123"/>
        <w:pageBreakBefore w:val="0"/>
        <w:numPr>
          <w:ilvl w:val="0"/>
          <w:numId w:val="0"/>
        </w:numPr>
        <w:kinsoku/>
        <w:wordWrap/>
        <w:overflowPunct/>
        <w:topLinePunct w:val="0"/>
        <w:bidi w:val="0"/>
        <w:spacing w:line="360" w:lineRule="auto"/>
        <w:ind w:left="482" w:leftChars="0"/>
        <w:textAlignment w:val="auto"/>
        <w:rPr>
          <w:rFonts w:hint="eastAsia"/>
          <w:sz w:val="24"/>
          <w:szCs w:val="24"/>
          <w:highlight w:val="none"/>
          <w:lang w:eastAsia="zh-CN"/>
        </w:rPr>
      </w:pPr>
      <w:r>
        <w:rPr>
          <w:rFonts w:hint="eastAsia"/>
          <w:sz w:val="24"/>
          <w:szCs w:val="24"/>
          <w:highlight w:val="none"/>
          <w:lang w:val="en-US" w:eastAsia="zh-CN"/>
        </w:rPr>
        <w:t>4、</w:t>
      </w:r>
      <w:r>
        <w:rPr>
          <w:rFonts w:hint="eastAsia"/>
          <w:sz w:val="24"/>
          <w:szCs w:val="24"/>
          <w:highlight w:val="none"/>
          <w:lang w:eastAsia="zh-CN"/>
        </w:rPr>
        <w:t>环境影响：糠醇易溶于水，会迅速稀释但消耗水中溶解氧，导致水生物缺氧，具有</w:t>
      </w:r>
    </w:p>
    <w:p w14:paraId="34E616EE">
      <w:pPr>
        <w:pStyle w:val="123"/>
        <w:pageBreakBefore w:val="0"/>
        <w:numPr>
          <w:ilvl w:val="0"/>
          <w:numId w:val="0"/>
        </w:numPr>
        <w:kinsoku/>
        <w:wordWrap/>
        <w:overflowPunct/>
        <w:topLinePunct w:val="0"/>
        <w:bidi w:val="0"/>
        <w:spacing w:line="360" w:lineRule="auto"/>
        <w:textAlignment w:val="auto"/>
        <w:rPr>
          <w:rFonts w:hint="eastAsia"/>
          <w:sz w:val="24"/>
          <w:szCs w:val="24"/>
          <w:highlight w:val="none"/>
          <w:lang w:eastAsia="zh-CN"/>
        </w:rPr>
      </w:pPr>
      <w:r>
        <w:rPr>
          <w:rFonts w:hint="eastAsia"/>
          <w:sz w:val="24"/>
          <w:szCs w:val="24"/>
          <w:highlight w:val="none"/>
          <w:lang w:eastAsia="zh-CN"/>
        </w:rPr>
        <w:t>中等毒性，造成地下水有机物指标超标，短期高浓度接触可造成局部土壤毒性效应。破环局部水生态系统平衡。</w:t>
      </w:r>
    </w:p>
    <w:p w14:paraId="073F1854">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5、</w:t>
      </w:r>
      <w:r>
        <w:rPr>
          <w:rFonts w:hint="eastAsia"/>
          <w:sz w:val="24"/>
          <w:szCs w:val="24"/>
          <w:highlight w:val="none"/>
          <w:lang w:eastAsia="zh-CN"/>
        </w:rPr>
        <w:t>环境风险防控：发生泄漏时，首要任务是围堵防治入渗，使用沙土吸附后收集，严禁直接冲入下水道。</w:t>
      </w:r>
    </w:p>
    <w:p w14:paraId="575BCAD8">
      <w:pPr>
        <w:pStyle w:val="123"/>
        <w:pageBreakBefore w:val="0"/>
        <w:kinsoku/>
        <w:wordWrap/>
        <w:overflowPunct/>
        <w:topLinePunct w:val="0"/>
        <w:bidi w:val="0"/>
        <w:spacing w:line="360" w:lineRule="auto"/>
        <w:ind w:left="0" w:leftChars="0" w:firstLine="0" w:firstLineChars="0"/>
        <w:textAlignment w:val="auto"/>
        <w:rPr>
          <w:rFonts w:hint="eastAsia"/>
          <w:sz w:val="24"/>
          <w:szCs w:val="24"/>
          <w:highlight w:val="none"/>
          <w:lang w:eastAsia="zh-CN"/>
        </w:rPr>
      </w:pPr>
      <w:r>
        <w:rPr>
          <w:rFonts w:hint="eastAsia"/>
          <w:sz w:val="24"/>
          <w:szCs w:val="24"/>
          <w:highlight w:val="none"/>
          <w:lang w:val="en-US" w:eastAsia="zh-CN"/>
        </w:rPr>
        <w:t>4.3.1.4</w:t>
      </w:r>
      <w:r>
        <w:rPr>
          <w:rFonts w:hint="eastAsia"/>
          <w:sz w:val="24"/>
          <w:szCs w:val="24"/>
          <w:highlight w:val="none"/>
          <w:lang w:eastAsia="zh-CN"/>
        </w:rPr>
        <w:t>高沸物风险物质的扩散途径及危害形式</w:t>
      </w:r>
    </w:p>
    <w:p w14:paraId="3F4C7996">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1、</w:t>
      </w:r>
      <w:r>
        <w:rPr>
          <w:rFonts w:hint="eastAsia"/>
          <w:sz w:val="24"/>
          <w:szCs w:val="24"/>
          <w:highlight w:val="none"/>
          <w:lang w:eastAsia="zh-CN"/>
        </w:rPr>
        <w:t>大气污染释放条件：高沸物属于难挥发性有机物，因其低蒸汽压特性，通过物理泄漏、高温分解或载体迁移。主要排放途径生产加热过程中少量组分气化，有组织通过排气筒排放，无组织通过储罐呼吸阀、法兰泄漏伴随微量蒸汽。</w:t>
      </w:r>
    </w:p>
    <w:p w14:paraId="642E75C6">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2、</w:t>
      </w:r>
      <w:r>
        <w:rPr>
          <w:rFonts w:hint="eastAsia"/>
          <w:sz w:val="24"/>
          <w:szCs w:val="24"/>
          <w:highlight w:val="none"/>
          <w:lang w:eastAsia="zh-CN"/>
        </w:rPr>
        <w:t>地表水释放条件发生泄漏（储罐破裂、管道渗漏）。主要排放途径污染物通过地表径流携带进入受纳水体，吸附与悬浮颗粒物后沉降，造成底泥二次污染。</w:t>
      </w:r>
    </w:p>
    <w:p w14:paraId="2AE601B1">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3、土壤地下水</w:t>
      </w:r>
      <w:r>
        <w:rPr>
          <w:rFonts w:hint="eastAsia"/>
          <w:sz w:val="24"/>
          <w:szCs w:val="24"/>
          <w:highlight w:val="none"/>
          <w:lang w:eastAsia="zh-CN"/>
        </w:rPr>
        <w:t>释放条件生产过程中跑冒滴漏，地面防渗失效，染物经土壤层持续入渗，泄漏物料垂直入渗穿过包气带，被土壤吸附，大气沉降，或长期雨水淋溶形成渗滤液。主要排放途径浸润土壤空隙下渗至含水层，通过包气带土壤垂直渗入含水层，深层可能随雨水淋溶进入地下水形成污染。</w:t>
      </w:r>
    </w:p>
    <w:p w14:paraId="18200FFE">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4、</w:t>
      </w:r>
      <w:r>
        <w:rPr>
          <w:rFonts w:hint="eastAsia"/>
          <w:sz w:val="24"/>
          <w:szCs w:val="24"/>
          <w:highlight w:val="none"/>
          <w:lang w:eastAsia="zh-CN"/>
        </w:rPr>
        <w:t>环境影响：难讲解、易在底泥富集，迁移速度慢但持久性强，具有隐蔽性和滞后性，破坏水生生态系统。</w:t>
      </w:r>
    </w:p>
    <w:p w14:paraId="6BD98127">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5、</w:t>
      </w:r>
      <w:r>
        <w:rPr>
          <w:rFonts w:hint="eastAsia"/>
          <w:sz w:val="24"/>
          <w:szCs w:val="24"/>
          <w:highlight w:val="none"/>
          <w:lang w:eastAsia="zh-CN"/>
        </w:rPr>
        <w:t>环境风险防控：做好密闭收集及防渗措施，发生泄漏时，首要任务是围堵防治入渗，使用沙土吸附后收集，严禁直接冲入下水道。</w:t>
      </w:r>
    </w:p>
    <w:p w14:paraId="0CF92A5A">
      <w:pPr>
        <w:pStyle w:val="123"/>
        <w:pageBreakBefore w:val="0"/>
        <w:kinsoku/>
        <w:wordWrap/>
        <w:overflowPunct/>
        <w:topLinePunct w:val="0"/>
        <w:bidi w:val="0"/>
        <w:spacing w:line="360" w:lineRule="auto"/>
        <w:ind w:left="0" w:leftChars="0" w:firstLine="0" w:firstLineChars="0"/>
        <w:textAlignment w:val="auto"/>
        <w:rPr>
          <w:rFonts w:hint="eastAsia"/>
          <w:sz w:val="24"/>
          <w:szCs w:val="24"/>
          <w:highlight w:val="none"/>
          <w:lang w:eastAsia="zh-CN"/>
        </w:rPr>
      </w:pPr>
      <w:r>
        <w:rPr>
          <w:rFonts w:hint="eastAsia"/>
          <w:sz w:val="24"/>
          <w:szCs w:val="24"/>
          <w:highlight w:val="none"/>
          <w:lang w:val="en-US" w:eastAsia="zh-CN"/>
        </w:rPr>
        <w:t>4.3.1.5</w:t>
      </w:r>
      <w:r>
        <w:rPr>
          <w:rFonts w:hint="eastAsia"/>
          <w:sz w:val="24"/>
          <w:szCs w:val="24"/>
          <w:highlight w:val="none"/>
          <w:lang w:eastAsia="zh-CN"/>
        </w:rPr>
        <w:t>废有机溶剂风险物质的扩散途径及危害形式</w:t>
      </w:r>
    </w:p>
    <w:p w14:paraId="2BBF77D2">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1、</w:t>
      </w:r>
      <w:r>
        <w:rPr>
          <w:rFonts w:hint="eastAsia"/>
          <w:sz w:val="24"/>
          <w:szCs w:val="24"/>
          <w:highlight w:val="none"/>
          <w:lang w:eastAsia="zh-CN"/>
        </w:rPr>
        <w:t>大气污染释放条件：储罐或容器未密闭，贮存温度高加速挥发，转移过程中无组织散逸。主要排放途径基于蒸气层，有机溶剂分子从液面直接蒸发进入空气，无组织通过储罐呼吸阀、法兰泄漏或装卸车作业时气体逃逸。</w:t>
      </w:r>
    </w:p>
    <w:p w14:paraId="2FC55F42">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2、</w:t>
      </w:r>
      <w:r>
        <w:rPr>
          <w:rFonts w:hint="eastAsia"/>
          <w:sz w:val="24"/>
          <w:szCs w:val="24"/>
          <w:highlight w:val="none"/>
          <w:lang w:eastAsia="zh-CN"/>
        </w:rPr>
        <w:t>地表水释放条件发生泄漏（储罐破裂、管道渗漏），或未设置围堰。主要排放途径污染物通过地表径流携带进入受纳水体，吸附与悬浮颗粒物后沉降，造成底泥二次污染。</w:t>
      </w:r>
    </w:p>
    <w:p w14:paraId="161F7220">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3、土壤地下水</w:t>
      </w:r>
      <w:r>
        <w:rPr>
          <w:rFonts w:hint="eastAsia"/>
          <w:sz w:val="24"/>
          <w:szCs w:val="24"/>
          <w:highlight w:val="none"/>
          <w:lang w:eastAsia="zh-CN"/>
        </w:rPr>
        <w:t>释放条件生产过程中跑冒滴漏，地面防渗失效，长期渗漏导致污染物突破包气带。泄漏物料垂直入渗穿过包气带，被土壤吸附，大气沉降，或长期雨水淋溶形成渗滤液。主要排放途径浸润土壤空隙下渗至含水层，染物吸附于土壤颗粒或挥发性有机物挥发后再次沉降，深层可能随雨水淋溶进入地下水形成污染。</w:t>
      </w:r>
    </w:p>
    <w:p w14:paraId="31E8D61B">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4、</w:t>
      </w:r>
      <w:r>
        <w:rPr>
          <w:rFonts w:hint="eastAsia"/>
          <w:sz w:val="24"/>
          <w:szCs w:val="24"/>
          <w:highlight w:val="none"/>
          <w:lang w:eastAsia="zh-CN"/>
        </w:rPr>
        <w:t>环境影响：难讲解、易在底泥富集，迁移速度慢但持久性强，具有隐蔽性和滞后性，破坏水生生态系统。</w:t>
      </w:r>
    </w:p>
    <w:p w14:paraId="09C62FE5">
      <w:pPr>
        <w:pStyle w:val="123"/>
        <w:pageBreakBefore w:val="0"/>
        <w:numPr>
          <w:ilvl w:val="0"/>
          <w:numId w:val="0"/>
        </w:numPr>
        <w:kinsoku/>
        <w:wordWrap/>
        <w:overflowPunct/>
        <w:topLinePunct w:val="0"/>
        <w:bidi w:val="0"/>
        <w:spacing w:line="360" w:lineRule="auto"/>
        <w:ind w:firstLine="480" w:firstLineChars="200"/>
        <w:textAlignment w:val="auto"/>
        <w:rPr>
          <w:rFonts w:hint="eastAsia"/>
          <w:sz w:val="24"/>
          <w:szCs w:val="24"/>
          <w:highlight w:val="none"/>
          <w:lang w:eastAsia="zh-CN"/>
        </w:rPr>
      </w:pPr>
      <w:r>
        <w:rPr>
          <w:rFonts w:hint="eastAsia"/>
          <w:sz w:val="24"/>
          <w:szCs w:val="24"/>
          <w:highlight w:val="none"/>
          <w:lang w:val="en-US" w:eastAsia="zh-CN"/>
        </w:rPr>
        <w:t>5、</w:t>
      </w:r>
      <w:r>
        <w:rPr>
          <w:rFonts w:hint="eastAsia"/>
          <w:sz w:val="24"/>
          <w:szCs w:val="24"/>
          <w:highlight w:val="none"/>
          <w:lang w:eastAsia="zh-CN"/>
        </w:rPr>
        <w:t>环境风险防控：做好密闭收集及防渗措施，发生泄漏时，首要任务是围堵防治入渗，使用沙土吸附后收集，严禁直接冲入下水道。</w:t>
      </w:r>
    </w:p>
    <w:p w14:paraId="6C91042F">
      <w:pPr>
        <w:pStyle w:val="123"/>
        <w:pageBreakBefore w:val="0"/>
        <w:kinsoku/>
        <w:wordWrap/>
        <w:overflowPunct/>
        <w:topLinePunct w:val="0"/>
        <w:bidi w:val="0"/>
        <w:spacing w:line="360" w:lineRule="auto"/>
        <w:textAlignment w:val="auto"/>
        <w:rPr>
          <w:sz w:val="24"/>
          <w:szCs w:val="24"/>
          <w:highlight w:val="none"/>
          <w:lang w:eastAsia="zh-CN"/>
        </w:rPr>
      </w:pPr>
      <w:r>
        <w:rPr>
          <w:rFonts w:hint="eastAsia"/>
          <w:sz w:val="24"/>
          <w:szCs w:val="24"/>
          <w:highlight w:val="none"/>
          <w:lang w:eastAsia="zh-CN"/>
        </w:rPr>
        <w:t>根据厂区可能发生的风险防控设施失灵、企业违法排污、运输系统故障事故及各种自然灾害事故源强与火灾爆炸事故次生污染源强等源强分析，公司最可能发生的事故为化学品爆炸事件、毒物泄漏事件和污水处理站故障造成的废水外排事件。因此本次评估重点分析此三类事故。</w:t>
      </w:r>
    </w:p>
    <w:p w14:paraId="4DCB5F3B">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4.3.1.1</w:t>
      </w:r>
      <w:r>
        <w:rPr>
          <w:rFonts w:hint="eastAsia"/>
          <w:b/>
          <w:bCs/>
          <w:color w:val="000000" w:themeColor="text1"/>
          <w:sz w:val="24"/>
          <w:szCs w:val="24"/>
          <w:highlight w:val="none"/>
          <w14:textFill>
            <w14:solidFill>
              <w14:schemeClr w14:val="tx1"/>
            </w14:solidFill>
          </w14:textFill>
        </w:rPr>
        <w:t>化学品爆炸扩散影响及需要的环境应急能力</w:t>
      </w:r>
    </w:p>
    <w:p w14:paraId="514C9C69">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1、化学品火灾爆炸引发的大气污染物扩散途径</w:t>
      </w:r>
    </w:p>
    <w:p w14:paraId="381961CE">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火灾、爆炸事故中热辐射、冲击波和抛射物等直接危害属于安全事故范畴，其对环境的影响范围一般不超出厂界；而未燃烧的危险物质在高温下迅速挥发释放至大气及燃烧物质燃烧过程中产生的伴生</w:t>
      </w:r>
      <w:r>
        <w:rPr>
          <w:rFonts w:ascii="Times New Roman" w:hAnsi="Times New Roman" w:cs="Times New Roman"/>
          <w:color w:val="000000" w:themeColor="text1"/>
          <w:sz w:val="24"/>
          <w:szCs w:val="24"/>
          <w:highlight w:val="none"/>
          <w14:textFill>
            <w14:solidFill>
              <w14:schemeClr w14:val="tx1"/>
            </w14:solidFill>
          </w14:textFill>
        </w:rPr>
        <w:t>/次生物质属于环境风险分析对象，其污染属于环境事故范畴，往往造成厂界外的环境影响。</w:t>
      </w:r>
    </w:p>
    <w:p w14:paraId="424761E8">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2、衍生的水污染物释放途径</w:t>
      </w:r>
    </w:p>
    <w:p w14:paraId="7B9D62A3">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发生爆炸后，需要用大量消防水进行扑消，消防人员在进行消防扑救的同时，产生大量污染废水，即事故状态废水（或消防尾水）。如果不对其加以收集、处置，必然会对企业所在地地表水和地下水造成严重的污染。</w:t>
      </w:r>
    </w:p>
    <w:p w14:paraId="1F3D27D8">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根据企业现状在罐区、各生产装置区外、仓库、危废暂存区外设置导排沟、管线，与事故水池相连。当工艺装置、储罐区发生火灾爆炸等事故时，开启应急消防系统，此时受污染的消防水直接进入事故池。本公司依托足够容量的事故水池，以确保事故状态废水不外排，发生事故架设临时泵与污水管线连接，将所收集物送至厂区内污水处理设施处理后送</w:t>
      </w:r>
      <w:r>
        <w:rPr>
          <w:rFonts w:hint="eastAsia" w:ascii="Times New Roman" w:hAnsi="Times New Roman" w:cs="Times New Roman"/>
          <w:color w:val="000000" w:themeColor="text1"/>
          <w:sz w:val="24"/>
          <w:szCs w:val="24"/>
          <w:highlight w:val="none"/>
          <w:lang w:eastAsia="zh-CN"/>
          <w14:textFill>
            <w14:solidFill>
              <w14:schemeClr w14:val="tx1"/>
            </w14:solidFill>
          </w14:textFill>
        </w:rPr>
        <w:t>齐鲁石化供排水厂</w:t>
      </w:r>
      <w:r>
        <w:rPr>
          <w:rFonts w:hint="eastAsia" w:ascii="Times New Roman" w:hAnsi="Times New Roman" w:cs="Times New Roman"/>
          <w:color w:val="000000" w:themeColor="text1"/>
          <w:sz w:val="24"/>
          <w:szCs w:val="24"/>
          <w:highlight w:val="none"/>
          <w14:textFill>
            <w14:solidFill>
              <w14:schemeClr w14:val="tx1"/>
            </w14:solidFill>
          </w14:textFill>
        </w:rPr>
        <w:t>处理厂处理。</w:t>
      </w:r>
    </w:p>
    <w:p w14:paraId="7D72591D">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公司为了防范事故对厂区及周边地下水造成污染，对装置区、罐区、仓库等设施的地基和地表进行了防渗处理；车间界区设导排沟，罐区设置围堰，同时对地表初期雨水进行了收集。通过设置可靠的排水管网和事故池，确保事故状态下有毒有害物质不直接排入外环境。</w:t>
      </w:r>
    </w:p>
    <w:p w14:paraId="441C0A39">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highlight w:val="none"/>
          <w14:textFill>
            <w14:solidFill>
              <w14:schemeClr w14:val="tx1"/>
            </w14:solidFill>
          </w14:textFill>
        </w:rPr>
      </w:pPr>
      <w:r>
        <w:rPr>
          <w:rFonts w:hint="eastAsia" w:ascii="Times New Roman" w:hAnsi="Times New Roman" w:cs="Times New Roman"/>
          <w:b/>
          <w:bCs/>
          <w:color w:val="000000" w:themeColor="text1"/>
          <w:sz w:val="24"/>
          <w:szCs w:val="24"/>
          <w:highlight w:val="none"/>
          <w14:textFill>
            <w14:solidFill>
              <w14:schemeClr w14:val="tx1"/>
            </w14:solidFill>
          </w14:textFill>
        </w:rPr>
        <w:t>3、此类事故需要的应急物资、应急装备和应急救援队伍情况</w:t>
      </w:r>
    </w:p>
    <w:p w14:paraId="7D99B226">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为将突发事故危害降至最低，必须落实环境应急物资、应急装置和应急救援队伍，具体如下：</w:t>
      </w:r>
    </w:p>
    <w:p w14:paraId="3BBD07D9">
      <w:pPr>
        <w:pStyle w:val="124"/>
        <w:pageBreakBefore w:val="0"/>
        <w:numPr>
          <w:ilvl w:val="0"/>
          <w:numId w:val="7"/>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应急装置要求：厂区设置足够容量的应急池，一旦发生火灾爆炸后，截留排放的污水并将其导入事故应急池待处理。在生产装置区周围设置导排沟等导流措施，用于收集泄漏的危险化学品。</w:t>
      </w:r>
    </w:p>
    <w:p w14:paraId="60D1198B">
      <w:pPr>
        <w:pStyle w:val="124"/>
        <w:pageBreakBefore w:val="0"/>
        <w:numPr>
          <w:ilvl w:val="0"/>
          <w:numId w:val="7"/>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应急物资要求：重点做好水消防设备及泡沫灭火设备的配备及维保，个人应急防护及应急通信设备的维护。</w:t>
      </w:r>
    </w:p>
    <w:p w14:paraId="57D14C9B">
      <w:pPr>
        <w:pStyle w:val="124"/>
        <w:pageBreakBefore w:val="0"/>
        <w:numPr>
          <w:ilvl w:val="0"/>
          <w:numId w:val="7"/>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14:textFill>
            <w14:solidFill>
              <w14:schemeClr w14:val="tx1"/>
            </w14:solidFill>
          </w14:textFill>
        </w:rPr>
        <w:t>应急救援队伍：由专职人员及兼职人员组成的厂内应急队伍，人员要定岗定位，各岗位人员还要有备份，出现事故时依次序上岗，保证事故发生后，能有人及时启动应急救援，防范恶性事故发生后无人操作。消防人员在灭火救援的同时，也要考虑消防水及有毒物质的流向，安排专人对应急装置进行操作。</w:t>
      </w:r>
    </w:p>
    <w:p w14:paraId="7F982B7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b/>
          <w:bCs w:val="0"/>
          <w:color w:val="000000" w:themeColor="text1"/>
          <w:sz w:val="24"/>
          <w:szCs w:val="24"/>
          <w:highlight w:val="none"/>
          <w14:textFill>
            <w14:solidFill>
              <w14:schemeClr w14:val="tx1"/>
            </w14:solidFill>
          </w14:textFill>
        </w:rPr>
      </w:pPr>
      <w:r>
        <w:rPr>
          <w:rFonts w:hint="eastAsia"/>
          <w:b/>
          <w:bCs w:val="0"/>
          <w:color w:val="000000" w:themeColor="text1"/>
          <w:sz w:val="24"/>
          <w:szCs w:val="24"/>
          <w:highlight w:val="none"/>
          <w:lang w:val="en-US" w:eastAsia="zh-CN"/>
          <w14:textFill>
            <w14:solidFill>
              <w14:schemeClr w14:val="tx1"/>
            </w14:solidFill>
          </w14:textFill>
        </w:rPr>
        <w:t>4.3.1.2</w:t>
      </w:r>
      <w:r>
        <w:rPr>
          <w:rFonts w:hint="eastAsia"/>
          <w:b/>
          <w:bCs w:val="0"/>
          <w:color w:val="000000" w:themeColor="text1"/>
          <w:sz w:val="24"/>
          <w:szCs w:val="24"/>
          <w:highlight w:val="none"/>
          <w14:textFill>
            <w14:solidFill>
              <w14:schemeClr w14:val="tx1"/>
            </w14:solidFill>
          </w14:textFill>
        </w:rPr>
        <w:t>毒物泄漏污染扩散影响及需要的环境应急能力</w:t>
      </w:r>
    </w:p>
    <w:p w14:paraId="79953235">
      <w:pPr>
        <w:pStyle w:val="123"/>
        <w:pageBreakBefore w:val="0"/>
        <w:kinsoku/>
        <w:wordWrap/>
        <w:overflowPunct/>
        <w:topLinePunct w:val="0"/>
        <w:bidi w:val="0"/>
        <w:spacing w:line="360" w:lineRule="auto"/>
        <w:textAlignment w:val="auto"/>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本公司物料泄漏风险事故对环境的影响与泄漏时间及各种应急处理措施的有效性密切相关。</w:t>
      </w:r>
    </w:p>
    <w:p w14:paraId="7D59B316">
      <w:pPr>
        <w:pStyle w:val="123"/>
        <w:pageBreakBefore w:val="0"/>
        <w:kinsoku/>
        <w:wordWrap/>
        <w:overflowPunct/>
        <w:topLinePunct w:val="0"/>
        <w:bidi w:val="0"/>
        <w:spacing w:line="360" w:lineRule="auto"/>
        <w:textAlignment w:val="auto"/>
        <w:rPr>
          <w:b/>
          <w:color w:val="000000" w:themeColor="text1"/>
          <w:sz w:val="24"/>
          <w:szCs w:val="24"/>
          <w:highlight w:val="none"/>
          <w:lang w:eastAsia="zh-CN"/>
          <w14:textFill>
            <w14:solidFill>
              <w14:schemeClr w14:val="tx1"/>
            </w14:solidFill>
          </w14:textFill>
        </w:rPr>
      </w:pPr>
      <w:r>
        <w:rPr>
          <w:rFonts w:hint="eastAsia"/>
          <w:b/>
          <w:color w:val="000000" w:themeColor="text1"/>
          <w:sz w:val="24"/>
          <w:szCs w:val="24"/>
          <w:highlight w:val="none"/>
          <w:lang w:eastAsia="zh-CN"/>
          <w14:textFill>
            <w14:solidFill>
              <w14:schemeClr w14:val="tx1"/>
            </w14:solidFill>
          </w14:textFill>
        </w:rPr>
        <w:t>1、扩散途径</w:t>
      </w:r>
    </w:p>
    <w:p w14:paraId="3BE9C8B9">
      <w:pPr>
        <w:pStyle w:val="123"/>
        <w:pageBreakBefore w:val="0"/>
        <w:kinsoku/>
        <w:wordWrap/>
        <w:overflowPunct/>
        <w:topLinePunct w:val="0"/>
        <w:bidi w:val="0"/>
        <w:spacing w:line="360" w:lineRule="auto"/>
        <w:textAlignment w:val="auto"/>
        <w:rPr>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本公司储罐区以及生产装置区使用和储存糠醛、</w:t>
      </w:r>
      <w:r>
        <w:rPr>
          <w:rFonts w:hint="eastAsia" w:ascii="宋体" w:hAnsi="宋体" w:cs="宋体"/>
          <w:color w:val="000000" w:themeColor="text1"/>
          <w:sz w:val="24"/>
          <w:szCs w:val="24"/>
          <w:highlight w:val="none"/>
          <w:lang w:val="en-US" w:eastAsia="zh-CN"/>
          <w14:textFill>
            <w14:solidFill>
              <w14:schemeClr w14:val="tx1"/>
            </w14:solidFill>
          </w14:textFill>
        </w:rPr>
        <w:t>2-甲基呋喃</w:t>
      </w:r>
      <w:r>
        <w:rPr>
          <w:rFonts w:hint="eastAsia" w:ascii="宋体" w:hAnsi="宋体" w:cs="宋体"/>
          <w:color w:val="000000" w:themeColor="text1"/>
          <w:sz w:val="24"/>
          <w:szCs w:val="24"/>
          <w:highlight w:val="none"/>
          <w:lang w:eastAsia="zh-CN"/>
          <w14:textFill>
            <w14:solidFill>
              <w14:schemeClr w14:val="tx1"/>
            </w14:solidFill>
          </w14:textFill>
        </w:rPr>
        <w:t>、糠醇等危险化学品，泄漏后易燃，一旦发生泄漏将会引起大气污染。有毒有害液体泄漏可能会通过雨水管网流入厂外，对水体和土壤造成污染。</w:t>
      </w:r>
    </w:p>
    <w:p w14:paraId="11B1F2CE">
      <w:pPr>
        <w:pStyle w:val="123"/>
        <w:pageBreakBefore w:val="0"/>
        <w:kinsoku/>
        <w:wordWrap/>
        <w:overflowPunct/>
        <w:topLinePunct w:val="0"/>
        <w:bidi w:val="0"/>
        <w:spacing w:line="360" w:lineRule="auto"/>
        <w:textAlignment w:val="auto"/>
        <w:rPr>
          <w:rFonts w:cs="仿宋_GB2312"/>
          <w:b/>
          <w:bCs/>
          <w:color w:val="000000" w:themeColor="text1"/>
          <w:sz w:val="24"/>
          <w:szCs w:val="24"/>
          <w:highlight w:val="none"/>
          <w:lang w:eastAsia="zh-CN"/>
          <w14:textFill>
            <w14:solidFill>
              <w14:schemeClr w14:val="tx1"/>
            </w14:solidFill>
          </w14:textFill>
        </w:rPr>
      </w:pPr>
      <w:r>
        <w:rPr>
          <w:rFonts w:cs="仿宋_GB2312"/>
          <w:b/>
          <w:bCs/>
          <w:color w:val="000000" w:themeColor="text1"/>
          <w:sz w:val="24"/>
          <w:szCs w:val="24"/>
          <w:highlight w:val="none"/>
          <w:lang w:eastAsia="zh-CN"/>
          <w14:textFill>
            <w14:solidFill>
              <w14:schemeClr w14:val="tx1"/>
            </w14:solidFill>
          </w14:textFill>
        </w:rPr>
        <w:t>2</w:t>
      </w:r>
      <w:r>
        <w:rPr>
          <w:rFonts w:hint="eastAsia" w:cs="仿宋_GB2312"/>
          <w:b/>
          <w:bCs/>
          <w:color w:val="000000" w:themeColor="text1"/>
          <w:sz w:val="24"/>
          <w:szCs w:val="24"/>
          <w:highlight w:val="none"/>
          <w:lang w:eastAsia="zh-CN"/>
          <w14:textFill>
            <w14:solidFill>
              <w14:schemeClr w14:val="tx1"/>
            </w14:solidFill>
          </w14:textFill>
        </w:rPr>
        <w:t>、风险防控</w:t>
      </w:r>
    </w:p>
    <w:p w14:paraId="6B204F8D">
      <w:pPr>
        <w:pStyle w:val="123"/>
        <w:pageBreakBefore w:val="0"/>
        <w:kinsoku/>
        <w:wordWrap/>
        <w:overflowPunct/>
        <w:topLinePunct w:val="0"/>
        <w:bidi w:val="0"/>
        <w:spacing w:line="360" w:lineRule="auto"/>
        <w:textAlignment w:val="auto"/>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①厂区设置事故池，一旦发生事故，消防废水及事故污水经防火堤收集后，通过防渗管道排入总容积</w:t>
      </w:r>
      <w:r>
        <w:rPr>
          <w:rFonts w:hint="eastAsia"/>
          <w:color w:val="000000" w:themeColor="text1"/>
          <w:sz w:val="24"/>
          <w:szCs w:val="24"/>
          <w:highlight w:val="none"/>
          <w:lang w:val="en-US" w:eastAsia="zh-CN"/>
          <w14:textFill>
            <w14:solidFill>
              <w14:schemeClr w14:val="tx1"/>
            </w14:solidFill>
          </w14:textFill>
        </w:rPr>
        <w:t>240</w:t>
      </w:r>
      <w:r>
        <w:rPr>
          <w:color w:val="000000" w:themeColor="text1"/>
          <w:sz w:val="24"/>
          <w:szCs w:val="24"/>
          <w:highlight w:val="none"/>
          <w14:textFill>
            <w14:solidFill>
              <w14:schemeClr w14:val="tx1"/>
            </w14:solidFill>
          </w14:textFill>
        </w:rPr>
        <w:t>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vertAlign w:val="superscript"/>
          <w:lang w:val="en-US" w:eastAsia="zh-CN"/>
          <w14:textFill>
            <w14:solidFill>
              <w14:schemeClr w14:val="tx1"/>
            </w14:solidFill>
          </w14:textFill>
        </w:rPr>
        <w:t xml:space="preserve"> </w:t>
      </w:r>
      <w:r>
        <w:rPr>
          <w:rFonts w:hint="eastAsia"/>
          <w:color w:val="000000" w:themeColor="text1"/>
          <w:sz w:val="24"/>
          <w:szCs w:val="24"/>
          <w:highlight w:val="none"/>
          <w:lang w:val="en-US" w:eastAsia="zh-CN"/>
          <w14:textFill>
            <w14:solidFill>
              <w14:schemeClr w14:val="tx1"/>
            </w14:solidFill>
          </w14:textFill>
        </w:rPr>
        <w:t>500</w:t>
      </w:r>
      <w:r>
        <w:rPr>
          <w:color w:val="000000" w:themeColor="text1"/>
          <w:sz w:val="24"/>
          <w:szCs w:val="24"/>
          <w:highlight w:val="none"/>
          <w14:textFill>
            <w14:solidFill>
              <w14:schemeClr w14:val="tx1"/>
            </w14:solidFill>
          </w14:textFill>
        </w:rPr>
        <w:t>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vertAlign w:val="superscript"/>
          <w:lang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事故池中，经厂区污水处理站处理后排入齐鲁石化供排水厂深度处理。</w:t>
      </w:r>
    </w:p>
    <w:p w14:paraId="368C0A3B">
      <w:pPr>
        <w:pStyle w:val="123"/>
        <w:pageBreakBefore w:val="0"/>
        <w:kinsoku/>
        <w:wordWrap/>
        <w:overflowPunct/>
        <w:topLinePunct w:val="0"/>
        <w:bidi w:val="0"/>
        <w:spacing w:line="360" w:lineRule="auto"/>
        <w:textAlignment w:val="auto"/>
        <w:rPr>
          <w:rFonts w:ascii="Arial" w:hAnsi="Arial" w:cs="Arial"/>
          <w:color w:val="000000" w:themeColor="text1"/>
          <w:sz w:val="24"/>
          <w:szCs w:val="24"/>
          <w:highlight w:val="none"/>
          <w:lang w:eastAsia="zh-CN"/>
          <w14:textFill>
            <w14:solidFill>
              <w14:schemeClr w14:val="tx1"/>
            </w14:solidFill>
          </w14:textFill>
        </w:rPr>
      </w:pPr>
      <w:r>
        <w:rPr>
          <w:rFonts w:hint="eastAsia" w:ascii="Arial" w:hAnsi="Arial" w:cs="Arial"/>
          <w:color w:val="000000" w:themeColor="text1"/>
          <w:sz w:val="24"/>
          <w:szCs w:val="24"/>
          <w:highlight w:val="none"/>
          <w:lang w:eastAsia="zh-CN"/>
          <w14:textFill>
            <w14:solidFill>
              <w14:schemeClr w14:val="tx1"/>
            </w14:solidFill>
          </w14:textFill>
        </w:rPr>
        <w:t>②公司建立三级防控体系：</w:t>
      </w:r>
    </w:p>
    <w:p w14:paraId="7C6C630E">
      <w:pPr>
        <w:pageBreakBefore w:val="0"/>
        <w:kinsoku/>
        <w:wordWrap/>
        <w:overflowPunct/>
        <w:topLinePunct w:val="0"/>
        <w:bidi w:val="0"/>
        <w:spacing w:line="360" w:lineRule="auto"/>
        <w:ind w:firstLine="480" w:firstLineChars="20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一级防控措施：罐区设置围堰，确保泄漏物料不会溢出围堰，并对装置区、罐区、仓库等地面进行重点防渗。</w:t>
      </w:r>
    </w:p>
    <w:p w14:paraId="72C61C18">
      <w:pPr>
        <w:pageBreakBefore w:val="0"/>
        <w:kinsoku/>
        <w:wordWrap/>
        <w:overflowPunct/>
        <w:topLinePunct w:val="0"/>
        <w:bidi w:val="0"/>
        <w:spacing w:line="360" w:lineRule="auto"/>
        <w:ind w:firstLine="480" w:firstLineChars="20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二级防控措施：厂区设置</w:t>
      </w:r>
      <w:r>
        <w:rPr>
          <w:rFonts w:hint="eastAsia"/>
          <w:color w:val="000000" w:themeColor="text1"/>
          <w:sz w:val="24"/>
          <w:szCs w:val="24"/>
          <w:highlight w:val="none"/>
          <w:lang w:val="en-US" w:eastAsia="zh-CN"/>
          <w14:textFill>
            <w14:solidFill>
              <w14:schemeClr w14:val="tx1"/>
            </w14:solidFill>
          </w14:textFill>
        </w:rPr>
        <w:t>500</w:t>
      </w:r>
      <w:r>
        <w:rPr>
          <w:color w:val="000000" w:themeColor="text1"/>
          <w:sz w:val="24"/>
          <w:szCs w:val="24"/>
          <w:highlight w:val="none"/>
          <w14:textFill>
            <w14:solidFill>
              <w14:schemeClr w14:val="tx1"/>
            </w14:solidFill>
          </w14:textFill>
        </w:rPr>
        <w:t>立方米和</w:t>
      </w:r>
      <w:r>
        <w:rPr>
          <w:rFonts w:hint="eastAsia"/>
          <w:color w:val="000000" w:themeColor="text1"/>
          <w:sz w:val="24"/>
          <w:szCs w:val="24"/>
          <w:highlight w:val="none"/>
          <w:lang w:val="en-US" w:eastAsia="zh-CN"/>
          <w14:textFill>
            <w14:solidFill>
              <w14:schemeClr w14:val="tx1"/>
            </w14:solidFill>
          </w14:textFill>
        </w:rPr>
        <w:t>240</w:t>
      </w:r>
      <w:r>
        <w:rPr>
          <w:color w:val="000000" w:themeColor="text1"/>
          <w:sz w:val="24"/>
          <w:szCs w:val="24"/>
          <w:highlight w:val="none"/>
          <w14:textFill>
            <w14:solidFill>
              <w14:schemeClr w14:val="tx1"/>
            </w14:solidFill>
          </w14:textFill>
        </w:rPr>
        <w:t>立方米</w:t>
      </w:r>
      <w:r>
        <w:rPr>
          <w:rFonts w:hint="eastAsia"/>
          <w:color w:val="000000" w:themeColor="text1"/>
          <w:sz w:val="24"/>
          <w:szCs w:val="24"/>
          <w:highlight w:val="none"/>
          <w14:textFill>
            <w14:solidFill>
              <w14:schemeClr w14:val="tx1"/>
            </w14:solidFill>
          </w14:textFill>
        </w:rPr>
        <w:t>的事故应急池，将事故废水、消防废水、前期雨水等通过防渗管道排入事故应急池，经厂内污水处理站处理后排入</w:t>
      </w:r>
      <w:r>
        <w:rPr>
          <w:rFonts w:hint="eastAsia"/>
          <w:color w:val="000000" w:themeColor="text1"/>
          <w:sz w:val="24"/>
          <w:szCs w:val="24"/>
          <w:highlight w:val="none"/>
          <w:lang w:eastAsia="zh-CN"/>
          <w14:textFill>
            <w14:solidFill>
              <w14:schemeClr w14:val="tx1"/>
            </w14:solidFill>
          </w14:textFill>
        </w:rPr>
        <w:t>齐鲁石化供排水厂深度</w:t>
      </w:r>
      <w:r>
        <w:rPr>
          <w:rFonts w:hint="eastAsia"/>
          <w:color w:val="000000" w:themeColor="text1"/>
          <w:sz w:val="24"/>
          <w:szCs w:val="24"/>
          <w:highlight w:val="none"/>
          <w14:textFill>
            <w14:solidFill>
              <w14:schemeClr w14:val="tx1"/>
            </w14:solidFill>
          </w14:textFill>
        </w:rPr>
        <w:t>。</w:t>
      </w:r>
    </w:p>
    <w:p w14:paraId="5E86B70E">
      <w:pPr>
        <w:pageBreakBefore w:val="0"/>
        <w:kinsoku/>
        <w:wordWrap/>
        <w:overflowPunct/>
        <w:topLinePunct w:val="0"/>
        <w:bidi w:val="0"/>
        <w:spacing w:line="360" w:lineRule="auto"/>
        <w:ind w:firstLine="480" w:firstLineChars="20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三级防控措施：厂区雨水排放口设置切断阀，一旦事故废水进入厂区雨水管道，立即切断厂区与外界雨污水受纳管网的联系，将事故废水控制在厂区内。</w:t>
      </w:r>
    </w:p>
    <w:p w14:paraId="01D0E596">
      <w:pPr>
        <w:pStyle w:val="123"/>
        <w:pageBreakBefore w:val="0"/>
        <w:kinsoku/>
        <w:wordWrap/>
        <w:overflowPunct/>
        <w:topLinePunct w:val="0"/>
        <w:bidi w:val="0"/>
        <w:spacing w:line="360" w:lineRule="auto"/>
        <w:textAlignment w:val="auto"/>
        <w:rPr>
          <w:rFonts w:cs="仿宋_GB2312"/>
          <w:b/>
          <w:bCs/>
          <w:color w:val="000000" w:themeColor="text1"/>
          <w:sz w:val="24"/>
          <w:szCs w:val="24"/>
          <w:highlight w:val="none"/>
          <w:lang w:eastAsia="zh-CN"/>
          <w14:textFill>
            <w14:solidFill>
              <w14:schemeClr w14:val="tx1"/>
            </w14:solidFill>
          </w14:textFill>
        </w:rPr>
      </w:pPr>
      <w:r>
        <w:rPr>
          <w:rFonts w:cs="仿宋_GB2312"/>
          <w:b/>
          <w:bCs/>
          <w:color w:val="000000" w:themeColor="text1"/>
          <w:sz w:val="24"/>
          <w:szCs w:val="24"/>
          <w:highlight w:val="none"/>
          <w:lang w:eastAsia="zh-CN"/>
          <w14:textFill>
            <w14:solidFill>
              <w14:schemeClr w14:val="tx1"/>
            </w14:solidFill>
          </w14:textFill>
        </w:rPr>
        <w:t>3</w:t>
      </w:r>
      <w:r>
        <w:rPr>
          <w:rFonts w:hint="eastAsia" w:cs="仿宋_GB2312"/>
          <w:b/>
          <w:bCs/>
          <w:color w:val="000000" w:themeColor="text1"/>
          <w:sz w:val="24"/>
          <w:szCs w:val="24"/>
          <w:highlight w:val="none"/>
          <w:lang w:eastAsia="zh-CN"/>
          <w14:textFill>
            <w14:solidFill>
              <w14:schemeClr w14:val="tx1"/>
            </w14:solidFill>
          </w14:textFill>
        </w:rPr>
        <w:t>、处置措施</w:t>
      </w:r>
    </w:p>
    <w:p w14:paraId="213DA980">
      <w:pPr>
        <w:pStyle w:val="127"/>
        <w:pageBreakBefore w:val="0"/>
        <w:kinsoku/>
        <w:wordWrap/>
        <w:overflowPunct/>
        <w:topLinePunct w:val="0"/>
        <w:bidi w:val="0"/>
        <w:spacing w:beforeLines="0" w:afterLines="0" w:line="360" w:lineRule="auto"/>
        <w:textAlignment w:val="auto"/>
        <w:rPr>
          <w:rFonts w:ascii="Arial" w:hAnsi="Arial" w:cs="Arial"/>
          <w:color w:val="FF0000"/>
          <w:sz w:val="24"/>
          <w:szCs w:val="24"/>
          <w:highlight w:val="none"/>
        </w:rPr>
      </w:pPr>
      <w:r>
        <w:rPr>
          <w:sz w:val="24"/>
          <w:szCs w:val="24"/>
          <w:highlight w:val="none"/>
        </w:rPr>
        <w:t>表</w:t>
      </w:r>
      <w:r>
        <w:rPr>
          <w:sz w:val="24"/>
          <w:szCs w:val="24"/>
          <w:highlight w:val="none"/>
        </w:rPr>
        <w:fldChar w:fldCharType="begin"/>
      </w:r>
      <w:r>
        <w:rPr>
          <w:sz w:val="24"/>
          <w:szCs w:val="24"/>
          <w:highlight w:val="none"/>
        </w:rPr>
        <w:instrText xml:space="preserve"> STYLEREF 2 \s </w:instrText>
      </w:r>
      <w:r>
        <w:rPr>
          <w:sz w:val="24"/>
          <w:szCs w:val="24"/>
          <w:highlight w:val="none"/>
        </w:rPr>
        <w:fldChar w:fldCharType="separate"/>
      </w:r>
      <w:r>
        <w:rPr>
          <w:sz w:val="24"/>
          <w:szCs w:val="24"/>
          <w:highlight w:val="none"/>
        </w:rPr>
        <w:t>4.3</w:t>
      </w:r>
      <w:r>
        <w:rPr>
          <w:sz w:val="24"/>
          <w:szCs w:val="24"/>
          <w:highlight w:val="none"/>
        </w:rPr>
        <w:fldChar w:fldCharType="end"/>
      </w:r>
      <w:r>
        <w:rPr>
          <w:sz w:val="24"/>
          <w:szCs w:val="24"/>
          <w:highlight w:val="none"/>
        </w:rPr>
        <w:noBreakHyphen/>
      </w:r>
      <w:r>
        <w:rPr>
          <w:sz w:val="24"/>
          <w:szCs w:val="24"/>
          <w:highlight w:val="none"/>
        </w:rPr>
        <w:fldChar w:fldCharType="begin"/>
      </w:r>
      <w:r>
        <w:rPr>
          <w:sz w:val="24"/>
          <w:szCs w:val="24"/>
          <w:highlight w:val="none"/>
        </w:rPr>
        <w:instrText xml:space="preserve"> SEQ 表格 \* ARABIC \s 2 </w:instrText>
      </w:r>
      <w:r>
        <w:rPr>
          <w:sz w:val="24"/>
          <w:szCs w:val="24"/>
          <w:highlight w:val="none"/>
        </w:rPr>
        <w:fldChar w:fldCharType="separate"/>
      </w:r>
      <w:r>
        <w:rPr>
          <w:sz w:val="24"/>
          <w:szCs w:val="24"/>
          <w:highlight w:val="none"/>
        </w:rPr>
        <w:t>1</w:t>
      </w:r>
      <w:r>
        <w:rPr>
          <w:sz w:val="24"/>
          <w:szCs w:val="24"/>
          <w:highlight w:val="none"/>
        </w:rPr>
        <w:fldChar w:fldCharType="end"/>
      </w:r>
      <w:r>
        <w:rPr>
          <w:sz w:val="24"/>
          <w:szCs w:val="24"/>
          <w:highlight w:val="none"/>
        </w:rPr>
        <w:t xml:space="preserve"> </w:t>
      </w:r>
      <w:r>
        <w:rPr>
          <w:rFonts w:hint="eastAsia"/>
          <w:sz w:val="24"/>
          <w:szCs w:val="24"/>
          <w:highlight w:val="none"/>
        </w:rPr>
        <w:t>应急处置措施一览表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7619"/>
      </w:tblGrid>
      <w:tr w14:paraId="5D5C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43" w:type="pct"/>
            <w:vAlign w:val="center"/>
          </w:tcPr>
          <w:p w14:paraId="43AA71D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highlight w:val="none"/>
                <w14:textFill>
                  <w14:solidFill>
                    <w14:schemeClr w14:val="tx1"/>
                  </w14:solidFill>
                </w14:textFill>
              </w:rPr>
            </w:pPr>
            <w:r>
              <w:rPr>
                <w:rFonts w:hint="eastAsia" w:ascii="Calibri" w:cs="Times New Roman"/>
                <w:color w:val="000000" w:themeColor="text1"/>
                <w:kern w:val="2"/>
                <w:sz w:val="24"/>
                <w:szCs w:val="24"/>
                <w:highlight w:val="none"/>
                <w14:textFill>
                  <w14:solidFill>
                    <w14:schemeClr w14:val="tx1"/>
                  </w14:solidFill>
                </w14:textFill>
              </w:rPr>
              <w:t>风险类别</w:t>
            </w:r>
          </w:p>
        </w:tc>
        <w:tc>
          <w:tcPr>
            <w:tcW w:w="3956" w:type="pct"/>
            <w:vAlign w:val="center"/>
          </w:tcPr>
          <w:p w14:paraId="4AC44BC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highlight w:val="none"/>
                <w14:textFill>
                  <w14:solidFill>
                    <w14:schemeClr w14:val="tx1"/>
                  </w14:solidFill>
                </w14:textFill>
              </w:rPr>
            </w:pPr>
            <w:r>
              <w:rPr>
                <w:rFonts w:hint="eastAsia" w:ascii="Calibri" w:cs="Times New Roman"/>
                <w:color w:val="000000" w:themeColor="text1"/>
                <w:kern w:val="2"/>
                <w:sz w:val="24"/>
                <w:szCs w:val="24"/>
                <w:highlight w:val="none"/>
                <w14:textFill>
                  <w14:solidFill>
                    <w14:schemeClr w14:val="tx1"/>
                  </w14:solidFill>
                </w14:textFill>
              </w:rPr>
              <w:t>应急处置方案</w:t>
            </w:r>
          </w:p>
        </w:tc>
      </w:tr>
      <w:tr w14:paraId="7DDE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6" w:hRule="atLeast"/>
          <w:jc w:val="center"/>
        </w:trPr>
        <w:tc>
          <w:tcPr>
            <w:tcW w:w="1043" w:type="pct"/>
            <w:vAlign w:val="center"/>
          </w:tcPr>
          <w:p w14:paraId="24D4BD8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新宋体-18030"/>
                <w:color w:val="000000" w:themeColor="text1"/>
                <w:kern w:val="2"/>
                <w:sz w:val="24"/>
                <w:szCs w:val="24"/>
                <w:highlight w:val="none"/>
                <w14:textFill>
                  <w14:solidFill>
                    <w14:schemeClr w14:val="tx1"/>
                  </w14:solidFill>
                </w14:textFill>
              </w:rPr>
            </w:pPr>
            <w:r>
              <w:rPr>
                <w:rFonts w:hint="eastAsia" w:ascii="Calibri" w:cs="Times New Roman"/>
                <w:color w:val="000000" w:themeColor="text1"/>
                <w:kern w:val="2"/>
                <w:sz w:val="24"/>
                <w:szCs w:val="24"/>
                <w:highlight w:val="none"/>
                <w:lang w:eastAsia="zh-CN"/>
                <w14:textFill>
                  <w14:solidFill>
                    <w14:schemeClr w14:val="tx1"/>
                  </w14:solidFill>
                </w14:textFill>
              </w:rPr>
              <w:t>糠醛</w:t>
            </w:r>
            <w:r>
              <w:rPr>
                <w:rFonts w:hint="eastAsia" w:ascii="Calibri" w:cs="Times New Roman"/>
                <w:color w:val="000000" w:themeColor="text1"/>
                <w:kern w:val="2"/>
                <w:sz w:val="24"/>
                <w:szCs w:val="24"/>
                <w:highlight w:val="none"/>
                <w14:textFill>
                  <w14:solidFill>
                    <w14:schemeClr w14:val="tx1"/>
                  </w14:solidFill>
                </w14:textFill>
              </w:rPr>
              <w:t>泄漏</w:t>
            </w:r>
          </w:p>
        </w:tc>
        <w:tc>
          <w:tcPr>
            <w:tcW w:w="3956" w:type="pct"/>
            <w:vAlign w:val="center"/>
          </w:tcPr>
          <w:p w14:paraId="7E142432">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eastAsia" w:ascii="Calibri"/>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14:textFill>
                  <w14:solidFill>
                    <w14:schemeClr w14:val="tx1"/>
                  </w14:solidFill>
                </w14:textFill>
              </w:rPr>
              <w:t>消除所有点火源，泄漏区附近禁止吸烟，消除所有明火、火花或火焰，使用防爆的通讯工具。</w:t>
            </w:r>
          </w:p>
          <w:p w14:paraId="16D7669F">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2</w:t>
            </w:r>
            <w:r>
              <w:rPr>
                <w:rFonts w:hint="eastAsia" w:ascii="Calibri"/>
                <w:color w:val="000000" w:themeColor="text1"/>
                <w:sz w:val="24"/>
                <w:szCs w:val="24"/>
                <w:highlight w:val="none"/>
                <w14:textFill>
                  <w14:solidFill>
                    <w14:schemeClr w14:val="tx1"/>
                  </w14:solidFill>
                </w14:textFill>
              </w:rPr>
              <w:t>、建议应急外理人员</w:t>
            </w:r>
            <w:r>
              <w:rPr>
                <w:rFonts w:hint="eastAsia" w:ascii="Calibri"/>
                <w:color w:val="000000" w:themeColor="text1"/>
                <w:sz w:val="24"/>
                <w:szCs w:val="24"/>
                <w:highlight w:val="none"/>
                <w:lang w:eastAsia="zh-CN"/>
                <w14:textFill>
                  <w14:solidFill>
                    <w14:schemeClr w14:val="tx1"/>
                  </w14:solidFill>
                </w14:textFill>
              </w:rPr>
              <w:t>佩</w:t>
            </w:r>
            <w:r>
              <w:rPr>
                <w:rFonts w:hint="eastAsia" w:ascii="Calibri"/>
                <w:color w:val="000000" w:themeColor="text1"/>
                <w:sz w:val="24"/>
                <w:szCs w:val="24"/>
                <w:highlight w:val="none"/>
                <w14:textFill>
                  <w14:solidFill>
                    <w14:schemeClr w14:val="tx1"/>
                  </w14:solidFill>
                </w14:textFill>
              </w:rPr>
              <w:t>戴</w:t>
            </w:r>
            <w:r>
              <w:rPr>
                <w:rFonts w:hint="eastAsia" w:ascii="Calibri"/>
                <w:color w:val="000000" w:themeColor="text1"/>
                <w:sz w:val="24"/>
                <w:szCs w:val="24"/>
                <w:highlight w:val="none"/>
                <w:lang w:eastAsia="zh-CN"/>
                <w14:textFill>
                  <w14:solidFill>
                    <w14:schemeClr w14:val="tx1"/>
                  </w14:solidFill>
                </w14:textFill>
              </w:rPr>
              <w:t>空气</w:t>
            </w:r>
            <w:r>
              <w:rPr>
                <w:rFonts w:hint="eastAsia" w:ascii="Calibri"/>
                <w:color w:val="000000" w:themeColor="text1"/>
                <w:sz w:val="24"/>
                <w:szCs w:val="24"/>
                <w:highlight w:val="none"/>
                <w14:textFill>
                  <w14:solidFill>
                    <w14:schemeClr w14:val="tx1"/>
                  </w14:solidFill>
                </w14:textFill>
              </w:rPr>
              <w:t>呼吸器</w:t>
            </w:r>
            <w:r>
              <w:rPr>
                <w:rFonts w:hint="eastAsia" w:ascii="Calibri"/>
                <w:color w:val="000000" w:themeColor="text1"/>
                <w:sz w:val="24"/>
                <w:szCs w:val="24"/>
                <w:highlight w:val="none"/>
                <w:lang w:eastAsia="zh-CN"/>
                <w14:textFill>
                  <w14:solidFill>
                    <w14:schemeClr w14:val="tx1"/>
                  </w14:solidFill>
                </w14:textFill>
              </w:rPr>
              <w:t>、自吸过滤式防毒面具</w:t>
            </w:r>
            <w:r>
              <w:rPr>
                <w:rFonts w:hint="eastAsia" w:ascii="Calibri"/>
                <w:color w:val="000000" w:themeColor="text1"/>
                <w:sz w:val="24"/>
                <w:szCs w:val="24"/>
                <w:highlight w:val="none"/>
                <w14:textFill>
                  <w14:solidFill>
                    <w14:schemeClr w14:val="tx1"/>
                  </w14:solidFill>
                </w14:textFill>
              </w:rPr>
              <w:t>，穿防毒服。</w:t>
            </w:r>
          </w:p>
          <w:p w14:paraId="6B2E9475">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3</w:t>
            </w:r>
            <w:r>
              <w:rPr>
                <w:rFonts w:hint="eastAsia" w:ascii="Calibri"/>
                <w:color w:val="000000" w:themeColor="text1"/>
                <w:sz w:val="24"/>
                <w:szCs w:val="24"/>
                <w:highlight w:val="none"/>
                <w14:textFill>
                  <w14:solidFill>
                    <w14:schemeClr w14:val="tx1"/>
                  </w14:solidFill>
                </w14:textFill>
              </w:rPr>
              <w:t>、尽可能切断泄漏源。合理通风，加速扩散。泄漏处要妥善处理，修复、检查后投用。</w:t>
            </w:r>
          </w:p>
        </w:tc>
      </w:tr>
      <w:tr w14:paraId="4571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43" w:type="pct"/>
            <w:vAlign w:val="center"/>
          </w:tcPr>
          <w:p w14:paraId="079836B2">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highlight w:val="none"/>
                <w14:textFill>
                  <w14:solidFill>
                    <w14:schemeClr w14:val="tx1"/>
                  </w14:solidFill>
                </w14:textFill>
              </w:rPr>
            </w:pPr>
            <w:r>
              <w:rPr>
                <w:rFonts w:hint="eastAsia" w:ascii="Calibri" w:cs="Times New Roman"/>
                <w:color w:val="000000" w:themeColor="text1"/>
                <w:kern w:val="2"/>
                <w:sz w:val="24"/>
                <w:szCs w:val="24"/>
                <w:highlight w:val="none"/>
                <w:lang w:eastAsia="zh-CN"/>
                <w14:textFill>
                  <w14:solidFill>
                    <w14:schemeClr w14:val="tx1"/>
                  </w14:solidFill>
                </w14:textFill>
              </w:rPr>
              <w:t>糠醇</w:t>
            </w:r>
            <w:r>
              <w:rPr>
                <w:rFonts w:hint="eastAsia" w:ascii="Calibri" w:cs="Times New Roman"/>
                <w:color w:val="000000" w:themeColor="text1"/>
                <w:kern w:val="2"/>
                <w:sz w:val="24"/>
                <w:szCs w:val="24"/>
                <w:highlight w:val="none"/>
                <w14:textFill>
                  <w14:solidFill>
                    <w14:schemeClr w14:val="tx1"/>
                  </w14:solidFill>
                </w14:textFill>
              </w:rPr>
              <w:t>泄漏</w:t>
            </w:r>
          </w:p>
        </w:tc>
        <w:tc>
          <w:tcPr>
            <w:tcW w:w="3956" w:type="pct"/>
            <w:vAlign w:val="center"/>
          </w:tcPr>
          <w:p w14:paraId="59F5DE46">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eastAsia" w:ascii="Calibri"/>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14:textFill>
                  <w14:solidFill>
                    <w14:schemeClr w14:val="tx1"/>
                  </w14:solidFill>
                </w14:textFill>
              </w:rPr>
              <w:t>消除所有点火源，泄漏区附近禁止吸烟，消除所有明火、火花或火焰，使用防爆的通讯工具。</w:t>
            </w:r>
          </w:p>
          <w:p w14:paraId="6386D0CC">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2</w:t>
            </w:r>
            <w:r>
              <w:rPr>
                <w:rFonts w:hint="eastAsia" w:ascii="Calibri"/>
                <w:color w:val="000000" w:themeColor="text1"/>
                <w:sz w:val="24"/>
                <w:szCs w:val="24"/>
                <w:highlight w:val="none"/>
                <w14:textFill>
                  <w14:solidFill>
                    <w14:schemeClr w14:val="tx1"/>
                  </w14:solidFill>
                </w14:textFill>
              </w:rPr>
              <w:t>、建议应急外理人员</w:t>
            </w:r>
            <w:r>
              <w:rPr>
                <w:rFonts w:hint="eastAsia" w:ascii="Calibri"/>
                <w:color w:val="000000" w:themeColor="text1"/>
                <w:sz w:val="24"/>
                <w:szCs w:val="24"/>
                <w:highlight w:val="none"/>
                <w:lang w:eastAsia="zh-CN"/>
                <w14:textFill>
                  <w14:solidFill>
                    <w14:schemeClr w14:val="tx1"/>
                  </w14:solidFill>
                </w14:textFill>
              </w:rPr>
              <w:t>佩</w:t>
            </w:r>
            <w:r>
              <w:rPr>
                <w:rFonts w:hint="eastAsia" w:ascii="Calibri"/>
                <w:color w:val="000000" w:themeColor="text1"/>
                <w:sz w:val="24"/>
                <w:szCs w:val="24"/>
                <w:highlight w:val="none"/>
                <w14:textFill>
                  <w14:solidFill>
                    <w14:schemeClr w14:val="tx1"/>
                  </w14:solidFill>
                </w14:textFill>
              </w:rPr>
              <w:t>戴</w:t>
            </w:r>
            <w:r>
              <w:rPr>
                <w:rFonts w:hint="eastAsia" w:ascii="Calibri"/>
                <w:color w:val="000000" w:themeColor="text1"/>
                <w:sz w:val="24"/>
                <w:szCs w:val="24"/>
                <w:highlight w:val="none"/>
                <w:lang w:eastAsia="zh-CN"/>
                <w14:textFill>
                  <w14:solidFill>
                    <w14:schemeClr w14:val="tx1"/>
                  </w14:solidFill>
                </w14:textFill>
              </w:rPr>
              <w:t>空气</w:t>
            </w:r>
            <w:r>
              <w:rPr>
                <w:rFonts w:hint="eastAsia" w:ascii="Calibri"/>
                <w:color w:val="000000" w:themeColor="text1"/>
                <w:sz w:val="24"/>
                <w:szCs w:val="24"/>
                <w:highlight w:val="none"/>
                <w14:textFill>
                  <w14:solidFill>
                    <w14:schemeClr w14:val="tx1"/>
                  </w14:solidFill>
                </w14:textFill>
              </w:rPr>
              <w:t>呼吸器</w:t>
            </w:r>
            <w:r>
              <w:rPr>
                <w:rFonts w:hint="eastAsia" w:ascii="Calibri"/>
                <w:color w:val="000000" w:themeColor="text1"/>
                <w:sz w:val="24"/>
                <w:szCs w:val="24"/>
                <w:highlight w:val="none"/>
                <w:lang w:eastAsia="zh-CN"/>
                <w14:textFill>
                  <w14:solidFill>
                    <w14:schemeClr w14:val="tx1"/>
                  </w14:solidFill>
                </w14:textFill>
              </w:rPr>
              <w:t>、自吸过滤式防毒面具</w:t>
            </w:r>
            <w:r>
              <w:rPr>
                <w:rFonts w:hint="eastAsia" w:ascii="Calibri"/>
                <w:color w:val="000000" w:themeColor="text1"/>
                <w:sz w:val="24"/>
                <w:szCs w:val="24"/>
                <w:highlight w:val="none"/>
                <w14:textFill>
                  <w14:solidFill>
                    <w14:schemeClr w14:val="tx1"/>
                  </w14:solidFill>
                </w14:textFill>
              </w:rPr>
              <w:t>，穿防毒服。</w:t>
            </w:r>
          </w:p>
          <w:p w14:paraId="5833B114">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3</w:t>
            </w:r>
            <w:r>
              <w:rPr>
                <w:rFonts w:hint="eastAsia" w:ascii="Calibri"/>
                <w:color w:val="000000" w:themeColor="text1"/>
                <w:sz w:val="24"/>
                <w:szCs w:val="24"/>
                <w:highlight w:val="none"/>
                <w14:textFill>
                  <w14:solidFill>
                    <w14:schemeClr w14:val="tx1"/>
                  </w14:solidFill>
                </w14:textFill>
              </w:rPr>
              <w:t>、尽可能切断泄漏源。合理通风，加速扩散。泄漏处要妥善处理，修复、检查后投用。</w:t>
            </w:r>
          </w:p>
        </w:tc>
      </w:tr>
      <w:tr w14:paraId="1991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43" w:type="pct"/>
            <w:vAlign w:val="center"/>
          </w:tcPr>
          <w:p w14:paraId="106116D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highlight w:val="none"/>
                <w14:textFill>
                  <w14:solidFill>
                    <w14:schemeClr w14:val="tx1"/>
                  </w14:solidFill>
                </w14:textFill>
              </w:rPr>
            </w:pPr>
            <w:r>
              <w:rPr>
                <w:rFonts w:hint="eastAsia" w:ascii="Calibri" w:cs="Times New Roman"/>
                <w:color w:val="000000" w:themeColor="text1"/>
                <w:kern w:val="2"/>
                <w:sz w:val="24"/>
                <w:szCs w:val="24"/>
                <w:highlight w:val="none"/>
                <w:lang w:val="en-US" w:eastAsia="zh-CN"/>
                <w14:textFill>
                  <w14:solidFill>
                    <w14:schemeClr w14:val="tx1"/>
                  </w14:solidFill>
                </w14:textFill>
              </w:rPr>
              <w:t>2-甲基呋喃</w:t>
            </w:r>
            <w:r>
              <w:rPr>
                <w:rFonts w:hint="eastAsia" w:ascii="Calibri" w:cs="Times New Roman"/>
                <w:color w:val="000000" w:themeColor="text1"/>
                <w:kern w:val="2"/>
                <w:sz w:val="24"/>
                <w:szCs w:val="24"/>
                <w:highlight w:val="none"/>
                <w14:textFill>
                  <w14:solidFill>
                    <w14:schemeClr w14:val="tx1"/>
                  </w14:solidFill>
                </w14:textFill>
              </w:rPr>
              <w:t>泄漏</w:t>
            </w:r>
          </w:p>
        </w:tc>
        <w:tc>
          <w:tcPr>
            <w:tcW w:w="3956" w:type="pct"/>
            <w:vAlign w:val="center"/>
          </w:tcPr>
          <w:p w14:paraId="02DB6A8D">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eastAsia" w:ascii="Calibri"/>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14:textFill>
                  <w14:solidFill>
                    <w14:schemeClr w14:val="tx1"/>
                  </w14:solidFill>
                </w14:textFill>
              </w:rPr>
              <w:t>消除所有点火源，泄漏区附近禁止吸烟，消除所有明火、火花或火焰，使用防爆的通讯工具。</w:t>
            </w:r>
          </w:p>
          <w:p w14:paraId="4631D200">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2</w:t>
            </w:r>
            <w:r>
              <w:rPr>
                <w:rFonts w:hint="eastAsia" w:ascii="Calibri"/>
                <w:color w:val="000000" w:themeColor="text1"/>
                <w:sz w:val="24"/>
                <w:szCs w:val="24"/>
                <w:highlight w:val="none"/>
                <w14:textFill>
                  <w14:solidFill>
                    <w14:schemeClr w14:val="tx1"/>
                  </w14:solidFill>
                </w14:textFill>
              </w:rPr>
              <w:t>、建议应急外理人员</w:t>
            </w:r>
            <w:r>
              <w:rPr>
                <w:rFonts w:hint="eastAsia" w:ascii="Calibri"/>
                <w:color w:val="000000" w:themeColor="text1"/>
                <w:sz w:val="24"/>
                <w:szCs w:val="24"/>
                <w:highlight w:val="none"/>
                <w:lang w:eastAsia="zh-CN"/>
                <w14:textFill>
                  <w14:solidFill>
                    <w14:schemeClr w14:val="tx1"/>
                  </w14:solidFill>
                </w14:textFill>
              </w:rPr>
              <w:t>佩</w:t>
            </w:r>
            <w:r>
              <w:rPr>
                <w:rFonts w:hint="eastAsia" w:ascii="Calibri"/>
                <w:color w:val="000000" w:themeColor="text1"/>
                <w:sz w:val="24"/>
                <w:szCs w:val="24"/>
                <w:highlight w:val="none"/>
                <w14:textFill>
                  <w14:solidFill>
                    <w14:schemeClr w14:val="tx1"/>
                  </w14:solidFill>
                </w14:textFill>
              </w:rPr>
              <w:t>戴</w:t>
            </w:r>
            <w:r>
              <w:rPr>
                <w:rFonts w:hint="eastAsia" w:ascii="Calibri"/>
                <w:color w:val="000000" w:themeColor="text1"/>
                <w:sz w:val="24"/>
                <w:szCs w:val="24"/>
                <w:highlight w:val="none"/>
                <w:lang w:eastAsia="zh-CN"/>
                <w14:textFill>
                  <w14:solidFill>
                    <w14:schemeClr w14:val="tx1"/>
                  </w14:solidFill>
                </w14:textFill>
              </w:rPr>
              <w:t>空气</w:t>
            </w:r>
            <w:r>
              <w:rPr>
                <w:rFonts w:hint="eastAsia" w:ascii="Calibri"/>
                <w:color w:val="000000" w:themeColor="text1"/>
                <w:sz w:val="24"/>
                <w:szCs w:val="24"/>
                <w:highlight w:val="none"/>
                <w14:textFill>
                  <w14:solidFill>
                    <w14:schemeClr w14:val="tx1"/>
                  </w14:solidFill>
                </w14:textFill>
              </w:rPr>
              <w:t>呼吸器</w:t>
            </w:r>
            <w:r>
              <w:rPr>
                <w:rFonts w:hint="eastAsia" w:ascii="Calibri"/>
                <w:color w:val="000000" w:themeColor="text1"/>
                <w:sz w:val="24"/>
                <w:szCs w:val="24"/>
                <w:highlight w:val="none"/>
                <w:lang w:eastAsia="zh-CN"/>
                <w14:textFill>
                  <w14:solidFill>
                    <w14:schemeClr w14:val="tx1"/>
                  </w14:solidFill>
                </w14:textFill>
              </w:rPr>
              <w:t>、自吸过滤式防毒面具</w:t>
            </w:r>
            <w:r>
              <w:rPr>
                <w:rFonts w:hint="eastAsia" w:ascii="Calibri"/>
                <w:color w:val="000000" w:themeColor="text1"/>
                <w:sz w:val="24"/>
                <w:szCs w:val="24"/>
                <w:highlight w:val="none"/>
                <w14:textFill>
                  <w14:solidFill>
                    <w14:schemeClr w14:val="tx1"/>
                  </w14:solidFill>
                </w14:textFill>
              </w:rPr>
              <w:t>，穿防毒服。</w:t>
            </w:r>
          </w:p>
          <w:p w14:paraId="1F881ABD">
            <w:pPr>
              <w:pStyle w:val="126"/>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highlight w:val="none"/>
                <w14:textFill>
                  <w14:solidFill>
                    <w14:schemeClr w14:val="tx1"/>
                  </w14:solidFill>
                </w14:textFill>
              </w:rPr>
            </w:pPr>
            <w:r>
              <w:rPr>
                <w:rFonts w:hint="eastAsia" w:ascii="Calibri"/>
                <w:color w:val="000000" w:themeColor="text1"/>
                <w:sz w:val="24"/>
                <w:szCs w:val="24"/>
                <w:highlight w:val="none"/>
                <w:lang w:val="en-US" w:eastAsia="zh-CN"/>
                <w14:textFill>
                  <w14:solidFill>
                    <w14:schemeClr w14:val="tx1"/>
                  </w14:solidFill>
                </w14:textFill>
              </w:rPr>
              <w:t>3</w:t>
            </w:r>
            <w:r>
              <w:rPr>
                <w:rFonts w:hint="eastAsia" w:ascii="Calibri"/>
                <w:color w:val="000000" w:themeColor="text1"/>
                <w:sz w:val="24"/>
                <w:szCs w:val="24"/>
                <w:highlight w:val="none"/>
                <w14:textFill>
                  <w14:solidFill>
                    <w14:schemeClr w14:val="tx1"/>
                  </w14:solidFill>
                </w14:textFill>
              </w:rPr>
              <w:t>、尽可能切断泄漏源。合理通风，加速扩散。泄漏处要妥善处理，修复、检查后投用。</w:t>
            </w:r>
          </w:p>
        </w:tc>
      </w:tr>
      <w:tr w14:paraId="4B84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43" w:type="pct"/>
            <w:vAlign w:val="center"/>
          </w:tcPr>
          <w:p w14:paraId="33F915EF">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Calibri" w:cs="Times New Roman"/>
                <w:color w:val="000000" w:themeColor="text1"/>
                <w:kern w:val="2"/>
                <w:sz w:val="24"/>
                <w:szCs w:val="24"/>
                <w:highlight w:val="none"/>
                <w:lang w:val="en-US" w:eastAsia="zh-CN"/>
                <w14:textFill>
                  <w14:solidFill>
                    <w14:schemeClr w14:val="tx1"/>
                  </w14:solidFill>
                </w14:textFill>
              </w:rPr>
            </w:pPr>
            <w:r>
              <w:rPr>
                <w:rFonts w:hint="eastAsia" w:ascii="Calibri" w:cs="Times New Roman"/>
                <w:color w:val="000000" w:themeColor="text1"/>
                <w:kern w:val="2"/>
                <w:sz w:val="24"/>
                <w:szCs w:val="24"/>
                <w:highlight w:val="none"/>
                <w:lang w:val="en-US" w:eastAsia="zh-CN"/>
                <w14:textFill>
                  <w14:solidFill>
                    <w14:schemeClr w14:val="tx1"/>
                  </w14:solidFill>
                </w14:textFill>
              </w:rPr>
              <w:t>高沸物</w:t>
            </w:r>
            <w:r>
              <w:rPr>
                <w:rFonts w:hint="eastAsia" w:ascii="Calibri" w:cs="Times New Roman"/>
                <w:color w:val="000000" w:themeColor="text1"/>
                <w:kern w:val="2"/>
                <w:sz w:val="24"/>
                <w:szCs w:val="24"/>
                <w:highlight w:val="none"/>
                <w14:textFill>
                  <w14:solidFill>
                    <w14:schemeClr w14:val="tx1"/>
                  </w14:solidFill>
                </w14:textFill>
              </w:rPr>
              <w:t>泄漏</w:t>
            </w:r>
          </w:p>
        </w:tc>
        <w:tc>
          <w:tcPr>
            <w:tcW w:w="3956" w:type="pct"/>
            <w:vAlign w:val="center"/>
          </w:tcPr>
          <w:p w14:paraId="7DCE65AA">
            <w:pPr>
              <w:pStyle w:val="126"/>
              <w:keepNext w:val="0"/>
              <w:keepLines w:val="0"/>
              <w:pageBreakBefore w:val="0"/>
              <w:widowControl/>
              <w:numPr>
                <w:ilvl w:val="0"/>
                <w:numId w:val="8"/>
              </w:numPr>
              <w:suppressLineNumbers w:val="0"/>
              <w:kinsoku/>
              <w:wordWrap/>
              <w:overflowPunct/>
              <w:topLinePunct w:val="0"/>
              <w:bidi w:val="0"/>
              <w:spacing w:before="0" w:beforeAutospacing="0" w:after="0" w:afterAutospacing="0" w:line="360" w:lineRule="auto"/>
              <w:ind w:left="0" w:right="0"/>
              <w:jc w:val="left"/>
              <w:textAlignment w:val="auto"/>
              <w:rPr>
                <w:rFonts w:hint="eastAsia" w:ascii="宋体" w:hAnsi="宋体" w:cs="宋体"/>
                <w:bCs/>
                <w:sz w:val="24"/>
                <w:szCs w:val="24"/>
              </w:rPr>
            </w:pPr>
            <w:r>
              <w:rPr>
                <w:rFonts w:hint="eastAsia" w:ascii="宋体" w:hAnsi="宋体" w:cs="宋体"/>
                <w:bCs/>
                <w:sz w:val="24"/>
                <w:szCs w:val="24"/>
              </w:rPr>
              <w:t>隔离泄漏污染区，限制出入。切断火源。</w:t>
            </w:r>
          </w:p>
          <w:p w14:paraId="091B6A59">
            <w:pPr>
              <w:pStyle w:val="126"/>
              <w:keepNext w:val="0"/>
              <w:keepLines w:val="0"/>
              <w:pageBreakBefore w:val="0"/>
              <w:widowControl/>
              <w:numPr>
                <w:ilvl w:val="0"/>
                <w:numId w:val="8"/>
              </w:numPr>
              <w:suppressLineNumbers w:val="0"/>
              <w:kinsoku/>
              <w:wordWrap/>
              <w:overflowPunct/>
              <w:topLinePunct w:val="0"/>
              <w:bidi w:val="0"/>
              <w:spacing w:before="0" w:beforeAutospacing="0" w:after="0" w:afterAutospacing="0" w:line="360" w:lineRule="auto"/>
              <w:ind w:left="0" w:right="0"/>
              <w:jc w:val="left"/>
              <w:textAlignment w:val="auto"/>
              <w:rPr>
                <w:rFonts w:hint="eastAsia" w:ascii="Calibri"/>
                <w:color w:val="000000" w:themeColor="text1"/>
                <w:sz w:val="24"/>
                <w:szCs w:val="24"/>
                <w:highlight w:val="none"/>
                <w:lang w:val="en-US" w:eastAsia="zh-CN"/>
                <w14:textFill>
                  <w14:solidFill>
                    <w14:schemeClr w14:val="tx1"/>
                  </w14:solidFill>
                </w14:textFill>
              </w:rPr>
            </w:pPr>
            <w:r>
              <w:rPr>
                <w:rFonts w:hint="eastAsia" w:ascii="宋体" w:hAnsi="宋体" w:cs="宋体"/>
                <w:bCs/>
                <w:sz w:val="24"/>
                <w:szCs w:val="24"/>
              </w:rPr>
              <w:t>建议应急处理人员戴防尘面具（全面罩），穿防毒服。用洁净的铲子收集于干燥、洁净、有盖的容器中，转移至安全场所。若大量泄漏，收集回收或运至废物处理场所处置。</w:t>
            </w:r>
          </w:p>
        </w:tc>
      </w:tr>
      <w:tr w14:paraId="6170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43" w:type="pct"/>
            <w:vAlign w:val="center"/>
          </w:tcPr>
          <w:p w14:paraId="57BDCF1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Calibri" w:cs="Times New Roman"/>
                <w:color w:val="000000" w:themeColor="text1"/>
                <w:kern w:val="2"/>
                <w:sz w:val="24"/>
                <w:szCs w:val="24"/>
                <w:highlight w:val="none"/>
                <w:lang w:val="en-US" w:eastAsia="zh-CN"/>
                <w14:textFill>
                  <w14:solidFill>
                    <w14:schemeClr w14:val="tx1"/>
                  </w14:solidFill>
                </w14:textFill>
              </w:rPr>
            </w:pPr>
            <w:r>
              <w:rPr>
                <w:rFonts w:hint="eastAsia" w:ascii="Calibri" w:cs="Times New Roman"/>
                <w:color w:val="000000" w:themeColor="text1"/>
                <w:kern w:val="2"/>
                <w:sz w:val="24"/>
                <w:szCs w:val="24"/>
                <w:highlight w:val="none"/>
                <w:lang w:val="en-US" w:eastAsia="zh-CN"/>
                <w14:textFill>
                  <w14:solidFill>
                    <w14:schemeClr w14:val="tx1"/>
                  </w14:solidFill>
                </w14:textFill>
              </w:rPr>
              <w:t>废有机溶剂泄漏</w:t>
            </w:r>
          </w:p>
        </w:tc>
        <w:tc>
          <w:tcPr>
            <w:tcW w:w="3956" w:type="pct"/>
            <w:vAlign w:val="center"/>
          </w:tcPr>
          <w:p w14:paraId="135D11CB">
            <w:pPr>
              <w:pStyle w:val="126"/>
              <w:keepNext w:val="0"/>
              <w:keepLines w:val="0"/>
              <w:pageBreakBefore w:val="0"/>
              <w:widowControl/>
              <w:numPr>
                <w:ilvl w:val="0"/>
                <w:numId w:val="0"/>
              </w:numPr>
              <w:suppressLineNumbers w:val="0"/>
              <w:kinsoku/>
              <w:wordWrap/>
              <w:overflowPunct/>
              <w:topLinePunct w:val="0"/>
              <w:bidi w:val="0"/>
              <w:spacing w:before="0" w:beforeAutospacing="0" w:after="0" w:afterAutospacing="0" w:line="360" w:lineRule="auto"/>
              <w:ind w:left="0" w:right="0" w:rightChars="0"/>
              <w:jc w:val="left"/>
              <w:textAlignment w:val="auto"/>
              <w:rPr>
                <w:rFonts w:hint="eastAsia" w:ascii="宋体" w:hAnsi="宋体" w:cs="宋体"/>
                <w:bCs/>
                <w:sz w:val="24"/>
                <w:szCs w:val="24"/>
              </w:rPr>
            </w:pPr>
            <w:r>
              <w:rPr>
                <w:rFonts w:hint="eastAsia" w:ascii="宋体" w:hAnsi="宋体" w:cs="宋体"/>
                <w:bCs/>
                <w:sz w:val="24"/>
                <w:szCs w:val="24"/>
                <w:lang w:val="en-US" w:eastAsia="zh-CN"/>
              </w:rPr>
              <w:t>1、</w:t>
            </w:r>
            <w:r>
              <w:rPr>
                <w:rFonts w:hint="eastAsia" w:ascii="宋体" w:hAnsi="宋体" w:cs="宋体"/>
                <w:bCs/>
                <w:sz w:val="24"/>
                <w:szCs w:val="24"/>
              </w:rPr>
              <w:t>隔离泄漏污染区，限制出入。切断火源。</w:t>
            </w:r>
          </w:p>
          <w:p w14:paraId="2EB264DB">
            <w:pPr>
              <w:pStyle w:val="126"/>
              <w:keepNext w:val="0"/>
              <w:keepLines w:val="0"/>
              <w:pageBreakBefore w:val="0"/>
              <w:widowControl/>
              <w:numPr>
                <w:ilvl w:val="0"/>
                <w:numId w:val="0"/>
              </w:numPr>
              <w:suppressLineNumbers w:val="0"/>
              <w:kinsoku/>
              <w:wordWrap/>
              <w:overflowPunct/>
              <w:topLinePunct w:val="0"/>
              <w:bidi w:val="0"/>
              <w:spacing w:before="0" w:beforeAutospacing="0" w:after="0" w:afterAutospacing="0" w:line="360" w:lineRule="auto"/>
              <w:ind w:left="0" w:right="0" w:rightChars="0"/>
              <w:jc w:val="left"/>
              <w:textAlignment w:val="auto"/>
              <w:rPr>
                <w:rFonts w:hint="eastAsia" w:ascii="Calibri"/>
                <w:color w:val="000000" w:themeColor="text1"/>
                <w:sz w:val="24"/>
                <w:szCs w:val="24"/>
                <w:highlight w:val="none"/>
                <w:lang w:val="en-US" w:eastAsia="zh-CN"/>
                <w14:textFill>
                  <w14:solidFill>
                    <w14:schemeClr w14:val="tx1"/>
                  </w14:solidFill>
                </w14:textFill>
              </w:rPr>
            </w:pPr>
            <w:r>
              <w:rPr>
                <w:rFonts w:hint="eastAsia" w:ascii="宋体" w:hAnsi="宋体" w:cs="宋体"/>
                <w:bCs/>
                <w:sz w:val="24"/>
                <w:szCs w:val="24"/>
                <w:lang w:val="en-US" w:eastAsia="zh-CN"/>
              </w:rPr>
              <w:t>2、</w:t>
            </w:r>
            <w:r>
              <w:rPr>
                <w:rFonts w:hint="eastAsia" w:ascii="宋体" w:hAnsi="宋体" w:cs="宋体"/>
                <w:bCs/>
                <w:sz w:val="24"/>
                <w:szCs w:val="24"/>
              </w:rPr>
              <w:t>建议应急处理人员戴防尘面具（全面罩），穿防毒服。用洁净的铲子收集于干燥、洁净、有盖的容器中，转移至安全场所。若大量泄漏，收集回收或运至废物处理场所处置。</w:t>
            </w:r>
          </w:p>
        </w:tc>
      </w:tr>
    </w:tbl>
    <w:p w14:paraId="33EEC883">
      <w:pPr>
        <w:keepNext/>
        <w:keepLines/>
        <w:pageBreakBefore w:val="0"/>
        <w:widowControl w:val="0"/>
        <w:kinsoku/>
        <w:wordWrap/>
        <w:overflowPunct/>
        <w:topLinePunct w:val="0"/>
        <w:autoSpaceDE/>
        <w:autoSpaceDN/>
        <w:bidi w:val="0"/>
        <w:adjustRightInd/>
        <w:snapToGrid/>
        <w:spacing w:before="240" w:line="360" w:lineRule="auto"/>
        <w:textAlignment w:val="auto"/>
        <w:outlineLvl w:val="9"/>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4.3.1.3</w:t>
      </w:r>
      <w:r>
        <w:rPr>
          <w:rFonts w:hint="eastAsia"/>
          <w:b/>
          <w:bCs/>
          <w:color w:val="000000" w:themeColor="text1"/>
          <w:sz w:val="24"/>
          <w:szCs w:val="24"/>
          <w:highlight w:val="none"/>
          <w14:textFill>
            <w14:solidFill>
              <w14:schemeClr w14:val="tx1"/>
            </w14:solidFill>
          </w14:textFill>
        </w:rPr>
        <w:t>污染治理设施异常的风险物质扩散影响</w:t>
      </w:r>
    </w:p>
    <w:p w14:paraId="650B049E">
      <w:pPr>
        <w:pageBreakBefore w:val="0"/>
        <w:widowControl w:val="0"/>
        <w:kinsoku/>
        <w:wordWrap/>
        <w:overflowPunct/>
        <w:topLinePunct w:val="0"/>
        <w:autoSpaceDE/>
        <w:autoSpaceDN/>
        <w:bidi w:val="0"/>
        <w:adjustRightInd/>
        <w:snapToGrid/>
        <w:spacing w:line="360" w:lineRule="auto"/>
        <w:ind w:firstLine="482" w:firstLineChars="200"/>
        <w:textAlignment w:val="auto"/>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14:textFill>
            <w14:solidFill>
              <w14:schemeClr w14:val="tx1"/>
            </w14:solidFill>
          </w14:textFill>
        </w:rPr>
        <w:t>1、废水治理设施异常污染物释放途径</w:t>
      </w:r>
    </w:p>
    <w:p w14:paraId="2356C867">
      <w:pPr>
        <w:widowControl w:val="0"/>
        <w:autoSpaceDE w:val="0"/>
        <w:autoSpaceDN w:val="0"/>
        <w:adjustRightInd w:val="0"/>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本公司废水无治理设施，</w:t>
      </w:r>
      <w:r>
        <w:rPr>
          <w:rFonts w:hint="eastAsia"/>
          <w:color w:val="000000" w:themeColor="text1"/>
          <w:sz w:val="24"/>
          <w:szCs w:val="24"/>
          <w:highlight w:val="none"/>
          <w14:textFill>
            <w14:solidFill>
              <w14:schemeClr w14:val="tx1"/>
            </w14:solidFill>
          </w14:textFill>
        </w:rPr>
        <w:t>废水</w:t>
      </w:r>
      <w:r>
        <w:rPr>
          <w:rFonts w:hint="eastAsia"/>
          <w:color w:val="000000" w:themeColor="text1"/>
          <w:sz w:val="24"/>
          <w:szCs w:val="24"/>
          <w:highlight w:val="none"/>
          <w:lang w:eastAsia="zh-CN"/>
          <w14:textFill>
            <w14:solidFill>
              <w14:schemeClr w14:val="tx1"/>
            </w14:solidFill>
          </w14:textFill>
        </w:rPr>
        <w:t>通过有资质危废处置单位处置；废水治理异常是废水储罐发生泄露，</w:t>
      </w:r>
      <w:r>
        <w:rPr>
          <w:rFonts w:hint="eastAsia"/>
          <w:color w:val="000000" w:themeColor="text1"/>
          <w:sz w:val="24"/>
          <w:szCs w:val="24"/>
          <w:highlight w:val="none"/>
          <w14:textFill>
            <w14:solidFill>
              <w14:schemeClr w14:val="tx1"/>
            </w14:solidFill>
          </w14:textFill>
        </w:rPr>
        <w:t>建设</w:t>
      </w:r>
      <w:r>
        <w:rPr>
          <w:rFonts w:hint="eastAsia"/>
          <w:color w:val="000000" w:themeColor="text1"/>
          <w:sz w:val="24"/>
          <w:szCs w:val="24"/>
          <w:highlight w:val="none"/>
          <w:lang w:val="en-US" w:eastAsia="zh-CN"/>
          <w14:textFill>
            <w14:solidFill>
              <w14:schemeClr w14:val="tx1"/>
            </w14:solidFill>
          </w14:textFill>
        </w:rPr>
        <w:t>240</w:t>
      </w:r>
      <w:r>
        <w:rPr>
          <w:color w:val="000000" w:themeColor="text1"/>
          <w:sz w:val="24"/>
          <w:szCs w:val="24"/>
          <w:highlight w:val="none"/>
          <w14:textFill>
            <w14:solidFill>
              <w14:schemeClr w14:val="tx1"/>
            </w14:solidFill>
          </w14:textFill>
        </w:rPr>
        <w:t>m</w:t>
      </w:r>
      <w:r>
        <w:rPr>
          <w:color w:val="000000" w:themeColor="text1"/>
          <w:sz w:val="24"/>
          <w:szCs w:val="24"/>
          <w:highlight w:val="none"/>
          <w:vertAlign w:val="superscript"/>
          <w14:textFill>
            <w14:solidFill>
              <w14:schemeClr w14:val="tx1"/>
            </w14:solidFill>
          </w14:textFill>
        </w:rPr>
        <w:t>3</w:t>
      </w:r>
      <w:r>
        <w:rPr>
          <w:rFonts w:hint="eastAsia"/>
          <w:color w:val="000000" w:themeColor="text1"/>
          <w:sz w:val="24"/>
          <w:szCs w:val="24"/>
          <w:highlight w:val="none"/>
          <w:vertAlign w:val="superscript"/>
          <w:lang w:val="en-US" w:eastAsia="zh-CN"/>
          <w14:textFill>
            <w14:solidFill>
              <w14:schemeClr w14:val="tx1"/>
            </w14:solidFill>
          </w14:textFill>
        </w:rPr>
        <w:t xml:space="preserve"> </w:t>
      </w:r>
      <w:r>
        <w:rPr>
          <w:rFonts w:hint="eastAsia"/>
          <w:color w:val="000000" w:themeColor="text1"/>
          <w:sz w:val="24"/>
          <w:szCs w:val="24"/>
          <w:highlight w:val="none"/>
          <w:lang w:val="en-US" w:eastAsia="zh-CN"/>
          <w14:textFill>
            <w14:solidFill>
              <w14:schemeClr w14:val="tx1"/>
            </w14:solidFill>
          </w14:textFill>
        </w:rPr>
        <w:t>500</w:t>
      </w:r>
      <w:r>
        <w:rPr>
          <w:color w:val="000000" w:themeColor="text1"/>
          <w:sz w:val="24"/>
          <w:szCs w:val="24"/>
          <w:highlight w:val="none"/>
          <w14:textFill>
            <w14:solidFill>
              <w14:schemeClr w14:val="tx1"/>
            </w14:solidFill>
          </w14:textFill>
        </w:rPr>
        <w:t>m</w:t>
      </w:r>
      <w:r>
        <w:rPr>
          <w:color w:val="000000" w:themeColor="text1"/>
          <w:sz w:val="24"/>
          <w:szCs w:val="24"/>
          <w:highlight w:val="none"/>
          <w:vertAlign w:val="superscript"/>
          <w14:textFill>
            <w14:solidFill>
              <w14:schemeClr w14:val="tx1"/>
            </w14:solidFill>
          </w14:textFill>
        </w:rPr>
        <w:t>3</w:t>
      </w:r>
      <w:r>
        <w:rPr>
          <w:color w:val="000000" w:themeColor="text1"/>
          <w:sz w:val="24"/>
          <w:szCs w:val="24"/>
          <w:highlight w:val="none"/>
          <w14:textFill>
            <w14:solidFill>
              <w14:schemeClr w14:val="tx1"/>
            </w14:solidFill>
          </w14:textFill>
        </w:rPr>
        <w:t>事故水池</w:t>
      </w:r>
      <w:r>
        <w:rPr>
          <w:rFonts w:hint="eastAsia"/>
          <w:color w:val="000000" w:themeColor="text1"/>
          <w:sz w:val="24"/>
          <w:szCs w:val="24"/>
          <w:highlight w:val="none"/>
          <w14:textFill>
            <w14:solidFill>
              <w14:schemeClr w14:val="tx1"/>
            </w14:solidFill>
          </w14:textFill>
        </w:rPr>
        <w:t>可保证事故状态下生产废水收集不外排。</w:t>
      </w:r>
    </w:p>
    <w:p w14:paraId="14700BE5">
      <w:pPr>
        <w:widowControl w:val="0"/>
        <w:autoSpaceDE w:val="0"/>
        <w:autoSpaceDN w:val="0"/>
        <w:adjustRightInd w:val="0"/>
        <w:spacing w:line="360" w:lineRule="auto"/>
        <w:ind w:firstLine="482" w:firstLineChars="200"/>
        <w:rPr>
          <w:rFonts w:cs="仿宋_GB2312"/>
          <w:b/>
          <w:bCs/>
          <w:color w:val="000000" w:themeColor="text1"/>
          <w:sz w:val="24"/>
          <w:szCs w:val="24"/>
          <w:highlight w:val="none"/>
          <w14:textFill>
            <w14:solidFill>
              <w14:schemeClr w14:val="tx1"/>
            </w14:solidFill>
          </w14:textFill>
        </w:rPr>
      </w:pPr>
      <w:r>
        <w:rPr>
          <w:rFonts w:hint="eastAsia" w:cs="仿宋_GB2312"/>
          <w:b/>
          <w:bCs/>
          <w:color w:val="000000" w:themeColor="text1"/>
          <w:sz w:val="24"/>
          <w:szCs w:val="24"/>
          <w:highlight w:val="none"/>
          <w14:textFill>
            <w14:solidFill>
              <w14:schemeClr w14:val="tx1"/>
            </w14:solidFill>
          </w14:textFill>
        </w:rPr>
        <w:t>2、废气治理设施异常污染物释放途径</w:t>
      </w:r>
    </w:p>
    <w:p w14:paraId="0BBC7546">
      <w:pPr>
        <w:pStyle w:val="123"/>
        <w:rPr>
          <w:sz w:val="24"/>
          <w:szCs w:val="24"/>
          <w:highlight w:val="none"/>
          <w:lang w:eastAsia="zh-CN"/>
        </w:rPr>
      </w:pPr>
      <w:r>
        <w:rPr>
          <w:rFonts w:hint="eastAsia" w:ascii="宋体" w:hAnsi="宋体"/>
          <w:sz w:val="24"/>
          <w:szCs w:val="24"/>
          <w:highlight w:val="none"/>
          <w:lang w:eastAsia="zh-CN"/>
        </w:rPr>
        <w:t>①</w:t>
      </w:r>
      <w:r>
        <w:rPr>
          <w:rFonts w:hint="eastAsia"/>
          <w:sz w:val="24"/>
          <w:szCs w:val="24"/>
          <w:highlight w:val="none"/>
          <w:lang w:eastAsia="zh-CN"/>
        </w:rPr>
        <w:t>深冷系统故障</w:t>
      </w:r>
    </w:p>
    <w:p w14:paraId="61DD3050">
      <w:pPr>
        <w:pStyle w:val="123"/>
        <w:rPr>
          <w:sz w:val="24"/>
          <w:szCs w:val="24"/>
          <w:highlight w:val="none"/>
          <w:lang w:eastAsia="zh-CN"/>
        </w:rPr>
      </w:pPr>
      <w:r>
        <w:rPr>
          <w:rFonts w:hint="eastAsia"/>
          <w:sz w:val="24"/>
          <w:szCs w:val="24"/>
          <w:highlight w:val="none"/>
          <w:lang w:eastAsia="zh-CN"/>
        </w:rPr>
        <w:t>深冷系统在运行中可能出现故障，导致深冷</w:t>
      </w:r>
      <w:r>
        <w:rPr>
          <w:sz w:val="24"/>
          <w:szCs w:val="24"/>
          <w:highlight w:val="none"/>
          <w:lang w:eastAsia="zh-CN"/>
        </w:rPr>
        <w:t>失效，</w:t>
      </w:r>
      <w:r>
        <w:rPr>
          <w:rFonts w:hint="eastAsia"/>
          <w:sz w:val="24"/>
          <w:szCs w:val="24"/>
          <w:highlight w:val="none"/>
          <w:lang w:eastAsia="zh-CN"/>
        </w:rPr>
        <w:t>非甲烷总烃等</w:t>
      </w:r>
      <w:r>
        <w:rPr>
          <w:sz w:val="24"/>
          <w:szCs w:val="24"/>
          <w:highlight w:val="none"/>
          <w:lang w:eastAsia="zh-CN"/>
        </w:rPr>
        <w:t>气体未经</w:t>
      </w:r>
      <w:r>
        <w:rPr>
          <w:rFonts w:hint="eastAsia"/>
          <w:sz w:val="24"/>
          <w:szCs w:val="24"/>
          <w:highlight w:val="none"/>
          <w:lang w:eastAsia="zh-CN"/>
        </w:rPr>
        <w:t>深冷</w:t>
      </w:r>
      <w:r>
        <w:rPr>
          <w:sz w:val="24"/>
          <w:szCs w:val="24"/>
          <w:highlight w:val="none"/>
          <w:lang w:eastAsia="zh-CN"/>
        </w:rPr>
        <w:t>处理直接进入后续处理系</w:t>
      </w:r>
      <w:r>
        <w:rPr>
          <w:rFonts w:hint="eastAsia"/>
          <w:sz w:val="24"/>
          <w:szCs w:val="24"/>
          <w:highlight w:val="none"/>
          <w:lang w:eastAsia="zh-CN"/>
        </w:rPr>
        <w:t>统。</w:t>
      </w:r>
    </w:p>
    <w:p w14:paraId="59094461">
      <w:pPr>
        <w:pStyle w:val="123"/>
        <w:rPr>
          <w:sz w:val="24"/>
          <w:szCs w:val="24"/>
          <w:highlight w:val="none"/>
          <w:lang w:eastAsia="zh-CN"/>
        </w:rPr>
      </w:pPr>
      <w:r>
        <w:rPr>
          <w:rFonts w:hint="eastAsia" w:ascii="宋体" w:hAnsi="宋体"/>
          <w:sz w:val="24"/>
          <w:szCs w:val="24"/>
          <w:highlight w:val="none"/>
          <w:lang w:eastAsia="zh-CN"/>
        </w:rPr>
        <w:t>②</w:t>
      </w:r>
      <w:r>
        <w:rPr>
          <w:rFonts w:hint="eastAsia"/>
          <w:sz w:val="24"/>
          <w:szCs w:val="24"/>
          <w:highlight w:val="none"/>
          <w:lang w:eastAsia="zh-CN"/>
        </w:rPr>
        <w:t>活性炭吸附</w:t>
      </w:r>
      <w:r>
        <w:rPr>
          <w:sz w:val="24"/>
          <w:szCs w:val="24"/>
          <w:highlight w:val="none"/>
          <w:lang w:eastAsia="zh-CN"/>
        </w:rPr>
        <w:t>系统故障</w:t>
      </w:r>
    </w:p>
    <w:p w14:paraId="78CB4DAB">
      <w:pPr>
        <w:pStyle w:val="123"/>
        <w:rPr>
          <w:sz w:val="24"/>
          <w:szCs w:val="24"/>
          <w:highlight w:val="none"/>
          <w:lang w:eastAsia="zh-CN"/>
        </w:rPr>
      </w:pPr>
      <w:r>
        <w:rPr>
          <w:rFonts w:hint="eastAsia"/>
          <w:sz w:val="24"/>
          <w:szCs w:val="24"/>
          <w:highlight w:val="none"/>
          <w:lang w:eastAsia="zh-CN"/>
        </w:rPr>
        <w:t>污染物超标排放，</w:t>
      </w:r>
      <w:r>
        <w:rPr>
          <w:sz w:val="24"/>
          <w:szCs w:val="24"/>
          <w:highlight w:val="none"/>
          <w:lang w:eastAsia="zh-CN"/>
        </w:rPr>
        <w:t>立即停止加料。</w:t>
      </w:r>
      <w:r>
        <w:rPr>
          <w:rFonts w:hint="eastAsia"/>
          <w:sz w:val="24"/>
          <w:szCs w:val="24"/>
          <w:highlight w:val="none"/>
          <w:lang w:eastAsia="zh-CN"/>
        </w:rPr>
        <w:t>进入现场检查系统故障。</w:t>
      </w:r>
    </w:p>
    <w:p w14:paraId="268C7E69">
      <w:pPr>
        <w:widowControl w:val="0"/>
        <w:autoSpaceDE w:val="0"/>
        <w:autoSpaceDN w:val="0"/>
        <w:adjustRightInd w:val="0"/>
        <w:spacing w:line="360" w:lineRule="auto"/>
        <w:ind w:firstLine="482" w:firstLineChars="200"/>
        <w:rPr>
          <w:rFonts w:cs="仿宋_GB2312"/>
          <w:b/>
          <w:bCs/>
          <w:color w:val="000000" w:themeColor="text1"/>
          <w:sz w:val="24"/>
          <w:szCs w:val="24"/>
          <w:highlight w:val="none"/>
          <w14:textFill>
            <w14:solidFill>
              <w14:schemeClr w14:val="tx1"/>
            </w14:solidFill>
          </w14:textFill>
        </w:rPr>
      </w:pPr>
      <w:r>
        <w:rPr>
          <w:rFonts w:cs="仿宋_GB2312"/>
          <w:b/>
          <w:bCs/>
          <w:color w:val="000000" w:themeColor="text1"/>
          <w:sz w:val="24"/>
          <w:szCs w:val="24"/>
          <w:highlight w:val="none"/>
          <w14:textFill>
            <w14:solidFill>
              <w14:schemeClr w14:val="tx1"/>
            </w14:solidFill>
          </w14:textFill>
        </w:rPr>
        <w:t>3</w:t>
      </w:r>
      <w:r>
        <w:rPr>
          <w:rFonts w:hint="eastAsia" w:cs="仿宋_GB2312"/>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14:textFill>
            <w14:solidFill>
              <w14:schemeClr w14:val="tx1"/>
            </w14:solidFill>
          </w14:textFill>
        </w:rPr>
        <w:t>此类事故需要的应急物资、应急装备和应急救援队伍情况</w:t>
      </w:r>
    </w:p>
    <w:p w14:paraId="06A9A405">
      <w:pPr>
        <w:widowControl w:val="0"/>
        <w:autoSpaceDE w:val="0"/>
        <w:autoSpaceDN w:val="0"/>
        <w:adjustRightInd w:val="0"/>
        <w:spacing w:line="360" w:lineRule="auto"/>
        <w:ind w:firstLine="360" w:firstLineChars="150"/>
        <w:rPr>
          <w:rFonts w:cs="仿宋_GB2312"/>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为将突发事故危害降至最低</w:t>
      </w:r>
      <w:r>
        <w:rPr>
          <w:rFonts w:hint="eastAsia" w:cs="GB Pinyinok-A"/>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必须落实环境应急物资、应急装置和应急救援队伍</w:t>
      </w:r>
      <w:r>
        <w:rPr>
          <w:rFonts w:hint="eastAsia" w:cs="GB Pinyinok-A"/>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具体如下：</w:t>
      </w:r>
    </w:p>
    <w:p w14:paraId="0D28A160">
      <w:pPr>
        <w:widowControl w:val="0"/>
        <w:autoSpaceDE w:val="0"/>
        <w:autoSpaceDN w:val="0"/>
        <w:adjustRightInd w:val="0"/>
        <w:spacing w:line="360" w:lineRule="auto"/>
        <w:ind w:firstLine="480" w:firstLineChars="200"/>
        <w:rPr>
          <w:rFonts w:cs="GB Pinyinok-A"/>
          <w:color w:val="000000" w:themeColor="text1"/>
          <w:sz w:val="24"/>
          <w:szCs w:val="24"/>
          <w:highlight w:val="none"/>
          <w14:textFill>
            <w14:solidFill>
              <w14:schemeClr w14:val="tx1"/>
            </w14:solidFill>
          </w14:textFill>
        </w:rPr>
      </w:pPr>
      <w:r>
        <w:rPr>
          <w:rFonts w:hint="eastAsia" w:cs="仿宋_GB2312"/>
          <w:color w:val="000000" w:themeColor="text1"/>
          <w:sz w:val="24"/>
          <w:szCs w:val="24"/>
          <w:highlight w:val="none"/>
          <w14:textFill>
            <w14:solidFill>
              <w14:schemeClr w14:val="tx1"/>
            </w14:solidFill>
          </w14:textFill>
        </w:rPr>
        <w:t>a.</w:t>
      </w:r>
      <w:r>
        <w:rPr>
          <w:rFonts w:hint="eastAsia"/>
          <w:color w:val="000000" w:themeColor="text1"/>
          <w:sz w:val="24"/>
          <w:szCs w:val="24"/>
          <w:highlight w:val="none"/>
          <w14:textFill>
            <w14:solidFill>
              <w14:schemeClr w14:val="tx1"/>
            </w14:solidFill>
          </w14:textFill>
        </w:rPr>
        <w:t>应急装置要求：厂区设置足够容量的应急池</w:t>
      </w:r>
      <w:r>
        <w:rPr>
          <w:rFonts w:hint="eastAsia" w:cs="GB Pinyinok-A"/>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收集超标的污水并将其导入事故应急池</w:t>
      </w:r>
      <w:r>
        <w:rPr>
          <w:rFonts w:hint="eastAsia" w:cs="GB Pinyinok-A"/>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待污水处理设施故障解除后再行处理</w:t>
      </w:r>
      <w:r>
        <w:rPr>
          <w:rFonts w:hint="eastAsia" w:cs="GB Pinyinok-A"/>
          <w:color w:val="000000" w:themeColor="text1"/>
          <w:sz w:val="24"/>
          <w:szCs w:val="24"/>
          <w:highlight w:val="none"/>
          <w14:textFill>
            <w14:solidFill>
              <w14:schemeClr w14:val="tx1"/>
            </w14:solidFill>
          </w14:textFill>
        </w:rPr>
        <w:t>。</w:t>
      </w:r>
    </w:p>
    <w:p w14:paraId="1A0EADA4">
      <w:pPr>
        <w:widowControl w:val="0"/>
        <w:autoSpaceDE w:val="0"/>
        <w:autoSpaceDN w:val="0"/>
        <w:adjustRightInd w:val="0"/>
        <w:spacing w:line="360" w:lineRule="auto"/>
        <w:ind w:firstLine="480" w:firstLineChars="200"/>
        <w:rPr>
          <w:rFonts w:cs="仿宋_GB2312"/>
          <w:color w:val="000000" w:themeColor="text1"/>
          <w:sz w:val="24"/>
          <w:szCs w:val="24"/>
          <w:highlight w:val="none"/>
          <w14:textFill>
            <w14:solidFill>
              <w14:schemeClr w14:val="tx1"/>
            </w14:solidFill>
          </w14:textFill>
        </w:rPr>
      </w:pPr>
      <w:r>
        <w:rPr>
          <w:rFonts w:hint="eastAsia" w:cs="仿宋_GB2312"/>
          <w:color w:val="000000" w:themeColor="text1"/>
          <w:sz w:val="24"/>
          <w:szCs w:val="24"/>
          <w:highlight w:val="none"/>
          <w:lang w:val="en-US" w:eastAsia="zh-CN"/>
          <w14:textFill>
            <w14:solidFill>
              <w14:schemeClr w14:val="tx1"/>
            </w14:solidFill>
          </w14:textFill>
        </w:rPr>
        <w:t>b.</w:t>
      </w:r>
      <w:r>
        <w:rPr>
          <w:rFonts w:hint="eastAsia" w:cs="仿宋_GB2312"/>
          <w:color w:val="000000" w:themeColor="text1"/>
          <w:sz w:val="24"/>
          <w:szCs w:val="24"/>
          <w:highlight w:val="none"/>
          <w14:textFill>
            <w14:solidFill>
              <w14:schemeClr w14:val="tx1"/>
            </w14:solidFill>
          </w14:textFill>
        </w:rPr>
        <w:t>及时检修设备、按操作规程严格操作，并定期巡视、检修，一旦设备出现故障，立刻启用备用设施。</w:t>
      </w:r>
    </w:p>
    <w:p w14:paraId="560FFC4D">
      <w:pPr>
        <w:widowControl w:val="0"/>
        <w:autoSpaceDE w:val="0"/>
        <w:autoSpaceDN w:val="0"/>
        <w:adjustRightInd w:val="0"/>
        <w:spacing w:line="360" w:lineRule="auto"/>
        <w:ind w:left="139" w:leftChars="66" w:firstLine="360" w:firstLineChars="150"/>
        <w:rPr>
          <w:rFonts w:cs="仿宋_GB2312"/>
          <w:color w:val="000000" w:themeColor="text1"/>
          <w:sz w:val="24"/>
          <w:szCs w:val="24"/>
          <w:highlight w:val="none"/>
          <w14:textFill>
            <w14:solidFill>
              <w14:schemeClr w14:val="tx1"/>
            </w14:solidFill>
          </w14:textFill>
        </w:rPr>
      </w:pPr>
      <w:r>
        <w:rPr>
          <w:rFonts w:hint="eastAsia" w:cs="仿宋_GB2312"/>
          <w:color w:val="000000" w:themeColor="text1"/>
          <w:sz w:val="24"/>
          <w:szCs w:val="24"/>
          <w:highlight w:val="none"/>
          <w:lang w:val="en-US" w:eastAsia="zh-CN"/>
          <w14:textFill>
            <w14:solidFill>
              <w14:schemeClr w14:val="tx1"/>
            </w14:solidFill>
          </w14:textFill>
        </w:rPr>
        <w:t>c</w:t>
      </w:r>
      <w:r>
        <w:rPr>
          <w:rFonts w:hint="eastAsia" w:cs="仿宋_GB2312"/>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应急物资要求：重点做好废水</w:t>
      </w:r>
      <w:r>
        <w:rPr>
          <w:rFonts w:hint="eastAsia"/>
          <w:color w:val="000000" w:themeColor="text1"/>
          <w:sz w:val="24"/>
          <w:szCs w:val="24"/>
          <w:highlight w:val="none"/>
          <w:lang w:eastAsia="zh-CN"/>
          <w14:textFill>
            <w14:solidFill>
              <w14:schemeClr w14:val="tx1"/>
            </w14:solidFill>
          </w14:textFill>
        </w:rPr>
        <w:t>罐</w:t>
      </w:r>
      <w:r>
        <w:rPr>
          <w:rFonts w:hint="eastAsia"/>
          <w:color w:val="000000" w:themeColor="text1"/>
          <w:sz w:val="24"/>
          <w:szCs w:val="24"/>
          <w:highlight w:val="none"/>
          <w14:textFill>
            <w14:solidFill>
              <w14:schemeClr w14:val="tx1"/>
            </w14:solidFill>
          </w14:textFill>
        </w:rPr>
        <w:t>的监控</w:t>
      </w:r>
      <w:r>
        <w:rPr>
          <w:rFonts w:hint="eastAsia" w:cs="GB Pinyinok-A"/>
          <w:color w:val="000000" w:themeColor="text1"/>
          <w:sz w:val="24"/>
          <w:szCs w:val="24"/>
          <w:highlight w:val="none"/>
          <w14:textFill>
            <w14:solidFill>
              <w14:schemeClr w14:val="tx1"/>
            </w14:solidFill>
          </w14:textFill>
        </w:rPr>
        <w:t>。</w:t>
      </w:r>
    </w:p>
    <w:p w14:paraId="46B31C72">
      <w:pPr>
        <w:widowControl w:val="0"/>
        <w:autoSpaceDE w:val="0"/>
        <w:autoSpaceDN w:val="0"/>
        <w:adjustRightInd w:val="0"/>
        <w:spacing w:line="360" w:lineRule="auto"/>
        <w:ind w:firstLine="360" w:firstLineChars="150"/>
        <w:rPr>
          <w:rFonts w:cs="GB Pinyinok-A"/>
          <w:color w:val="000000" w:themeColor="text1"/>
          <w:sz w:val="24"/>
          <w:szCs w:val="24"/>
          <w:highlight w:val="none"/>
          <w14:textFill>
            <w14:solidFill>
              <w14:schemeClr w14:val="tx1"/>
            </w14:solidFill>
          </w14:textFill>
        </w:rPr>
      </w:pPr>
      <w:r>
        <w:rPr>
          <w:rFonts w:hint="eastAsia" w:cs="仿宋_GB2312"/>
          <w:color w:val="000000" w:themeColor="text1"/>
          <w:sz w:val="24"/>
          <w:szCs w:val="24"/>
          <w:highlight w:val="none"/>
          <w14:textFill>
            <w14:solidFill>
              <w14:schemeClr w14:val="tx1"/>
            </w14:solidFill>
          </w14:textFill>
        </w:rPr>
        <w:t xml:space="preserve"> </w:t>
      </w:r>
      <w:r>
        <w:rPr>
          <w:rFonts w:hint="eastAsia" w:cs="仿宋_GB2312"/>
          <w:color w:val="000000" w:themeColor="text1"/>
          <w:sz w:val="24"/>
          <w:szCs w:val="24"/>
          <w:highlight w:val="none"/>
          <w:lang w:val="en-US" w:eastAsia="zh-CN"/>
          <w14:textFill>
            <w14:solidFill>
              <w14:schemeClr w14:val="tx1"/>
            </w14:solidFill>
          </w14:textFill>
        </w:rPr>
        <w:t>d</w:t>
      </w:r>
      <w:r>
        <w:rPr>
          <w:rFonts w:hint="eastAsia" w:cs="仿宋_GB2312"/>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应急救援队伍：由专职人员操作</w:t>
      </w:r>
      <w:r>
        <w:rPr>
          <w:rFonts w:hint="eastAsia"/>
          <w:color w:val="000000" w:themeColor="text1"/>
          <w:sz w:val="24"/>
          <w:szCs w:val="24"/>
          <w:highlight w:val="none"/>
          <w:lang w:eastAsia="zh-CN"/>
          <w14:textFill>
            <w14:solidFill>
              <w14:schemeClr w14:val="tx1"/>
            </w14:solidFill>
          </w14:textFill>
        </w:rPr>
        <w:t>环保设施</w:t>
      </w:r>
      <w:r>
        <w:rPr>
          <w:rFonts w:hint="eastAsia"/>
          <w:color w:val="000000" w:themeColor="text1"/>
          <w:sz w:val="24"/>
          <w:szCs w:val="24"/>
          <w:highlight w:val="none"/>
          <w14:textFill>
            <w14:solidFill>
              <w14:schemeClr w14:val="tx1"/>
            </w14:solidFill>
          </w14:textFill>
        </w:rPr>
        <w:t>，定期分析各项数据，及时排除故障，保证正常运行</w:t>
      </w:r>
      <w:r>
        <w:rPr>
          <w:rFonts w:hint="eastAsia" w:cs="GB Pinyinok-A"/>
          <w:color w:val="000000" w:themeColor="text1"/>
          <w:sz w:val="24"/>
          <w:szCs w:val="24"/>
          <w:highlight w:val="none"/>
          <w14:textFill>
            <w14:solidFill>
              <w14:schemeClr w14:val="tx1"/>
            </w14:solidFill>
          </w14:textFill>
        </w:rPr>
        <w:t>。</w:t>
      </w:r>
    </w:p>
    <w:p w14:paraId="37981AE9">
      <w:pPr>
        <w:pStyle w:val="8"/>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4.3.2</w:t>
      </w:r>
      <w:r>
        <w:rPr>
          <w:color w:val="000000" w:themeColor="text1"/>
          <w:highlight w:val="none"/>
          <w14:textFill>
            <w14:solidFill>
              <w14:schemeClr w14:val="tx1"/>
            </w14:solidFill>
          </w14:textFill>
        </w:rPr>
        <w:t>涉及环境风险防控与应急措施、应急资源</w:t>
      </w:r>
    </w:p>
    <w:p w14:paraId="5F400629">
      <w:pPr>
        <w:pStyle w:val="123"/>
        <w:rPr>
          <w:b/>
          <w:bCs/>
          <w:color w:val="000000" w:themeColor="text1"/>
          <w:highlight w:val="none"/>
          <w:lang w:eastAsia="zh-CN"/>
          <w14:textFill>
            <w14:solidFill>
              <w14:schemeClr w14:val="tx1"/>
            </w14:solidFill>
          </w14:textFill>
        </w:rPr>
      </w:pPr>
      <w:r>
        <w:rPr>
          <w:b/>
          <w:bCs/>
          <w:color w:val="000000" w:themeColor="text1"/>
          <w:highlight w:val="none"/>
          <w:lang w:eastAsia="zh-CN"/>
          <w14:textFill>
            <w14:solidFill>
              <w14:schemeClr w14:val="tx1"/>
            </w14:solidFill>
          </w14:textFill>
        </w:rPr>
        <w:t>1、监控措施</w:t>
      </w:r>
    </w:p>
    <w:p w14:paraId="4B1FB789">
      <w:pPr>
        <w:widowControl w:val="0"/>
        <w:spacing w:line="360" w:lineRule="auto"/>
        <w:ind w:firstLine="48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建立健全的各种规章制度，落实安全责任，公司生产操作人员定时对车间、罐区进行巡回检查，每月对危险源进行一次全面检查，加强定期巡检并做好记录，对检查中发现的隐患和问题要及时进行整改，对于不能立即整改的问题需上报公司，并提出不断改进的措施。</w:t>
      </w:r>
    </w:p>
    <w:p w14:paraId="2FCF8F86">
      <w:pPr>
        <w:widowControl w:val="0"/>
        <w:spacing w:line="360" w:lineRule="auto"/>
        <w:ind w:firstLine="482"/>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我公司针对不同的环境风险源采用了不同的监测监控方式、方法，具体从以下几个方面进行展开：</w:t>
      </w:r>
    </w:p>
    <w:p w14:paraId="4F32EEDA">
      <w:pPr>
        <w:spacing w:line="360" w:lineRule="auto"/>
        <w:ind w:firstLine="480"/>
        <w:rPr>
          <w:b/>
          <w:bCs/>
          <w:color w:val="000000" w:themeColor="text1"/>
          <w:sz w:val="24"/>
          <w:szCs w:val="24"/>
          <w:highlight w:val="none"/>
          <w14:textFill>
            <w14:solidFill>
              <w14:schemeClr w14:val="tx1"/>
            </w14:solidFill>
          </w14:textFill>
        </w:rPr>
      </w:pPr>
      <w:r>
        <w:rPr>
          <w:rFonts w:hint="eastAsia"/>
          <w:b/>
          <w:bCs/>
          <w:color w:val="000000" w:themeColor="text1"/>
          <w:sz w:val="24"/>
          <w:szCs w:val="24"/>
          <w:highlight w:val="none"/>
          <w14:textFill>
            <w14:solidFill>
              <w14:schemeClr w14:val="tx1"/>
            </w14:solidFill>
          </w14:textFill>
        </w:rPr>
        <w:t>（1）技术控制</w:t>
      </w:r>
    </w:p>
    <w:p w14:paraId="6B6113C6">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罐区：储罐安装液位计，罐区设有围堰并安装</w:t>
      </w:r>
      <w:r>
        <w:rPr>
          <w:color w:val="000000" w:themeColor="text1"/>
          <w:sz w:val="24"/>
          <w:szCs w:val="24"/>
          <w:highlight w:val="none"/>
          <w14:textFill>
            <w14:solidFill>
              <w14:schemeClr w14:val="tx1"/>
            </w14:solidFill>
          </w14:textFill>
        </w:rPr>
        <w:t>24小时电视监控探头，设有可燃气体报警仪</w:t>
      </w:r>
      <w:r>
        <w:rPr>
          <w:rFonts w:hint="eastAsia"/>
          <w:color w:val="000000" w:themeColor="text1"/>
          <w:sz w:val="24"/>
          <w:szCs w:val="24"/>
          <w:highlight w:val="none"/>
          <w14:textFill>
            <w14:solidFill>
              <w14:schemeClr w14:val="tx1"/>
            </w14:solidFill>
          </w14:textFill>
        </w:rPr>
        <w:t>、有毒气体报警仪</w:t>
      </w:r>
      <w:r>
        <w:rPr>
          <w:color w:val="000000" w:themeColor="text1"/>
          <w:sz w:val="24"/>
          <w:szCs w:val="24"/>
          <w:highlight w:val="none"/>
          <w14:textFill>
            <w14:solidFill>
              <w14:schemeClr w14:val="tx1"/>
            </w14:solidFill>
          </w14:textFill>
        </w:rPr>
        <w:t>。设置警示标志和危害信息告知牌、配备相应的灭火、应急救援器材、淋洗设备等。</w:t>
      </w:r>
    </w:p>
    <w:p w14:paraId="32527F14">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生产装置：建设有</w:t>
      </w:r>
      <w:r>
        <w:rPr>
          <w:color w:val="000000" w:themeColor="text1"/>
          <w:sz w:val="24"/>
          <w:szCs w:val="24"/>
          <w:highlight w:val="none"/>
          <w14:textFill>
            <w14:solidFill>
              <w14:schemeClr w14:val="tx1"/>
            </w14:solidFill>
          </w14:textFill>
        </w:rPr>
        <w:t>DCS 自动控制系统</w:t>
      </w:r>
      <w:r>
        <w:rPr>
          <w:rFonts w:hint="eastAsia"/>
          <w:color w:val="000000" w:themeColor="text1"/>
          <w:sz w:val="24"/>
          <w:szCs w:val="24"/>
          <w:highlight w:val="none"/>
          <w14:textFill>
            <w14:solidFill>
              <w14:schemeClr w14:val="tx1"/>
            </w14:solidFill>
          </w14:textFill>
        </w:rPr>
        <w:t>、电子监控器等。生产装置区</w:t>
      </w:r>
      <w:r>
        <w:rPr>
          <w:color w:val="000000" w:themeColor="text1"/>
          <w:sz w:val="24"/>
          <w:szCs w:val="24"/>
          <w:highlight w:val="none"/>
          <w14:textFill>
            <w14:solidFill>
              <w14:schemeClr w14:val="tx1"/>
            </w14:solidFill>
          </w14:textFill>
        </w:rPr>
        <w:t>周围设有消防栓、消防炮、灭火器等消防设施。</w:t>
      </w:r>
    </w:p>
    <w:p w14:paraId="72A0E9ED">
      <w:pPr>
        <w:pStyle w:val="123"/>
        <w:rPr>
          <w:b/>
          <w:bCs/>
          <w:color w:val="000000" w:themeColor="text1"/>
          <w:sz w:val="24"/>
          <w:szCs w:val="24"/>
          <w:highlight w:val="none"/>
          <w:lang w:eastAsia="zh-CN"/>
          <w14:textFill>
            <w14:solidFill>
              <w14:schemeClr w14:val="tx1"/>
            </w14:solidFill>
          </w14:textFill>
        </w:rPr>
      </w:pPr>
      <w:r>
        <w:rPr>
          <w:rFonts w:hint="eastAsia"/>
          <w:b/>
          <w:bCs/>
          <w:color w:val="000000" w:themeColor="text1"/>
          <w:sz w:val="24"/>
          <w:szCs w:val="24"/>
          <w:highlight w:val="none"/>
          <w:lang w:eastAsia="zh-CN"/>
          <w14:textFill>
            <w14:solidFill>
              <w14:schemeClr w14:val="tx1"/>
            </w14:solidFill>
          </w14:textFill>
        </w:rPr>
        <w:t>（2）人员管理</w:t>
      </w:r>
    </w:p>
    <w:p w14:paraId="4CE78FD4">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为防止因人员的不安全行为导致事故发生，公司对所有入厂职工进行了三级安全教育，且每年进行安全环保教育再培训，并考核合格后上岗作业。配备有空气呼吸器、化学防护服、急救药品箱。首先确保了人员安全，其次是操作安全。</w:t>
      </w:r>
    </w:p>
    <w:p w14:paraId="450E63BC">
      <w:pPr>
        <w:pStyle w:val="123"/>
        <w:rPr>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eastAsia="zh-CN"/>
          <w14:textFill>
            <w14:solidFill>
              <w14:schemeClr w14:val="tx1"/>
            </w14:solidFill>
          </w14:textFill>
        </w:rPr>
        <w:t>对在工作中存在着重大的“三违”现象，公司坚决给予批评教育并处罚；对在安全环境工作中做出突出贡献的职工公司给予奖励</w:t>
      </w:r>
      <w:r>
        <w:rPr>
          <w:rFonts w:hint="eastAsia"/>
          <w:color w:val="000000" w:themeColor="text1"/>
          <w:sz w:val="24"/>
          <w:szCs w:val="24"/>
          <w:highlight w:val="none"/>
          <w:lang w:eastAsia="zh-CN"/>
          <w14:textFill>
            <w14:solidFill>
              <w14:schemeClr w14:val="tx1"/>
            </w14:solidFill>
          </w14:textFill>
        </w:rPr>
        <w:t>。</w:t>
      </w:r>
    </w:p>
    <w:p w14:paraId="748C007B">
      <w:pPr>
        <w:pStyle w:val="123"/>
        <w:rPr>
          <w:b/>
          <w:bCs/>
          <w:color w:val="000000" w:themeColor="text1"/>
          <w:sz w:val="24"/>
          <w:szCs w:val="24"/>
          <w:highlight w:val="none"/>
          <w:lang w:eastAsia="zh-CN"/>
          <w14:textFill>
            <w14:solidFill>
              <w14:schemeClr w14:val="tx1"/>
            </w14:solidFill>
          </w14:textFill>
        </w:rPr>
      </w:pPr>
      <w:r>
        <w:rPr>
          <w:rFonts w:hint="eastAsia"/>
          <w:b/>
          <w:bCs/>
          <w:color w:val="000000" w:themeColor="text1"/>
          <w:sz w:val="24"/>
          <w:szCs w:val="24"/>
          <w:highlight w:val="none"/>
          <w:lang w:eastAsia="zh-CN"/>
          <w14:textFill>
            <w14:solidFill>
              <w14:schemeClr w14:val="tx1"/>
            </w14:solidFill>
          </w14:textFill>
        </w:rPr>
        <w:t>（3）设备管理控制</w:t>
      </w:r>
    </w:p>
    <w:p w14:paraId="469CCA74">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对公司内设备设施可能产生的危险采取了以下方法加以控制：</w:t>
      </w:r>
    </w:p>
    <w:p w14:paraId="2A993C42">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a.建立健全危险源管理的规章制度；</w:t>
      </w:r>
    </w:p>
    <w:p w14:paraId="4A4FA124">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b.明确责任人、定期检查并记录; </w:t>
      </w:r>
    </w:p>
    <w:p w14:paraId="2BC50749">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c.加强危险源的日常管理; </w:t>
      </w:r>
    </w:p>
    <w:p w14:paraId="13869399">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d.做好信息反馈，及时整改事故隐患。</w:t>
      </w:r>
    </w:p>
    <w:p w14:paraId="3662FE5B">
      <w:pPr>
        <w:pStyle w:val="123"/>
        <w:rPr>
          <w:b/>
          <w:bCs/>
          <w:color w:val="000000" w:themeColor="text1"/>
          <w:sz w:val="24"/>
          <w:szCs w:val="24"/>
          <w:highlight w:val="none"/>
          <w:lang w:eastAsia="zh-CN"/>
          <w14:textFill>
            <w14:solidFill>
              <w14:schemeClr w14:val="tx1"/>
            </w14:solidFill>
          </w14:textFill>
        </w:rPr>
      </w:pPr>
      <w:r>
        <w:rPr>
          <w:rFonts w:hint="eastAsia"/>
          <w:b/>
          <w:bCs/>
          <w:color w:val="000000" w:themeColor="text1"/>
          <w:sz w:val="24"/>
          <w:szCs w:val="24"/>
          <w:highlight w:val="none"/>
          <w:lang w:eastAsia="zh-CN"/>
          <w14:textFill>
            <w14:solidFill>
              <w14:schemeClr w14:val="tx1"/>
            </w14:solidFill>
          </w14:textFill>
        </w:rPr>
        <w:t>（4）对于突发环境事件，主要风险的监控措施：</w:t>
      </w:r>
    </w:p>
    <w:p w14:paraId="52BF7A06">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a.各有关部门、车间安排人员定期进行隐患排查整改。制定定期检查制度。</w:t>
      </w:r>
    </w:p>
    <w:p w14:paraId="3FFB5DEE">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b.对岗位人员进行定期专项培训，严格岗位操作规程。</w:t>
      </w:r>
    </w:p>
    <w:p w14:paraId="2A53451F">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c.安排公司领导24小时值班。</w:t>
      </w:r>
    </w:p>
    <w:p w14:paraId="47B34BC0">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d.设立可燃气体、有毒气体自动检测报警探头、重点部位24小时监控。</w:t>
      </w:r>
    </w:p>
    <w:p w14:paraId="250D4964">
      <w:pPr>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e.建立公司─车间─班组（岗位）三级监控网络。公司建立全部所属车间、班组基本情况、危险目标、重大事故隐患等相关数据，并落实各部门、车间人员的监控责任。车间负责所辖范围危险源点的监控。班组负责对各岗位设备、设施及人员操作的监控。存在危险目标、重大事故隐患的班组对本岗位的安全监督负主体责任，要及时分析监控信息并跟踪落实整改情况，及时、逐级向负责人报告。</w:t>
      </w:r>
    </w:p>
    <w:p w14:paraId="3EA0EE92">
      <w:pPr>
        <w:pStyle w:val="123"/>
        <w:rPr>
          <w:b/>
          <w:bCs/>
          <w:color w:val="000000" w:themeColor="text1"/>
          <w:sz w:val="24"/>
          <w:szCs w:val="24"/>
          <w:highlight w:val="none"/>
          <w:lang w:eastAsia="zh-CN"/>
          <w14:textFill>
            <w14:solidFill>
              <w14:schemeClr w14:val="tx1"/>
            </w14:solidFill>
          </w14:textFill>
        </w:rPr>
      </w:pPr>
      <w:r>
        <w:rPr>
          <w:b/>
          <w:bCs/>
          <w:color w:val="000000" w:themeColor="text1"/>
          <w:sz w:val="24"/>
          <w:szCs w:val="24"/>
          <w:highlight w:val="none"/>
          <w:lang w:eastAsia="zh-CN"/>
          <w14:textFill>
            <w14:solidFill>
              <w14:schemeClr w14:val="tx1"/>
            </w14:solidFill>
          </w14:textFill>
        </w:rPr>
        <w:t>2、建设针对液体风险物质泄漏的三级防控措施</w:t>
      </w:r>
    </w:p>
    <w:p w14:paraId="27D7326C">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一级防控措施：罐区设置围堰，确保泄漏物料不会溢出围堰，并对装置区、罐区、</w:t>
      </w:r>
      <w:r>
        <w:rPr>
          <w:rFonts w:hint="eastAsia"/>
          <w:color w:val="000000" w:themeColor="text1"/>
          <w:sz w:val="24"/>
          <w:szCs w:val="24"/>
          <w:highlight w:val="none"/>
          <w:lang w:eastAsia="zh-CN"/>
          <w14:textFill>
            <w14:solidFill>
              <w14:schemeClr w14:val="tx1"/>
            </w14:solidFill>
          </w14:textFill>
        </w:rPr>
        <w:t>危废库</w:t>
      </w:r>
      <w:r>
        <w:rPr>
          <w:rFonts w:hint="eastAsia"/>
          <w:color w:val="000000" w:themeColor="text1"/>
          <w:sz w:val="24"/>
          <w:szCs w:val="24"/>
          <w:highlight w:val="none"/>
          <w14:textFill>
            <w14:solidFill>
              <w14:schemeClr w14:val="tx1"/>
            </w14:solidFill>
          </w14:textFill>
        </w:rPr>
        <w:t>等地面进行重点防渗。</w:t>
      </w:r>
    </w:p>
    <w:p w14:paraId="7AAA3E90">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二级防控措施：厂区设置</w:t>
      </w:r>
      <w:r>
        <w:rPr>
          <w:rFonts w:hint="eastAsia"/>
          <w:color w:val="000000" w:themeColor="text1"/>
          <w:sz w:val="24"/>
          <w:szCs w:val="24"/>
          <w:highlight w:val="none"/>
          <w:lang w:val="en-US" w:eastAsia="zh-CN"/>
          <w14:textFill>
            <w14:solidFill>
              <w14:schemeClr w14:val="tx1"/>
            </w14:solidFill>
          </w14:textFill>
        </w:rPr>
        <w:t>760</w:t>
      </w:r>
      <w:r>
        <w:rPr>
          <w:rFonts w:hint="eastAsia"/>
          <w:color w:val="000000" w:themeColor="text1"/>
          <w:sz w:val="24"/>
          <w:szCs w:val="24"/>
          <w:highlight w:val="none"/>
          <w14:textFill>
            <w14:solidFill>
              <w14:schemeClr w14:val="tx1"/>
            </w14:solidFill>
          </w14:textFill>
        </w:rPr>
        <w:t>立方米的事故应急池和</w:t>
      </w:r>
      <w:r>
        <w:rPr>
          <w:rFonts w:hint="eastAsia"/>
          <w:color w:val="000000" w:themeColor="text1"/>
          <w:sz w:val="24"/>
          <w:szCs w:val="24"/>
          <w:highlight w:val="none"/>
          <w:lang w:val="en-US" w:eastAsia="zh-CN"/>
          <w14:textFill>
            <w14:solidFill>
              <w14:schemeClr w14:val="tx1"/>
            </w14:solidFill>
          </w14:textFill>
        </w:rPr>
        <w:t>240</w:t>
      </w:r>
      <w:r>
        <w:rPr>
          <w:rFonts w:hint="eastAsia"/>
          <w:color w:val="000000" w:themeColor="text1"/>
          <w:sz w:val="24"/>
          <w:szCs w:val="24"/>
          <w:highlight w:val="none"/>
          <w14:textFill>
            <w14:solidFill>
              <w14:schemeClr w14:val="tx1"/>
            </w14:solidFill>
          </w14:textFill>
        </w:rPr>
        <w:t>立方米初期雨水池，将事故废水、消防废水、前期雨水等通过防渗管道排入事故应急池，经厂内污水处理站处理后排入</w:t>
      </w:r>
      <w:r>
        <w:rPr>
          <w:rFonts w:hint="eastAsia"/>
          <w:color w:val="000000" w:themeColor="text1"/>
          <w:sz w:val="24"/>
          <w:szCs w:val="24"/>
          <w:highlight w:val="none"/>
          <w:lang w:eastAsia="zh-CN"/>
          <w14:textFill>
            <w14:solidFill>
              <w14:schemeClr w14:val="tx1"/>
            </w14:solidFill>
          </w14:textFill>
        </w:rPr>
        <w:t>齐鲁石化供排水厂深度</w:t>
      </w:r>
      <w:r>
        <w:rPr>
          <w:rFonts w:hint="eastAsia"/>
          <w:color w:val="000000" w:themeColor="text1"/>
          <w:sz w:val="24"/>
          <w:szCs w:val="24"/>
          <w:highlight w:val="none"/>
          <w14:textFill>
            <w14:solidFill>
              <w14:schemeClr w14:val="tx1"/>
            </w14:solidFill>
          </w14:textFill>
        </w:rPr>
        <w:t>处理。</w:t>
      </w:r>
    </w:p>
    <w:p w14:paraId="1F2873F5">
      <w:pPr>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三级防控措施：厂区雨水排放口设置切断阀，一旦事故废水进入厂区雨水管道，立即切断厂区与外界雨污水受纳管网的联系，将事故废水控制在厂区内。</w:t>
      </w:r>
    </w:p>
    <w:p w14:paraId="18D6631A">
      <w:pPr>
        <w:pStyle w:val="123"/>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公司应急指挥中心根据重特大事件预测与预警结果，针对应急事件开展风险评估，做到早发现、早报告、早处置。</w:t>
      </w:r>
    </w:p>
    <w:p w14:paraId="76D9CCCB">
      <w:pPr>
        <w:pStyle w:val="123"/>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制造部定期组织相关单位进行突发事故事件应急救援预案的修订、评审，及时将修订后的预案传达至相关单位，各单位针对危险源要及时对职工进行应急预案和相关急救知识的培训并定期组织开展事故应急演练。各单位负责对应急救援器材定期检查、维护保养，确保满足使用要求。各部门负责医疗器材的维护保养，对于超过保质期的急救药品要及时更换，满足应急使用要求。公司定期对可燃气体、有毒气体报警仪进行校验，确保监测设施的灵敏可靠，各单位定期对动静泄漏点进行排查，发现跑冒滴漏及时处理，避免化学物质泄漏造成环境污染或造成事故隐患。</w:t>
      </w:r>
    </w:p>
    <w:p w14:paraId="1537514B">
      <w:pPr>
        <w:pStyle w:val="130"/>
        <w:ind w:firstLine="482"/>
        <w:rPr>
          <w:rFonts w:ascii="Times New Roman" w:hAnsi="Times New Roman"/>
          <w:b/>
          <w:bCs/>
          <w:color w:val="000000" w:themeColor="text1"/>
          <w:highlight w:val="none"/>
          <w:lang w:eastAsia="zh-CN"/>
          <w14:textFill>
            <w14:solidFill>
              <w14:schemeClr w14:val="tx1"/>
            </w14:solidFill>
          </w14:textFill>
        </w:rPr>
      </w:pPr>
      <w:r>
        <w:rPr>
          <w:rFonts w:ascii="Times New Roman" w:hAnsi="Times New Roman"/>
          <w:b/>
          <w:bCs/>
          <w:color w:val="000000" w:themeColor="text1"/>
          <w:szCs w:val="24"/>
          <w:highlight w:val="none"/>
          <w:lang w:eastAsia="zh-CN"/>
          <w14:textFill>
            <w14:solidFill>
              <w14:schemeClr w14:val="tx1"/>
            </w14:solidFill>
          </w14:textFill>
        </w:rPr>
        <w:t>3、针对危险废物挥发的易燃或毒性气体的监控</w:t>
      </w:r>
      <w:r>
        <w:rPr>
          <w:rFonts w:ascii="Times New Roman" w:hAnsi="Times New Roman"/>
          <w:b/>
          <w:bCs/>
          <w:color w:val="000000" w:themeColor="text1"/>
          <w:highlight w:val="none"/>
          <w:lang w:eastAsia="zh-CN"/>
          <w14:textFill>
            <w14:solidFill>
              <w14:schemeClr w14:val="tx1"/>
            </w14:solidFill>
          </w14:textFill>
        </w:rPr>
        <w:t>措施</w:t>
      </w:r>
    </w:p>
    <w:p w14:paraId="5A652B0E">
      <w:pPr>
        <w:pStyle w:val="130"/>
        <w:ind w:firstLine="480"/>
        <w:rPr>
          <w:rFonts w:ascii="Times New Roman" w:hAnsi="Times New Roman"/>
          <w:color w:val="000000" w:themeColor="text1"/>
          <w:szCs w:val="24"/>
          <w:highlight w:val="none"/>
          <w:lang w:eastAsia="zh-CN"/>
          <w14:textFill>
            <w14:solidFill>
              <w14:schemeClr w14:val="tx1"/>
            </w14:solidFill>
          </w14:textFill>
        </w:rPr>
      </w:pPr>
      <w:r>
        <w:rPr>
          <w:rFonts w:ascii="Times New Roman" w:hAnsi="Times New Roman"/>
          <w:color w:val="000000" w:themeColor="text1"/>
          <w:szCs w:val="24"/>
          <w:highlight w:val="none"/>
          <w:lang w:eastAsia="zh-CN"/>
          <w14:textFill>
            <w14:solidFill>
              <w14:schemeClr w14:val="tx1"/>
            </w14:solidFill>
          </w14:textFill>
        </w:rPr>
        <w:t>针对危险废物挥发的易燃或毒性气体，企业在罐区、</w:t>
      </w:r>
      <w:r>
        <w:rPr>
          <w:rFonts w:hint="eastAsia" w:hAnsi="Times New Roman"/>
          <w:color w:val="000000" w:themeColor="text1"/>
          <w:szCs w:val="24"/>
          <w:highlight w:val="none"/>
          <w:lang w:eastAsia="zh-CN"/>
          <w14:textFill>
            <w14:solidFill>
              <w14:schemeClr w14:val="tx1"/>
            </w14:solidFill>
          </w14:textFill>
        </w:rPr>
        <w:t>生产装置</w:t>
      </w:r>
      <w:r>
        <w:rPr>
          <w:rFonts w:ascii="Times New Roman" w:hAnsi="Times New Roman"/>
          <w:color w:val="000000" w:themeColor="text1"/>
          <w:szCs w:val="24"/>
          <w:highlight w:val="none"/>
          <w:lang w:eastAsia="zh-CN"/>
          <w14:textFill>
            <w14:solidFill>
              <w14:schemeClr w14:val="tx1"/>
            </w14:solidFill>
          </w14:textFill>
        </w:rPr>
        <w:t>等设置易燃、</w:t>
      </w:r>
      <w:r>
        <w:rPr>
          <w:rFonts w:hint="eastAsia" w:hAnsi="Times New Roman"/>
          <w:color w:val="000000" w:themeColor="text1"/>
          <w:szCs w:val="24"/>
          <w:highlight w:val="none"/>
          <w:lang w:eastAsia="zh-CN"/>
          <w14:textFill>
            <w14:solidFill>
              <w14:schemeClr w14:val="tx1"/>
            </w14:solidFill>
          </w14:textFill>
        </w:rPr>
        <w:t>有毒</w:t>
      </w:r>
      <w:r>
        <w:rPr>
          <w:rFonts w:ascii="Times New Roman" w:hAnsi="Times New Roman"/>
          <w:color w:val="000000" w:themeColor="text1"/>
          <w:szCs w:val="24"/>
          <w:highlight w:val="none"/>
          <w:lang w:eastAsia="zh-CN"/>
          <w14:textFill>
            <w14:solidFill>
              <w14:schemeClr w14:val="tx1"/>
            </w14:solidFill>
          </w14:textFill>
        </w:rPr>
        <w:t>气体监测报警装置。</w:t>
      </w:r>
    </w:p>
    <w:p w14:paraId="1B4E3847">
      <w:pPr>
        <w:pStyle w:val="123"/>
        <w:rPr>
          <w:b/>
          <w:bCs/>
          <w:color w:val="000000" w:themeColor="text1"/>
          <w:highlight w:val="none"/>
          <w:lang w:eastAsia="zh-CN"/>
          <w14:textFill>
            <w14:solidFill>
              <w14:schemeClr w14:val="tx1"/>
            </w14:solidFill>
          </w14:textFill>
        </w:rPr>
      </w:pPr>
      <w:r>
        <w:rPr>
          <w:b/>
          <w:bCs/>
          <w:color w:val="000000" w:themeColor="text1"/>
          <w:highlight w:val="none"/>
          <w:lang w:eastAsia="zh-CN"/>
          <w14:textFill>
            <w14:solidFill>
              <w14:schemeClr w14:val="tx1"/>
            </w14:solidFill>
          </w14:textFill>
        </w:rPr>
        <w:t>4、应急资源情况分析</w:t>
      </w:r>
    </w:p>
    <w:p w14:paraId="36A94B37">
      <w:pPr>
        <w:pStyle w:val="123"/>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目前</w:t>
      </w:r>
      <w:r>
        <w:rPr>
          <w:rFonts w:hint="eastAsia"/>
          <w:color w:val="000000" w:themeColor="text1"/>
          <w:highlight w:val="none"/>
          <w:lang w:eastAsia="zh-CN"/>
          <w14:textFill>
            <w14:solidFill>
              <w14:schemeClr w14:val="tx1"/>
            </w14:solidFill>
          </w14:textFill>
        </w:rPr>
        <w:t>公司</w:t>
      </w:r>
      <w:r>
        <w:rPr>
          <w:color w:val="000000" w:themeColor="text1"/>
          <w:highlight w:val="none"/>
          <w:lang w:eastAsia="zh-CN"/>
          <w14:textFill>
            <w14:solidFill>
              <w14:schemeClr w14:val="tx1"/>
            </w14:solidFill>
          </w14:textFill>
        </w:rPr>
        <w:t>的应急资源见表3.7-1，目前应基本能满足应急的要求，还需在今后进一步的完善。</w:t>
      </w:r>
    </w:p>
    <w:p w14:paraId="6DAD74EB">
      <w:pPr>
        <w:pStyle w:val="7"/>
        <w:pageBreakBefore w:val="0"/>
        <w:kinsoku/>
        <w:wordWrap/>
        <w:topLinePunct w:val="0"/>
        <w:autoSpaceDE/>
        <w:autoSpaceDN/>
        <w:bidi w:val="0"/>
        <w:spacing w:before="0" w:after="0"/>
        <w:textAlignment w:val="auto"/>
        <w:rPr>
          <w:rFonts w:cs="Times New Roman"/>
          <w:color w:val="000000" w:themeColor="text1"/>
          <w:highlight w:val="none"/>
          <w14:textFill>
            <w14:solidFill>
              <w14:schemeClr w14:val="tx1"/>
            </w14:solidFill>
          </w14:textFill>
        </w:rPr>
      </w:pPr>
      <w:bookmarkStart w:id="73" w:name="_Toc20252"/>
      <w:r>
        <w:rPr>
          <w:rFonts w:hint="eastAsia" w:cs="Times New Roman"/>
          <w:color w:val="000000" w:themeColor="text1"/>
          <w:highlight w:val="none"/>
          <w:lang w:val="en-US" w:eastAsia="zh-CN"/>
          <w14:textFill>
            <w14:solidFill>
              <w14:schemeClr w14:val="tx1"/>
            </w14:solidFill>
          </w14:textFill>
        </w:rPr>
        <w:t>4.4</w:t>
      </w:r>
      <w:r>
        <w:rPr>
          <w:rFonts w:cs="Times New Roman"/>
          <w:color w:val="000000" w:themeColor="text1"/>
          <w:highlight w:val="none"/>
          <w14:textFill>
            <w14:solidFill>
              <w14:schemeClr w14:val="tx1"/>
            </w14:solidFill>
          </w14:textFill>
        </w:rPr>
        <w:t>风险事故影响后果与评价</w:t>
      </w:r>
      <w:bookmarkEnd w:id="73"/>
    </w:p>
    <w:p w14:paraId="74FC78BE">
      <w:pPr>
        <w:pStyle w:val="8"/>
        <w:pageBreakBefore w:val="0"/>
        <w:kinsoku/>
        <w:wordWrap/>
        <w:topLinePunct w:val="0"/>
        <w:autoSpaceDE/>
        <w:autoSpaceDN/>
        <w:bidi w:val="0"/>
        <w:spacing w:before="0" w:after="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4.4.1</w:t>
      </w:r>
      <w:r>
        <w:rPr>
          <w:color w:val="000000" w:themeColor="text1"/>
          <w:sz w:val="24"/>
          <w:szCs w:val="24"/>
          <w:highlight w:val="none"/>
          <w14:textFill>
            <w14:solidFill>
              <w14:schemeClr w14:val="tx1"/>
            </w14:solidFill>
          </w14:textFill>
        </w:rPr>
        <w:t>风险事故大气环境影响分析</w:t>
      </w:r>
    </w:p>
    <w:p w14:paraId="64794F29">
      <w:pPr>
        <w:pageBreakBefore w:val="0"/>
        <w:kinsoku/>
        <w:wordWrap/>
        <w:overflowPunct w:val="0"/>
        <w:topLinePunct w:val="0"/>
        <w:autoSpaceDE/>
        <w:autoSpaceDN/>
        <w:bidi w:val="0"/>
        <w:spacing w:line="360" w:lineRule="auto"/>
        <w:ind w:firstLine="480" w:firstLineChars="200"/>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厂区可能发生的突发性</w:t>
      </w:r>
      <w:r>
        <w:rPr>
          <w:rFonts w:hint="eastAsia"/>
          <w:color w:val="000000" w:themeColor="text1"/>
          <w:sz w:val="24"/>
          <w:szCs w:val="24"/>
          <w:highlight w:val="none"/>
          <w14:textFill>
            <w14:solidFill>
              <w14:schemeClr w14:val="tx1"/>
            </w14:solidFill>
          </w14:textFill>
        </w:rPr>
        <w:t>大气</w:t>
      </w:r>
      <w:r>
        <w:rPr>
          <w:color w:val="000000" w:themeColor="text1"/>
          <w:sz w:val="24"/>
          <w:szCs w:val="24"/>
          <w:highlight w:val="none"/>
          <w14:textFill>
            <w14:solidFill>
              <w14:schemeClr w14:val="tx1"/>
            </w14:solidFill>
          </w14:textFill>
        </w:rPr>
        <w:t>污染事故主要有</w:t>
      </w:r>
      <w:r>
        <w:rPr>
          <w:rFonts w:hint="eastAsia"/>
          <w:color w:val="000000" w:themeColor="text1"/>
          <w:sz w:val="24"/>
          <w:szCs w:val="24"/>
          <w:highlight w:val="none"/>
          <w:lang w:eastAsia="zh-CN"/>
          <w14:textFill>
            <w14:solidFill>
              <w14:schemeClr w14:val="tx1"/>
            </w14:solidFill>
          </w14:textFill>
        </w:rPr>
        <w:t>糠醛、糠醇、</w:t>
      </w:r>
      <w:r>
        <w:rPr>
          <w:rFonts w:hint="eastAsia"/>
          <w:color w:val="000000" w:themeColor="text1"/>
          <w:sz w:val="24"/>
          <w:szCs w:val="24"/>
          <w:highlight w:val="none"/>
          <w:lang w:val="en-US" w:eastAsia="zh-CN"/>
          <w14:textFill>
            <w14:solidFill>
              <w14:schemeClr w14:val="tx1"/>
            </w14:solidFill>
          </w14:textFill>
        </w:rPr>
        <w:t>2-甲基呋喃</w:t>
      </w:r>
      <w:r>
        <w:rPr>
          <w:rFonts w:hint="eastAsia"/>
          <w:color w:val="000000" w:themeColor="text1"/>
          <w:sz w:val="24"/>
          <w:szCs w:val="24"/>
          <w:highlight w:val="none"/>
          <w14:textFill>
            <w14:solidFill>
              <w14:schemeClr w14:val="tx1"/>
            </w14:solidFill>
          </w14:textFill>
        </w:rPr>
        <w:t>等物料泄漏挥发产生的有毒有害气体、废气处理装置故障导致</w:t>
      </w:r>
      <w:r>
        <w:rPr>
          <w:rFonts w:hint="eastAsia"/>
          <w:color w:val="000000" w:themeColor="text1"/>
          <w:sz w:val="24"/>
          <w:szCs w:val="24"/>
          <w:highlight w:val="none"/>
          <w:lang w:eastAsia="zh-CN"/>
          <w14:textFill>
            <w14:solidFill>
              <w14:schemeClr w14:val="tx1"/>
            </w14:solidFill>
          </w14:textFill>
        </w:rPr>
        <w:t>挥发性有机物</w:t>
      </w:r>
      <w:r>
        <w:rPr>
          <w:rFonts w:hint="eastAsia"/>
          <w:color w:val="000000" w:themeColor="text1"/>
          <w:sz w:val="24"/>
          <w:szCs w:val="24"/>
          <w:highlight w:val="none"/>
          <w14:textFill>
            <w14:solidFill>
              <w14:schemeClr w14:val="tx1"/>
            </w14:solidFill>
          </w14:textFill>
        </w:rPr>
        <w:t>等大气污染物超标排放；罐区、生产装置区等发生火灾爆炸事故后的次生、衍生有毒有害气体</w:t>
      </w:r>
      <w:r>
        <w:rPr>
          <w:color w:val="000000" w:themeColor="text1"/>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公司严格落实风险防范措施，能在火灾发生初期及时发现，及时处置，一般不会造成严重影响。</w:t>
      </w:r>
    </w:p>
    <w:p w14:paraId="4E8BEE7F">
      <w:pPr>
        <w:pStyle w:val="8"/>
        <w:pageBreakBefore w:val="0"/>
        <w:kinsoku/>
        <w:wordWrap/>
        <w:topLinePunct w:val="0"/>
        <w:autoSpaceDE/>
        <w:autoSpaceDN/>
        <w:bidi w:val="0"/>
        <w:spacing w:before="0" w:after="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4.4.2</w:t>
      </w:r>
      <w:r>
        <w:rPr>
          <w:color w:val="000000" w:themeColor="text1"/>
          <w:sz w:val="24"/>
          <w:szCs w:val="24"/>
          <w:highlight w:val="none"/>
          <w14:textFill>
            <w14:solidFill>
              <w14:schemeClr w14:val="tx1"/>
            </w14:solidFill>
          </w14:textFill>
        </w:rPr>
        <w:t>风险事故水环境影响分析</w:t>
      </w:r>
    </w:p>
    <w:p w14:paraId="4D97B90B">
      <w:pPr>
        <w:pStyle w:val="123"/>
        <w:pageBreakBefore w:val="0"/>
        <w:kinsoku/>
        <w:wordWrap/>
        <w:topLinePunct w:val="0"/>
        <w:autoSpaceDE/>
        <w:autoSpaceDN/>
        <w:bidi w:val="0"/>
        <w:textAlignment w:val="auto"/>
        <w:rPr>
          <w:sz w:val="24"/>
          <w:szCs w:val="24"/>
          <w:highlight w:val="none"/>
          <w:lang w:eastAsia="zh-CN"/>
        </w:rPr>
      </w:pPr>
      <w:r>
        <w:rPr>
          <w:sz w:val="24"/>
          <w:szCs w:val="24"/>
          <w:highlight w:val="none"/>
          <w:lang w:eastAsia="zh-CN"/>
        </w:rPr>
        <w:t>厂区可能发生的突发性水污染事故主要有</w:t>
      </w:r>
      <w:r>
        <w:rPr>
          <w:rFonts w:hint="eastAsia"/>
          <w:sz w:val="24"/>
          <w:szCs w:val="24"/>
          <w:highlight w:val="none"/>
          <w:lang w:eastAsia="zh-CN"/>
        </w:rPr>
        <w:t>储罐、生产</w:t>
      </w:r>
      <w:r>
        <w:rPr>
          <w:sz w:val="24"/>
          <w:szCs w:val="24"/>
          <w:highlight w:val="none"/>
          <w:lang w:eastAsia="zh-CN"/>
        </w:rPr>
        <w:t>设备泄漏或事故排放，运输管线泄漏，车辆碰撞倾翻、泄漏排放等事故。事故发生后，污染物可能通过下渗、地表径流、地下径流污染周围水环境。</w:t>
      </w:r>
    </w:p>
    <w:p w14:paraId="4298E7BB">
      <w:pPr>
        <w:pStyle w:val="123"/>
        <w:pageBreakBefore w:val="0"/>
        <w:kinsoku/>
        <w:wordWrap/>
        <w:topLinePunct w:val="0"/>
        <w:autoSpaceDE/>
        <w:autoSpaceDN/>
        <w:bidi w:val="0"/>
        <w:textAlignment w:val="auto"/>
        <w:rPr>
          <w:rFonts w:hint="eastAsia" w:ascii="宋体" w:hAnsi="宋体" w:eastAsia="宋体" w:cs="宋体"/>
          <w:sz w:val="24"/>
          <w:szCs w:val="24"/>
          <w:highlight w:val="none"/>
          <w:lang w:eastAsia="zh-CN"/>
        </w:rPr>
      </w:pPr>
      <w:r>
        <w:rPr>
          <w:rFonts w:hint="eastAsia"/>
          <w:sz w:val="24"/>
          <w:szCs w:val="24"/>
          <w:highlight w:val="none"/>
          <w:lang w:eastAsia="zh-CN"/>
        </w:rPr>
        <w:t>储罐区、</w:t>
      </w:r>
      <w:r>
        <w:rPr>
          <w:sz w:val="24"/>
          <w:szCs w:val="24"/>
          <w:highlight w:val="none"/>
          <w:lang w:eastAsia="zh-CN"/>
        </w:rPr>
        <w:t>设备及运输管线均在</w:t>
      </w:r>
      <w:r>
        <w:rPr>
          <w:rFonts w:hint="eastAsia"/>
          <w:sz w:val="24"/>
          <w:szCs w:val="24"/>
          <w:highlight w:val="none"/>
          <w:lang w:eastAsia="zh-CN"/>
        </w:rPr>
        <w:t>厂</w:t>
      </w:r>
      <w:r>
        <w:rPr>
          <w:sz w:val="24"/>
          <w:szCs w:val="24"/>
          <w:highlight w:val="none"/>
          <w:lang w:eastAsia="zh-CN"/>
        </w:rPr>
        <w:t>区内，发生泄漏、燃烧、爆炸事故后，可通过下渗、地表径流和地下径流污染</w:t>
      </w:r>
      <w:r>
        <w:rPr>
          <w:rFonts w:hint="eastAsia"/>
          <w:sz w:val="24"/>
          <w:szCs w:val="24"/>
          <w:highlight w:val="none"/>
          <w:lang w:eastAsia="zh-CN"/>
        </w:rPr>
        <w:t>厂</w:t>
      </w:r>
      <w:r>
        <w:rPr>
          <w:sz w:val="24"/>
          <w:szCs w:val="24"/>
          <w:highlight w:val="none"/>
          <w:lang w:eastAsia="zh-CN"/>
        </w:rPr>
        <w:t>区周围地表水或地下水。车辆碰撞倾翻、泄漏排放等事故有可能发生在</w:t>
      </w:r>
      <w:r>
        <w:rPr>
          <w:rFonts w:hint="eastAsia"/>
          <w:sz w:val="24"/>
          <w:szCs w:val="24"/>
          <w:highlight w:val="none"/>
          <w:lang w:eastAsia="zh-CN"/>
        </w:rPr>
        <w:t>厂</w:t>
      </w:r>
      <w:r>
        <w:rPr>
          <w:sz w:val="24"/>
          <w:szCs w:val="24"/>
          <w:highlight w:val="none"/>
          <w:lang w:eastAsia="zh-CN"/>
        </w:rPr>
        <w:t>区内，也有可能发生在运输过程中，从而可能影响</w:t>
      </w:r>
      <w:r>
        <w:rPr>
          <w:rFonts w:hint="eastAsia" w:ascii="宋体" w:hAnsi="宋体" w:eastAsia="宋体" w:cs="宋体"/>
          <w:sz w:val="24"/>
          <w:szCs w:val="24"/>
          <w:highlight w:val="none"/>
          <w:lang w:eastAsia="zh-CN"/>
        </w:rPr>
        <w:t>事故发生点的地表水或地下水。</w:t>
      </w:r>
    </w:p>
    <w:p w14:paraId="7839E854">
      <w:pPr>
        <w:pStyle w:val="123"/>
        <w:pageBreakBefore w:val="0"/>
        <w:kinsoku/>
        <w:wordWrap/>
        <w:topLinePunct w:val="0"/>
        <w:autoSpaceDE/>
        <w:autoSpaceDN/>
        <w:bidi w:val="0"/>
        <w:textAlignment w:val="auto"/>
        <w:rPr>
          <w:rFonts w:hint="eastAsia" w:ascii="宋体" w:hAnsi="宋体" w:eastAsia="宋体" w:cs="宋体"/>
          <w:highlight w:val="none"/>
          <w:lang w:eastAsia="zh-CN"/>
        </w:rPr>
      </w:pPr>
      <w:r>
        <w:rPr>
          <w:rFonts w:hint="eastAsia" w:ascii="宋体" w:hAnsi="宋体" w:eastAsia="宋体" w:cs="宋体"/>
          <w:highlight w:val="none"/>
          <w:lang w:eastAsia="zh-CN"/>
        </w:rPr>
        <w:t>（1）对地下水的风险影响分析</w:t>
      </w:r>
    </w:p>
    <w:p w14:paraId="0B656A91">
      <w:pPr>
        <w:pStyle w:val="123"/>
        <w:rPr>
          <w:rFonts w:hint="eastAsia" w:ascii="宋体" w:hAnsi="宋体" w:eastAsia="宋体" w:cs="宋体"/>
          <w:highlight w:val="none"/>
          <w:lang w:eastAsia="zh-CN"/>
        </w:rPr>
      </w:pPr>
      <w:r>
        <w:rPr>
          <w:rFonts w:hint="eastAsia" w:ascii="宋体" w:hAnsi="宋体" w:eastAsia="宋体" w:cs="宋体"/>
          <w:highlight w:val="none"/>
          <w:lang w:eastAsia="zh-CN"/>
        </w:rPr>
        <w:t>装置区、</w:t>
      </w:r>
      <w:r>
        <w:rPr>
          <w:rFonts w:hint="eastAsia" w:ascii="宋体" w:hAnsi="宋体" w:cs="宋体"/>
          <w:highlight w:val="none"/>
          <w:lang w:eastAsia="zh-CN"/>
        </w:rPr>
        <w:t>危废库</w:t>
      </w:r>
      <w:r>
        <w:rPr>
          <w:rFonts w:hint="eastAsia" w:ascii="宋体" w:hAnsi="宋体" w:eastAsia="宋体" w:cs="宋体"/>
          <w:highlight w:val="none"/>
          <w:lang w:eastAsia="zh-CN"/>
        </w:rPr>
        <w:t>、罐区等地均采取了严格的硬化防渗处理，厂区设置了完善的事故废水导排系统，建设有事故应急池，泄漏的化学品及灭火时产生的废水可完全被收集处理，不会通过渗透和地表径流污染地下水。</w:t>
      </w:r>
    </w:p>
    <w:p w14:paraId="144D891E">
      <w:pPr>
        <w:pStyle w:val="123"/>
        <w:rPr>
          <w:rFonts w:hint="eastAsia" w:ascii="宋体" w:hAnsi="宋体" w:eastAsia="宋体" w:cs="宋体"/>
          <w:highlight w:val="none"/>
          <w:lang w:eastAsia="zh-CN"/>
        </w:rPr>
      </w:pPr>
      <w:r>
        <w:rPr>
          <w:rFonts w:hint="eastAsia" w:ascii="宋体" w:hAnsi="宋体" w:eastAsia="宋体" w:cs="宋体"/>
          <w:highlight w:val="none"/>
          <w:lang w:eastAsia="zh-CN"/>
        </w:rPr>
        <w:t>（2）对地表水的风险影响分析</w:t>
      </w:r>
    </w:p>
    <w:p w14:paraId="78D3751A">
      <w:pPr>
        <w:pStyle w:val="123"/>
        <w:pageBreakBefore w:val="0"/>
        <w:kinsoku/>
        <w:wordWrap/>
        <w:overflowPunct/>
        <w:topLinePunct w:val="0"/>
        <w:autoSpaceDE/>
        <w:autoSpaceDN/>
        <w:bidi w:val="0"/>
        <w:textAlignment w:val="auto"/>
        <w:rPr>
          <w:highlight w:val="none"/>
          <w:lang w:eastAsia="zh-CN"/>
        </w:rPr>
      </w:pPr>
      <w:r>
        <w:rPr>
          <w:rFonts w:hint="eastAsia" w:ascii="宋体" w:hAnsi="宋体" w:eastAsia="宋体" w:cs="宋体"/>
          <w:highlight w:val="none"/>
          <w:lang w:eastAsia="zh-CN"/>
        </w:rPr>
        <w:t>本公司严格采取了分区防渗防治措施，废水经过应急池收集后，统一通过</w:t>
      </w:r>
      <w:r>
        <w:rPr>
          <w:rFonts w:hint="eastAsia" w:ascii="宋体" w:hAnsi="宋体" w:cs="宋体"/>
          <w:highlight w:val="none"/>
          <w:lang w:eastAsia="zh-CN"/>
        </w:rPr>
        <w:t>同集团公司山东隆盛和助剂有限公司</w:t>
      </w:r>
      <w:r>
        <w:rPr>
          <w:rFonts w:hint="eastAsia" w:ascii="宋体" w:hAnsi="宋体" w:eastAsia="宋体" w:cs="宋体"/>
          <w:highlight w:val="none"/>
          <w:lang w:eastAsia="zh-CN"/>
        </w:rPr>
        <w:t>污水处理设施处理达标后排入齐鲁石化供排水厂深度处理，从而使污废水不直接排入地表水环境，因此如厂区发生泄露事故，污染物基本不会对周围河流造成污染。</w:t>
      </w:r>
    </w:p>
    <w:p w14:paraId="4CE75C69">
      <w:pPr>
        <w:pStyle w:val="8"/>
        <w:pageBreakBefore w:val="0"/>
        <w:kinsoku/>
        <w:wordWrap/>
        <w:overflowPunct/>
        <w:topLinePunct w:val="0"/>
        <w:autoSpaceDE/>
        <w:autoSpaceDN/>
        <w:bidi w:val="0"/>
        <w:spacing w:before="0" w:after="0"/>
        <w:textAlignment w:val="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4.4.3</w:t>
      </w:r>
      <w:r>
        <w:rPr>
          <w:rFonts w:hint="eastAsia"/>
          <w:color w:val="000000" w:themeColor="text1"/>
          <w:sz w:val="24"/>
          <w:szCs w:val="24"/>
          <w:highlight w:val="none"/>
          <w14:textFill>
            <w14:solidFill>
              <w14:schemeClr w14:val="tx1"/>
            </w14:solidFill>
          </w14:textFill>
        </w:rPr>
        <w:t>次生消防等废水对水环境和土壤环境风险影响分析</w:t>
      </w:r>
    </w:p>
    <w:p w14:paraId="2BDE687C">
      <w:pPr>
        <w:pStyle w:val="123"/>
        <w:pageBreakBefore w:val="0"/>
        <w:kinsoku/>
        <w:wordWrap/>
        <w:overflowPunct/>
        <w:topLinePunct w:val="0"/>
        <w:autoSpaceDE/>
        <w:autoSpaceDN/>
        <w:bidi w:val="0"/>
        <w:textAlignment w:val="auto"/>
        <w:rPr>
          <w:highlight w:val="none"/>
          <w:lang w:eastAsia="zh-CN"/>
        </w:rPr>
      </w:pPr>
      <w:r>
        <w:rPr>
          <w:rFonts w:hint="eastAsia"/>
          <w:color w:val="000000" w:themeColor="text1"/>
          <w:highlight w:val="none"/>
          <w:lang w:eastAsia="zh-CN"/>
          <w14:textFill>
            <w14:solidFill>
              <w14:schemeClr w14:val="tx1"/>
            </w14:solidFill>
          </w14:textFill>
        </w:rPr>
        <w:t>事故次生消防等废水经厂区污水处理站处理后外排齐鲁石化供排水厂深度深度处理。一旦事故发生未得到及时控制，导致泄漏</w:t>
      </w:r>
      <w:r>
        <w:rPr>
          <w:rFonts w:hint="eastAsia"/>
          <w:highlight w:val="none"/>
          <w:lang w:eastAsia="zh-CN"/>
        </w:rPr>
        <w:t>物料和污水进入齐鲁石化供排水厂深度，对其造成冲击影响。必须采取措施杜绝此类事故发生。车间、危废暂存间、事故水池、污水处理站等均采取防渗防腐处理，避免了各类废水对地下水的污染。罐区设围堰，将事故时产生的物料和消防废水收集，用泵通过管道打入事故应急池，可以避免事故时泄漏物料和未经处理的消防废水直接排放。采取以上措施后，可以防止对土壤、地表水、地下水的污染影响。</w:t>
      </w:r>
    </w:p>
    <w:p w14:paraId="2F7ECA1E">
      <w:pPr>
        <w:pStyle w:val="8"/>
        <w:rPr>
          <w:sz w:val="24"/>
          <w:szCs w:val="24"/>
          <w:highlight w:val="none"/>
        </w:rPr>
      </w:pPr>
      <w:r>
        <w:rPr>
          <w:rFonts w:hint="eastAsia"/>
          <w:sz w:val="24"/>
          <w:szCs w:val="24"/>
          <w:highlight w:val="none"/>
          <w:lang w:val="en-US" w:eastAsia="zh-CN"/>
        </w:rPr>
        <w:t>4.4.4</w:t>
      </w:r>
      <w:r>
        <w:rPr>
          <w:rFonts w:hint="eastAsia"/>
          <w:sz w:val="24"/>
          <w:szCs w:val="24"/>
          <w:highlight w:val="none"/>
        </w:rPr>
        <w:t>运输过程中风险影响分析</w:t>
      </w:r>
    </w:p>
    <w:p w14:paraId="26D4C71B">
      <w:pPr>
        <w:overflowPunct w:val="0"/>
        <w:spacing w:line="360" w:lineRule="auto"/>
        <w:ind w:firstLine="480" w:firstLineChars="200"/>
        <w:rPr>
          <w:sz w:val="24"/>
          <w:szCs w:val="24"/>
          <w:highlight w:val="none"/>
        </w:rPr>
      </w:pPr>
      <w:r>
        <w:rPr>
          <w:sz w:val="24"/>
          <w:szCs w:val="24"/>
          <w:highlight w:val="none"/>
        </w:rPr>
        <w:t>化工产品其火灾危险性各不相同，有爆炸物品、易燃和可燃液体、可燃和助燃气体、自燃物质及遇</w:t>
      </w:r>
      <w:r>
        <w:rPr>
          <w:rFonts w:hint="eastAsia"/>
          <w:sz w:val="24"/>
          <w:szCs w:val="24"/>
          <w:highlight w:val="none"/>
          <w:lang w:eastAsia="zh-CN"/>
        </w:rPr>
        <w:t>火</w:t>
      </w:r>
      <w:r>
        <w:rPr>
          <w:sz w:val="24"/>
          <w:szCs w:val="24"/>
          <w:highlight w:val="none"/>
        </w:rPr>
        <w:t>燃烧、酸碱腐蚀物质等。有些相互接触会引起化学反应或撞击、磨擦会发生火灾事故。当发生火灾时，对不同的产品使用的灭火剂和灭火方法不尽相同。因此运输化工产品必须严格遵照规定的配装原则。</w:t>
      </w:r>
    </w:p>
    <w:p w14:paraId="36703738">
      <w:pPr>
        <w:spacing w:line="360" w:lineRule="auto"/>
        <w:ind w:firstLine="480" w:firstLineChars="200"/>
        <w:rPr>
          <w:sz w:val="24"/>
          <w:szCs w:val="24"/>
          <w:highlight w:val="none"/>
        </w:rPr>
      </w:pPr>
      <w:r>
        <w:rPr>
          <w:rFonts w:hint="eastAsia"/>
          <w:sz w:val="24"/>
          <w:szCs w:val="24"/>
          <w:highlight w:val="none"/>
        </w:rPr>
        <w:t>公司</w:t>
      </w:r>
      <w:r>
        <w:rPr>
          <w:sz w:val="24"/>
          <w:szCs w:val="24"/>
          <w:highlight w:val="none"/>
        </w:rPr>
        <w:t>物料的运输主要以公路运输为主。危险化学品的运输由具有危险化学品运输资质的运输单位承担运输，均采用专用车辆，按照物料的不同化学性质采用适当的装运措施。一般情况下，在运输途中不会产生物料的散落或泄漏，不会对沿途环境造成不利影响。但由于运输频繁，路线复杂，发生交通事故从而引起危险物料外泄的可能性是存在的。运输的风险特征列于</w:t>
      </w:r>
      <w:r>
        <w:rPr>
          <w:rFonts w:hint="eastAsia"/>
          <w:sz w:val="24"/>
          <w:szCs w:val="24"/>
          <w:highlight w:val="none"/>
        </w:rPr>
        <w:t>下</w:t>
      </w:r>
      <w:r>
        <w:rPr>
          <w:sz w:val="24"/>
          <w:szCs w:val="24"/>
          <w:highlight w:val="none"/>
        </w:rPr>
        <w:t>表。</w:t>
      </w:r>
    </w:p>
    <w:p w14:paraId="0ED8F925">
      <w:pPr>
        <w:pStyle w:val="127"/>
        <w:spacing w:before="72" w:after="48"/>
        <w:jc w:val="both"/>
        <w:rPr>
          <w:highlight w:val="none"/>
        </w:rPr>
      </w:pPr>
    </w:p>
    <w:p w14:paraId="12A359A8">
      <w:pPr>
        <w:pStyle w:val="127"/>
        <w:spacing w:before="72" w:after="48"/>
        <w:rPr>
          <w:highlight w:val="none"/>
        </w:rPr>
      </w:pPr>
      <w:r>
        <w:rPr>
          <w:rFonts w:hint="eastAsia"/>
          <w:highlight w:val="none"/>
        </w:rPr>
        <w:t>运输的风险特征</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101"/>
        <w:gridCol w:w="1275"/>
        <w:gridCol w:w="3996"/>
        <w:gridCol w:w="3256"/>
      </w:tblGrid>
      <w:tr w14:paraId="41B580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Align w:val="center"/>
          </w:tcPr>
          <w:p w14:paraId="4B83F5D3">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运输方式</w:t>
            </w:r>
          </w:p>
        </w:tc>
        <w:tc>
          <w:tcPr>
            <w:tcW w:w="662" w:type="pct"/>
            <w:vAlign w:val="center"/>
          </w:tcPr>
          <w:p w14:paraId="035D5966">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风险类型</w:t>
            </w:r>
          </w:p>
        </w:tc>
        <w:tc>
          <w:tcPr>
            <w:tcW w:w="2075" w:type="pct"/>
            <w:vAlign w:val="center"/>
          </w:tcPr>
          <w:p w14:paraId="19CEC16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危害</w:t>
            </w:r>
          </w:p>
        </w:tc>
        <w:tc>
          <w:tcPr>
            <w:tcW w:w="1691" w:type="pct"/>
            <w:vAlign w:val="center"/>
          </w:tcPr>
          <w:p w14:paraId="3A19FA32">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原因简析</w:t>
            </w:r>
          </w:p>
        </w:tc>
      </w:tr>
      <w:tr w14:paraId="01CF28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Merge w:val="restart"/>
            <w:vAlign w:val="center"/>
          </w:tcPr>
          <w:p w14:paraId="192DCB9A">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公路运输</w:t>
            </w:r>
          </w:p>
        </w:tc>
        <w:tc>
          <w:tcPr>
            <w:tcW w:w="662" w:type="pct"/>
            <w:vAlign w:val="center"/>
          </w:tcPr>
          <w:p w14:paraId="54E049FA">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泄露</w:t>
            </w:r>
          </w:p>
        </w:tc>
        <w:tc>
          <w:tcPr>
            <w:tcW w:w="2075" w:type="pct"/>
            <w:vAlign w:val="center"/>
          </w:tcPr>
          <w:p w14:paraId="1E8E93BF">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污染陆域</w:t>
            </w:r>
            <w:r>
              <w:rPr>
                <w:rFonts w:hint="eastAsia"/>
                <w:color w:val="auto"/>
                <w:highlight w:val="none"/>
              </w:rPr>
              <w:t>；</w:t>
            </w:r>
            <w:r>
              <w:rPr>
                <w:rFonts w:hint="default"/>
                <w:color w:val="auto"/>
                <w:highlight w:val="none"/>
              </w:rPr>
              <w:t>污染地表水</w:t>
            </w:r>
            <w:r>
              <w:rPr>
                <w:rFonts w:hint="eastAsia"/>
                <w:color w:val="auto"/>
                <w:highlight w:val="none"/>
              </w:rPr>
              <w:t>；</w:t>
            </w:r>
            <w:r>
              <w:rPr>
                <w:rFonts w:hint="default"/>
                <w:color w:val="auto"/>
                <w:highlight w:val="none"/>
              </w:rPr>
              <w:t>火灾、爆炸</w:t>
            </w:r>
          </w:p>
        </w:tc>
        <w:tc>
          <w:tcPr>
            <w:tcW w:w="1691" w:type="pct"/>
            <w:vAlign w:val="center"/>
          </w:tcPr>
          <w:p w14:paraId="7B0CE0F0">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碰撞、翻车</w:t>
            </w:r>
            <w:r>
              <w:rPr>
                <w:rFonts w:hint="eastAsia"/>
                <w:color w:val="auto"/>
                <w:highlight w:val="none"/>
              </w:rPr>
              <w:t>；</w:t>
            </w:r>
            <w:r>
              <w:rPr>
                <w:rFonts w:hint="default"/>
                <w:color w:val="auto"/>
                <w:highlight w:val="none"/>
              </w:rPr>
              <w:t>装卸设备故障</w:t>
            </w:r>
            <w:r>
              <w:rPr>
                <w:rFonts w:hint="eastAsia"/>
                <w:color w:val="auto"/>
                <w:highlight w:val="none"/>
              </w:rPr>
              <w:t>；</w:t>
            </w:r>
            <w:r>
              <w:rPr>
                <w:rFonts w:hint="default"/>
                <w:color w:val="auto"/>
                <w:highlight w:val="none"/>
              </w:rPr>
              <w:t>误操作</w:t>
            </w:r>
          </w:p>
        </w:tc>
      </w:tr>
      <w:tr w14:paraId="32EFDB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Merge w:val="continue"/>
            <w:vAlign w:val="center"/>
          </w:tcPr>
          <w:p w14:paraId="4970B721">
            <w:pPr>
              <w:pStyle w:val="126"/>
              <w:keepNext w:val="0"/>
              <w:keepLines w:val="0"/>
              <w:widowControl/>
              <w:suppressLineNumbers w:val="0"/>
              <w:spacing w:before="0" w:beforeAutospacing="0" w:after="0" w:afterAutospacing="0"/>
              <w:ind w:left="0" w:right="0"/>
              <w:rPr>
                <w:rFonts w:hint="default"/>
                <w:color w:val="auto"/>
                <w:highlight w:val="none"/>
              </w:rPr>
            </w:pPr>
          </w:p>
        </w:tc>
        <w:tc>
          <w:tcPr>
            <w:tcW w:w="662" w:type="pct"/>
            <w:vAlign w:val="center"/>
          </w:tcPr>
          <w:p w14:paraId="686A579E">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火灾爆炸</w:t>
            </w:r>
          </w:p>
        </w:tc>
        <w:tc>
          <w:tcPr>
            <w:tcW w:w="2075" w:type="pct"/>
            <w:vAlign w:val="center"/>
          </w:tcPr>
          <w:p w14:paraId="549FE868">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财产损失</w:t>
            </w:r>
            <w:r>
              <w:rPr>
                <w:rFonts w:hint="eastAsia"/>
                <w:color w:val="auto"/>
                <w:highlight w:val="none"/>
              </w:rPr>
              <w:t>；</w:t>
            </w:r>
            <w:r>
              <w:rPr>
                <w:rFonts w:hint="default"/>
                <w:color w:val="auto"/>
                <w:highlight w:val="none"/>
              </w:rPr>
              <w:t>人员伤亡</w:t>
            </w:r>
            <w:r>
              <w:rPr>
                <w:rFonts w:hint="eastAsia"/>
                <w:color w:val="auto"/>
                <w:highlight w:val="none"/>
              </w:rPr>
              <w:t>；</w:t>
            </w:r>
            <w:r>
              <w:rPr>
                <w:rFonts w:hint="default"/>
                <w:color w:val="auto"/>
                <w:highlight w:val="none"/>
              </w:rPr>
              <w:t>污染环境</w:t>
            </w:r>
          </w:p>
        </w:tc>
        <w:tc>
          <w:tcPr>
            <w:tcW w:w="1691" w:type="pct"/>
            <w:vAlign w:val="center"/>
          </w:tcPr>
          <w:p w14:paraId="408CF87A">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燃料泄漏</w:t>
            </w:r>
            <w:r>
              <w:rPr>
                <w:rFonts w:hint="eastAsia"/>
                <w:color w:val="auto"/>
                <w:highlight w:val="none"/>
              </w:rPr>
              <w:t>；</w:t>
            </w:r>
            <w:r>
              <w:rPr>
                <w:rFonts w:hint="default"/>
                <w:color w:val="auto"/>
                <w:highlight w:val="none"/>
              </w:rPr>
              <w:t>存在机械、高温、电气、化学火源</w:t>
            </w:r>
          </w:p>
        </w:tc>
      </w:tr>
    </w:tbl>
    <w:p w14:paraId="34A31A84">
      <w:pPr>
        <w:pStyle w:val="123"/>
        <w:keepNext w:val="0"/>
        <w:keepLines w:val="0"/>
        <w:pageBreakBefore w:val="0"/>
        <w:widowControl/>
        <w:kinsoku/>
        <w:wordWrap/>
        <w:overflowPunct/>
        <w:topLinePunct w:val="0"/>
        <w:autoSpaceDE/>
        <w:autoSpaceDN/>
        <w:bidi w:val="0"/>
        <w:adjustRightInd/>
        <w:snapToGrid/>
        <w:ind w:firstLine="482"/>
        <w:textAlignment w:val="auto"/>
        <w:outlineLvl w:val="9"/>
        <w:rPr>
          <w:highlight w:val="none"/>
          <w:lang w:eastAsia="zh-CN"/>
        </w:rPr>
      </w:pPr>
    </w:p>
    <w:p w14:paraId="04A2A607">
      <w:pPr>
        <w:pStyle w:val="123"/>
        <w:keepNext w:val="0"/>
        <w:keepLines w:val="0"/>
        <w:pageBreakBefore w:val="0"/>
        <w:widowControl/>
        <w:kinsoku/>
        <w:wordWrap/>
        <w:overflowPunct/>
        <w:topLinePunct w:val="0"/>
        <w:autoSpaceDE/>
        <w:autoSpaceDN/>
        <w:bidi w:val="0"/>
        <w:adjustRightInd/>
        <w:snapToGrid/>
        <w:ind w:firstLine="482"/>
        <w:textAlignment w:val="auto"/>
        <w:outlineLvl w:val="9"/>
        <w:rPr>
          <w:highlight w:val="none"/>
          <w:lang w:eastAsia="zh-CN"/>
        </w:rPr>
      </w:pPr>
      <w:r>
        <w:rPr>
          <w:highlight w:val="none"/>
          <w:lang w:eastAsia="zh-CN"/>
        </w:rPr>
        <w:t>交通事故引发的环境污染属于突发环境污染事故，其没有固定的排放方式和排放途径，事故发生的时间、地点、环境具有很大的不确定性，发生突然，在瞬时或短时间内大量的排出污染物质，易对环境造成污染。</w:t>
      </w:r>
    </w:p>
    <w:p w14:paraId="6AD4FE69">
      <w:pPr>
        <w:pStyle w:val="8"/>
        <w:keepNext/>
        <w:keepLines/>
        <w:pageBreakBefore w:val="0"/>
        <w:widowControl w:val="0"/>
        <w:kinsoku/>
        <w:wordWrap/>
        <w:overflowPunct/>
        <w:topLinePunct w:val="0"/>
        <w:autoSpaceDE/>
        <w:autoSpaceDN/>
        <w:bidi w:val="0"/>
        <w:adjustRightInd w:val="0"/>
        <w:snapToGrid w:val="0"/>
        <w:spacing w:before="0" w:after="0"/>
        <w:textAlignment w:val="auto"/>
        <w:outlineLvl w:val="2"/>
        <w:rPr>
          <w:sz w:val="24"/>
          <w:szCs w:val="24"/>
          <w:highlight w:val="none"/>
        </w:rPr>
      </w:pPr>
      <w:r>
        <w:rPr>
          <w:rFonts w:hint="eastAsia"/>
          <w:sz w:val="24"/>
          <w:szCs w:val="24"/>
          <w:highlight w:val="none"/>
          <w:lang w:val="en-US" w:eastAsia="zh-CN"/>
        </w:rPr>
        <w:t>4.4.5</w:t>
      </w:r>
      <w:r>
        <w:rPr>
          <w:sz w:val="24"/>
          <w:szCs w:val="24"/>
          <w:highlight w:val="none"/>
        </w:rPr>
        <w:t>事故连锁效应和事故重叠引发继发事故的可能性及后果</w:t>
      </w:r>
    </w:p>
    <w:p w14:paraId="0F8DF326">
      <w:pPr>
        <w:pStyle w:val="123"/>
        <w:keepNext w:val="0"/>
        <w:keepLines w:val="0"/>
        <w:pageBreakBefore w:val="0"/>
        <w:widowControl/>
        <w:kinsoku/>
        <w:wordWrap/>
        <w:overflowPunct/>
        <w:topLinePunct w:val="0"/>
        <w:autoSpaceDE/>
        <w:autoSpaceDN/>
        <w:bidi w:val="0"/>
        <w:adjustRightInd/>
        <w:snapToGrid/>
        <w:ind w:firstLine="482"/>
        <w:textAlignment w:val="auto"/>
        <w:outlineLvl w:val="9"/>
        <w:rPr>
          <w:highlight w:val="none"/>
          <w:lang w:eastAsia="zh-CN"/>
        </w:rPr>
      </w:pPr>
      <w:r>
        <w:rPr>
          <w:highlight w:val="none"/>
          <w:lang w:eastAsia="zh-CN"/>
        </w:rPr>
        <w:t>事故的连锁效应事故指突发性的事故引起上、下游连锁性的事故。</w:t>
      </w:r>
    </w:p>
    <w:p w14:paraId="62521150">
      <w:pPr>
        <w:pStyle w:val="123"/>
        <w:pageBreakBefore w:val="0"/>
        <w:kinsoku/>
        <w:wordWrap/>
        <w:overflowPunct/>
        <w:topLinePunct w:val="0"/>
        <w:autoSpaceDE/>
        <w:autoSpaceDN/>
        <w:bidi w:val="0"/>
        <w:textAlignment w:val="auto"/>
        <w:rPr>
          <w:highlight w:val="none"/>
          <w:lang w:eastAsia="zh-CN"/>
        </w:rPr>
      </w:pPr>
      <w:r>
        <w:rPr>
          <w:highlight w:val="none"/>
          <w:lang w:eastAsia="zh-CN"/>
        </w:rPr>
        <w:t>重叠引发事故指一个事故因</w:t>
      </w:r>
      <w:r>
        <w:rPr>
          <w:rFonts w:hint="eastAsia"/>
          <w:highlight w:val="none"/>
          <w:lang w:eastAsia="zh-CN"/>
        </w:rPr>
        <w:t>救</w:t>
      </w:r>
      <w:r>
        <w:rPr>
          <w:highlight w:val="none"/>
          <w:lang w:eastAsia="zh-CN"/>
        </w:rPr>
        <w:t>援不及时或措施不力，引发其它事故的重叠发生，如1个储桶着火，救火不及时或周围桶的降温阻火措施不力，其它桶将会发生多米诺效应，相继着火爆炸，事故状态失控。</w:t>
      </w:r>
    </w:p>
    <w:p w14:paraId="1719993F">
      <w:pPr>
        <w:pStyle w:val="123"/>
        <w:rPr>
          <w:rFonts w:hint="eastAsia" w:ascii="宋体" w:hAnsi="宋体" w:eastAsia="宋体" w:cs="宋体"/>
          <w:highlight w:val="none"/>
          <w:lang w:eastAsia="zh-CN"/>
        </w:rPr>
      </w:pPr>
      <w:r>
        <w:rPr>
          <w:rFonts w:hint="eastAsia" w:ascii="宋体" w:hAnsi="宋体" w:eastAsia="宋体" w:cs="宋体"/>
          <w:highlight w:val="none"/>
          <w:lang w:eastAsia="zh-CN"/>
        </w:rPr>
        <w:t>建设单位对相关装置的安全防火距离、消防设施设置符合相关设计规范可保证紧急状态下的消防要求。生产车间安装DCS系统，可确保事故状态下设备和物料的安全，并设有应急救援系统，使风险事故可以及时得到控制，避免事态恶性发展。</w:t>
      </w:r>
    </w:p>
    <w:p w14:paraId="2DA6A2F0">
      <w:pPr>
        <w:pStyle w:val="123"/>
        <w:rPr>
          <w:rFonts w:hint="default" w:eastAsia="宋体"/>
          <w:highlight w:val="none"/>
          <w:lang w:val="en-US" w:eastAsia="zh-CN"/>
        </w:rPr>
      </w:pPr>
      <w:r>
        <w:rPr>
          <w:rFonts w:hint="eastAsia" w:ascii="宋体" w:hAnsi="宋体" w:eastAsia="宋体" w:cs="宋体"/>
          <w:highlight w:val="none"/>
          <w:lang w:eastAsia="zh-CN"/>
        </w:rPr>
        <w:t>为防止和减少连锁效应的发生，企业还制定较为可靠的应急预案，一旦发生事故要及时反应、迅速出警、迅速完成事故的安全处置，同时根据功能分区布置，各功能区之间设环形通道，并与区域道路相连，有利于安全疏散和消防。</w:t>
      </w:r>
    </w:p>
    <w:p w14:paraId="17D80CAE">
      <w:pPr>
        <w:pStyle w:val="6"/>
        <w:pageBreakBefore w:val="0"/>
        <w:kinsoku/>
        <w:wordWrap/>
        <w:overflowPunct/>
        <w:topLinePunct w:val="0"/>
        <w:autoSpaceDE/>
        <w:autoSpaceDN/>
        <w:bidi w:val="0"/>
        <w:spacing w:beforeLines="0" w:afterLines="0"/>
        <w:textAlignment w:val="auto"/>
        <w:rPr>
          <w:rFonts w:ascii="Times New Roman" w:hAnsi="Times New Roman" w:cs="Times New Roman"/>
          <w:highlight w:val="none"/>
        </w:rPr>
      </w:pPr>
      <w:bookmarkStart w:id="74" w:name="_Toc3575"/>
      <w:r>
        <w:rPr>
          <w:rFonts w:hint="eastAsia" w:ascii="Times New Roman" w:hAnsi="Times New Roman" w:cs="Times New Roman"/>
          <w:highlight w:val="none"/>
          <w:lang w:val="en-US" w:eastAsia="zh-CN"/>
        </w:rPr>
        <w:t>5</w:t>
      </w:r>
      <w:r>
        <w:rPr>
          <w:rFonts w:ascii="Times New Roman" w:hAnsi="Times New Roman" w:cs="Times New Roman"/>
          <w:highlight w:val="none"/>
        </w:rPr>
        <w:t>现有环境风险</w:t>
      </w:r>
      <w:r>
        <w:rPr>
          <w:rFonts w:hint="eastAsia" w:ascii="Times New Roman" w:hAnsi="Times New Roman" w:cs="Times New Roman"/>
          <w:highlight w:val="none"/>
        </w:rPr>
        <w:t>防</w:t>
      </w:r>
      <w:r>
        <w:rPr>
          <w:rFonts w:ascii="Times New Roman" w:hAnsi="Times New Roman" w:cs="Times New Roman"/>
          <w:highlight w:val="none"/>
        </w:rPr>
        <w:t>控和应急措施差距分析</w:t>
      </w:r>
      <w:bookmarkEnd w:id="74"/>
    </w:p>
    <w:p w14:paraId="40813A98">
      <w:pPr>
        <w:pStyle w:val="7"/>
        <w:pageBreakBefore w:val="0"/>
        <w:kinsoku/>
        <w:wordWrap/>
        <w:overflowPunct/>
        <w:topLinePunct w:val="0"/>
        <w:autoSpaceDE/>
        <w:autoSpaceDN/>
        <w:bidi w:val="0"/>
        <w:spacing w:before="0" w:after="0"/>
        <w:textAlignment w:val="auto"/>
        <w:rPr>
          <w:rFonts w:cs="Times New Roman"/>
          <w:highlight w:val="none"/>
        </w:rPr>
      </w:pPr>
      <w:bookmarkStart w:id="75" w:name="_Toc17668"/>
      <w:r>
        <w:rPr>
          <w:rFonts w:hint="eastAsia" w:cs="Times New Roman"/>
          <w:highlight w:val="none"/>
          <w:lang w:val="en-US" w:eastAsia="zh-CN"/>
        </w:rPr>
        <w:t>5.1</w:t>
      </w:r>
      <w:r>
        <w:rPr>
          <w:rFonts w:cs="Times New Roman"/>
          <w:highlight w:val="none"/>
        </w:rPr>
        <w:t>环境风险管理制度</w:t>
      </w:r>
      <w:bookmarkEnd w:id="75"/>
    </w:p>
    <w:p w14:paraId="5CE07F95">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5.1.1</w:t>
      </w:r>
      <w:r>
        <w:rPr>
          <w:rFonts w:hint="eastAsia"/>
          <w:sz w:val="24"/>
          <w:szCs w:val="24"/>
          <w:highlight w:val="none"/>
        </w:rPr>
        <w:t>环境风险防控和应急措施制度建设情况</w:t>
      </w:r>
    </w:p>
    <w:p w14:paraId="424716BA">
      <w:pPr>
        <w:pStyle w:val="123"/>
        <w:pageBreakBefore w:val="0"/>
        <w:kinsoku/>
        <w:wordWrap/>
        <w:overflowPunct/>
        <w:topLinePunct w:val="0"/>
        <w:autoSpaceDE/>
        <w:autoSpaceDN/>
        <w:bidi w:val="0"/>
        <w:textAlignment w:val="auto"/>
        <w:rPr>
          <w:highlight w:val="none"/>
          <w:lang w:eastAsia="zh-CN"/>
        </w:rPr>
      </w:pPr>
      <w:r>
        <w:rPr>
          <w:highlight w:val="none"/>
          <w:lang w:eastAsia="zh-CN"/>
        </w:rPr>
        <w:t>（1）公司针对厂内环境风险单元编制了《突发环境事件应急预案》，建立了环境风险防控和应急措施制度，明确了环境风险防控重点岗位的责任机构。</w:t>
      </w:r>
      <w:r>
        <w:rPr>
          <w:rFonts w:hint="eastAsia"/>
          <w:highlight w:val="none"/>
          <w:lang w:eastAsia="zh-CN"/>
        </w:rPr>
        <w:t>但制度需要进一步完善</w:t>
      </w:r>
      <w:r>
        <w:rPr>
          <w:highlight w:val="none"/>
          <w:lang w:eastAsia="zh-CN"/>
        </w:rPr>
        <w:t>。</w:t>
      </w:r>
    </w:p>
    <w:p w14:paraId="2A0759AB">
      <w:pPr>
        <w:pStyle w:val="123"/>
        <w:pageBreakBefore w:val="0"/>
        <w:kinsoku/>
        <w:wordWrap/>
        <w:overflowPunct/>
        <w:topLinePunct w:val="0"/>
        <w:autoSpaceDE/>
        <w:autoSpaceDN/>
        <w:bidi w:val="0"/>
        <w:textAlignment w:val="auto"/>
        <w:rPr>
          <w:highlight w:val="none"/>
          <w:lang w:eastAsia="zh-CN"/>
        </w:rPr>
      </w:pPr>
      <w:r>
        <w:rPr>
          <w:highlight w:val="none"/>
          <w:lang w:eastAsia="zh-CN"/>
        </w:rPr>
        <w:t>（2）</w:t>
      </w:r>
      <w:r>
        <w:rPr>
          <w:rFonts w:hint="eastAsia"/>
          <w:highlight w:val="none"/>
          <w:lang w:eastAsia="zh-CN"/>
        </w:rPr>
        <w:t>应进一步明确环保责任人或责任机构，严格落实定期巡检和维护责任制度，加强环境安全的管控。</w:t>
      </w:r>
    </w:p>
    <w:p w14:paraId="6E61DBE3">
      <w:pPr>
        <w:pStyle w:val="123"/>
        <w:rPr>
          <w:highlight w:val="none"/>
          <w:lang w:eastAsia="zh-CN"/>
        </w:rPr>
      </w:pPr>
      <w:r>
        <w:rPr>
          <w:highlight w:val="none"/>
          <w:lang w:eastAsia="zh-CN"/>
        </w:rPr>
        <w:t>（3）在厂区内张贴应急救援机构和人员、风险物质危险特性、急救措施、风险事故内部疏散路线等标识牌。</w:t>
      </w:r>
    </w:p>
    <w:p w14:paraId="546136CF">
      <w:pPr>
        <w:pStyle w:val="123"/>
        <w:rPr>
          <w:highlight w:val="none"/>
          <w:lang w:eastAsia="zh-CN"/>
        </w:rPr>
      </w:pPr>
      <w:r>
        <w:rPr>
          <w:highlight w:val="none"/>
          <w:lang w:eastAsia="zh-CN"/>
        </w:rPr>
        <w:t>（</w:t>
      </w:r>
      <w:r>
        <w:rPr>
          <w:rFonts w:hint="eastAsia"/>
          <w:highlight w:val="none"/>
          <w:lang w:eastAsia="zh-CN"/>
        </w:rPr>
        <w:t>4</w:t>
      </w:r>
      <w:r>
        <w:rPr>
          <w:highlight w:val="none"/>
          <w:lang w:eastAsia="zh-CN"/>
        </w:rPr>
        <w:t>）</w:t>
      </w:r>
      <w:r>
        <w:rPr>
          <w:rFonts w:hint="eastAsia"/>
          <w:highlight w:val="none"/>
          <w:lang w:eastAsia="zh-CN"/>
        </w:rPr>
        <w:t>本公司环评及批复文件的各项环境风险防控和应急措施已按要求进行了落实。</w:t>
      </w:r>
    </w:p>
    <w:p w14:paraId="7CA7122E">
      <w:pPr>
        <w:pStyle w:val="123"/>
        <w:rPr>
          <w:highlight w:val="none"/>
          <w:lang w:eastAsia="zh-CN"/>
        </w:rPr>
      </w:pPr>
      <w:r>
        <w:rPr>
          <w:highlight w:val="none"/>
          <w:lang w:eastAsia="zh-CN"/>
        </w:rPr>
        <w:t>（</w:t>
      </w:r>
      <w:r>
        <w:rPr>
          <w:rFonts w:hint="eastAsia"/>
          <w:highlight w:val="none"/>
          <w:lang w:eastAsia="zh-CN"/>
        </w:rPr>
        <w:t>5</w:t>
      </w:r>
      <w:r>
        <w:rPr>
          <w:highlight w:val="none"/>
          <w:lang w:eastAsia="zh-CN"/>
        </w:rPr>
        <w:t>）</w:t>
      </w:r>
      <w:r>
        <w:rPr>
          <w:rFonts w:hint="eastAsia"/>
          <w:highlight w:val="none"/>
          <w:lang w:eastAsia="zh-CN"/>
        </w:rPr>
        <w:t>企业建立了突发环境事件信息报告制度，应严格执行</w:t>
      </w:r>
    </w:p>
    <w:p w14:paraId="0EDA38B2">
      <w:pPr>
        <w:pStyle w:val="8"/>
        <w:keepNext/>
        <w:keepLines/>
        <w:pageBreakBefore w:val="0"/>
        <w:widowControl w:val="0"/>
        <w:kinsoku/>
        <w:wordWrap/>
        <w:overflowPunct/>
        <w:topLinePunct w:val="0"/>
        <w:autoSpaceDE/>
        <w:autoSpaceDN/>
        <w:bidi w:val="0"/>
        <w:adjustRightInd w:val="0"/>
        <w:snapToGrid w:val="0"/>
        <w:textAlignment w:val="auto"/>
        <w:outlineLvl w:val="2"/>
        <w:rPr>
          <w:sz w:val="24"/>
          <w:szCs w:val="24"/>
          <w:highlight w:val="none"/>
        </w:rPr>
      </w:pPr>
      <w:r>
        <w:rPr>
          <w:rFonts w:hint="eastAsia"/>
          <w:sz w:val="24"/>
          <w:szCs w:val="24"/>
          <w:highlight w:val="none"/>
          <w:lang w:val="en-US" w:eastAsia="zh-CN"/>
        </w:rPr>
        <w:t>5.1.2</w:t>
      </w:r>
      <w:r>
        <w:rPr>
          <w:rFonts w:hint="eastAsia"/>
          <w:sz w:val="24"/>
          <w:szCs w:val="24"/>
          <w:highlight w:val="none"/>
        </w:rPr>
        <w:t>职工环境风险和应急管理的宣传与培训</w:t>
      </w:r>
    </w:p>
    <w:p w14:paraId="72103867">
      <w:pPr>
        <w:pStyle w:val="123"/>
        <w:rPr>
          <w:highlight w:val="none"/>
          <w:lang w:eastAsia="zh-CN"/>
        </w:rPr>
      </w:pPr>
      <w:r>
        <w:rPr>
          <w:rFonts w:hint="eastAsia"/>
          <w:highlight w:val="none"/>
          <w:lang w:eastAsia="zh-CN"/>
        </w:rPr>
        <w:t>当前，突发环境事件仍呈高发态势，社会危害及影响明显加大。全国平均两天发生一起时间，有时一天同时处理七起以上事件，事件一般持续</w:t>
      </w:r>
      <w:r>
        <w:rPr>
          <w:highlight w:val="none"/>
          <w:lang w:eastAsia="zh-CN"/>
        </w:rPr>
        <w:t>2-3个月。而本公司尚未对职工进行过专门的宣传与培训。</w:t>
      </w:r>
    </w:p>
    <w:p w14:paraId="7C6BC513">
      <w:pPr>
        <w:pStyle w:val="123"/>
        <w:rPr>
          <w:highlight w:val="none"/>
          <w:lang w:eastAsia="zh-CN"/>
        </w:rPr>
      </w:pPr>
      <w:r>
        <w:rPr>
          <w:rFonts w:hint="eastAsia"/>
          <w:highlight w:val="none"/>
          <w:lang w:eastAsia="zh-CN"/>
        </w:rPr>
        <w:t>本公司应加强宣传及培训，包括环境应急管理“一案三制”，“一案”是指突发环境事件应急预案，“三制”是指环境应急管理机制、环境应急运行体制、环境应急法制。应急管理体制主要指建立健全集中统一、坚强有力、政令畅通的指挥机构；运行机制主要指建立健全监测预警机制、应急信息报告机制、应急决策和协调机制；而法制建设方面，主要通过依法行政，努力使突发公共事件的应急处置逐步走上规范化、制度化和法制化轨道。</w:t>
      </w:r>
    </w:p>
    <w:p w14:paraId="3E92FF91">
      <w:pPr>
        <w:pStyle w:val="123"/>
        <w:pageBreakBefore w:val="0"/>
        <w:numPr>
          <w:ilvl w:val="0"/>
          <w:numId w:val="0"/>
        </w:numPr>
        <w:kinsoku/>
        <w:wordWrap/>
        <w:overflowPunct/>
        <w:topLinePunct w:val="0"/>
        <w:autoSpaceDE/>
        <w:autoSpaceDN/>
        <w:bidi w:val="0"/>
        <w:ind w:left="482" w:leftChars="0"/>
        <w:textAlignment w:val="auto"/>
        <w:rPr>
          <w:rFonts w:hint="eastAsia"/>
          <w:lang w:eastAsia="zh-CN"/>
        </w:rPr>
      </w:pPr>
      <w:r>
        <w:rPr>
          <w:rFonts w:hint="eastAsia"/>
          <w:highlight w:val="none"/>
          <w:lang w:eastAsia="zh-CN"/>
        </w:rPr>
        <w:t>企业还应加强法律法规的宣传与培训，包括：</w:t>
      </w:r>
      <w:r>
        <w:rPr>
          <w:rFonts w:hint="eastAsia"/>
          <w:lang w:eastAsia="zh-CN"/>
        </w:rPr>
        <w:t>《中华人民共和国环境保护法》（中华</w:t>
      </w:r>
    </w:p>
    <w:p w14:paraId="722F57C0">
      <w:pPr>
        <w:pStyle w:val="123"/>
        <w:pageBreakBefore w:val="0"/>
        <w:numPr>
          <w:ilvl w:val="0"/>
          <w:numId w:val="0"/>
        </w:numPr>
        <w:kinsoku/>
        <w:wordWrap/>
        <w:overflowPunct/>
        <w:topLinePunct w:val="0"/>
        <w:autoSpaceDE/>
        <w:autoSpaceDN/>
        <w:bidi w:val="0"/>
        <w:textAlignment w:val="auto"/>
        <w:rPr>
          <w:highlight w:val="none"/>
          <w:lang w:eastAsia="zh-CN"/>
        </w:rPr>
      </w:pPr>
      <w:r>
        <w:rPr>
          <w:rFonts w:hint="eastAsia"/>
          <w:lang w:eastAsia="zh-CN"/>
        </w:rPr>
        <w:t>人名共和国主席令</w:t>
      </w:r>
      <w:r>
        <w:rPr>
          <w:lang w:eastAsia="zh-CN"/>
        </w:rPr>
        <w:t xml:space="preserve"> 第九号） 2014年4月24日；</w:t>
      </w:r>
      <w:r>
        <w:rPr>
          <w:rFonts w:hint="eastAsia" w:ascii="宋体" w:hAnsi="宋体" w:eastAsia="宋体" w:cs="宋体"/>
          <w:color w:val="000000" w:themeColor="text1"/>
          <w:sz w:val="24"/>
          <w:szCs w:val="24"/>
          <w:lang w:eastAsia="zh-CN"/>
          <w14:textFill>
            <w14:solidFill>
              <w14:schemeClr w14:val="tx1"/>
            </w14:solidFill>
          </w14:textFill>
        </w:rPr>
        <w:t>《中华人民共和国突发事件应对法》，</w:t>
      </w:r>
      <w:r>
        <w:rPr>
          <w:rFonts w:hint="eastAsia" w:ascii="宋体" w:hAnsi="宋体" w:cs="宋体"/>
          <w:color w:val="000000" w:themeColor="text1"/>
          <w:sz w:val="24"/>
          <w:szCs w:val="24"/>
          <w:lang w:val="en-US" w:eastAsia="zh-CN"/>
          <w14:textFill>
            <w14:solidFill>
              <w14:schemeClr w14:val="tx1"/>
            </w14:solidFill>
          </w14:textFill>
        </w:rPr>
        <w:t>2024年6月28日修订</w:t>
      </w:r>
      <w:r>
        <w:rPr>
          <w:rFonts w:hint="eastAsia" w:ascii="宋体" w:hAnsi="宋体" w:eastAsia="宋体" w:cs="宋体"/>
          <w:color w:val="000000" w:themeColor="text1"/>
          <w:sz w:val="24"/>
          <w:szCs w:val="24"/>
          <w:lang w:eastAsia="zh-CN"/>
          <w14:textFill>
            <w14:solidFill>
              <w14:schemeClr w14:val="tx1"/>
            </w14:solidFill>
          </w14:textFill>
        </w:rPr>
        <w:t>；</w:t>
      </w:r>
      <w:r>
        <w:rPr>
          <w:lang w:eastAsia="zh-CN"/>
        </w:rPr>
        <w:t>突发环境事件信息报告方法》（环境保护部令第17号），2011年5月1日；《环境污染事故应急预案编制技术指南》（2008年6月）；《环境保护行政主管部门突发环境事件信息报告办法》；</w:t>
      </w:r>
      <w:r>
        <w:rPr>
          <w:rFonts w:hint="eastAsia" w:ascii="宋体" w:hAnsi="宋体" w:eastAsia="宋体" w:cs="宋体"/>
          <w:color w:val="auto"/>
          <w:sz w:val="24"/>
          <w:szCs w:val="24"/>
          <w:lang w:eastAsia="zh-CN"/>
        </w:rPr>
        <w:t>《国家突发环境事件应急预案》（国办函[2014]119号）</w:t>
      </w:r>
      <w:r>
        <w:rPr>
          <w:rFonts w:hint="eastAsia" w:ascii="宋体" w:hAnsi="宋体" w:cs="宋体"/>
          <w:color w:val="auto"/>
          <w:sz w:val="24"/>
          <w:szCs w:val="24"/>
          <w:lang w:eastAsia="zh-CN"/>
        </w:rPr>
        <w:t>等。</w:t>
      </w:r>
    </w:p>
    <w:p w14:paraId="39B74938">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5.1.3</w:t>
      </w:r>
      <w:r>
        <w:rPr>
          <w:rFonts w:hint="eastAsia"/>
          <w:sz w:val="24"/>
          <w:szCs w:val="24"/>
          <w:highlight w:val="none"/>
        </w:rPr>
        <w:t>突发环境事件信息报告制度及执行情况</w:t>
      </w:r>
    </w:p>
    <w:p w14:paraId="078A074B">
      <w:pPr>
        <w:pStyle w:val="123"/>
        <w:pageBreakBefore w:val="0"/>
        <w:kinsoku/>
        <w:wordWrap/>
        <w:overflowPunct/>
        <w:topLinePunct w:val="0"/>
        <w:autoSpaceDE/>
        <w:autoSpaceDN/>
        <w:bidi w:val="0"/>
        <w:textAlignment w:val="auto"/>
        <w:rPr>
          <w:highlight w:val="none"/>
          <w:lang w:eastAsia="zh-CN"/>
        </w:rPr>
      </w:pPr>
      <w:r>
        <w:rPr>
          <w:rFonts w:hint="eastAsia"/>
          <w:highlight w:val="none"/>
          <w:lang w:eastAsia="zh-CN"/>
        </w:rPr>
        <w:t>本公司已建立突发环境事件信息报告制度。并在得知突发环境风险事件发生后，由安全环保部对突发环境事故的性质和类别做出初步认定，并把初步认定的情况及时上报，不得瞒报、慌报或故意拖延不报。</w:t>
      </w:r>
    </w:p>
    <w:p w14:paraId="6699A590">
      <w:pPr>
        <w:pStyle w:val="123"/>
        <w:rPr>
          <w:highlight w:val="none"/>
          <w:lang w:eastAsia="zh-CN"/>
        </w:rPr>
      </w:pPr>
      <w:r>
        <w:rPr>
          <w:highlight w:val="none"/>
          <w:lang w:eastAsia="zh-CN"/>
        </w:rPr>
        <w:t>1）报告形式有口头、电话、书面报告；</w:t>
      </w:r>
    </w:p>
    <w:p w14:paraId="107E1765">
      <w:pPr>
        <w:pStyle w:val="123"/>
        <w:rPr>
          <w:highlight w:val="none"/>
          <w:lang w:eastAsia="zh-CN"/>
        </w:rPr>
      </w:pPr>
      <w:r>
        <w:rPr>
          <w:highlight w:val="none"/>
          <w:lang w:eastAsia="zh-CN"/>
        </w:rPr>
        <w:t>2）突发环境风险事故的报告分初报、续报和处理结果报告三类；初报从发现事件后</w:t>
      </w:r>
      <w:r>
        <w:rPr>
          <w:rFonts w:hint="eastAsia"/>
          <w:highlight w:val="none"/>
          <w:lang w:eastAsia="zh-CN"/>
        </w:rPr>
        <w:t>立即</w:t>
      </w:r>
      <w:r>
        <w:rPr>
          <w:highlight w:val="none"/>
          <w:lang w:eastAsia="zh-CN"/>
        </w:rPr>
        <w:t>上报；续报在查清有关基本情况后随时上报；处理结果报告在事件处理完毕后立即上报。</w:t>
      </w:r>
    </w:p>
    <w:p w14:paraId="05784F47">
      <w:pPr>
        <w:pStyle w:val="123"/>
        <w:rPr>
          <w:highlight w:val="none"/>
          <w:lang w:eastAsia="zh-CN"/>
        </w:rPr>
      </w:pPr>
      <w:r>
        <w:rPr>
          <w:rFonts w:hint="eastAsia"/>
          <w:highlight w:val="none"/>
          <w:lang w:eastAsia="zh-CN"/>
        </w:rPr>
        <w:t>初报在发现和得知突发环境风险事故后上报，通常采用电话直接报告，主要内容包括：突发环境风险事故的类型、发生时间、发生地点、初步原因、主要污染物和数量、人员受害情况、事件潜在危害程度等初步情况。</w:t>
      </w:r>
    </w:p>
    <w:p w14:paraId="732A7572">
      <w:pPr>
        <w:pStyle w:val="123"/>
        <w:rPr>
          <w:highlight w:val="none"/>
          <w:lang w:eastAsia="zh-CN"/>
        </w:rPr>
      </w:pPr>
      <w:r>
        <w:rPr>
          <w:rFonts w:hint="eastAsia"/>
          <w:highlight w:val="none"/>
          <w:lang w:eastAsia="zh-CN"/>
        </w:rPr>
        <w:t>续报在查清有关基本情况后随时上报、通常通过书面报告，视突发环境风险事故进展情况可一次或多次报告、在初报的基础上报告突发环境风险事故有关确切数据、发生的原因、过程、进展情况、危害程度及采取的应急措施、措施效果等基本情况。</w:t>
      </w:r>
    </w:p>
    <w:p w14:paraId="7563E439">
      <w:pPr>
        <w:pStyle w:val="123"/>
        <w:rPr>
          <w:highlight w:val="none"/>
          <w:lang w:eastAsia="zh-CN"/>
        </w:rPr>
      </w:pPr>
      <w:r>
        <w:rPr>
          <w:rFonts w:hint="eastAsia"/>
          <w:highlight w:val="none"/>
          <w:lang w:eastAsia="zh-CN"/>
        </w:rPr>
        <w:t>处理结果报告在突发环境事故处理完毕后上报。通常采用书面报告，处理结果报告在初报和续报的基础上，报告处理突发环境风险事故的措施、过程和结果，突发环境风险事故潜在或间接的危害及损失、社会影响、处理后的溢流问题、责任追究等详细情况。</w:t>
      </w:r>
    </w:p>
    <w:p w14:paraId="55E9DEE4">
      <w:pPr>
        <w:pStyle w:val="123"/>
        <w:rPr>
          <w:highlight w:val="none"/>
          <w:lang w:eastAsia="zh-CN"/>
        </w:rPr>
      </w:pPr>
      <w:r>
        <w:rPr>
          <w:highlight w:val="none"/>
          <w:lang w:eastAsia="zh-CN"/>
        </w:rPr>
        <w:t>3）发生或即将发生突发环境风险事故的信息得到核实后，公司应急人员应当立即赶赴现场调查了解情况，组织指挥有关人员进行先期处置，采取措施努力控制污染和生态破坏事故继续扩大。</w:t>
      </w:r>
    </w:p>
    <w:p w14:paraId="45677FC1">
      <w:pPr>
        <w:pStyle w:val="7"/>
        <w:spacing w:before="120"/>
        <w:rPr>
          <w:rFonts w:cs="Times New Roman"/>
          <w:highlight w:val="none"/>
        </w:rPr>
      </w:pPr>
      <w:bookmarkStart w:id="76" w:name="_Toc10288"/>
      <w:r>
        <w:rPr>
          <w:rFonts w:hint="eastAsia" w:cs="Times New Roman"/>
          <w:highlight w:val="none"/>
          <w:lang w:val="en-US" w:eastAsia="zh-CN"/>
        </w:rPr>
        <w:t>5.2</w:t>
      </w:r>
      <w:r>
        <w:rPr>
          <w:rFonts w:cs="Times New Roman"/>
          <w:highlight w:val="none"/>
        </w:rPr>
        <w:t>环境风险防控与应急措施差距分析</w:t>
      </w:r>
      <w:bookmarkEnd w:id="76"/>
    </w:p>
    <w:p w14:paraId="632EF301">
      <w:pPr>
        <w:pStyle w:val="123"/>
        <w:rPr>
          <w:highlight w:val="none"/>
          <w:lang w:eastAsia="zh-CN"/>
        </w:rPr>
      </w:pPr>
      <w:r>
        <w:rPr>
          <w:highlight w:val="none"/>
          <w:lang w:eastAsia="zh-CN"/>
        </w:rPr>
        <w:t>企业现有环境风险防控和应急措施差距分析一览见</w:t>
      </w:r>
      <w:r>
        <w:rPr>
          <w:highlight w:val="none"/>
          <w:lang w:eastAsia="zh-CN"/>
        </w:rPr>
        <w:fldChar w:fldCharType="begin"/>
      </w:r>
      <w:r>
        <w:rPr>
          <w:highlight w:val="none"/>
          <w:lang w:eastAsia="zh-CN"/>
        </w:rPr>
        <w:instrText xml:space="preserve"> REF _Ref95230050 \h  \* MERGEFORMAT </w:instrText>
      </w:r>
      <w:r>
        <w:rPr>
          <w:highlight w:val="none"/>
          <w:lang w:eastAsia="zh-CN"/>
        </w:rPr>
        <w:fldChar w:fldCharType="separate"/>
      </w:r>
      <w:r>
        <w:rPr>
          <w:highlight w:val="none"/>
          <w:lang w:eastAsia="zh-CN"/>
        </w:rPr>
        <w:t>表5.2</w:t>
      </w:r>
      <w:r>
        <w:rPr>
          <w:highlight w:val="none"/>
          <w:lang w:eastAsia="zh-CN"/>
        </w:rPr>
        <w:noBreakHyphen/>
      </w:r>
      <w:r>
        <w:rPr>
          <w:highlight w:val="none"/>
          <w:lang w:eastAsia="zh-CN"/>
        </w:rPr>
        <w:t>1</w:t>
      </w:r>
      <w:r>
        <w:rPr>
          <w:highlight w:val="none"/>
          <w:lang w:eastAsia="zh-CN"/>
        </w:rPr>
        <w:fldChar w:fldCharType="end"/>
      </w:r>
      <w:r>
        <w:rPr>
          <w:highlight w:val="none"/>
          <w:lang w:eastAsia="zh-CN"/>
        </w:rPr>
        <w:t>。</w:t>
      </w:r>
    </w:p>
    <w:p w14:paraId="082E598F">
      <w:pPr>
        <w:pStyle w:val="127"/>
        <w:spacing w:before="72" w:after="48"/>
        <w:rPr>
          <w:highlight w:val="none"/>
        </w:rPr>
      </w:pPr>
      <w:r>
        <w:rPr>
          <w:highlight w:val="none"/>
        </w:rPr>
        <w:t>表</w:t>
      </w:r>
      <w:r>
        <w:rPr>
          <w:highlight w:val="none"/>
        </w:rPr>
        <w:fldChar w:fldCharType="begin"/>
      </w:r>
      <w:r>
        <w:rPr>
          <w:highlight w:val="none"/>
        </w:rPr>
        <w:instrText xml:space="preserve"> STYLEREF 2 \s </w:instrText>
      </w:r>
      <w:r>
        <w:rPr>
          <w:highlight w:val="none"/>
        </w:rPr>
        <w:fldChar w:fldCharType="separate"/>
      </w:r>
      <w:r>
        <w:rPr>
          <w:highlight w:val="none"/>
        </w:rPr>
        <w:t>5.2</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1</w:t>
      </w:r>
      <w:r>
        <w:rPr>
          <w:highlight w:val="none"/>
        </w:rPr>
        <w:fldChar w:fldCharType="end"/>
      </w:r>
      <w:r>
        <w:rPr>
          <w:highlight w:val="none"/>
        </w:rPr>
        <w:t xml:space="preserve"> 企业现有环境风险防控和应急措施差距分析一览表</w:t>
      </w:r>
    </w:p>
    <w:tbl>
      <w:tblPr>
        <w:tblStyle w:val="34"/>
        <w:tblW w:w="93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9"/>
        <w:gridCol w:w="5845"/>
        <w:gridCol w:w="2230"/>
      </w:tblGrid>
      <w:tr w14:paraId="6B57C0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Align w:val="center"/>
          </w:tcPr>
          <w:p w14:paraId="4CF3C45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评估指标</w:t>
            </w:r>
          </w:p>
        </w:tc>
        <w:tc>
          <w:tcPr>
            <w:tcW w:w="5845" w:type="dxa"/>
            <w:vAlign w:val="center"/>
          </w:tcPr>
          <w:p w14:paraId="5EF01BC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2230" w:type="dxa"/>
            <w:vAlign w:val="center"/>
          </w:tcPr>
          <w:p w14:paraId="478DEAC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r>
      <w:tr w14:paraId="1B2608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4AA302D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5845" w:type="dxa"/>
            <w:vAlign w:val="center"/>
          </w:tcPr>
          <w:p w14:paraId="5895E73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01DAF5B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479EF04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2230" w:type="dxa"/>
            <w:vMerge w:val="restart"/>
            <w:vAlign w:val="center"/>
          </w:tcPr>
          <w:p w14:paraId="2699BC3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cs="Times New Roman"/>
                <w:color w:val="auto"/>
                <w:szCs w:val="21"/>
                <w:highlight w:val="none"/>
              </w:rPr>
              <w:t>。</w:t>
            </w:r>
          </w:p>
          <w:p w14:paraId="0A5050D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23952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182DE9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51A7E40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2230" w:type="dxa"/>
            <w:vMerge w:val="continue"/>
            <w:vAlign w:val="center"/>
          </w:tcPr>
          <w:p w14:paraId="4BA0C52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C5724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78ADB6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5845" w:type="dxa"/>
            <w:vAlign w:val="center"/>
          </w:tcPr>
          <w:p w14:paraId="34DA706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56A318C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12DD752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2230" w:type="dxa"/>
            <w:vMerge w:val="restart"/>
            <w:vAlign w:val="center"/>
          </w:tcPr>
          <w:p w14:paraId="34E145C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w:t>
            </w:r>
            <w:r>
              <w:rPr>
                <w:rFonts w:hint="default" w:ascii="Times New Roman" w:hAnsi="Times New Roman" w:cs="Times New Roman"/>
                <w:color w:val="auto"/>
                <w:kern w:val="0"/>
                <w:sz w:val="21"/>
                <w:szCs w:val="21"/>
                <w:highlight w:val="none"/>
                <w:lang w:val="en-US" w:eastAsia="zh-CN"/>
              </w:rPr>
              <w:t>2</w:t>
            </w:r>
            <w:r>
              <w:rPr>
                <w:rFonts w:hint="default" w:ascii="Times New Roman" w:hAnsi="Times New Roman" w:cs="Times New Roman"/>
                <w:color w:val="auto"/>
                <w:kern w:val="0"/>
                <w:sz w:val="21"/>
                <w:szCs w:val="21"/>
                <w:highlight w:val="none"/>
              </w:rPr>
              <w:t>个（有效</w:t>
            </w:r>
            <w:r>
              <w:rPr>
                <w:rFonts w:hint="default" w:ascii="Times New Roman" w:hAnsi="Times New Roman" w:cs="Times New Roman"/>
                <w:color w:val="auto"/>
                <w:sz w:val="21"/>
                <w:szCs w:val="21"/>
                <w:highlight w:val="none"/>
              </w:rPr>
              <w:t>容积</w:t>
            </w:r>
            <w:r>
              <w:rPr>
                <w:rFonts w:hint="eastAsia" w:cs="Times New Roman"/>
                <w:color w:val="auto"/>
                <w:sz w:val="21"/>
                <w:szCs w:val="21"/>
                <w:highlight w:val="none"/>
                <w:lang w:eastAsia="zh-CN"/>
              </w:rPr>
              <w:t>分别为</w:t>
            </w:r>
            <w:r>
              <w:rPr>
                <w:rFonts w:hint="default" w:ascii="Times New Roman" w:hAnsi="Times New Roman" w:cs="Times New Roman"/>
                <w:color w:val="auto"/>
                <w:sz w:val="21"/>
                <w:szCs w:val="21"/>
                <w:highlight w:val="none"/>
                <w:lang w:val="en-US" w:eastAsia="zh-CN"/>
              </w:rPr>
              <w:t>50</w:t>
            </w:r>
            <w:r>
              <w:rPr>
                <w:rFonts w:hint="default" w:ascii="Times New Roman" w:hAnsi="Times New Roman" w:cs="Times New Roman"/>
                <w:color w:val="auto"/>
                <w:sz w:val="21"/>
                <w:szCs w:val="21"/>
                <w:highlight w:val="none"/>
              </w:rPr>
              <w:t>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240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r>
              <w:rPr>
                <w:rFonts w:hint="default" w:ascii="Times New Roman" w:hAnsi="Times New Roman" w:cs="Times New Roman"/>
                <w:color w:val="auto"/>
                <w:szCs w:val="21"/>
                <w:highlight w:val="none"/>
              </w:rPr>
              <w:t>。</w:t>
            </w:r>
          </w:p>
          <w:p w14:paraId="18DC124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43DF9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1894F22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0F577D8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2230" w:type="dxa"/>
            <w:vMerge w:val="continue"/>
            <w:vAlign w:val="center"/>
          </w:tcPr>
          <w:p w14:paraId="03AFBB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C8BCE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12549A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5845" w:type="dxa"/>
            <w:vAlign w:val="center"/>
          </w:tcPr>
          <w:p w14:paraId="326074C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0412B11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1CC6D92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007DE1B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0267A58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62DD0C1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6434162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2230" w:type="dxa"/>
            <w:vMerge w:val="restart"/>
            <w:vAlign w:val="center"/>
          </w:tcPr>
          <w:p w14:paraId="22D0914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采用雨污分流制，初期雨水通过导排系统排入2个初期雨水收集池，然后分批泵送至</w:t>
            </w:r>
            <w:r>
              <w:rPr>
                <w:rFonts w:hint="default" w:ascii="Times New Roman" w:hAnsi="Times New Roman" w:cs="Times New Roman"/>
                <w:color w:val="auto"/>
                <w:szCs w:val="21"/>
                <w:highlight w:val="none"/>
                <w:lang w:eastAsia="zh-CN"/>
              </w:rPr>
              <w:t>山东隆盛和助剂有限公司</w:t>
            </w:r>
            <w:r>
              <w:rPr>
                <w:rFonts w:hint="default" w:ascii="Times New Roman" w:hAnsi="Times New Roman" w:eastAsia="宋体" w:cs="Times New Roman"/>
                <w:color w:val="auto"/>
                <w:szCs w:val="21"/>
                <w:highlight w:val="none"/>
                <w:lang w:eastAsia="zh-CN"/>
              </w:rPr>
              <w:t>污水处理站处理，处理达标后排入齐鲁石化供排水厂进行深度处理。</w:t>
            </w:r>
          </w:p>
          <w:p w14:paraId="0E7F92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63AD0D3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6A0B7D8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6B7BC8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7FA814A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6C7C261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2230" w:type="dxa"/>
            <w:vMerge w:val="continue"/>
            <w:vAlign w:val="center"/>
          </w:tcPr>
          <w:p w14:paraId="775906B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A5246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7216A1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5845" w:type="dxa"/>
            <w:vAlign w:val="center"/>
          </w:tcPr>
          <w:p w14:paraId="5D554A9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66BD3EE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5785ED0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60E488F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2230" w:type="dxa"/>
            <w:vMerge w:val="restart"/>
            <w:vAlign w:val="center"/>
          </w:tcPr>
          <w:p w14:paraId="71B7F40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需设置初期雨水收集池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136C9D1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2E15F36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78CE11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359F89E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7545467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2230" w:type="dxa"/>
            <w:vMerge w:val="continue"/>
            <w:vAlign w:val="center"/>
          </w:tcPr>
          <w:p w14:paraId="205FCF5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9CAF1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7E4FE01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5845" w:type="dxa"/>
            <w:vAlign w:val="center"/>
          </w:tcPr>
          <w:p w14:paraId="252FC84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373E774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5ABF75E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37A1B44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38F206F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5BA6881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2230" w:type="dxa"/>
            <w:vMerge w:val="restart"/>
            <w:vAlign w:val="center"/>
          </w:tcPr>
          <w:p w14:paraId="161520F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7E9D924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r>
      <w:tr w14:paraId="19EDBE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621308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0B9D89C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2230" w:type="dxa"/>
            <w:vMerge w:val="continue"/>
            <w:vAlign w:val="center"/>
          </w:tcPr>
          <w:p w14:paraId="06EA9AB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32CE2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0FB303A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5845" w:type="dxa"/>
            <w:vAlign w:val="center"/>
          </w:tcPr>
          <w:p w14:paraId="4E5D7BC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2230" w:type="dxa"/>
            <w:vMerge w:val="restart"/>
            <w:vAlign w:val="center"/>
          </w:tcPr>
          <w:p w14:paraId="4EE4836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tc>
      </w:tr>
      <w:tr w14:paraId="2739CE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59CEA7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611BEF5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26BBC64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（2）进入工业废水集中处理厂；或</w:t>
            </w:r>
          </w:p>
          <w:p w14:paraId="4298542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2230" w:type="dxa"/>
            <w:vMerge w:val="continue"/>
            <w:vAlign w:val="center"/>
          </w:tcPr>
          <w:p w14:paraId="2AFAB23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88DAE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2D40BD2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067C87A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2B3334D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388D295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3BEE517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2230" w:type="dxa"/>
            <w:vMerge w:val="continue"/>
            <w:vAlign w:val="center"/>
          </w:tcPr>
          <w:p w14:paraId="2430F14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F610B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533841A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4D0B0A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5845" w:type="dxa"/>
            <w:vAlign w:val="center"/>
          </w:tcPr>
          <w:p w14:paraId="5AA2961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000C854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2230" w:type="dxa"/>
            <w:vMerge w:val="restart"/>
            <w:vAlign w:val="center"/>
          </w:tcPr>
          <w:p w14:paraId="6598BC1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危险废物分区贮存、运输、利用、处置具有完善的专业设施和风险防控措施</w:t>
            </w:r>
          </w:p>
        </w:tc>
      </w:tr>
      <w:tr w14:paraId="6F451F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756999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43DEC84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2230" w:type="dxa"/>
            <w:vMerge w:val="continue"/>
            <w:vAlign w:val="center"/>
          </w:tcPr>
          <w:p w14:paraId="178959A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3CDB2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37AD3FE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5845" w:type="dxa"/>
            <w:vAlign w:val="center"/>
          </w:tcPr>
          <w:p w14:paraId="3452AEE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2230" w:type="dxa"/>
            <w:vMerge w:val="restart"/>
            <w:vAlign w:val="center"/>
          </w:tcPr>
          <w:p w14:paraId="47C2F3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r>
      <w:tr w14:paraId="584072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3B7C2E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112AB3D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2230" w:type="dxa"/>
            <w:vMerge w:val="continue"/>
            <w:vAlign w:val="center"/>
          </w:tcPr>
          <w:p w14:paraId="260ADC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90625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4C1CFA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35A8814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2230" w:type="dxa"/>
            <w:vMerge w:val="continue"/>
            <w:vAlign w:val="center"/>
          </w:tcPr>
          <w:p w14:paraId="63879CF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0DB83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4B7373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28127C4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2230" w:type="dxa"/>
            <w:vMerge w:val="continue"/>
            <w:vAlign w:val="center"/>
          </w:tcPr>
          <w:p w14:paraId="56E3EA3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CDF32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27331BF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毒性气体泄漏监控预警措施</w:t>
            </w:r>
          </w:p>
        </w:tc>
        <w:tc>
          <w:tcPr>
            <w:tcW w:w="5845" w:type="dxa"/>
            <w:vAlign w:val="center"/>
          </w:tcPr>
          <w:p w14:paraId="27594F76">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（1）不涉及附录A中有毒有害气体的；或</w:t>
            </w:r>
          </w:p>
          <w:p w14:paraId="40CCA9C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（2）根据实际情况，具备有毒有害气体（如硫化氢、氰化氢、氯化氢、光气、氯气、氨气、苯等）厂界泄漏监控预警系统的</w:t>
            </w:r>
          </w:p>
        </w:tc>
        <w:tc>
          <w:tcPr>
            <w:tcW w:w="2230" w:type="dxa"/>
            <w:vMerge w:val="restart"/>
            <w:vAlign w:val="center"/>
          </w:tcPr>
          <w:p w14:paraId="7AC1860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生产过程中会产生</w:t>
            </w:r>
            <w:r>
              <w:rPr>
                <w:rFonts w:hint="eastAsia" w:cs="Times New Roman"/>
                <w:color w:val="auto"/>
                <w:szCs w:val="21"/>
                <w:highlight w:val="none"/>
                <w:lang w:eastAsia="zh-CN"/>
              </w:rPr>
              <w:t>挥发性有机物</w:t>
            </w:r>
            <w:r>
              <w:rPr>
                <w:rFonts w:hint="default" w:ascii="Times New Roman" w:hAnsi="Times New Roman" w:cs="Times New Roman"/>
                <w:color w:val="auto"/>
                <w:szCs w:val="21"/>
                <w:highlight w:val="none"/>
                <w:lang w:eastAsia="zh-CN"/>
              </w:rPr>
              <w:t>，厂区安装了泄漏报警仪，但不具备厂界泄漏监控预警系统</w:t>
            </w:r>
          </w:p>
        </w:tc>
      </w:tr>
      <w:tr w14:paraId="3FFE55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4ED3C47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2BEC4FF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不具备厂界有毒有害气体泄漏监控预警系统的</w:t>
            </w:r>
          </w:p>
        </w:tc>
        <w:tc>
          <w:tcPr>
            <w:tcW w:w="2230" w:type="dxa"/>
            <w:vMerge w:val="continue"/>
            <w:vAlign w:val="center"/>
          </w:tcPr>
          <w:p w14:paraId="643B06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287E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458C8EF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符合防护距离情况</w:t>
            </w:r>
          </w:p>
        </w:tc>
        <w:tc>
          <w:tcPr>
            <w:tcW w:w="5845" w:type="dxa"/>
            <w:vAlign w:val="center"/>
          </w:tcPr>
          <w:p w14:paraId="25D7150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c>
          <w:tcPr>
            <w:tcW w:w="2230" w:type="dxa"/>
            <w:vMerge w:val="restart"/>
            <w:vAlign w:val="center"/>
          </w:tcPr>
          <w:p w14:paraId="0F4C9FD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r>
      <w:tr w14:paraId="2E2751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60D943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5437B65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不符合环评及批复文件防护距离要求的</w:t>
            </w:r>
          </w:p>
        </w:tc>
        <w:tc>
          <w:tcPr>
            <w:tcW w:w="2230" w:type="dxa"/>
            <w:vMerge w:val="continue"/>
            <w:vAlign w:val="center"/>
          </w:tcPr>
          <w:p w14:paraId="1A540D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2BECB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12EEF55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近3年内突发大气环境事件发生情况</w:t>
            </w:r>
          </w:p>
        </w:tc>
        <w:tc>
          <w:tcPr>
            <w:tcW w:w="5845" w:type="dxa"/>
            <w:vAlign w:val="center"/>
          </w:tcPr>
          <w:p w14:paraId="596E555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发生过特别重大或重大等级突发大气环境事件的</w:t>
            </w:r>
          </w:p>
        </w:tc>
        <w:tc>
          <w:tcPr>
            <w:tcW w:w="2230" w:type="dxa"/>
            <w:vMerge w:val="restart"/>
            <w:vAlign w:val="center"/>
          </w:tcPr>
          <w:p w14:paraId="247D790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近3年内未发生突发大气环境事件</w:t>
            </w:r>
          </w:p>
        </w:tc>
      </w:tr>
      <w:tr w14:paraId="65243D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2FB1482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1A3149B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发生过较大等级突发大气环境事件的</w:t>
            </w:r>
          </w:p>
        </w:tc>
        <w:tc>
          <w:tcPr>
            <w:tcW w:w="2230" w:type="dxa"/>
            <w:vMerge w:val="continue"/>
            <w:vAlign w:val="center"/>
          </w:tcPr>
          <w:p w14:paraId="317F40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2AF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6341B62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62E7481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发生过一般等级突发大气环境事件的</w:t>
            </w:r>
          </w:p>
        </w:tc>
        <w:tc>
          <w:tcPr>
            <w:tcW w:w="2230" w:type="dxa"/>
            <w:vMerge w:val="continue"/>
            <w:vAlign w:val="center"/>
          </w:tcPr>
          <w:p w14:paraId="294E287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89F7F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414ED63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FF0000"/>
                <w:szCs w:val="21"/>
                <w:highlight w:val="none"/>
              </w:rPr>
            </w:pPr>
          </w:p>
        </w:tc>
        <w:tc>
          <w:tcPr>
            <w:tcW w:w="5845" w:type="dxa"/>
            <w:vAlign w:val="center"/>
          </w:tcPr>
          <w:p w14:paraId="53DCAB9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FF0000"/>
                <w:szCs w:val="21"/>
                <w:highlight w:val="none"/>
              </w:rPr>
            </w:pPr>
            <w:r>
              <w:rPr>
                <w:rFonts w:hint="default" w:ascii="Times New Roman" w:hAnsi="Times New Roman" w:cs="Times New Roman"/>
                <w:color w:val="auto"/>
                <w:szCs w:val="21"/>
                <w:highlight w:val="none"/>
              </w:rPr>
              <w:t>未发生突发大气环境事件的</w:t>
            </w:r>
          </w:p>
        </w:tc>
        <w:tc>
          <w:tcPr>
            <w:tcW w:w="2230" w:type="dxa"/>
            <w:vMerge w:val="continue"/>
            <w:vAlign w:val="center"/>
          </w:tcPr>
          <w:p w14:paraId="132A866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FF0000"/>
                <w:szCs w:val="21"/>
                <w:highlight w:val="none"/>
              </w:rPr>
            </w:pPr>
          </w:p>
        </w:tc>
      </w:tr>
    </w:tbl>
    <w:p w14:paraId="3472DA05">
      <w:pPr>
        <w:pStyle w:val="2"/>
        <w:ind w:left="0" w:leftChars="0" w:firstLine="0" w:firstLineChars="0"/>
        <w:rPr>
          <w:rFonts w:hint="default" w:eastAsia="宋体"/>
          <w:highlight w:val="none"/>
          <w:lang w:val="en-US" w:eastAsia="zh-CN"/>
        </w:rPr>
      </w:pPr>
    </w:p>
    <w:p w14:paraId="7B678369">
      <w:pPr>
        <w:pStyle w:val="7"/>
        <w:spacing w:before="120"/>
        <w:rPr>
          <w:rFonts w:cs="Times New Roman"/>
          <w:highlight w:val="none"/>
        </w:rPr>
      </w:pPr>
      <w:bookmarkStart w:id="77" w:name="_Toc31779"/>
      <w:r>
        <w:rPr>
          <w:rFonts w:hint="eastAsia" w:cs="Times New Roman"/>
          <w:highlight w:val="none"/>
          <w:lang w:val="en-US" w:eastAsia="zh-CN"/>
        </w:rPr>
        <w:t>5.3</w:t>
      </w:r>
      <w:r>
        <w:rPr>
          <w:rFonts w:cs="Times New Roman"/>
          <w:highlight w:val="none"/>
        </w:rPr>
        <w:t>环境</w:t>
      </w:r>
      <w:r>
        <w:rPr>
          <w:rFonts w:hint="eastAsia" w:cs="Times New Roman"/>
          <w:highlight w:val="none"/>
        </w:rPr>
        <w:t>应急资源</w:t>
      </w:r>
      <w:bookmarkEnd w:id="77"/>
    </w:p>
    <w:p w14:paraId="34164284">
      <w:pPr>
        <w:pStyle w:val="123"/>
        <w:rPr>
          <w:highlight w:val="none"/>
          <w:lang w:eastAsia="zh-CN"/>
        </w:rPr>
      </w:pPr>
      <w:r>
        <w:rPr>
          <w:rFonts w:hint="eastAsia"/>
          <w:highlight w:val="none"/>
          <w:lang w:eastAsia="zh-CN"/>
        </w:rPr>
        <w:t>（</w:t>
      </w:r>
      <w:r>
        <w:rPr>
          <w:highlight w:val="none"/>
          <w:lang w:eastAsia="zh-CN"/>
        </w:rPr>
        <w:t>1）已经配备了必要的应急物资和应急设备；</w:t>
      </w:r>
    </w:p>
    <w:p w14:paraId="5F188C89">
      <w:pPr>
        <w:pStyle w:val="123"/>
        <w:rPr>
          <w:highlight w:val="none"/>
          <w:lang w:eastAsia="zh-CN"/>
        </w:rPr>
      </w:pPr>
      <w:r>
        <w:rPr>
          <w:rFonts w:hint="eastAsia"/>
          <w:highlight w:val="none"/>
          <w:lang w:eastAsia="zh-CN"/>
        </w:rPr>
        <w:t>（</w:t>
      </w:r>
      <w:r>
        <w:rPr>
          <w:highlight w:val="none"/>
          <w:lang w:eastAsia="zh-CN"/>
        </w:rPr>
        <w:t>2）公司已设置由专兼职人员组成的应急救援队伍；</w:t>
      </w:r>
    </w:p>
    <w:p w14:paraId="5A33889E">
      <w:pPr>
        <w:pStyle w:val="123"/>
        <w:rPr>
          <w:highlight w:val="none"/>
          <w:lang w:eastAsia="zh-CN"/>
        </w:rPr>
      </w:pPr>
      <w:r>
        <w:rPr>
          <w:rFonts w:hint="eastAsia"/>
          <w:highlight w:val="none"/>
          <w:lang w:eastAsia="zh-CN"/>
        </w:rPr>
        <w:t>（</w:t>
      </w:r>
      <w:r>
        <w:rPr>
          <w:highlight w:val="none"/>
          <w:lang w:eastAsia="zh-CN"/>
        </w:rPr>
        <w:t>3）外部救援机构均为政府职能部门或服务性机构，公司与</w:t>
      </w:r>
      <w:r>
        <w:rPr>
          <w:rFonts w:hint="eastAsia"/>
          <w:highlight w:val="none"/>
          <w:lang w:eastAsia="zh-CN"/>
        </w:rPr>
        <w:t>周边企业</w:t>
      </w:r>
      <w:r>
        <w:rPr>
          <w:highlight w:val="none"/>
          <w:lang w:eastAsia="zh-CN"/>
        </w:rPr>
        <w:t>签订应急救援协议或互救协议，一旦发生突发环境事件，需要实施外部救援时，相关部门本着“以人为本，快速响应”的原则，有责任和义务对本公司进行应急救援。</w:t>
      </w:r>
    </w:p>
    <w:p w14:paraId="15B23C17">
      <w:pPr>
        <w:pStyle w:val="7"/>
        <w:spacing w:before="120"/>
        <w:rPr>
          <w:rFonts w:cs="Times New Roman"/>
          <w:highlight w:val="none"/>
        </w:rPr>
      </w:pPr>
      <w:bookmarkStart w:id="78" w:name="_Toc1173"/>
      <w:r>
        <w:rPr>
          <w:rFonts w:hint="eastAsia" w:cs="Times New Roman"/>
          <w:highlight w:val="none"/>
          <w:lang w:val="en-US" w:eastAsia="zh-CN"/>
        </w:rPr>
        <w:t>5.4</w:t>
      </w:r>
      <w:r>
        <w:rPr>
          <w:rFonts w:hint="eastAsia" w:cs="Times New Roman"/>
          <w:highlight w:val="none"/>
        </w:rPr>
        <w:t>历史经验总结教训</w:t>
      </w:r>
      <w:bookmarkEnd w:id="78"/>
    </w:p>
    <w:p w14:paraId="2C400536">
      <w:pPr>
        <w:pStyle w:val="123"/>
        <w:rPr>
          <w:highlight w:val="none"/>
          <w:lang w:eastAsia="zh-CN"/>
        </w:rPr>
      </w:pPr>
      <w:r>
        <w:rPr>
          <w:rFonts w:hint="eastAsia"/>
          <w:highlight w:val="none"/>
          <w:lang w:eastAsia="zh-CN"/>
        </w:rPr>
        <w:t>对前文收集的国内同类企业突发环境事件案例进行分析、总结，案例中企业生产装置区及储罐区火灾爆炸事故发生的主要原因有：高危操作单元监控措施不到位；使用违规、落后设备从事生产；员工违规违章操作。</w:t>
      </w:r>
    </w:p>
    <w:p w14:paraId="61B80D7B">
      <w:pPr>
        <w:pStyle w:val="123"/>
        <w:rPr>
          <w:highlight w:val="none"/>
          <w:lang w:eastAsia="zh-CN"/>
        </w:rPr>
      </w:pPr>
      <w:r>
        <w:rPr>
          <w:rFonts w:hint="eastAsia"/>
          <w:highlight w:val="none"/>
          <w:lang w:eastAsia="zh-CN"/>
        </w:rPr>
        <w:t>本公司引以为戒、吸取历史经验教训，针对上述酿成事故的原因，采取了如下相应对策：</w:t>
      </w:r>
    </w:p>
    <w:p w14:paraId="43D2EE52">
      <w:pPr>
        <w:pStyle w:val="123"/>
        <w:rPr>
          <w:highlight w:val="none"/>
          <w:lang w:eastAsia="zh-CN"/>
        </w:rPr>
      </w:pPr>
      <w:r>
        <w:rPr>
          <w:highlight w:val="none"/>
          <w:lang w:eastAsia="zh-CN"/>
        </w:rPr>
        <w:t>1、</w:t>
      </w:r>
      <w:r>
        <w:rPr>
          <w:rFonts w:hint="eastAsia"/>
          <w:highlight w:val="none"/>
          <w:lang w:eastAsia="zh-CN"/>
        </w:rPr>
        <w:t>重视安全生产管理中暴露出的问题，及时整改</w:t>
      </w:r>
      <w:r>
        <w:rPr>
          <w:highlight w:val="none"/>
          <w:lang w:eastAsia="zh-CN"/>
        </w:rPr>
        <w:t>，</w:t>
      </w:r>
      <w:r>
        <w:rPr>
          <w:rFonts w:hint="eastAsia"/>
          <w:highlight w:val="none"/>
          <w:lang w:eastAsia="zh-CN"/>
        </w:rPr>
        <w:t>严格执行安全生产管理制度，</w:t>
      </w:r>
      <w:r>
        <w:rPr>
          <w:highlight w:val="none"/>
          <w:lang w:eastAsia="zh-CN"/>
        </w:rPr>
        <w:t>安全操作；</w:t>
      </w:r>
    </w:p>
    <w:p w14:paraId="3CB25787">
      <w:pPr>
        <w:pStyle w:val="123"/>
        <w:rPr>
          <w:highlight w:val="none"/>
          <w:lang w:eastAsia="zh-CN"/>
        </w:rPr>
      </w:pPr>
      <w:r>
        <w:rPr>
          <w:highlight w:val="none"/>
          <w:lang w:eastAsia="zh-CN"/>
        </w:rPr>
        <w:t>2、</w:t>
      </w:r>
      <w:r>
        <w:rPr>
          <w:rFonts w:hint="eastAsia"/>
          <w:highlight w:val="none"/>
          <w:lang w:eastAsia="zh-CN"/>
        </w:rPr>
        <w:t>加强企业生产安全监管</w:t>
      </w:r>
      <w:r>
        <w:rPr>
          <w:highlight w:val="none"/>
          <w:lang w:eastAsia="zh-CN"/>
        </w:rPr>
        <w:t>。定期开展生产检修，采用探测仪探伤，发现问题及时修补，有必要时进行更换，保证设备满足负荷要求、安全生产。</w:t>
      </w:r>
    </w:p>
    <w:p w14:paraId="284E61E2">
      <w:pPr>
        <w:pStyle w:val="123"/>
        <w:pageBreakBefore w:val="0"/>
        <w:kinsoku/>
        <w:wordWrap/>
        <w:overflowPunct/>
        <w:topLinePunct w:val="0"/>
        <w:autoSpaceDE/>
        <w:autoSpaceDN/>
        <w:bidi w:val="0"/>
        <w:textAlignment w:val="auto"/>
        <w:rPr>
          <w:highlight w:val="none"/>
          <w:lang w:eastAsia="zh-CN"/>
        </w:rPr>
      </w:pPr>
      <w:r>
        <w:rPr>
          <w:highlight w:val="none"/>
          <w:lang w:eastAsia="zh-CN"/>
        </w:rPr>
        <w:t>3、加强管理，定期开展员工培训，提高员工素质、增强操作技能；内部、外部培训后进行考试。对员工考核结果应记录备案，考试通过即为合格。考试合格者才能使用，不合格者应继续补习，直到合格为止，做到上岗持证；为加强公司员工按章规范操作的主动性、自觉性，制定并落实内部奖惩措施。</w:t>
      </w:r>
    </w:p>
    <w:p w14:paraId="30E4D97F">
      <w:pPr>
        <w:pStyle w:val="7"/>
        <w:pageBreakBefore w:val="0"/>
        <w:kinsoku/>
        <w:wordWrap/>
        <w:overflowPunct/>
        <w:topLinePunct w:val="0"/>
        <w:autoSpaceDE/>
        <w:autoSpaceDN/>
        <w:bidi w:val="0"/>
        <w:spacing w:before="0" w:after="0"/>
        <w:textAlignment w:val="auto"/>
        <w:rPr>
          <w:rFonts w:cs="Times New Roman"/>
          <w:highlight w:val="none"/>
        </w:rPr>
      </w:pPr>
      <w:bookmarkStart w:id="79" w:name="_Toc10322"/>
      <w:r>
        <w:rPr>
          <w:rFonts w:hint="eastAsia" w:cs="Times New Roman"/>
          <w:highlight w:val="none"/>
          <w:lang w:val="en-US" w:eastAsia="zh-CN"/>
        </w:rPr>
        <w:t>5.5</w:t>
      </w:r>
      <w:r>
        <w:rPr>
          <w:rFonts w:hint="eastAsia" w:cs="Times New Roman"/>
          <w:highlight w:val="none"/>
        </w:rPr>
        <w:t>需要整改的短期、中期和长期项目内容</w:t>
      </w:r>
      <w:bookmarkEnd w:id="79"/>
    </w:p>
    <w:p w14:paraId="62C83CD9">
      <w:pPr>
        <w:pageBreakBefore w:val="0"/>
        <w:kinsoku/>
        <w:wordWrap/>
        <w:overflowPunct/>
        <w:topLinePunct w:val="0"/>
        <w:autoSpaceDE/>
        <w:autoSpaceDN/>
        <w:bidi w:val="0"/>
        <w:snapToGrid w:val="0"/>
        <w:spacing w:line="360" w:lineRule="auto"/>
        <w:ind w:firstLine="560"/>
        <w:textAlignment w:val="auto"/>
        <w:rPr>
          <w:sz w:val="24"/>
          <w:szCs w:val="24"/>
          <w:highlight w:val="none"/>
        </w:rPr>
      </w:pPr>
      <w:r>
        <w:rPr>
          <w:sz w:val="24"/>
          <w:szCs w:val="24"/>
          <w:highlight w:val="none"/>
        </w:rPr>
        <w:t>针对上述排查的每一项差距和隐患，根据其危害性、紧迫性和治理时间的长短，提出需要完成整改的期限， 分别按短期（3个月以内）、中期（3-6个月）和长期（6个月以上）给出。</w:t>
      </w:r>
    </w:p>
    <w:p w14:paraId="43D77306">
      <w:pPr>
        <w:snapToGrid w:val="0"/>
        <w:spacing w:line="360" w:lineRule="auto"/>
        <w:ind w:firstLine="560"/>
        <w:rPr>
          <w:sz w:val="24"/>
          <w:szCs w:val="24"/>
          <w:highlight w:val="none"/>
        </w:rPr>
      </w:pPr>
      <w:r>
        <w:rPr>
          <w:sz w:val="24"/>
          <w:szCs w:val="24"/>
          <w:highlight w:val="none"/>
        </w:rPr>
        <w:t>长期（6个月以上）：定期开展安全生产动员大会和定期组织员工进行专题培训，形式有内部专家培训讲座及外部培训班等。</w:t>
      </w:r>
      <w:r>
        <w:rPr>
          <w:rFonts w:hint="eastAsia"/>
          <w:sz w:val="24"/>
          <w:szCs w:val="24"/>
          <w:highlight w:val="none"/>
        </w:rPr>
        <w:t>全面推进环境安全防控体系建设，积极开展风险评估，编制预案，开展应急演练。</w:t>
      </w:r>
    </w:p>
    <w:p w14:paraId="6A497A74">
      <w:pPr>
        <w:snapToGrid w:val="0"/>
        <w:spacing w:line="360" w:lineRule="auto"/>
        <w:ind w:firstLine="560"/>
        <w:rPr>
          <w:sz w:val="24"/>
          <w:szCs w:val="24"/>
          <w:highlight w:val="none"/>
        </w:rPr>
      </w:pPr>
      <w:r>
        <w:rPr>
          <w:sz w:val="24"/>
          <w:szCs w:val="24"/>
          <w:highlight w:val="none"/>
        </w:rPr>
        <w:t>中期（3-6个月）：明确环境风险防控重点岗位的责任机构，落实到人，开展定期巡检和维护工作</w:t>
      </w:r>
      <w:r>
        <w:rPr>
          <w:rFonts w:hint="eastAsia"/>
          <w:sz w:val="24"/>
          <w:szCs w:val="24"/>
          <w:highlight w:val="none"/>
        </w:rPr>
        <w:t>；建设并运行环境风险防范设施，实行全员、全过程、全方位安全管控；组织项目环保、安全竣工验收；定期防腐检修设施设备。</w:t>
      </w:r>
    </w:p>
    <w:p w14:paraId="25DCF60E">
      <w:pPr>
        <w:pStyle w:val="123"/>
        <w:keepLines w:val="0"/>
        <w:pageBreakBefore w:val="0"/>
        <w:kinsoku/>
        <w:wordWrap/>
        <w:overflowPunct/>
        <w:topLinePunct w:val="0"/>
        <w:autoSpaceDE/>
        <w:autoSpaceDN/>
        <w:bidi w:val="0"/>
        <w:textAlignment w:val="auto"/>
        <w:rPr>
          <w:spacing w:val="-2"/>
          <w:sz w:val="24"/>
          <w:szCs w:val="24"/>
          <w:highlight w:val="none"/>
          <w:lang w:eastAsia="zh-CN"/>
        </w:rPr>
      </w:pPr>
      <w:r>
        <w:rPr>
          <w:rFonts w:ascii="宋体" w:hAnsi="宋体"/>
          <w:sz w:val="24"/>
          <w:szCs w:val="24"/>
          <w:highlight w:val="none"/>
          <w:lang w:eastAsia="zh-CN"/>
        </w:rPr>
        <w:t>短期（3个月以内）：</w:t>
      </w:r>
      <w:r>
        <w:rPr>
          <w:rFonts w:hint="eastAsia" w:ascii="宋体" w:hAnsi="宋体"/>
          <w:sz w:val="24"/>
          <w:szCs w:val="24"/>
          <w:highlight w:val="none"/>
          <w:lang w:eastAsia="zh-CN"/>
        </w:rPr>
        <w:t>雨水总排口、事故池门口完善标志牌，并由专人负责；制订和完善环境风险防控和应急措施制度；应按规范备足应急所需工具，补充相应应急救援装备、物资、药品等，并悬挂应急物资一览表，明确物资种类、数量、存放位置，责任人等；加强现场、人员管理，确保各项规章制度落实到位。</w:t>
      </w:r>
    </w:p>
    <w:p w14:paraId="0BCC9BC3">
      <w:pPr>
        <w:pStyle w:val="6"/>
        <w:keepLines w:val="0"/>
        <w:pageBreakBefore w:val="0"/>
        <w:kinsoku/>
        <w:wordWrap/>
        <w:overflowPunct/>
        <w:topLinePunct w:val="0"/>
        <w:autoSpaceDE/>
        <w:autoSpaceDN/>
        <w:bidi w:val="0"/>
        <w:spacing w:beforeLines="0" w:afterLines="0"/>
        <w:textAlignment w:val="auto"/>
        <w:rPr>
          <w:rFonts w:ascii="Times New Roman" w:hAnsi="Times New Roman" w:cs="Times New Roman"/>
          <w:highlight w:val="none"/>
        </w:rPr>
      </w:pPr>
      <w:bookmarkStart w:id="80" w:name="_Toc26641"/>
      <w:r>
        <w:rPr>
          <w:rFonts w:hint="eastAsia" w:ascii="Times New Roman" w:hAnsi="Times New Roman" w:cs="Times New Roman"/>
          <w:highlight w:val="none"/>
          <w:lang w:val="en-US" w:eastAsia="zh-CN"/>
        </w:rPr>
        <w:t>6</w:t>
      </w:r>
      <w:r>
        <w:rPr>
          <w:rFonts w:ascii="Times New Roman" w:hAnsi="Times New Roman" w:cs="Times New Roman"/>
          <w:highlight w:val="none"/>
        </w:rPr>
        <w:t>完善环境风险防控和应急措施的实施计划</w:t>
      </w:r>
      <w:bookmarkEnd w:id="80"/>
    </w:p>
    <w:p w14:paraId="66873711">
      <w:pPr>
        <w:keepLines w:val="0"/>
        <w:pageBreakBefore w:val="0"/>
        <w:kinsoku/>
        <w:wordWrap/>
        <w:overflowPunct/>
        <w:topLinePunct w:val="0"/>
        <w:autoSpaceDE/>
        <w:autoSpaceDN/>
        <w:bidi w:val="0"/>
        <w:snapToGrid w:val="0"/>
        <w:spacing w:line="360" w:lineRule="auto"/>
        <w:ind w:firstLine="560"/>
        <w:textAlignment w:val="auto"/>
        <w:rPr>
          <w:sz w:val="24"/>
          <w:szCs w:val="24"/>
          <w:highlight w:val="none"/>
        </w:rPr>
      </w:pPr>
      <w:r>
        <w:rPr>
          <w:sz w:val="24"/>
          <w:szCs w:val="24"/>
          <w:highlight w:val="none"/>
        </w:rPr>
        <w:t>对企业需要整改的短期、中期和长期项目，分别制定完善环境风险防控和应急措施的实施计划如下。</w:t>
      </w:r>
    </w:p>
    <w:p w14:paraId="6E06C900">
      <w:pPr>
        <w:keepLines w:val="0"/>
        <w:pageBreakBefore w:val="0"/>
        <w:kinsoku/>
        <w:wordWrap/>
        <w:overflowPunct/>
        <w:topLinePunct w:val="0"/>
        <w:autoSpaceDE/>
        <w:autoSpaceDN/>
        <w:bidi w:val="0"/>
        <w:snapToGrid w:val="0"/>
        <w:spacing w:line="360" w:lineRule="auto"/>
        <w:ind w:firstLine="560"/>
        <w:textAlignment w:val="auto"/>
        <w:rPr>
          <w:sz w:val="24"/>
          <w:szCs w:val="24"/>
          <w:highlight w:val="none"/>
        </w:rPr>
      </w:pPr>
      <w:r>
        <w:rPr>
          <w:sz w:val="24"/>
          <w:szCs w:val="24"/>
          <w:highlight w:val="none"/>
        </w:rPr>
        <w:t>长期（</w:t>
      </w:r>
      <w:r>
        <w:rPr>
          <w:rFonts w:hint="eastAsia"/>
          <w:sz w:val="24"/>
          <w:szCs w:val="24"/>
          <w:highlight w:val="none"/>
        </w:rPr>
        <w:t>负责人：</w:t>
      </w:r>
      <w:r>
        <w:rPr>
          <w:rFonts w:hint="eastAsia"/>
          <w:sz w:val="24"/>
          <w:szCs w:val="24"/>
          <w:highlight w:val="none"/>
          <w:lang w:eastAsia="zh-CN"/>
        </w:rPr>
        <w:t>于立涛</w:t>
      </w:r>
      <w:r>
        <w:rPr>
          <w:sz w:val="24"/>
          <w:szCs w:val="24"/>
          <w:highlight w:val="none"/>
        </w:rPr>
        <w:t>）：定期开展安全生产动员大会和定期组织员工进行专题培训，形式有内部培训及外部培训班等。</w:t>
      </w:r>
      <w:r>
        <w:rPr>
          <w:rFonts w:hint="eastAsia"/>
          <w:sz w:val="24"/>
          <w:szCs w:val="24"/>
          <w:highlight w:val="none"/>
        </w:rPr>
        <w:t>全面推进环境安全防控体系建设，积极开展风险评估，编制预案，开展应急演练。</w:t>
      </w:r>
    </w:p>
    <w:p w14:paraId="681D86B7">
      <w:pPr>
        <w:snapToGrid w:val="0"/>
        <w:spacing w:line="360" w:lineRule="auto"/>
        <w:ind w:firstLine="560"/>
        <w:rPr>
          <w:sz w:val="24"/>
          <w:szCs w:val="24"/>
          <w:highlight w:val="none"/>
        </w:rPr>
      </w:pPr>
      <w:r>
        <w:rPr>
          <w:sz w:val="24"/>
          <w:szCs w:val="24"/>
          <w:highlight w:val="none"/>
        </w:rPr>
        <w:t>中期（</w:t>
      </w:r>
      <w:r>
        <w:rPr>
          <w:rFonts w:hint="eastAsia"/>
          <w:sz w:val="24"/>
          <w:szCs w:val="24"/>
          <w:highlight w:val="none"/>
        </w:rPr>
        <w:t>负责人：</w:t>
      </w:r>
      <w:r>
        <w:rPr>
          <w:rFonts w:hint="eastAsia"/>
          <w:sz w:val="24"/>
          <w:szCs w:val="24"/>
          <w:highlight w:val="none"/>
          <w:lang w:eastAsia="zh-CN"/>
        </w:rPr>
        <w:t>邹勇</w:t>
      </w:r>
      <w:r>
        <w:rPr>
          <w:sz w:val="24"/>
          <w:szCs w:val="24"/>
          <w:highlight w:val="none"/>
        </w:rPr>
        <w:t>）：</w:t>
      </w:r>
      <w:r>
        <w:rPr>
          <w:rFonts w:hint="eastAsia"/>
          <w:sz w:val="24"/>
          <w:szCs w:val="24"/>
          <w:highlight w:val="none"/>
        </w:rPr>
        <w:t>明确环境风险防控重点岗位的责任机构，落实到人，开展定期巡检和维护工作；建设并运行环境风险防范设施，实行全员、全过程、全方位安全管控；组织项目环保、安全竣工验收；定期防腐检修设施设备。</w:t>
      </w:r>
    </w:p>
    <w:p w14:paraId="194B3A8A">
      <w:pPr>
        <w:pStyle w:val="123"/>
        <w:rPr>
          <w:spacing w:val="-2"/>
          <w:sz w:val="24"/>
          <w:szCs w:val="24"/>
          <w:highlight w:val="none"/>
          <w:lang w:eastAsia="zh-CN"/>
        </w:rPr>
      </w:pPr>
      <w:r>
        <w:rPr>
          <w:rFonts w:ascii="宋体" w:hAnsi="宋体"/>
          <w:sz w:val="24"/>
          <w:szCs w:val="24"/>
          <w:highlight w:val="none"/>
          <w:lang w:eastAsia="zh-CN"/>
        </w:rPr>
        <w:t>短期（</w:t>
      </w:r>
      <w:r>
        <w:rPr>
          <w:rFonts w:hint="eastAsia" w:ascii="宋体" w:hAnsi="宋体"/>
          <w:sz w:val="24"/>
          <w:szCs w:val="24"/>
          <w:highlight w:val="none"/>
          <w:lang w:eastAsia="zh-CN"/>
        </w:rPr>
        <w:t>负责人：王波</w:t>
      </w:r>
      <w:r>
        <w:rPr>
          <w:rFonts w:ascii="宋体" w:hAnsi="宋体"/>
          <w:sz w:val="24"/>
          <w:szCs w:val="24"/>
          <w:highlight w:val="none"/>
          <w:lang w:eastAsia="zh-CN"/>
        </w:rPr>
        <w:t>）：</w:t>
      </w:r>
      <w:r>
        <w:rPr>
          <w:rFonts w:hint="eastAsia" w:ascii="宋体" w:hAnsi="宋体"/>
          <w:sz w:val="24"/>
          <w:szCs w:val="24"/>
          <w:highlight w:val="none"/>
          <w:lang w:eastAsia="zh-CN"/>
        </w:rPr>
        <w:t>雨水总排口、事故池门口完善标志牌，并由专人负责；制订和完善环境风险防控和应急措施制度；应按规范备足应急所需工具，补充相应应急救援装备、物资、药品等，并悬挂应急物资一览表，明确物资种类、数量、存放位置，责任人等；加强现场、人员管理，确保各项规章制度落实到位。</w:t>
      </w:r>
    </w:p>
    <w:p w14:paraId="3911FBA2">
      <w:pPr>
        <w:pStyle w:val="6"/>
        <w:spacing w:before="120"/>
        <w:rPr>
          <w:rFonts w:ascii="Times New Roman" w:hAnsi="Times New Roman" w:cs="Times New Roman"/>
          <w:highlight w:val="none"/>
        </w:rPr>
      </w:pPr>
      <w:bookmarkStart w:id="81" w:name="_Toc16735"/>
      <w:r>
        <w:rPr>
          <w:rFonts w:hint="eastAsia" w:ascii="Times New Roman" w:hAnsi="Times New Roman" w:cs="Times New Roman"/>
          <w:highlight w:val="none"/>
          <w:lang w:val="en-US" w:eastAsia="zh-CN"/>
        </w:rPr>
        <w:t>7</w:t>
      </w:r>
      <w:r>
        <w:rPr>
          <w:rFonts w:ascii="Times New Roman" w:hAnsi="Times New Roman" w:cs="Times New Roman"/>
          <w:highlight w:val="none"/>
        </w:rPr>
        <w:t>企业突发环境事件风险等级</w:t>
      </w:r>
      <w:bookmarkEnd w:id="81"/>
    </w:p>
    <w:p w14:paraId="3F23A19C">
      <w:pPr>
        <w:pStyle w:val="123"/>
        <w:rPr>
          <w:highlight w:val="none"/>
          <w:lang w:eastAsia="zh-CN"/>
        </w:rPr>
      </w:pPr>
      <w:r>
        <w:rPr>
          <w:rFonts w:hint="eastAsia"/>
          <w:highlight w:val="none"/>
          <w:lang w:eastAsia="zh-CN"/>
        </w:rPr>
        <w:t>根据企业生产、使用、存储和释放的突发环境事件风险物质数量与其临界量的比值（</w:t>
      </w:r>
      <w:r>
        <w:rPr>
          <w:highlight w:val="none"/>
          <w:lang w:eastAsia="zh-CN"/>
        </w:rPr>
        <w:t>Q），</w:t>
      </w:r>
      <w:r>
        <w:rPr>
          <w:rFonts w:hint="eastAsia"/>
          <w:highlight w:val="none"/>
          <w:lang w:eastAsia="zh-CN"/>
        </w:rPr>
        <w:t>评估生产工艺过程与环境风险控制水平（</w:t>
      </w:r>
      <w:r>
        <w:rPr>
          <w:highlight w:val="none"/>
          <w:lang w:eastAsia="zh-CN"/>
        </w:rPr>
        <w:t>M）以及环境风险受体敏感程度（E）的评估分析</w:t>
      </w:r>
      <w:r>
        <w:rPr>
          <w:rFonts w:hint="eastAsia"/>
          <w:highlight w:val="none"/>
          <w:lang w:eastAsia="zh-CN"/>
        </w:rPr>
        <w:t>结果，分别评估企业突发大气环境事件风险和突发水环境事件风险，将企业突发大气或水环境事件风险等级划分为一般环境风险、较大环境风险和重大环境风险三级，分别用蓝色、黄色和红色标识。同时涉及突发大气和水环境事件风险的企业，以等级高者确定企业突发环境事件风险等级。</w:t>
      </w:r>
    </w:p>
    <w:p w14:paraId="0FE2B203">
      <w:pPr>
        <w:pStyle w:val="123"/>
        <w:rPr>
          <w:highlight w:val="none"/>
          <w:lang w:eastAsia="zh-CN"/>
        </w:rPr>
      </w:pPr>
      <w:r>
        <w:rPr>
          <w:highlight w:val="none"/>
          <w:lang w:eastAsia="zh-CN"/>
        </w:rPr>
        <w:t>企业突发环境事件风险评估程序见</w:t>
      </w:r>
      <w:r>
        <w:rPr>
          <w:rFonts w:hint="eastAsia"/>
          <w:highlight w:val="none"/>
          <w:lang w:eastAsia="zh-CN"/>
        </w:rPr>
        <w:t>下图</w:t>
      </w:r>
      <w:r>
        <w:rPr>
          <w:highlight w:val="none"/>
          <w:lang w:eastAsia="zh-CN"/>
        </w:rPr>
        <w:t>。</w:t>
      </w:r>
    </w:p>
    <w:p w14:paraId="0AE656E2">
      <w:pPr>
        <w:rPr>
          <w:rFonts w:hint="default" w:eastAsia="宋体"/>
          <w:highlight w:val="none"/>
          <w:lang w:val="en-US" w:eastAsia="zh-CN"/>
        </w:rPr>
      </w:pPr>
    </w:p>
    <w:p w14:paraId="2032A695">
      <w:pPr>
        <w:rPr>
          <w:rFonts w:hint="default" w:eastAsia="宋体"/>
          <w:highlight w:val="none"/>
          <w:lang w:val="en-US" w:eastAsia="zh-CN"/>
        </w:rPr>
      </w:pPr>
    </w:p>
    <w:p w14:paraId="1A82AF96">
      <w:pPr>
        <w:pStyle w:val="2"/>
        <w:rPr>
          <w:rFonts w:hint="default" w:eastAsia="宋体"/>
          <w:highlight w:val="none"/>
          <w:lang w:val="en-US" w:eastAsia="zh-CN"/>
        </w:rPr>
      </w:pPr>
    </w:p>
    <w:bookmarkEnd w:id="71"/>
    <w:p w14:paraId="77C4CACE">
      <w:pPr>
        <w:pStyle w:val="129"/>
        <w:spacing w:after="240"/>
        <w:rPr>
          <w:highlight w:val="none"/>
        </w:rPr>
      </w:pPr>
      <w:bookmarkStart w:id="82" w:name="_Ref95141388"/>
      <w:bookmarkStart w:id="83" w:name="_Hlk111213232"/>
      <w:r>
        <w:rPr>
          <w:highlight w:val="none"/>
        </w:rPr>
        <w:drawing>
          <wp:anchor distT="0" distB="0" distL="114300" distR="114300" simplePos="0" relativeHeight="251662336" behindDoc="0" locked="0" layoutInCell="1" allowOverlap="1">
            <wp:simplePos x="0" y="0"/>
            <wp:positionH relativeFrom="column">
              <wp:posOffset>541655</wp:posOffset>
            </wp:positionH>
            <wp:positionV relativeFrom="paragraph">
              <wp:posOffset>41910</wp:posOffset>
            </wp:positionV>
            <wp:extent cx="5181600" cy="4515485"/>
            <wp:effectExtent l="0" t="0" r="0" b="18415"/>
            <wp:wrapTopAndBottom/>
            <wp:docPr id="24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 descr="图示&#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181600" cy="4515485"/>
                    </a:xfrm>
                    <a:prstGeom prst="rect">
                      <a:avLst/>
                    </a:prstGeom>
                    <a:noFill/>
                    <a:ln>
                      <a:noFill/>
                    </a:ln>
                  </pic:spPr>
                </pic:pic>
              </a:graphicData>
            </a:graphic>
          </wp:anchor>
        </w:drawing>
      </w:r>
      <w:bookmarkEnd w:id="82"/>
      <w:r>
        <w:rPr>
          <w:highlight w:val="none"/>
        </w:rPr>
        <w:t>企业突发环境事件风险等级划分流程示意图</w:t>
      </w:r>
    </w:p>
    <w:bookmarkEnd w:id="83"/>
    <w:p w14:paraId="3EFBC959">
      <w:pPr>
        <w:pStyle w:val="7"/>
        <w:spacing w:before="120"/>
        <w:rPr>
          <w:rFonts w:cs="Times New Roman"/>
          <w:highlight w:val="none"/>
        </w:rPr>
      </w:pPr>
      <w:bookmarkStart w:id="84" w:name="_Toc73285833"/>
      <w:bookmarkStart w:id="85" w:name="_Toc24457"/>
      <w:bookmarkStart w:id="86" w:name="_Toc127256792"/>
      <w:r>
        <w:rPr>
          <w:rFonts w:hint="eastAsia" w:cs="Times New Roman"/>
          <w:highlight w:val="none"/>
          <w:lang w:val="en-US" w:eastAsia="zh-CN"/>
        </w:rPr>
        <w:t>7.1</w:t>
      </w:r>
      <w:r>
        <w:rPr>
          <w:rFonts w:cs="Times New Roman"/>
          <w:highlight w:val="none"/>
        </w:rPr>
        <w:t>企业突发大气环境事件风险等级</w:t>
      </w:r>
      <w:bookmarkEnd w:id="84"/>
      <w:bookmarkEnd w:id="85"/>
      <w:bookmarkEnd w:id="86"/>
    </w:p>
    <w:p w14:paraId="62BEBB62">
      <w:pPr>
        <w:pStyle w:val="8"/>
        <w:rPr>
          <w:rFonts w:hint="eastAsia" w:ascii="宋体" w:hAnsi="宋体" w:eastAsia="宋体" w:cs="宋体"/>
          <w:sz w:val="24"/>
          <w:szCs w:val="24"/>
          <w:highlight w:val="none"/>
        </w:rPr>
      </w:pPr>
      <w:r>
        <w:rPr>
          <w:rFonts w:hint="eastAsia"/>
          <w:sz w:val="24"/>
          <w:szCs w:val="24"/>
          <w:highlight w:val="none"/>
          <w:lang w:val="en-US" w:eastAsia="zh-CN"/>
        </w:rPr>
        <w:t>7.1.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计算涉气风险物质与临界量比值（Q）</w:t>
      </w:r>
    </w:p>
    <w:p w14:paraId="76B89946">
      <w:pPr>
        <w:pStyle w:val="123"/>
        <w:spacing w:before="120" w:after="1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计算涉气风险物质在厂界内的存在量（如存在量呈动态变化，则按年度内最大存在量计算）与《企业突发环境事件风险分级方法》（2018.3.1）附录 A 中第一、第二、第三、第四、第六部分全部风险物质以及第八部分中除 NH3-N浓度≥2000mg/L的废液、COD浓度≥10000mg/L的有机废液之外的气态和可挥发造成突发大气环境事件的固态、液态风险物质临界量的比值 Q：</w:t>
      </w:r>
    </w:p>
    <w:p w14:paraId="740BE530">
      <w:pPr>
        <w:pStyle w:val="123"/>
        <w:spacing w:before="120" w:after="1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（1）当企业只涉及一种风险物质时，该物质的数量与其临界量比值，即为 Q。</w:t>
      </w:r>
    </w:p>
    <w:p w14:paraId="230B25C3">
      <w:pPr>
        <w:pStyle w:val="123"/>
        <w:spacing w:before="120" w:after="1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（2）当企业存在多种风险物质时，则按式（1）计算：</w:t>
      </w:r>
    </w:p>
    <w:p w14:paraId="4BB9AC5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drawing>
          <wp:anchor distT="0" distB="0" distL="114300" distR="114300" simplePos="0" relativeHeight="251661312" behindDoc="0" locked="0" layoutInCell="1" allowOverlap="1">
            <wp:simplePos x="0" y="0"/>
            <wp:positionH relativeFrom="column">
              <wp:posOffset>4105275</wp:posOffset>
            </wp:positionH>
            <wp:positionV relativeFrom="paragraph">
              <wp:posOffset>146685</wp:posOffset>
            </wp:positionV>
            <wp:extent cx="447675" cy="285750"/>
            <wp:effectExtent l="0" t="0" r="9525" b="0"/>
            <wp:wrapThrough wrapText="bothSides">
              <wp:wrapPolygon>
                <wp:start x="0" y="0"/>
                <wp:lineTo x="0" y="20160"/>
                <wp:lineTo x="20436" y="20160"/>
                <wp:lineTo x="20436" y="0"/>
                <wp:lineTo x="0" y="0"/>
              </wp:wrapPolygon>
            </wp:wrapThrough>
            <wp:docPr id="30527" name="图片 3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7" name="图片 305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47675" cy="285750"/>
                    </a:xfrm>
                    <a:prstGeom prst="rect">
                      <a:avLst/>
                    </a:prstGeom>
                    <a:noFill/>
                  </pic:spPr>
                </pic:pic>
              </a:graphicData>
            </a:graphic>
          </wp:anchor>
        </w:drawing>
      </w:r>
      <w:r>
        <w:rPr>
          <w:rFonts w:hint="eastAsia" w:ascii="宋体" w:hAnsi="宋体" w:eastAsia="宋体" w:cs="宋体"/>
          <w:sz w:val="24"/>
          <w:szCs w:val="24"/>
          <w:highlight w:val="none"/>
        </w:rPr>
        <w:drawing>
          <wp:inline distT="0" distB="0" distL="0" distR="0">
            <wp:extent cx="2057400" cy="514350"/>
            <wp:effectExtent l="0" t="0" r="0" b="0"/>
            <wp:docPr id="30484" name="图片 3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4" name="图片 3048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069264" cy="517316"/>
                    </a:xfrm>
                    <a:prstGeom prst="rect">
                      <a:avLst/>
                    </a:prstGeom>
                    <a:noFill/>
                    <a:ln>
                      <a:noFill/>
                    </a:ln>
                  </pic:spPr>
                </pic:pic>
              </a:graphicData>
            </a:graphic>
          </wp:inline>
        </w:drawing>
      </w:r>
    </w:p>
    <w:p w14:paraId="15E938CE">
      <w:pPr>
        <w:pStyle w:val="130"/>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式中：w</w:t>
      </w:r>
      <w:r>
        <w:rPr>
          <w:rFonts w:hint="eastAsia" w:ascii="宋体" w:hAnsi="宋体" w:eastAsia="宋体" w:cs="宋体"/>
          <w:sz w:val="24"/>
          <w:szCs w:val="24"/>
          <w:highlight w:val="none"/>
          <w:vertAlign w:val="subscript"/>
          <w:lang w:eastAsia="zh-CN"/>
        </w:rPr>
        <w:t>1</w:t>
      </w:r>
      <w:r>
        <w:rPr>
          <w:rFonts w:hint="eastAsia" w:ascii="宋体" w:hAnsi="宋体" w:eastAsia="宋体" w:cs="宋体"/>
          <w:sz w:val="24"/>
          <w:szCs w:val="24"/>
          <w:highlight w:val="none"/>
          <w:lang w:eastAsia="zh-CN"/>
        </w:rPr>
        <w:t>,w</w:t>
      </w:r>
      <w:r>
        <w:rPr>
          <w:rFonts w:hint="eastAsia" w:ascii="宋体" w:hAnsi="宋体" w:eastAsia="宋体" w:cs="宋体"/>
          <w:sz w:val="24"/>
          <w:szCs w:val="24"/>
          <w:highlight w:val="none"/>
          <w:vertAlign w:val="subscript"/>
          <w:lang w:eastAsia="zh-CN"/>
        </w:rPr>
        <w:t>2</w:t>
      </w:r>
      <w:r>
        <w:rPr>
          <w:rFonts w:hint="eastAsia" w:ascii="宋体" w:hAnsi="宋体" w:eastAsia="宋体" w:cs="宋体"/>
          <w:sz w:val="24"/>
          <w:szCs w:val="24"/>
          <w:highlight w:val="none"/>
          <w:lang w:eastAsia="zh-CN"/>
        </w:rPr>
        <w:t>,……，w</w:t>
      </w:r>
      <w:r>
        <w:rPr>
          <w:rFonts w:hint="eastAsia" w:ascii="宋体" w:hAnsi="宋体" w:eastAsia="宋体" w:cs="宋体"/>
          <w:sz w:val="24"/>
          <w:szCs w:val="24"/>
          <w:highlight w:val="none"/>
          <w:vertAlign w:val="subscript"/>
          <w:lang w:eastAsia="zh-CN"/>
        </w:rPr>
        <w:t>n</w:t>
      </w:r>
      <w:r>
        <w:rPr>
          <w:rFonts w:hint="eastAsia" w:ascii="宋体" w:hAnsi="宋体" w:eastAsia="宋体" w:cs="宋体"/>
          <w:sz w:val="24"/>
          <w:szCs w:val="24"/>
          <w:highlight w:val="none"/>
          <w:lang w:eastAsia="zh-CN"/>
        </w:rPr>
        <w:t>—— 每种环境风险物质的存在量，t；</w:t>
      </w:r>
    </w:p>
    <w:p w14:paraId="2FF059DB">
      <w:pPr>
        <w:pStyle w:val="130"/>
        <w:ind w:firstLine="1200" w:firstLineChars="5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w:t>
      </w:r>
      <w:r>
        <w:rPr>
          <w:rFonts w:hint="eastAsia" w:ascii="宋体" w:hAnsi="宋体" w:eastAsia="宋体" w:cs="宋体"/>
          <w:sz w:val="24"/>
          <w:szCs w:val="24"/>
          <w:highlight w:val="none"/>
          <w:vertAlign w:val="subscript"/>
          <w:lang w:eastAsia="zh-CN"/>
        </w:rPr>
        <w:t>1</w:t>
      </w:r>
      <w:r>
        <w:rPr>
          <w:rFonts w:hint="eastAsia" w:ascii="宋体" w:hAnsi="宋体" w:eastAsia="宋体" w:cs="宋体"/>
          <w:sz w:val="24"/>
          <w:szCs w:val="24"/>
          <w:highlight w:val="none"/>
          <w:lang w:eastAsia="zh-CN"/>
        </w:rPr>
        <w:t>,W</w:t>
      </w:r>
      <w:r>
        <w:rPr>
          <w:rFonts w:hint="eastAsia" w:ascii="宋体" w:hAnsi="宋体" w:eastAsia="宋体" w:cs="宋体"/>
          <w:sz w:val="24"/>
          <w:szCs w:val="24"/>
          <w:highlight w:val="none"/>
          <w:vertAlign w:val="subscript"/>
          <w:lang w:eastAsia="zh-CN"/>
        </w:rPr>
        <w:t>2</w:t>
      </w:r>
      <w:r>
        <w:rPr>
          <w:rFonts w:hint="eastAsia" w:ascii="宋体" w:hAnsi="宋体" w:eastAsia="宋体" w:cs="宋体"/>
          <w:sz w:val="24"/>
          <w:szCs w:val="24"/>
          <w:highlight w:val="none"/>
          <w:lang w:eastAsia="zh-CN"/>
        </w:rPr>
        <w:t>,……，W</w:t>
      </w:r>
      <w:r>
        <w:rPr>
          <w:rFonts w:hint="eastAsia" w:ascii="宋体" w:hAnsi="宋体" w:eastAsia="宋体" w:cs="宋体"/>
          <w:sz w:val="24"/>
          <w:szCs w:val="24"/>
          <w:highlight w:val="none"/>
          <w:vertAlign w:val="subscript"/>
          <w:lang w:eastAsia="zh-CN"/>
        </w:rPr>
        <w:t>N</w:t>
      </w:r>
      <w:r>
        <w:rPr>
          <w:rFonts w:hint="eastAsia" w:ascii="宋体" w:hAnsi="宋体" w:eastAsia="宋体" w:cs="宋体"/>
          <w:sz w:val="24"/>
          <w:szCs w:val="24"/>
          <w:highlight w:val="none"/>
          <w:lang w:eastAsia="zh-CN"/>
        </w:rPr>
        <w:t>—— 每种环境风险物质的临界量，t。</w:t>
      </w:r>
    </w:p>
    <w:p w14:paraId="71201E21">
      <w:pPr>
        <w:pStyle w:val="130"/>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计算出Q值后，将Q值划分为4个水平，分别为：</w:t>
      </w:r>
    </w:p>
    <w:p w14:paraId="63992DA5">
      <w:pPr>
        <w:pStyle w:val="130"/>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（1）Q＜1,以Q0表示，企业直接评为,一般环境风险等级；</w:t>
      </w:r>
    </w:p>
    <w:p w14:paraId="2579F779">
      <w:pPr>
        <w:pStyle w:val="130"/>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（2）1≤Q＜10,以Q1表示；</w:t>
      </w:r>
    </w:p>
    <w:p w14:paraId="1612B9CF">
      <w:pPr>
        <w:pStyle w:val="130"/>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（3）10≤Q＜100,以Q2表示；</w:t>
      </w:r>
    </w:p>
    <w:p w14:paraId="2C2A1ADB">
      <w:pPr>
        <w:pStyle w:val="130"/>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（4）Q≥100,以Q3表示。</w:t>
      </w:r>
    </w:p>
    <w:p w14:paraId="72D6ACD6">
      <w:pPr>
        <w:snapToGrid w:val="0"/>
        <w:spacing w:line="360" w:lineRule="auto"/>
        <w:ind w:firstLine="560"/>
        <w:jc w:val="both"/>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对照《企业突发环境事件风险分级方法》（2018.3.1）附录 A 中涉气风险物质，企业涉气环境风险物质与临界量比值计算结果见</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REF _Ref95230072 \h  \* MERGEFORMAT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表 7.1</w:t>
      </w:r>
      <w:r>
        <w:rPr>
          <w:rFonts w:hint="eastAsia" w:ascii="宋体" w:hAnsi="宋体" w:eastAsia="宋体" w:cs="宋体"/>
          <w:sz w:val="24"/>
          <w:szCs w:val="24"/>
          <w:highlight w:val="none"/>
        </w:rPr>
        <w:noBreakHyphen/>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spacing w:val="-2"/>
          <w:sz w:val="24"/>
          <w:szCs w:val="24"/>
          <w:highlight w:val="none"/>
        </w:rPr>
        <w:t>。</w:t>
      </w:r>
    </w:p>
    <w:p w14:paraId="2CEC704B">
      <w:pPr>
        <w:pStyle w:val="127"/>
        <w:spacing w:before="72" w:after="48"/>
        <w:rPr>
          <w:highlight w:val="none"/>
        </w:rPr>
      </w:pPr>
      <w:bookmarkStart w:id="87" w:name="_Ref95230072"/>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7.1</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1</w:t>
      </w:r>
      <w:r>
        <w:rPr>
          <w:highlight w:val="none"/>
        </w:rPr>
        <w:fldChar w:fldCharType="end"/>
      </w:r>
      <w:bookmarkEnd w:id="87"/>
      <w:r>
        <w:rPr>
          <w:highlight w:val="none"/>
        </w:rPr>
        <w:t xml:space="preserve"> </w:t>
      </w:r>
      <w:r>
        <w:rPr>
          <w:rFonts w:hint="eastAsia"/>
          <w:highlight w:val="none"/>
        </w:rPr>
        <w:t>涉气</w:t>
      </w:r>
      <w:r>
        <w:rPr>
          <w:highlight w:val="none"/>
        </w:rPr>
        <w:t>环境风险物质与临界量的比值结果</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3762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A4E693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3B3F946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0A19811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0995A93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4F08601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4A86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F1BD77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778C533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糠醛</w:t>
            </w:r>
          </w:p>
        </w:tc>
        <w:tc>
          <w:tcPr>
            <w:tcW w:w="2160" w:type="dxa"/>
            <w:vAlign w:val="center"/>
          </w:tcPr>
          <w:p w14:paraId="319D1D0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950" w:type="dxa"/>
            <w:vAlign w:val="center"/>
          </w:tcPr>
          <w:p w14:paraId="102B21A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522</w:t>
            </w:r>
          </w:p>
        </w:tc>
        <w:tc>
          <w:tcPr>
            <w:tcW w:w="1554" w:type="dxa"/>
            <w:vAlign w:val="center"/>
          </w:tcPr>
          <w:p w14:paraId="50B05F8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104.4</w:t>
            </w:r>
          </w:p>
        </w:tc>
      </w:tr>
      <w:tr w14:paraId="48EC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E2E337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w:t>
            </w:r>
          </w:p>
        </w:tc>
        <w:tc>
          <w:tcPr>
            <w:tcW w:w="2431" w:type="dxa"/>
            <w:vAlign w:val="center"/>
          </w:tcPr>
          <w:p w14:paraId="4A32C66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氢气</w:t>
            </w:r>
          </w:p>
        </w:tc>
        <w:tc>
          <w:tcPr>
            <w:tcW w:w="2160" w:type="dxa"/>
            <w:vAlign w:val="center"/>
          </w:tcPr>
          <w:p w14:paraId="4EADA60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10</w:t>
            </w:r>
          </w:p>
        </w:tc>
        <w:tc>
          <w:tcPr>
            <w:tcW w:w="1950" w:type="dxa"/>
            <w:vAlign w:val="center"/>
          </w:tcPr>
          <w:p w14:paraId="594B30FA">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w:t>
            </w:r>
          </w:p>
        </w:tc>
        <w:tc>
          <w:tcPr>
            <w:tcW w:w="1554" w:type="dxa"/>
            <w:vAlign w:val="center"/>
          </w:tcPr>
          <w:p w14:paraId="49E03AB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w:t>
            </w:r>
          </w:p>
        </w:tc>
      </w:tr>
      <w:tr w14:paraId="5B84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2C6051D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w:t>
            </w:r>
          </w:p>
        </w:tc>
        <w:tc>
          <w:tcPr>
            <w:tcW w:w="2431" w:type="dxa"/>
            <w:vAlign w:val="center"/>
          </w:tcPr>
          <w:p w14:paraId="61297B7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糠醇</w:t>
            </w:r>
          </w:p>
        </w:tc>
        <w:tc>
          <w:tcPr>
            <w:tcW w:w="2160" w:type="dxa"/>
            <w:vAlign w:val="center"/>
          </w:tcPr>
          <w:p w14:paraId="097EC30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1950" w:type="dxa"/>
            <w:vAlign w:val="center"/>
          </w:tcPr>
          <w:p w14:paraId="34EF30EB">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452</w:t>
            </w:r>
          </w:p>
        </w:tc>
        <w:tc>
          <w:tcPr>
            <w:tcW w:w="1554" w:type="dxa"/>
            <w:vAlign w:val="center"/>
          </w:tcPr>
          <w:p w14:paraId="5BC2C14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r w14:paraId="40C5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2AC10A3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431" w:type="dxa"/>
            <w:vAlign w:val="center"/>
          </w:tcPr>
          <w:p w14:paraId="13D1607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2-甲基呋喃</w:t>
            </w:r>
          </w:p>
        </w:tc>
        <w:tc>
          <w:tcPr>
            <w:tcW w:w="2160" w:type="dxa"/>
            <w:vAlign w:val="center"/>
          </w:tcPr>
          <w:p w14:paraId="39DF3C4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1950" w:type="dxa"/>
            <w:vAlign w:val="center"/>
          </w:tcPr>
          <w:p w14:paraId="48B6C90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257</w:t>
            </w:r>
          </w:p>
        </w:tc>
        <w:tc>
          <w:tcPr>
            <w:tcW w:w="1554" w:type="dxa"/>
            <w:vAlign w:val="center"/>
          </w:tcPr>
          <w:p w14:paraId="5406780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r>
      <w:tr w14:paraId="2E02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4BC6C27">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6D0B7BEF">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废机油</w:t>
            </w:r>
          </w:p>
        </w:tc>
        <w:tc>
          <w:tcPr>
            <w:tcW w:w="2160" w:type="dxa"/>
            <w:vAlign w:val="center"/>
          </w:tcPr>
          <w:p w14:paraId="02BA3202">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2500</w:t>
            </w:r>
          </w:p>
        </w:tc>
        <w:tc>
          <w:tcPr>
            <w:tcW w:w="1950" w:type="dxa"/>
            <w:vAlign w:val="center"/>
          </w:tcPr>
          <w:p w14:paraId="2628D65B">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554" w:type="dxa"/>
            <w:vAlign w:val="center"/>
          </w:tcPr>
          <w:p w14:paraId="1970C0ED">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r>
      <w:tr w14:paraId="6790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A6B7482">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w:t>
            </w:r>
          </w:p>
        </w:tc>
        <w:tc>
          <w:tcPr>
            <w:tcW w:w="2431" w:type="dxa"/>
            <w:vAlign w:val="center"/>
          </w:tcPr>
          <w:p w14:paraId="404E63D2">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废有机溶剂</w:t>
            </w:r>
          </w:p>
        </w:tc>
        <w:tc>
          <w:tcPr>
            <w:tcW w:w="2160" w:type="dxa"/>
            <w:vAlign w:val="center"/>
          </w:tcPr>
          <w:p w14:paraId="3C8B27CE">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200</w:t>
            </w:r>
          </w:p>
        </w:tc>
        <w:tc>
          <w:tcPr>
            <w:tcW w:w="1950" w:type="dxa"/>
            <w:vAlign w:val="center"/>
          </w:tcPr>
          <w:p w14:paraId="4345D65F">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400</w:t>
            </w:r>
          </w:p>
        </w:tc>
        <w:tc>
          <w:tcPr>
            <w:tcW w:w="1554" w:type="dxa"/>
            <w:vAlign w:val="center"/>
          </w:tcPr>
          <w:p w14:paraId="15A6C72C">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w:t>
            </w:r>
          </w:p>
        </w:tc>
      </w:tr>
      <w:tr w14:paraId="31C4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4525F5F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合计</w:t>
            </w:r>
          </w:p>
        </w:tc>
        <w:tc>
          <w:tcPr>
            <w:tcW w:w="2431" w:type="dxa"/>
            <w:vAlign w:val="center"/>
          </w:tcPr>
          <w:p w14:paraId="257BF7A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2160" w:type="dxa"/>
            <w:vAlign w:val="center"/>
          </w:tcPr>
          <w:p w14:paraId="217175A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950" w:type="dxa"/>
            <w:vAlign w:val="center"/>
          </w:tcPr>
          <w:p w14:paraId="39530F1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554" w:type="dxa"/>
            <w:vAlign w:val="center"/>
          </w:tcPr>
          <w:p w14:paraId="6730C67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106.4</w:t>
            </w:r>
          </w:p>
        </w:tc>
      </w:tr>
    </w:tbl>
    <w:p w14:paraId="65504FD5">
      <w:pPr>
        <w:rPr>
          <w:highlight w:val="none"/>
        </w:rPr>
      </w:pPr>
    </w:p>
    <w:p w14:paraId="38835E82">
      <w:pPr>
        <w:pageBreakBefore w:val="0"/>
        <w:kinsoku/>
        <w:wordWrap/>
        <w:overflowPunct/>
        <w:topLinePunct w:val="0"/>
        <w:autoSpaceDE/>
        <w:autoSpaceDN/>
        <w:bidi w:val="0"/>
        <w:spacing w:line="360" w:lineRule="auto"/>
        <w:ind w:firstLine="554"/>
        <w:jc w:val="both"/>
        <w:textAlignment w:val="auto"/>
        <w:rPr>
          <w:sz w:val="24"/>
          <w:szCs w:val="24"/>
          <w:highlight w:val="none"/>
        </w:rPr>
      </w:pPr>
      <w:r>
        <w:rPr>
          <w:rFonts w:cs="Times New Roman"/>
          <w:sz w:val="24"/>
          <w:szCs w:val="24"/>
          <w:highlight w:val="none"/>
        </w:rPr>
        <w:t>由</w:t>
      </w:r>
      <w:r>
        <w:rPr>
          <w:sz w:val="24"/>
          <w:szCs w:val="24"/>
          <w:highlight w:val="none"/>
        </w:rPr>
        <w:fldChar w:fldCharType="begin"/>
      </w:r>
      <w:r>
        <w:rPr>
          <w:sz w:val="24"/>
          <w:szCs w:val="24"/>
          <w:highlight w:val="none"/>
        </w:rPr>
        <w:instrText xml:space="preserve"> REF _Ref95230072 \h  \* MERGEFORMAT </w:instrText>
      </w:r>
      <w:r>
        <w:rPr>
          <w:sz w:val="24"/>
          <w:szCs w:val="24"/>
          <w:highlight w:val="none"/>
        </w:rPr>
        <w:fldChar w:fldCharType="separate"/>
      </w:r>
      <w:r>
        <w:rPr>
          <w:sz w:val="24"/>
          <w:szCs w:val="24"/>
          <w:highlight w:val="none"/>
        </w:rPr>
        <w:t>表 7.1</w:t>
      </w:r>
      <w:r>
        <w:rPr>
          <w:sz w:val="24"/>
          <w:szCs w:val="24"/>
          <w:highlight w:val="none"/>
        </w:rPr>
        <w:noBreakHyphen/>
      </w:r>
      <w:r>
        <w:rPr>
          <w:sz w:val="24"/>
          <w:szCs w:val="24"/>
          <w:highlight w:val="none"/>
        </w:rPr>
        <w:t>1</w:t>
      </w:r>
      <w:r>
        <w:rPr>
          <w:sz w:val="24"/>
          <w:szCs w:val="24"/>
          <w:highlight w:val="none"/>
        </w:rPr>
        <w:fldChar w:fldCharType="end"/>
      </w:r>
      <w:r>
        <w:rPr>
          <w:rFonts w:cs="Times New Roman"/>
          <w:sz w:val="24"/>
          <w:szCs w:val="24"/>
          <w:highlight w:val="none"/>
        </w:rPr>
        <w:t>可以看出，该公司涉气环境风险物质与临界量的比值</w:t>
      </w:r>
      <w:r>
        <w:rPr>
          <w:rFonts w:hint="default" w:ascii="Times New Roman" w:hAnsi="Times New Roman" w:cs="Times New Roman"/>
          <w:color w:val="auto"/>
          <w:sz w:val="24"/>
          <w:szCs w:val="24"/>
          <w:highlight w:val="none"/>
        </w:rPr>
        <w:t>Q=</w:t>
      </w:r>
      <w:r>
        <w:rPr>
          <w:rFonts w:hint="eastAsia" w:cs="Times New Roman"/>
          <w:color w:val="auto"/>
          <w:sz w:val="24"/>
          <w:szCs w:val="24"/>
          <w:highlight w:val="none"/>
          <w:lang w:val="en-US" w:eastAsia="zh-CN"/>
        </w:rPr>
        <w:t>106.4</w:t>
      </w:r>
      <w:r>
        <w:rPr>
          <w:rFonts w:hint="default" w:ascii="Times New Roman" w:hAnsi="Times New Roman" w:cs="Times New Roman"/>
          <w:color w:val="auto"/>
          <w:sz w:val="24"/>
          <w:szCs w:val="24"/>
          <w:highlight w:val="none"/>
        </w:rPr>
        <w:t>，</w:t>
      </w:r>
      <w:r>
        <w:rPr>
          <w:spacing w:val="-4"/>
          <w:sz w:val="24"/>
          <w:szCs w:val="24"/>
          <w:highlight w:val="none"/>
          <w:lang w:eastAsia="zh-CN"/>
        </w:rPr>
        <w:t>Q≥10</w:t>
      </w:r>
      <w:r>
        <w:rPr>
          <w:rFonts w:hint="default" w:ascii="Times New Roman" w:hAnsi="Times New Roman" w:cs="Times New Roman"/>
          <w:color w:val="auto"/>
          <w:sz w:val="24"/>
          <w:highlight w:val="none"/>
        </w:rPr>
        <w:t>0</w:t>
      </w:r>
      <w:r>
        <w:rPr>
          <w:rFonts w:hint="eastAsia" w:cs="Times New Roman"/>
          <w:color w:val="auto"/>
          <w:sz w:val="24"/>
          <w:highlight w:val="none"/>
          <w:lang w:eastAsia="zh-CN"/>
        </w:rPr>
        <w:t>，</w:t>
      </w:r>
      <w:r>
        <w:rPr>
          <w:rFonts w:cs="Times New Roman"/>
          <w:sz w:val="24"/>
          <w:szCs w:val="24"/>
          <w:highlight w:val="none"/>
        </w:rPr>
        <w:t>（Q）属于第</w:t>
      </w:r>
      <w:r>
        <w:rPr>
          <w:rFonts w:hint="eastAsia" w:cs="Times New Roman"/>
          <w:sz w:val="24"/>
          <w:szCs w:val="24"/>
          <w:highlight w:val="none"/>
          <w:lang w:val="en-US" w:eastAsia="zh-CN"/>
        </w:rPr>
        <w:t>4</w:t>
      </w:r>
      <w:r>
        <w:rPr>
          <w:rFonts w:cs="Times New Roman"/>
          <w:sz w:val="24"/>
          <w:szCs w:val="24"/>
          <w:highlight w:val="none"/>
        </w:rPr>
        <w:t>类，用Q</w:t>
      </w:r>
      <w:r>
        <w:rPr>
          <w:rFonts w:hint="eastAsia" w:cs="Times New Roman"/>
          <w:sz w:val="24"/>
          <w:szCs w:val="24"/>
          <w:highlight w:val="none"/>
          <w:lang w:val="en-US" w:eastAsia="zh-CN"/>
        </w:rPr>
        <w:t>3</w:t>
      </w:r>
      <w:r>
        <w:rPr>
          <w:rFonts w:cs="Times New Roman"/>
          <w:spacing w:val="-4"/>
          <w:sz w:val="24"/>
          <w:szCs w:val="24"/>
          <w:highlight w:val="none"/>
        </w:rPr>
        <w:t>表示。</w:t>
      </w:r>
    </w:p>
    <w:p w14:paraId="1D8F3AFB">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7.1.2</w:t>
      </w:r>
      <w:r>
        <w:rPr>
          <w:rFonts w:hint="eastAsia"/>
          <w:sz w:val="24"/>
          <w:szCs w:val="24"/>
          <w:highlight w:val="none"/>
        </w:rPr>
        <w:t>生产工艺过程与大气环境风险控制水平（M）评估</w:t>
      </w:r>
    </w:p>
    <w:p w14:paraId="4E33ED39">
      <w:pPr>
        <w:pStyle w:val="123"/>
        <w:pageBreakBefore w:val="0"/>
        <w:kinsoku/>
        <w:wordWrap/>
        <w:overflowPunct/>
        <w:topLinePunct w:val="0"/>
        <w:autoSpaceDE/>
        <w:autoSpaceDN/>
        <w:bidi w:val="0"/>
        <w:jc w:val="both"/>
        <w:textAlignment w:val="auto"/>
        <w:rPr>
          <w:sz w:val="24"/>
          <w:szCs w:val="24"/>
          <w:highlight w:val="none"/>
          <w:lang w:eastAsia="zh-CN"/>
        </w:rPr>
      </w:pPr>
      <w:r>
        <w:rPr>
          <w:rFonts w:hint="eastAsia"/>
          <w:sz w:val="24"/>
          <w:szCs w:val="24"/>
          <w:highlight w:val="none"/>
          <w:lang w:eastAsia="zh-CN"/>
        </w:rPr>
        <w:t>采用评分法对企业生产工艺过程、大气环境风险防控措施及突发大气环境事件发生情况进行评估，将各项指标分值累加，确定企业生产工艺过程与大气环境风险控制水平（M）。</w:t>
      </w:r>
    </w:p>
    <w:p w14:paraId="58C309EB">
      <w:pPr>
        <w:keepNext/>
        <w:keepLines/>
        <w:pageBreakBefore w:val="0"/>
        <w:widowControl w:val="0"/>
        <w:numPr>
          <w:ilvl w:val="0"/>
          <w:numId w:val="0"/>
        </w:numPr>
        <w:kinsoku/>
        <w:wordWrap/>
        <w:overflowPunct/>
        <w:topLinePunct w:val="0"/>
        <w:autoSpaceDE/>
        <w:autoSpaceDN/>
        <w:bidi w:val="0"/>
        <w:adjustRightInd/>
        <w:snapToGrid/>
        <w:ind w:leftChars="0"/>
        <w:textAlignment w:val="auto"/>
        <w:outlineLvl w:val="9"/>
        <w:rPr>
          <w:b/>
          <w:bCs/>
          <w:sz w:val="24"/>
          <w:szCs w:val="24"/>
          <w:highlight w:val="none"/>
        </w:rPr>
      </w:pPr>
      <w:r>
        <w:rPr>
          <w:rFonts w:hint="eastAsia"/>
          <w:b/>
          <w:bCs/>
          <w:sz w:val="24"/>
          <w:szCs w:val="24"/>
          <w:highlight w:val="none"/>
          <w:lang w:val="en-US" w:eastAsia="zh-CN"/>
        </w:rPr>
        <w:t>7.1.2.1</w:t>
      </w:r>
      <w:r>
        <w:rPr>
          <w:rFonts w:hint="eastAsia"/>
          <w:b/>
          <w:bCs/>
          <w:sz w:val="24"/>
          <w:szCs w:val="24"/>
          <w:highlight w:val="none"/>
        </w:rPr>
        <w:t>生产工艺过程含有风险工艺和设备情况</w:t>
      </w:r>
    </w:p>
    <w:p w14:paraId="3A03F98A">
      <w:pPr>
        <w:pStyle w:val="123"/>
        <w:pageBreakBefore w:val="0"/>
        <w:kinsoku/>
        <w:wordWrap/>
        <w:overflowPunct/>
        <w:topLinePunct w:val="0"/>
        <w:autoSpaceDE/>
        <w:autoSpaceDN/>
        <w:bidi w:val="0"/>
        <w:textAlignment w:val="auto"/>
        <w:rPr>
          <w:rFonts w:hint="eastAsia"/>
          <w:sz w:val="24"/>
          <w:szCs w:val="24"/>
          <w:highlight w:val="none"/>
          <w:lang w:eastAsia="zh-CN"/>
        </w:rPr>
      </w:pPr>
      <w:r>
        <w:rPr>
          <w:rFonts w:hint="eastAsia"/>
          <w:sz w:val="24"/>
          <w:szCs w:val="24"/>
          <w:highlight w:val="none"/>
          <w:lang w:eastAsia="zh-CN"/>
        </w:rPr>
        <w:t>对企业生产工艺过程含有风险工艺和设备情况的评估按照工艺单元进行，具有多套工艺单元的企业，对每套工艺单元分别评分并求和，该指标分值最高为30分。</w:t>
      </w:r>
    </w:p>
    <w:p w14:paraId="0CA512D4">
      <w:pPr>
        <w:widowControl/>
        <w:adjustRightInd w:val="0"/>
        <w:snapToGrid w:val="0"/>
        <w:spacing w:line="360" w:lineRule="auto"/>
        <w:ind w:firstLine="360"/>
        <w:rPr>
          <w:rFonts w:hint="default" w:ascii="Times New Roman" w:hAnsi="Times New Roman" w:cs="Times New Roman"/>
          <w:bCs/>
          <w:color w:val="auto"/>
          <w:kern w:val="36"/>
          <w:sz w:val="24"/>
        </w:rPr>
      </w:pPr>
      <w:r>
        <w:rPr>
          <w:rFonts w:hint="default" w:ascii="Times New Roman" w:hAnsi="Times New Roman" w:cs="Times New Roman"/>
          <w:bCs/>
          <w:color w:val="auto"/>
          <w:kern w:val="36"/>
          <w:sz w:val="24"/>
        </w:rPr>
        <w:t>艺单元分别评分并求和，该指标评分值最高为30分。</w:t>
      </w:r>
    </w:p>
    <w:p w14:paraId="51857197">
      <w:pPr>
        <w:pStyle w:val="68"/>
        <w:spacing w:line="360" w:lineRule="auto"/>
        <w:ind w:firstLine="482"/>
        <w:rPr>
          <w:rFonts w:hint="default" w:ascii="Times New Roman" w:hAnsi="Times New Roman" w:cs="Times New Roman"/>
          <w:b w:val="0"/>
          <w:bCs/>
          <w:color w:val="auto"/>
          <w:sz w:val="22"/>
          <w:szCs w:val="20"/>
        </w:rPr>
      </w:pPr>
      <w:r>
        <w:rPr>
          <w:rFonts w:hint="default" w:ascii="Times New Roman" w:hAnsi="Times New Roman" w:cs="Times New Roman"/>
          <w:b w:val="0"/>
          <w:bCs/>
          <w:color w:val="auto"/>
          <w:sz w:val="22"/>
          <w:szCs w:val="20"/>
        </w:rPr>
        <w:t>表7.1-</w:t>
      </w:r>
      <w:r>
        <w:rPr>
          <w:rFonts w:hint="eastAsia" w:ascii="Times New Roman" w:hAnsi="Times New Roman" w:cs="Times New Roman"/>
          <w:b w:val="0"/>
          <w:bCs/>
          <w:color w:val="auto"/>
          <w:sz w:val="22"/>
          <w:szCs w:val="20"/>
          <w:lang w:val="en-US" w:eastAsia="zh-CN"/>
        </w:rPr>
        <w:t>1</w:t>
      </w:r>
      <w:r>
        <w:rPr>
          <w:rFonts w:hint="default" w:ascii="Times New Roman" w:hAnsi="Times New Roman" w:cs="Times New Roman"/>
          <w:b w:val="0"/>
          <w:bCs/>
          <w:color w:val="auto"/>
          <w:sz w:val="22"/>
          <w:szCs w:val="20"/>
        </w:rPr>
        <w:t xml:space="preserve">  企业生产工艺评分依据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1409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66024C0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309" w:type="dxa"/>
            <w:vAlign w:val="center"/>
          </w:tcPr>
          <w:p w14:paraId="6B8BF6C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2994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1CF78C7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7112BBB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10/每套</w:t>
            </w:r>
          </w:p>
        </w:tc>
      </w:tr>
      <w:tr w14:paraId="4996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2E2453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其他高温或高压、涉及易燃易爆等物质的工艺过程</w:t>
            </w:r>
            <w:r>
              <w:rPr>
                <w:rFonts w:hint="default" w:ascii="Times New Roman" w:hAnsi="Times New Roman" w:cs="Times New Roman"/>
                <w:color w:val="auto"/>
                <w:szCs w:val="21"/>
                <w:vertAlign w:val="superscript"/>
              </w:rPr>
              <w:t>a</w:t>
            </w:r>
          </w:p>
        </w:tc>
        <w:tc>
          <w:tcPr>
            <w:tcW w:w="1309" w:type="dxa"/>
            <w:vAlign w:val="center"/>
          </w:tcPr>
          <w:p w14:paraId="05BC955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1D81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84F921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309" w:type="dxa"/>
            <w:vAlign w:val="center"/>
          </w:tcPr>
          <w:p w14:paraId="444ED63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2CD5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41CDC9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309" w:type="dxa"/>
            <w:vAlign w:val="center"/>
          </w:tcPr>
          <w:p w14:paraId="1081BA5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05DF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67B2001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注：a高温指工艺温度≥300℃，高压指压力容器的设计压力（p）≥10.0MPa，易燃易爆物质是指按照GB30000.2至GB30000.13所确定的化学物质；b指《产业结构调整指导目录》中有淘汰期限的淘汰类落后生产工艺装备</w:t>
            </w:r>
          </w:p>
        </w:tc>
      </w:tr>
    </w:tbl>
    <w:p w14:paraId="4F7325DB">
      <w:pPr>
        <w:pStyle w:val="123"/>
        <w:pageBreakBefore w:val="0"/>
        <w:kinsoku/>
        <w:wordWrap/>
        <w:overflowPunct/>
        <w:topLinePunct w:val="0"/>
        <w:autoSpaceDE/>
        <w:autoSpaceDN/>
        <w:bidi w:val="0"/>
        <w:ind w:left="0" w:leftChars="0" w:firstLine="0" w:firstLineChars="0"/>
        <w:textAlignment w:val="auto"/>
        <w:rPr>
          <w:rFonts w:hint="eastAsia"/>
          <w:sz w:val="24"/>
          <w:szCs w:val="24"/>
          <w:highlight w:val="none"/>
          <w:lang w:eastAsia="zh-CN"/>
        </w:rPr>
      </w:pPr>
    </w:p>
    <w:p w14:paraId="3CA9E6C8">
      <w:pPr>
        <w:pStyle w:val="127"/>
        <w:spacing w:before="72" w:after="48"/>
        <w:rPr>
          <w:highlight w:val="none"/>
        </w:rPr>
      </w:pPr>
      <w:bookmarkStart w:id="88" w:name="_Ref95230225"/>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7.1</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2</w:t>
      </w:r>
      <w:r>
        <w:rPr>
          <w:highlight w:val="none"/>
        </w:rPr>
        <w:fldChar w:fldCharType="end"/>
      </w:r>
      <w:bookmarkEnd w:id="88"/>
      <w:r>
        <w:rPr>
          <w:highlight w:val="none"/>
        </w:rPr>
        <w:t xml:space="preserve">  企业环境风险及其控制水平得分表</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25E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3B92210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25AC1A2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736D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1ED72D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03D8A35D">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加氢工艺</w:t>
            </w:r>
            <w:r>
              <w:rPr>
                <w:rFonts w:hint="eastAsia" w:cs="Times New Roman"/>
                <w:color w:val="auto"/>
                <w:szCs w:val="21"/>
                <w:highlight w:val="none"/>
                <w:lang w:eastAsia="zh-CN"/>
              </w:rPr>
              <w:t>两套得</w:t>
            </w:r>
            <w:r>
              <w:rPr>
                <w:rFonts w:hint="eastAsia" w:cs="Times New Roman"/>
                <w:color w:val="auto"/>
                <w:szCs w:val="21"/>
                <w:highlight w:val="none"/>
                <w:lang w:val="en-US" w:eastAsia="zh-CN"/>
              </w:rPr>
              <w:t>20分</w:t>
            </w:r>
          </w:p>
        </w:tc>
      </w:tr>
      <w:tr w14:paraId="3D56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6CFAAA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454FF199">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氢气得10</w:t>
            </w:r>
          </w:p>
        </w:tc>
      </w:tr>
      <w:tr w14:paraId="311D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3598D49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4615A8E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62B7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2BFB96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0406691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bl>
    <w:p w14:paraId="2E801D33">
      <w:pPr>
        <w:pStyle w:val="123"/>
        <w:pageBreakBefore w:val="0"/>
        <w:kinsoku/>
        <w:wordWrap/>
        <w:overflowPunct/>
        <w:topLinePunct w:val="0"/>
        <w:autoSpaceDE/>
        <w:autoSpaceDN/>
        <w:bidi w:val="0"/>
        <w:adjustRightInd/>
        <w:snapToGrid/>
        <w:ind w:left="0" w:leftChars="0" w:firstLine="480" w:firstLineChars="200"/>
        <w:textAlignment w:val="auto"/>
        <w:rPr>
          <w:rFonts w:hint="eastAsia"/>
          <w:sz w:val="24"/>
          <w:szCs w:val="24"/>
          <w:highlight w:val="none"/>
          <w:lang w:eastAsia="zh-CN"/>
        </w:rPr>
      </w:pPr>
    </w:p>
    <w:p w14:paraId="5D4AA55B">
      <w:pPr>
        <w:pStyle w:val="123"/>
        <w:pageBreakBefore w:val="0"/>
        <w:kinsoku/>
        <w:wordWrap/>
        <w:overflowPunct/>
        <w:topLinePunct w:val="0"/>
        <w:autoSpaceDE/>
        <w:autoSpaceDN/>
        <w:bidi w:val="0"/>
        <w:adjustRightInd/>
        <w:snapToGrid/>
        <w:ind w:left="0" w:leftChars="0" w:firstLine="480" w:firstLineChars="200"/>
        <w:textAlignment w:val="auto"/>
        <w:rPr>
          <w:sz w:val="24"/>
          <w:szCs w:val="24"/>
          <w:highlight w:val="none"/>
          <w:lang w:eastAsia="zh-CN"/>
        </w:rPr>
      </w:pPr>
      <w:r>
        <w:rPr>
          <w:rFonts w:hint="eastAsia"/>
          <w:sz w:val="24"/>
          <w:szCs w:val="24"/>
          <w:lang w:eastAsia="zh-CN"/>
        </w:rPr>
        <w:t>涉及加氢工艺，</w:t>
      </w:r>
      <w:r>
        <w:rPr>
          <w:rFonts w:hint="default" w:ascii="Times New Roman" w:hAnsi="Times New Roman" w:cs="Times New Roman"/>
          <w:color w:val="auto"/>
          <w:szCs w:val="21"/>
          <w:highlight w:val="none"/>
        </w:rPr>
        <w:t>易燃易爆物质</w:t>
      </w:r>
      <w:r>
        <w:rPr>
          <w:rFonts w:hint="eastAsia"/>
          <w:sz w:val="24"/>
          <w:szCs w:val="24"/>
          <w:lang w:eastAsia="zh-CN"/>
        </w:rPr>
        <w:t>的工艺过程</w:t>
      </w:r>
      <w:r>
        <w:rPr>
          <w:sz w:val="24"/>
          <w:szCs w:val="24"/>
          <w:lang w:eastAsia="zh-CN"/>
        </w:rPr>
        <w:t>，</w:t>
      </w:r>
      <w:r>
        <w:rPr>
          <w:rFonts w:hint="eastAsia"/>
          <w:sz w:val="24"/>
          <w:szCs w:val="24"/>
          <w:highlight w:val="none"/>
          <w:lang w:eastAsia="zh-CN"/>
        </w:rPr>
        <w:t>因而取值为</w:t>
      </w:r>
      <w:r>
        <w:rPr>
          <w:rFonts w:hint="eastAsia"/>
          <w:sz w:val="24"/>
          <w:szCs w:val="24"/>
          <w:highlight w:val="none"/>
          <w:lang w:val="en-US" w:eastAsia="zh-CN"/>
        </w:rPr>
        <w:t>30分</w:t>
      </w:r>
      <w:r>
        <w:rPr>
          <w:sz w:val="24"/>
          <w:szCs w:val="24"/>
          <w:highlight w:val="none"/>
          <w:lang w:eastAsia="zh-CN"/>
        </w:rPr>
        <w:t>。</w:t>
      </w:r>
    </w:p>
    <w:p w14:paraId="71A9A10D">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highlight w:val="none"/>
        </w:rPr>
      </w:pPr>
      <w:r>
        <w:rPr>
          <w:rFonts w:hint="eastAsia"/>
          <w:b/>
          <w:bCs/>
          <w:sz w:val="24"/>
          <w:szCs w:val="24"/>
          <w:highlight w:val="none"/>
          <w:lang w:val="en-US" w:eastAsia="zh-CN"/>
        </w:rPr>
        <w:t>7.1.2.2</w:t>
      </w:r>
      <w:r>
        <w:rPr>
          <w:rFonts w:hint="eastAsia"/>
          <w:b/>
          <w:bCs/>
          <w:sz w:val="24"/>
          <w:szCs w:val="24"/>
          <w:highlight w:val="none"/>
        </w:rPr>
        <w:t>大气环境风险防控措施及突发大气环境事件发生情况</w:t>
      </w:r>
    </w:p>
    <w:p w14:paraId="405AB5DD">
      <w:pPr>
        <w:pStyle w:val="123"/>
        <w:pageBreakBefore w:val="0"/>
        <w:kinsoku/>
        <w:wordWrap/>
        <w:overflowPunct/>
        <w:topLinePunct w:val="0"/>
        <w:autoSpaceDE/>
        <w:autoSpaceDN/>
        <w:bidi w:val="0"/>
        <w:adjustRightInd/>
        <w:snapToGrid/>
        <w:spacing w:line="360" w:lineRule="auto"/>
        <w:textAlignment w:val="auto"/>
        <w:rPr>
          <w:rFonts w:hint="eastAsia"/>
          <w:bCs/>
          <w:sz w:val="24"/>
          <w:szCs w:val="24"/>
          <w:highlight w:val="none"/>
          <w:lang w:eastAsia="zh-CN"/>
        </w:rPr>
      </w:pPr>
      <w:r>
        <w:rPr>
          <w:rFonts w:hint="eastAsia"/>
          <w:bCs/>
          <w:sz w:val="24"/>
          <w:szCs w:val="24"/>
          <w:highlight w:val="none"/>
          <w:lang w:eastAsia="zh-CN"/>
        </w:rPr>
        <w:t>企业大气环境风险防控措施及突发大气环境事件发生情况评估指标见</w:t>
      </w:r>
      <w:r>
        <w:rPr>
          <w:bCs/>
          <w:sz w:val="24"/>
          <w:szCs w:val="24"/>
          <w:highlight w:val="none"/>
          <w:lang w:eastAsia="zh-CN"/>
        </w:rPr>
        <w:fldChar w:fldCharType="begin"/>
      </w:r>
      <w:r>
        <w:rPr>
          <w:bCs/>
          <w:sz w:val="24"/>
          <w:szCs w:val="24"/>
          <w:highlight w:val="none"/>
          <w:lang w:eastAsia="zh-CN"/>
        </w:rPr>
        <w:instrText xml:space="preserve"> </w:instrText>
      </w:r>
      <w:r>
        <w:rPr>
          <w:rFonts w:hint="eastAsia"/>
          <w:bCs/>
          <w:sz w:val="24"/>
          <w:szCs w:val="24"/>
          <w:highlight w:val="none"/>
          <w:lang w:eastAsia="zh-CN"/>
        </w:rPr>
        <w:instrText xml:space="preserve">REF _Ref95230136 \h</w:instrText>
      </w:r>
      <w:r>
        <w:rPr>
          <w:bCs/>
          <w:sz w:val="24"/>
          <w:szCs w:val="24"/>
          <w:highlight w:val="none"/>
          <w:lang w:eastAsia="zh-CN"/>
        </w:rPr>
        <w:instrText xml:space="preserve">  \* MERGEFORMAT </w:instrText>
      </w:r>
      <w:r>
        <w:rPr>
          <w:bCs/>
          <w:sz w:val="24"/>
          <w:szCs w:val="24"/>
          <w:highlight w:val="none"/>
          <w:lang w:eastAsia="zh-CN"/>
        </w:rPr>
        <w:fldChar w:fldCharType="separate"/>
      </w:r>
      <w:r>
        <w:rPr>
          <w:sz w:val="24"/>
          <w:szCs w:val="24"/>
          <w:highlight w:val="none"/>
          <w:lang w:eastAsia="zh-CN"/>
        </w:rPr>
        <w:t>表 7.1</w:t>
      </w:r>
      <w:r>
        <w:rPr>
          <w:sz w:val="24"/>
          <w:szCs w:val="24"/>
          <w:highlight w:val="none"/>
          <w:lang w:eastAsia="zh-CN"/>
        </w:rPr>
        <w:noBreakHyphen/>
      </w:r>
      <w:r>
        <w:rPr>
          <w:sz w:val="24"/>
          <w:szCs w:val="24"/>
          <w:highlight w:val="none"/>
          <w:lang w:eastAsia="zh-CN"/>
        </w:rPr>
        <w:t>3</w:t>
      </w:r>
      <w:r>
        <w:rPr>
          <w:bCs/>
          <w:sz w:val="24"/>
          <w:szCs w:val="24"/>
          <w:highlight w:val="none"/>
          <w:lang w:eastAsia="zh-CN"/>
        </w:rPr>
        <w:fldChar w:fldCharType="end"/>
      </w:r>
      <w:r>
        <w:rPr>
          <w:rFonts w:hint="eastAsia"/>
          <w:bCs/>
          <w:sz w:val="24"/>
          <w:szCs w:val="24"/>
          <w:highlight w:val="none"/>
          <w:lang w:eastAsia="zh-CN"/>
        </w:rPr>
        <w:t>。对各项评估指标分别评分、计算总和，各项指标分值合计最高为70分。</w:t>
      </w:r>
    </w:p>
    <w:p w14:paraId="7548D154">
      <w:pPr>
        <w:pStyle w:val="123"/>
        <w:pageBreakBefore w:val="0"/>
        <w:kinsoku/>
        <w:wordWrap/>
        <w:overflowPunct/>
        <w:topLinePunct w:val="0"/>
        <w:autoSpaceDE/>
        <w:autoSpaceDN/>
        <w:bidi w:val="0"/>
        <w:adjustRightInd/>
        <w:snapToGrid/>
        <w:spacing w:line="360" w:lineRule="auto"/>
        <w:textAlignment w:val="auto"/>
        <w:rPr>
          <w:rFonts w:hint="eastAsia"/>
          <w:bCs/>
          <w:sz w:val="24"/>
          <w:szCs w:val="24"/>
          <w:highlight w:val="none"/>
          <w:lang w:eastAsia="zh-CN"/>
        </w:rPr>
      </w:pPr>
    </w:p>
    <w:p w14:paraId="253927CF">
      <w:pPr>
        <w:widowControl/>
        <w:adjustRightInd w:val="0"/>
        <w:snapToGrid w:val="0"/>
        <w:spacing w:line="360" w:lineRule="auto"/>
        <w:ind w:firstLine="360"/>
        <w:jc w:val="center"/>
        <w:rPr>
          <w:rFonts w:hint="default" w:ascii="Times New Roman" w:hAnsi="Times New Roman" w:cs="Times New Roman"/>
          <w:b w:val="0"/>
          <w:bCs w:val="0"/>
          <w:color w:val="auto"/>
          <w:sz w:val="22"/>
          <w:szCs w:val="22"/>
        </w:rPr>
      </w:pPr>
      <w:r>
        <w:rPr>
          <w:rFonts w:hint="default" w:ascii="Times New Roman" w:hAnsi="Times New Roman" w:cs="Times New Roman"/>
          <w:b w:val="0"/>
          <w:bCs w:val="0"/>
          <w:color w:val="auto"/>
          <w:sz w:val="22"/>
          <w:szCs w:val="22"/>
        </w:rPr>
        <w:t>表7.1-</w:t>
      </w:r>
      <w:r>
        <w:rPr>
          <w:rFonts w:hint="eastAsia" w:cs="Times New Roman"/>
          <w:b w:val="0"/>
          <w:bCs w:val="0"/>
          <w:color w:val="auto"/>
          <w:sz w:val="22"/>
          <w:szCs w:val="22"/>
          <w:lang w:val="en-US" w:eastAsia="zh-CN"/>
        </w:rPr>
        <w:t>3</w:t>
      </w:r>
      <w:r>
        <w:rPr>
          <w:rFonts w:hint="default" w:ascii="Times New Roman" w:hAnsi="Times New Roman" w:cs="Times New Roman"/>
          <w:b w:val="0"/>
          <w:bCs w:val="0"/>
          <w:color w:val="auto"/>
          <w:sz w:val="22"/>
          <w:szCs w:val="22"/>
        </w:rPr>
        <w:t xml:space="preserve"> 企业大气环境风险防控措施及突发大气环境事件发生情况评分依据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7"/>
        <w:gridCol w:w="5080"/>
        <w:gridCol w:w="1091"/>
      </w:tblGrid>
      <w:tr w14:paraId="3810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Align w:val="center"/>
          </w:tcPr>
          <w:p w14:paraId="674C15A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评估指标</w:t>
            </w:r>
          </w:p>
        </w:tc>
        <w:tc>
          <w:tcPr>
            <w:tcW w:w="5080" w:type="dxa"/>
            <w:vAlign w:val="center"/>
          </w:tcPr>
          <w:p w14:paraId="731B3F8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091" w:type="dxa"/>
            <w:vAlign w:val="center"/>
          </w:tcPr>
          <w:p w14:paraId="089B380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1979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19D8AA30">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毒性气体泄漏监控预警措施</w:t>
            </w:r>
          </w:p>
        </w:tc>
        <w:tc>
          <w:tcPr>
            <w:tcW w:w="5080" w:type="dxa"/>
            <w:vAlign w:val="center"/>
          </w:tcPr>
          <w:p w14:paraId="5FCB5AA0">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（1）不涉及附录A中有毒有害气体的；或</w:t>
            </w:r>
          </w:p>
          <w:p w14:paraId="023BE06A">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（2）根据实际情况，具备有毒有害气体（如硫化氢、氰化氢、氯化氢、光气、氯气、氨气、苯等）厂界泄漏监控预警系统的</w:t>
            </w:r>
          </w:p>
        </w:tc>
        <w:tc>
          <w:tcPr>
            <w:tcW w:w="1091" w:type="dxa"/>
            <w:vAlign w:val="center"/>
          </w:tcPr>
          <w:p w14:paraId="2032132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55B7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73602BA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3BD51A60">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091" w:type="dxa"/>
            <w:vAlign w:val="center"/>
          </w:tcPr>
          <w:p w14:paraId="1C3C4E2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w:t>
            </w:r>
          </w:p>
        </w:tc>
      </w:tr>
      <w:tr w14:paraId="7DEE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11C96ED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符合防护距离情况</w:t>
            </w:r>
          </w:p>
        </w:tc>
        <w:tc>
          <w:tcPr>
            <w:tcW w:w="5080" w:type="dxa"/>
            <w:vAlign w:val="center"/>
          </w:tcPr>
          <w:p w14:paraId="6211B3CF">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1091" w:type="dxa"/>
            <w:vAlign w:val="center"/>
          </w:tcPr>
          <w:p w14:paraId="5FFFC1C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291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3CA4F08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36CADD8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不符合环评及批复文件防护距离要求的</w:t>
            </w:r>
          </w:p>
        </w:tc>
        <w:tc>
          <w:tcPr>
            <w:tcW w:w="1091" w:type="dxa"/>
            <w:vAlign w:val="center"/>
          </w:tcPr>
          <w:p w14:paraId="685F1ED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25</w:t>
            </w:r>
          </w:p>
        </w:tc>
      </w:tr>
      <w:tr w14:paraId="2A3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4FEBB5A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近三年内突发大气环境事件发生情况</w:t>
            </w:r>
          </w:p>
        </w:tc>
        <w:tc>
          <w:tcPr>
            <w:tcW w:w="5080" w:type="dxa"/>
            <w:vAlign w:val="center"/>
          </w:tcPr>
          <w:p w14:paraId="6B30869A">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发生过特别重大及重大等级突发大气环境事件的</w:t>
            </w:r>
          </w:p>
        </w:tc>
        <w:tc>
          <w:tcPr>
            <w:tcW w:w="1091" w:type="dxa"/>
            <w:vAlign w:val="center"/>
          </w:tcPr>
          <w:p w14:paraId="6CF8CF6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20</w:t>
            </w:r>
          </w:p>
        </w:tc>
      </w:tr>
      <w:tr w14:paraId="741E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418CF69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1A08613C">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发生过较大等级突发大气环境事件的</w:t>
            </w:r>
          </w:p>
        </w:tc>
        <w:tc>
          <w:tcPr>
            <w:tcW w:w="1091" w:type="dxa"/>
            <w:vAlign w:val="center"/>
          </w:tcPr>
          <w:p w14:paraId="07F47C8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15</w:t>
            </w:r>
          </w:p>
        </w:tc>
      </w:tr>
      <w:tr w14:paraId="3467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4323522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415EDD48">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发生过一般等级突发大气环境事件的</w:t>
            </w:r>
          </w:p>
        </w:tc>
        <w:tc>
          <w:tcPr>
            <w:tcW w:w="1091" w:type="dxa"/>
            <w:vAlign w:val="center"/>
          </w:tcPr>
          <w:p w14:paraId="6DD5337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10</w:t>
            </w:r>
          </w:p>
        </w:tc>
      </w:tr>
      <w:tr w14:paraId="6179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7901150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1212C8B0">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未发生突发大气环境事件的</w:t>
            </w:r>
          </w:p>
        </w:tc>
        <w:tc>
          <w:tcPr>
            <w:tcW w:w="1091" w:type="dxa"/>
            <w:vAlign w:val="center"/>
          </w:tcPr>
          <w:p w14:paraId="610EC70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bl>
    <w:p w14:paraId="4D9E1A51">
      <w:pPr>
        <w:pStyle w:val="123"/>
        <w:pageBreakBefore w:val="0"/>
        <w:kinsoku/>
        <w:wordWrap/>
        <w:overflowPunct/>
        <w:topLinePunct w:val="0"/>
        <w:autoSpaceDE/>
        <w:autoSpaceDN/>
        <w:bidi w:val="0"/>
        <w:adjustRightInd/>
        <w:snapToGrid/>
        <w:spacing w:line="360" w:lineRule="auto"/>
        <w:textAlignment w:val="auto"/>
        <w:rPr>
          <w:rFonts w:hint="eastAsia"/>
          <w:bCs/>
          <w:sz w:val="24"/>
          <w:szCs w:val="24"/>
          <w:highlight w:val="none"/>
          <w:lang w:eastAsia="zh-CN"/>
        </w:rPr>
      </w:pPr>
    </w:p>
    <w:p w14:paraId="17DEAF2A">
      <w:pPr>
        <w:pStyle w:val="127"/>
        <w:spacing w:before="72" w:after="48"/>
        <w:rPr>
          <w:highlight w:val="none"/>
        </w:rPr>
      </w:pPr>
      <w:bookmarkStart w:id="89" w:name="_Ref95230136"/>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7.1</w:t>
      </w:r>
      <w:r>
        <w:rPr>
          <w:highlight w:val="none"/>
        </w:rPr>
        <w:fldChar w:fldCharType="end"/>
      </w:r>
      <w:r>
        <w:rPr>
          <w:highlight w:val="none"/>
        </w:rPr>
        <w:noBreakHyphen/>
      </w:r>
      <w:bookmarkEnd w:id="89"/>
      <w:r>
        <w:rPr>
          <w:rFonts w:hint="eastAsia"/>
          <w:highlight w:val="none"/>
          <w:lang w:val="en-US" w:eastAsia="zh-CN"/>
        </w:rPr>
        <w:t>4</w:t>
      </w:r>
      <w:r>
        <w:rPr>
          <w:highlight w:val="none"/>
        </w:rPr>
        <w:t xml:space="preserve"> </w:t>
      </w:r>
      <w:r>
        <w:rPr>
          <w:rFonts w:hint="eastAsia"/>
          <w:highlight w:val="none"/>
        </w:rPr>
        <w:t>企业大气环境风险防控措施与突发大气环境事件发生情况评估</w:t>
      </w:r>
    </w:p>
    <w:tbl>
      <w:tblPr>
        <w:tblStyle w:val="33"/>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0"/>
        <w:gridCol w:w="4650"/>
        <w:gridCol w:w="1590"/>
        <w:gridCol w:w="583"/>
      </w:tblGrid>
      <w:tr w14:paraId="2B92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Align w:val="center"/>
          </w:tcPr>
          <w:p w14:paraId="2B68CB1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评估指标</w:t>
            </w:r>
          </w:p>
        </w:tc>
        <w:tc>
          <w:tcPr>
            <w:tcW w:w="4650" w:type="dxa"/>
            <w:vAlign w:val="center"/>
          </w:tcPr>
          <w:p w14:paraId="6B35D37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590" w:type="dxa"/>
            <w:vAlign w:val="center"/>
          </w:tcPr>
          <w:p w14:paraId="1247D91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企业情况</w:t>
            </w:r>
          </w:p>
        </w:tc>
        <w:tc>
          <w:tcPr>
            <w:tcW w:w="583" w:type="dxa"/>
            <w:vAlign w:val="center"/>
          </w:tcPr>
          <w:p w14:paraId="6E3A33D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1D01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615974F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毒性气体泄漏监控预警措施</w:t>
            </w:r>
          </w:p>
        </w:tc>
        <w:tc>
          <w:tcPr>
            <w:tcW w:w="4650" w:type="dxa"/>
            <w:vAlign w:val="center"/>
          </w:tcPr>
          <w:p w14:paraId="77AE2002">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（1）不涉及附录A中有毒有害气体的；或</w:t>
            </w:r>
          </w:p>
          <w:p w14:paraId="75964398">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szCs w:val="22"/>
                <w:highlight w:val="none"/>
              </w:rPr>
              <w:t>（2）根据实际情况，具备有毒有害气体（如硫化氢、氰化氢、氯化氢、光气、氯气、氨气、苯等）厂界泄漏监控预警系统的</w:t>
            </w:r>
          </w:p>
        </w:tc>
        <w:tc>
          <w:tcPr>
            <w:tcW w:w="1590" w:type="dxa"/>
            <w:vMerge w:val="restart"/>
            <w:vAlign w:val="center"/>
          </w:tcPr>
          <w:p w14:paraId="25D30CA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2"/>
                <w:highlight w:val="none"/>
              </w:rPr>
              <w:t>不涉及附录A中有毒有害气体</w:t>
            </w:r>
          </w:p>
        </w:tc>
        <w:tc>
          <w:tcPr>
            <w:tcW w:w="583" w:type="dxa"/>
            <w:vMerge w:val="restart"/>
            <w:vAlign w:val="center"/>
          </w:tcPr>
          <w:p w14:paraId="6A71EA9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0</w:t>
            </w:r>
          </w:p>
        </w:tc>
      </w:tr>
      <w:tr w14:paraId="660B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4CA32D9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66E46417">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590" w:type="dxa"/>
            <w:vMerge w:val="continue"/>
            <w:vAlign w:val="center"/>
          </w:tcPr>
          <w:p w14:paraId="776C25C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583" w:type="dxa"/>
            <w:vMerge w:val="continue"/>
            <w:vAlign w:val="center"/>
          </w:tcPr>
          <w:p w14:paraId="51CFCD5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609E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393B7F4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符合防护距离情况</w:t>
            </w:r>
          </w:p>
        </w:tc>
        <w:tc>
          <w:tcPr>
            <w:tcW w:w="4650" w:type="dxa"/>
            <w:vAlign w:val="center"/>
          </w:tcPr>
          <w:p w14:paraId="4440EDF3">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符合环评及批复文件防护距离要求的</w:t>
            </w:r>
          </w:p>
        </w:tc>
        <w:tc>
          <w:tcPr>
            <w:tcW w:w="1590" w:type="dxa"/>
            <w:vMerge w:val="restart"/>
            <w:vAlign w:val="center"/>
          </w:tcPr>
          <w:p w14:paraId="7730892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符合环评及批复文件防护距离要求的</w:t>
            </w:r>
          </w:p>
        </w:tc>
        <w:tc>
          <w:tcPr>
            <w:tcW w:w="583" w:type="dxa"/>
            <w:vMerge w:val="restart"/>
            <w:vAlign w:val="center"/>
          </w:tcPr>
          <w:p w14:paraId="4368D36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0</w:t>
            </w:r>
          </w:p>
        </w:tc>
      </w:tr>
      <w:tr w14:paraId="5492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41DF26E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4051B812">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不符合环评及批复文件防护距离要求的</w:t>
            </w:r>
          </w:p>
        </w:tc>
        <w:tc>
          <w:tcPr>
            <w:tcW w:w="1590" w:type="dxa"/>
            <w:vMerge w:val="continue"/>
            <w:vAlign w:val="center"/>
          </w:tcPr>
          <w:p w14:paraId="578D1DD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583" w:type="dxa"/>
            <w:vMerge w:val="continue"/>
            <w:vAlign w:val="center"/>
          </w:tcPr>
          <w:p w14:paraId="152C764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2802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5C65371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近三年内突发大气环境事件发生情况</w:t>
            </w:r>
          </w:p>
        </w:tc>
        <w:tc>
          <w:tcPr>
            <w:tcW w:w="4650" w:type="dxa"/>
            <w:vAlign w:val="center"/>
          </w:tcPr>
          <w:p w14:paraId="6434489F">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发生过特别重大及重大等级突发大气环境事件的</w:t>
            </w:r>
          </w:p>
        </w:tc>
        <w:tc>
          <w:tcPr>
            <w:tcW w:w="1590" w:type="dxa"/>
            <w:vMerge w:val="restart"/>
            <w:vAlign w:val="center"/>
          </w:tcPr>
          <w:p w14:paraId="7AA9796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未发生突发大气环境事件</w:t>
            </w:r>
          </w:p>
        </w:tc>
        <w:tc>
          <w:tcPr>
            <w:tcW w:w="583" w:type="dxa"/>
            <w:vMerge w:val="restart"/>
            <w:vAlign w:val="center"/>
          </w:tcPr>
          <w:p w14:paraId="489DE1E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0</w:t>
            </w:r>
          </w:p>
        </w:tc>
      </w:tr>
      <w:tr w14:paraId="648F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46375CD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157247FD">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发生过较大等级突发大气环境事件的</w:t>
            </w:r>
          </w:p>
        </w:tc>
        <w:tc>
          <w:tcPr>
            <w:tcW w:w="1590" w:type="dxa"/>
            <w:vMerge w:val="continue"/>
            <w:vAlign w:val="center"/>
          </w:tcPr>
          <w:p w14:paraId="4D4758F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583" w:type="dxa"/>
            <w:vMerge w:val="continue"/>
            <w:vAlign w:val="center"/>
          </w:tcPr>
          <w:p w14:paraId="37F7663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53C6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1F45514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404842ED">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发生过一般等级突发大气环境事件的</w:t>
            </w:r>
          </w:p>
        </w:tc>
        <w:tc>
          <w:tcPr>
            <w:tcW w:w="1590" w:type="dxa"/>
            <w:vMerge w:val="continue"/>
            <w:vAlign w:val="center"/>
          </w:tcPr>
          <w:p w14:paraId="2317371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583" w:type="dxa"/>
            <w:vMerge w:val="continue"/>
            <w:vAlign w:val="center"/>
          </w:tcPr>
          <w:p w14:paraId="482F498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49BD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20B2299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68203720">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未发生突发大气环境事件的</w:t>
            </w:r>
          </w:p>
        </w:tc>
        <w:tc>
          <w:tcPr>
            <w:tcW w:w="1590" w:type="dxa"/>
            <w:vMerge w:val="continue"/>
            <w:vAlign w:val="center"/>
          </w:tcPr>
          <w:p w14:paraId="0A24B59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583" w:type="dxa"/>
            <w:vMerge w:val="continue"/>
            <w:vAlign w:val="center"/>
          </w:tcPr>
          <w:p w14:paraId="1D5276A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r>
      <w:tr w14:paraId="2F1A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970" w:type="dxa"/>
            <w:gridSpan w:val="3"/>
            <w:vAlign w:val="center"/>
          </w:tcPr>
          <w:p w14:paraId="68DD9AD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总分</w:t>
            </w:r>
          </w:p>
        </w:tc>
        <w:tc>
          <w:tcPr>
            <w:tcW w:w="583" w:type="dxa"/>
            <w:vAlign w:val="center"/>
          </w:tcPr>
          <w:p w14:paraId="615A38A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0</w:t>
            </w:r>
          </w:p>
        </w:tc>
      </w:tr>
    </w:tbl>
    <w:p w14:paraId="57824BF9">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b/>
          <w:bCs w:val="0"/>
          <w:sz w:val="24"/>
          <w:szCs w:val="24"/>
          <w:highlight w:val="none"/>
        </w:rPr>
      </w:pPr>
      <w:r>
        <w:rPr>
          <w:rFonts w:hint="eastAsia"/>
          <w:b/>
          <w:bCs w:val="0"/>
          <w:sz w:val="24"/>
          <w:szCs w:val="24"/>
          <w:highlight w:val="none"/>
          <w:lang w:val="en-US" w:eastAsia="zh-CN"/>
        </w:rPr>
        <w:t>7.1.2.3</w:t>
      </w:r>
      <w:r>
        <w:rPr>
          <w:rFonts w:hint="eastAsia"/>
          <w:b/>
          <w:bCs w:val="0"/>
          <w:sz w:val="24"/>
          <w:szCs w:val="24"/>
          <w:highlight w:val="none"/>
        </w:rPr>
        <w:t>企业生产工艺过程与大气环境风险控制水平</w:t>
      </w:r>
    </w:p>
    <w:p w14:paraId="044A2EB7">
      <w:pPr>
        <w:pStyle w:val="123"/>
        <w:pageBreakBefore w:val="0"/>
        <w:kinsoku/>
        <w:wordWrap/>
        <w:overflowPunct/>
        <w:topLinePunct w:val="0"/>
        <w:autoSpaceDE/>
        <w:autoSpaceDN/>
        <w:bidi w:val="0"/>
        <w:adjustRightInd/>
        <w:snapToGrid/>
        <w:spacing w:line="360" w:lineRule="auto"/>
        <w:textAlignment w:val="auto"/>
        <w:rPr>
          <w:sz w:val="24"/>
          <w:szCs w:val="24"/>
          <w:highlight w:val="none"/>
          <w:lang w:eastAsia="zh-CN"/>
        </w:rPr>
      </w:pPr>
      <w:r>
        <w:rPr>
          <w:rFonts w:hint="eastAsia"/>
          <w:sz w:val="24"/>
          <w:szCs w:val="24"/>
          <w:highlight w:val="none"/>
          <w:lang w:eastAsia="zh-CN"/>
        </w:rPr>
        <w:t>公司生产工艺过程、大气环境风险防控措施及突发大气环境事件发生情况各项指标评估分值累加，得出生产工艺过程与大气环境风险控制水平值，按照</w:t>
      </w:r>
      <w:r>
        <w:rPr>
          <w:sz w:val="24"/>
          <w:szCs w:val="24"/>
          <w:highlight w:val="none"/>
          <w:lang w:eastAsia="zh-CN"/>
        </w:rPr>
        <w:fldChar w:fldCharType="begin"/>
      </w:r>
      <w:r>
        <w:rPr>
          <w:sz w:val="24"/>
          <w:szCs w:val="24"/>
          <w:highlight w:val="none"/>
          <w:lang w:eastAsia="zh-CN"/>
        </w:rPr>
        <w:instrText xml:space="preserve"> </w:instrText>
      </w:r>
      <w:r>
        <w:rPr>
          <w:rFonts w:hint="eastAsia"/>
          <w:sz w:val="24"/>
          <w:szCs w:val="24"/>
          <w:highlight w:val="none"/>
          <w:lang w:eastAsia="zh-CN"/>
        </w:rPr>
        <w:instrText xml:space="preserve">REF _Ref95230154 \h</w:instrText>
      </w:r>
      <w:r>
        <w:rPr>
          <w:sz w:val="24"/>
          <w:szCs w:val="24"/>
          <w:highlight w:val="none"/>
          <w:lang w:eastAsia="zh-CN"/>
        </w:rPr>
        <w:instrText xml:space="preserve">  \* MERGEFORMAT </w:instrText>
      </w:r>
      <w:r>
        <w:rPr>
          <w:sz w:val="24"/>
          <w:szCs w:val="24"/>
          <w:highlight w:val="none"/>
          <w:lang w:eastAsia="zh-CN"/>
        </w:rPr>
        <w:fldChar w:fldCharType="separate"/>
      </w:r>
      <w:r>
        <w:rPr>
          <w:rStyle w:val="134"/>
          <w:rFonts w:cs="宋体"/>
          <w:kern w:val="0"/>
          <w:sz w:val="24"/>
          <w:szCs w:val="24"/>
          <w:highlight w:val="none"/>
          <w:lang w:eastAsia="zh-CN"/>
        </w:rPr>
        <w:t>表 7.1</w:t>
      </w:r>
      <w:r>
        <w:rPr>
          <w:rStyle w:val="134"/>
          <w:rFonts w:cs="宋体"/>
          <w:kern w:val="0"/>
          <w:sz w:val="24"/>
          <w:szCs w:val="24"/>
          <w:highlight w:val="none"/>
          <w:lang w:eastAsia="zh-CN"/>
        </w:rPr>
        <w:noBreakHyphen/>
      </w:r>
      <w:r>
        <w:rPr>
          <w:rStyle w:val="134"/>
          <w:rFonts w:cs="宋体"/>
          <w:kern w:val="0"/>
          <w:sz w:val="24"/>
          <w:szCs w:val="24"/>
          <w:highlight w:val="none"/>
          <w:lang w:eastAsia="zh-CN"/>
        </w:rPr>
        <w:t>4</w:t>
      </w:r>
      <w:r>
        <w:rPr>
          <w:sz w:val="24"/>
          <w:szCs w:val="24"/>
          <w:highlight w:val="none"/>
          <w:lang w:eastAsia="zh-CN"/>
        </w:rPr>
        <w:fldChar w:fldCharType="end"/>
      </w:r>
      <w:r>
        <w:rPr>
          <w:rFonts w:hint="eastAsia"/>
          <w:sz w:val="24"/>
          <w:szCs w:val="24"/>
          <w:highlight w:val="none"/>
          <w:lang w:eastAsia="zh-CN"/>
        </w:rPr>
        <w:t>划分为4个类型。</w:t>
      </w:r>
    </w:p>
    <w:p w14:paraId="2BFA8D2B">
      <w:pPr>
        <w:pStyle w:val="127"/>
        <w:pageBreakBefore w:val="0"/>
        <w:kinsoku/>
        <w:wordWrap/>
        <w:overflowPunct/>
        <w:topLinePunct w:val="0"/>
        <w:autoSpaceDE/>
        <w:autoSpaceDN/>
        <w:bidi w:val="0"/>
        <w:spacing w:beforeLines="0" w:afterLines="0" w:line="360" w:lineRule="auto"/>
        <w:textAlignment w:val="auto"/>
        <w:rPr>
          <w:highlight w:val="none"/>
        </w:rPr>
      </w:pPr>
      <w:bookmarkStart w:id="90" w:name="_Ref95230154"/>
      <w:r>
        <w:rPr>
          <w:rStyle w:val="134"/>
          <w:rFonts w:cs="宋体"/>
          <w:kern w:val="0"/>
          <w:szCs w:val="21"/>
          <w:highlight w:val="none"/>
        </w:rPr>
        <w:t xml:space="preserve">表 </w:t>
      </w:r>
      <w:r>
        <w:rPr>
          <w:rStyle w:val="134"/>
          <w:rFonts w:cs="宋体"/>
          <w:kern w:val="0"/>
          <w:szCs w:val="21"/>
          <w:highlight w:val="none"/>
        </w:rPr>
        <w:fldChar w:fldCharType="begin"/>
      </w:r>
      <w:r>
        <w:rPr>
          <w:rStyle w:val="134"/>
          <w:rFonts w:cs="宋体"/>
          <w:kern w:val="0"/>
          <w:szCs w:val="21"/>
          <w:highlight w:val="none"/>
        </w:rPr>
        <w:instrText xml:space="preserve"> STYLEREF 2 \s </w:instrText>
      </w:r>
      <w:r>
        <w:rPr>
          <w:rStyle w:val="134"/>
          <w:rFonts w:cs="宋体"/>
          <w:kern w:val="0"/>
          <w:szCs w:val="21"/>
          <w:highlight w:val="none"/>
        </w:rPr>
        <w:fldChar w:fldCharType="separate"/>
      </w:r>
      <w:r>
        <w:rPr>
          <w:rStyle w:val="134"/>
          <w:rFonts w:cs="宋体"/>
          <w:kern w:val="0"/>
          <w:szCs w:val="21"/>
          <w:highlight w:val="none"/>
        </w:rPr>
        <w:t>7.1</w:t>
      </w:r>
      <w:r>
        <w:rPr>
          <w:rStyle w:val="134"/>
          <w:rFonts w:cs="宋体"/>
          <w:kern w:val="0"/>
          <w:szCs w:val="21"/>
          <w:highlight w:val="none"/>
        </w:rPr>
        <w:fldChar w:fldCharType="end"/>
      </w:r>
      <w:r>
        <w:rPr>
          <w:rStyle w:val="134"/>
          <w:rFonts w:cs="宋体"/>
          <w:kern w:val="0"/>
          <w:szCs w:val="21"/>
          <w:highlight w:val="none"/>
        </w:rPr>
        <w:noBreakHyphen/>
      </w:r>
      <w:r>
        <w:rPr>
          <w:rStyle w:val="134"/>
          <w:rFonts w:cs="宋体"/>
          <w:kern w:val="0"/>
          <w:szCs w:val="21"/>
          <w:highlight w:val="none"/>
        </w:rPr>
        <w:fldChar w:fldCharType="begin"/>
      </w:r>
      <w:r>
        <w:rPr>
          <w:rStyle w:val="134"/>
          <w:rFonts w:cs="宋体"/>
          <w:kern w:val="0"/>
          <w:szCs w:val="21"/>
          <w:highlight w:val="none"/>
        </w:rPr>
        <w:instrText xml:space="preserve"> SEQ 表格 \* ARABIC \s 2 </w:instrText>
      </w:r>
      <w:r>
        <w:rPr>
          <w:rStyle w:val="134"/>
          <w:rFonts w:cs="宋体"/>
          <w:kern w:val="0"/>
          <w:szCs w:val="21"/>
          <w:highlight w:val="none"/>
        </w:rPr>
        <w:fldChar w:fldCharType="separate"/>
      </w:r>
      <w:r>
        <w:rPr>
          <w:rStyle w:val="134"/>
          <w:rFonts w:cs="宋体"/>
          <w:kern w:val="0"/>
          <w:szCs w:val="21"/>
          <w:highlight w:val="none"/>
        </w:rPr>
        <w:t>3</w:t>
      </w:r>
      <w:r>
        <w:rPr>
          <w:rStyle w:val="134"/>
          <w:rFonts w:cs="宋体"/>
          <w:kern w:val="0"/>
          <w:szCs w:val="21"/>
          <w:highlight w:val="none"/>
        </w:rPr>
        <w:fldChar w:fldCharType="end"/>
      </w:r>
      <w:bookmarkEnd w:id="90"/>
      <w:r>
        <w:rPr>
          <w:highlight w:val="none"/>
        </w:rPr>
        <w:t xml:space="preserve"> </w:t>
      </w:r>
      <w:r>
        <w:rPr>
          <w:rFonts w:hint="eastAsia"/>
          <w:highlight w:val="none"/>
        </w:rPr>
        <w:t>企业生产工艺过程与环境风险控制水平类型划分</w:t>
      </w:r>
    </w:p>
    <w:tbl>
      <w:tblPr>
        <w:tblStyle w:val="13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01"/>
        <w:gridCol w:w="4701"/>
      </w:tblGrid>
      <w:tr w14:paraId="0E70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7EC35BF9">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生产工艺过程与环境风险控制水平值</w:t>
            </w:r>
          </w:p>
        </w:tc>
        <w:tc>
          <w:tcPr>
            <w:tcW w:w="4701"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378F50FE">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生产工艺过程与环境风险控制水平类型</w:t>
            </w:r>
          </w:p>
        </w:tc>
      </w:tr>
      <w:tr w14:paraId="19E3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4F44628D">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M＜25</w:t>
            </w:r>
          </w:p>
        </w:tc>
        <w:tc>
          <w:tcPr>
            <w:tcW w:w="4701" w:type="dxa"/>
            <w:shd w:val="clear" w:color="auto" w:fill="auto"/>
            <w:vAlign w:val="center"/>
          </w:tcPr>
          <w:p w14:paraId="5C5E6697">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default"/>
                <w:color w:val="auto"/>
                <w:highlight w:val="none"/>
              </w:rPr>
              <w:t>M1</w:t>
            </w:r>
          </w:p>
        </w:tc>
      </w:tr>
      <w:tr w14:paraId="2124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43717972">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25≤M＜45</w:t>
            </w:r>
          </w:p>
        </w:tc>
        <w:tc>
          <w:tcPr>
            <w:tcW w:w="4701" w:type="dxa"/>
            <w:shd w:val="clear" w:color="auto" w:fill="auto"/>
            <w:vAlign w:val="center"/>
          </w:tcPr>
          <w:p w14:paraId="2DFEEE31">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default"/>
                <w:color w:val="auto"/>
                <w:highlight w:val="none"/>
              </w:rPr>
              <w:t>M2</w:t>
            </w:r>
          </w:p>
        </w:tc>
      </w:tr>
      <w:tr w14:paraId="3209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57B4729C">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45≤M＜65</w:t>
            </w:r>
          </w:p>
        </w:tc>
        <w:tc>
          <w:tcPr>
            <w:tcW w:w="4701" w:type="dxa"/>
            <w:shd w:val="clear" w:color="auto" w:fill="auto"/>
            <w:vAlign w:val="center"/>
          </w:tcPr>
          <w:p w14:paraId="5C8772EA">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default"/>
                <w:color w:val="auto"/>
                <w:highlight w:val="none"/>
              </w:rPr>
              <w:t>M3</w:t>
            </w:r>
          </w:p>
        </w:tc>
      </w:tr>
      <w:tr w14:paraId="1761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22AE6B89">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eastAsia"/>
                <w:color w:val="auto"/>
                <w:highlight w:val="none"/>
              </w:rPr>
              <w:t>M≥65</w:t>
            </w:r>
          </w:p>
        </w:tc>
        <w:tc>
          <w:tcPr>
            <w:tcW w:w="4701" w:type="dxa"/>
            <w:shd w:val="clear" w:color="auto" w:fill="auto"/>
            <w:vAlign w:val="center"/>
          </w:tcPr>
          <w:p w14:paraId="6B71F3AB">
            <w:pPr>
              <w:pStyle w:val="12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highlight w:val="none"/>
              </w:rPr>
            </w:pPr>
            <w:r>
              <w:rPr>
                <w:rFonts w:hint="default"/>
                <w:color w:val="auto"/>
                <w:highlight w:val="none"/>
              </w:rPr>
              <w:t>M4</w:t>
            </w:r>
          </w:p>
        </w:tc>
      </w:tr>
    </w:tbl>
    <w:p w14:paraId="69A9AF57">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Cs/>
          <w:color w:val="auto"/>
          <w:sz w:val="24"/>
          <w:szCs w:val="22"/>
          <w:highlight w:val="none"/>
        </w:rPr>
      </w:pPr>
      <w:r>
        <w:rPr>
          <w:rFonts w:hint="default" w:ascii="Times New Roman" w:hAnsi="Times New Roman" w:eastAsia="宋体" w:cs="Times New Roman"/>
          <w:bCs/>
          <w:color w:val="auto"/>
          <w:sz w:val="24"/>
          <w:szCs w:val="22"/>
          <w:highlight w:val="none"/>
        </w:rPr>
        <w:t>根据大气环境风险防控措施及突发大气环境事件发生情况</w:t>
      </w:r>
      <w:r>
        <w:rPr>
          <w:rFonts w:hint="eastAsia" w:ascii="Times New Roman" w:hAnsi="Times New Roman" w:eastAsia="宋体" w:cs="Times New Roman"/>
          <w:bCs/>
          <w:color w:val="auto"/>
          <w:sz w:val="24"/>
          <w:szCs w:val="22"/>
          <w:highlight w:val="none"/>
          <w:lang w:eastAsia="zh-CN"/>
        </w:rPr>
        <w:t>的分</w:t>
      </w:r>
      <w:r>
        <w:rPr>
          <w:rFonts w:hint="default" w:ascii="Times New Roman" w:hAnsi="Times New Roman" w:eastAsia="宋体" w:cs="Times New Roman"/>
          <w:bCs/>
          <w:color w:val="auto"/>
          <w:sz w:val="24"/>
          <w:szCs w:val="22"/>
          <w:highlight w:val="none"/>
        </w:rPr>
        <w:t>可知，</w:t>
      </w:r>
      <w:r>
        <w:rPr>
          <w:rFonts w:hint="eastAsia" w:ascii="Times New Roman" w:hAnsi="Times New Roman" w:eastAsia="宋体" w:cs="Times New Roman"/>
          <w:bCs/>
          <w:color w:val="auto"/>
          <w:sz w:val="24"/>
          <w:szCs w:val="22"/>
          <w:highlight w:val="none"/>
          <w:lang w:val="en-US" w:eastAsia="zh-CN"/>
        </w:rPr>
        <w:t>M为</w:t>
      </w:r>
      <w:r>
        <w:rPr>
          <w:rFonts w:hint="eastAsia" w:cs="Times New Roman"/>
          <w:bCs/>
          <w:color w:val="auto"/>
          <w:sz w:val="24"/>
          <w:szCs w:val="22"/>
          <w:highlight w:val="none"/>
          <w:lang w:val="en-US" w:eastAsia="zh-CN"/>
        </w:rPr>
        <w:t>30</w:t>
      </w:r>
      <w:r>
        <w:rPr>
          <w:rFonts w:hint="eastAsia" w:ascii="Times New Roman" w:hAnsi="Times New Roman" w:eastAsia="宋体" w:cs="Times New Roman"/>
          <w:bCs/>
          <w:color w:val="auto"/>
          <w:sz w:val="24"/>
          <w:szCs w:val="22"/>
          <w:highlight w:val="none"/>
          <w:lang w:val="en-US" w:eastAsia="zh-CN"/>
        </w:rPr>
        <w:t>分，</w:t>
      </w:r>
      <w:r>
        <w:rPr>
          <w:rFonts w:hint="eastAsia"/>
          <w:color w:val="auto"/>
          <w:highlight w:val="none"/>
        </w:rPr>
        <w:t>25≤M＜45</w:t>
      </w:r>
      <w:r>
        <w:rPr>
          <w:rFonts w:hint="eastAsia"/>
          <w:color w:val="auto"/>
          <w:highlight w:val="none"/>
          <w:lang w:eastAsia="zh-CN"/>
        </w:rPr>
        <w:t>，</w:t>
      </w:r>
      <w:r>
        <w:rPr>
          <w:rFonts w:hint="default" w:ascii="Times New Roman" w:hAnsi="Times New Roman" w:cs="Times New Roman"/>
          <w:bCs/>
          <w:color w:val="auto"/>
          <w:sz w:val="24"/>
          <w:szCs w:val="22"/>
          <w:highlight w:val="none"/>
        </w:rPr>
        <w:t>工艺过程与环境风险控制水平为M</w:t>
      </w:r>
      <w:r>
        <w:rPr>
          <w:rFonts w:hint="eastAsia" w:cs="Times New Roman"/>
          <w:bCs/>
          <w:color w:val="auto"/>
          <w:sz w:val="24"/>
          <w:szCs w:val="22"/>
          <w:highlight w:val="none"/>
          <w:lang w:val="en-US" w:eastAsia="zh-CN"/>
        </w:rPr>
        <w:t>2</w:t>
      </w:r>
      <w:r>
        <w:rPr>
          <w:rFonts w:hint="default" w:ascii="Times New Roman" w:hAnsi="Times New Roman" w:cs="Times New Roman"/>
          <w:bCs/>
          <w:color w:val="auto"/>
          <w:sz w:val="24"/>
          <w:szCs w:val="22"/>
          <w:highlight w:val="none"/>
        </w:rPr>
        <w:t>类。</w:t>
      </w:r>
    </w:p>
    <w:p w14:paraId="74E8C961">
      <w:pPr>
        <w:pStyle w:val="8"/>
        <w:rPr>
          <w:sz w:val="24"/>
          <w:szCs w:val="24"/>
          <w:highlight w:val="none"/>
        </w:rPr>
      </w:pPr>
      <w:r>
        <w:rPr>
          <w:rFonts w:hint="eastAsia"/>
          <w:sz w:val="24"/>
          <w:szCs w:val="24"/>
          <w:highlight w:val="none"/>
          <w:lang w:val="en-US" w:eastAsia="zh-CN"/>
        </w:rPr>
        <w:t>7.1.3</w:t>
      </w:r>
      <w:r>
        <w:rPr>
          <w:sz w:val="24"/>
          <w:szCs w:val="24"/>
          <w:highlight w:val="none"/>
        </w:rPr>
        <w:t>大气环境风险受体类型（E）评估</w:t>
      </w:r>
    </w:p>
    <w:p w14:paraId="1F4E36D8">
      <w:pPr>
        <w:pStyle w:val="130"/>
        <w:ind w:firstLine="480"/>
        <w:rPr>
          <w:highlight w:val="none"/>
          <w:lang w:eastAsia="zh-CN"/>
        </w:rPr>
      </w:pPr>
      <w:r>
        <w:rPr>
          <w:rFonts w:hint="eastAsia"/>
          <w:highlight w:val="none"/>
          <w:lang w:eastAsia="zh-CN"/>
        </w:rPr>
        <w:t>大气环境风险受体敏感程度类型按照企业周边人口数进行划分。按照企业周边 5 公里或500 米范围内人口数将大气环境风险受体敏感程度划分为类型 1、类型 2 和类型 3 三种类型，分别以 E1、E2 和 E3 表示，见</w:t>
      </w:r>
      <w:r>
        <w:rPr>
          <w:highlight w:val="none"/>
          <w:lang w:eastAsia="zh-CN"/>
        </w:rPr>
        <w:fldChar w:fldCharType="begin"/>
      </w:r>
      <w:r>
        <w:rPr>
          <w:highlight w:val="none"/>
          <w:lang w:eastAsia="zh-CN"/>
        </w:rPr>
        <w:instrText xml:space="preserve"> </w:instrText>
      </w:r>
      <w:r>
        <w:rPr>
          <w:rFonts w:hint="eastAsia"/>
          <w:highlight w:val="none"/>
          <w:lang w:eastAsia="zh-CN"/>
        </w:rPr>
        <w:instrText xml:space="preserve">REF _Ref95230243 \h</w:instrText>
      </w:r>
      <w:r>
        <w:rPr>
          <w:highlight w:val="none"/>
          <w:lang w:eastAsia="zh-CN"/>
        </w:rPr>
        <w:instrText xml:space="preserve">  \* MERGEFORMAT </w:instrText>
      </w:r>
      <w:r>
        <w:rPr>
          <w:highlight w:val="none"/>
          <w:lang w:eastAsia="zh-CN"/>
        </w:rPr>
        <w:fldChar w:fldCharType="separate"/>
      </w:r>
      <w:r>
        <w:rPr>
          <w:highlight w:val="none"/>
          <w:lang w:eastAsia="zh-CN"/>
        </w:rPr>
        <w:t>表 7.1</w:t>
      </w:r>
      <w:r>
        <w:rPr>
          <w:highlight w:val="none"/>
          <w:lang w:eastAsia="zh-CN"/>
        </w:rPr>
        <w:noBreakHyphen/>
      </w:r>
      <w:r>
        <w:rPr>
          <w:highlight w:val="none"/>
          <w:lang w:eastAsia="zh-CN"/>
        </w:rPr>
        <w:t>5</w:t>
      </w:r>
      <w:r>
        <w:rPr>
          <w:highlight w:val="none"/>
          <w:lang w:eastAsia="zh-CN"/>
        </w:rPr>
        <w:fldChar w:fldCharType="end"/>
      </w:r>
      <w:r>
        <w:rPr>
          <w:rFonts w:hint="eastAsia"/>
          <w:highlight w:val="none"/>
          <w:lang w:eastAsia="zh-CN"/>
        </w:rPr>
        <w:t>。</w:t>
      </w:r>
    </w:p>
    <w:p w14:paraId="629ACD4C">
      <w:pPr>
        <w:pStyle w:val="130"/>
        <w:ind w:firstLine="480"/>
        <w:rPr>
          <w:highlight w:val="none"/>
          <w:lang w:eastAsia="zh-CN"/>
        </w:rPr>
      </w:pPr>
      <w:r>
        <w:rPr>
          <w:rFonts w:hint="eastAsia"/>
          <w:highlight w:val="none"/>
          <w:lang w:eastAsia="zh-CN"/>
        </w:rPr>
        <w:t>大气环境风险受体敏感程度按类型 1、类型 2 和类型 3 顺序依次降低。若企业周边存在多种敏感程度类型的大气环境风险受体，则按敏感程度高者确定企业大气环境风险受体敏感程度类型。</w:t>
      </w:r>
    </w:p>
    <w:p w14:paraId="0694C9F8">
      <w:pPr>
        <w:pStyle w:val="127"/>
        <w:spacing w:before="72" w:after="48"/>
        <w:rPr>
          <w:highlight w:val="none"/>
        </w:rPr>
      </w:pPr>
      <w:bookmarkStart w:id="91" w:name="_Ref95230243"/>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7.1</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4</w:t>
      </w:r>
      <w:r>
        <w:rPr>
          <w:highlight w:val="none"/>
        </w:rPr>
        <w:fldChar w:fldCharType="end"/>
      </w:r>
      <w:bookmarkEnd w:id="91"/>
      <w:r>
        <w:rPr>
          <w:rFonts w:hint="eastAsia"/>
          <w:highlight w:val="none"/>
        </w:rPr>
        <w:t>大气环境风险受体敏感程度类型划分</w:t>
      </w:r>
    </w:p>
    <w:tbl>
      <w:tblPr>
        <w:tblStyle w:val="13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4"/>
        <w:gridCol w:w="7648"/>
      </w:tblGrid>
      <w:tr w14:paraId="0E90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rPr>
        <w:tc>
          <w:tcPr>
            <w:tcW w:w="1754"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7F5B6A1A">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敏感程度类型</w:t>
            </w:r>
          </w:p>
        </w:tc>
        <w:tc>
          <w:tcPr>
            <w:tcW w:w="7648"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56FFC93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大气环境风险受体</w:t>
            </w:r>
          </w:p>
        </w:tc>
      </w:tr>
      <w:tr w14:paraId="64C7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trPr>
        <w:tc>
          <w:tcPr>
            <w:tcW w:w="1754" w:type="dxa"/>
            <w:shd w:val="clear" w:color="auto" w:fill="auto"/>
            <w:vAlign w:val="center"/>
          </w:tcPr>
          <w:p w14:paraId="519E9C04">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类型1（E1）</w:t>
            </w:r>
          </w:p>
        </w:tc>
        <w:tc>
          <w:tcPr>
            <w:tcW w:w="7648" w:type="dxa"/>
            <w:shd w:val="clear" w:color="auto" w:fill="auto"/>
            <w:vAlign w:val="center"/>
          </w:tcPr>
          <w:p w14:paraId="775A65C7">
            <w:pPr>
              <w:pStyle w:val="126"/>
              <w:keepNext w:val="0"/>
              <w:keepLines w:val="0"/>
              <w:widowControl/>
              <w:suppressLineNumbers w:val="0"/>
              <w:spacing w:before="0" w:beforeAutospacing="0" w:after="0" w:afterAutospacing="0"/>
              <w:ind w:left="0" w:right="0"/>
              <w:jc w:val="both"/>
              <w:rPr>
                <w:rFonts w:hint="default"/>
                <w:color w:val="auto"/>
                <w:highlight w:val="none"/>
              </w:rPr>
            </w:pPr>
            <w:r>
              <w:rPr>
                <w:rFonts w:hint="eastAsia"/>
                <w:color w:val="auto"/>
                <w:highlight w:val="none"/>
              </w:rPr>
              <w:t>企业周边5公里范围内居住区、医疗卫生机构、文化教育机构、科研单位、行政机关、企事业单位、商场、公园等人口总数5万人以上，或企业周边500米范围内人口总数1000人以上，或企业周边5公里涉及军事禁区、军事管理区、国家相关保密区域</w:t>
            </w:r>
          </w:p>
        </w:tc>
      </w:tr>
      <w:tr w14:paraId="2FBC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1754" w:type="dxa"/>
            <w:shd w:val="clear" w:color="auto" w:fill="auto"/>
            <w:vAlign w:val="center"/>
          </w:tcPr>
          <w:p w14:paraId="0E0D657B">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类型2（E2）</w:t>
            </w:r>
          </w:p>
        </w:tc>
        <w:tc>
          <w:tcPr>
            <w:tcW w:w="7648" w:type="dxa"/>
            <w:shd w:val="clear" w:color="auto" w:fill="auto"/>
            <w:vAlign w:val="center"/>
          </w:tcPr>
          <w:p w14:paraId="1CD63D57">
            <w:pPr>
              <w:pStyle w:val="126"/>
              <w:keepNext w:val="0"/>
              <w:keepLines w:val="0"/>
              <w:widowControl/>
              <w:suppressLineNumbers w:val="0"/>
              <w:spacing w:before="0" w:beforeAutospacing="0" w:after="0" w:afterAutospacing="0"/>
              <w:ind w:left="0" w:right="0"/>
              <w:jc w:val="both"/>
              <w:rPr>
                <w:rFonts w:hint="default"/>
                <w:color w:val="auto"/>
                <w:highlight w:val="none"/>
              </w:rPr>
            </w:pPr>
            <w:r>
              <w:rPr>
                <w:rFonts w:hint="eastAsia"/>
                <w:color w:val="auto"/>
                <w:highlight w:val="none"/>
              </w:rPr>
              <w:t>企业周边5公里范围内居住区、医疗卫生机构、文化教育机构、科研单位、行政机关、企事业单位、商场、公园等人口总数1万人以上、5万人以下，或企业周边500米范围内人口总数500人以上、1000人以下</w:t>
            </w:r>
          </w:p>
        </w:tc>
      </w:tr>
      <w:tr w14:paraId="1219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trPr>
        <w:tc>
          <w:tcPr>
            <w:tcW w:w="1754" w:type="dxa"/>
            <w:shd w:val="clear" w:color="auto" w:fill="auto"/>
            <w:vAlign w:val="center"/>
          </w:tcPr>
          <w:p w14:paraId="234EA1B2">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类型3（E3）</w:t>
            </w:r>
          </w:p>
        </w:tc>
        <w:tc>
          <w:tcPr>
            <w:tcW w:w="7648" w:type="dxa"/>
            <w:shd w:val="clear" w:color="auto" w:fill="auto"/>
            <w:vAlign w:val="center"/>
          </w:tcPr>
          <w:p w14:paraId="2AB7D68C">
            <w:pPr>
              <w:pStyle w:val="126"/>
              <w:keepNext w:val="0"/>
              <w:keepLines w:val="0"/>
              <w:widowControl/>
              <w:suppressLineNumbers w:val="0"/>
              <w:spacing w:before="0" w:beforeAutospacing="0" w:after="0" w:afterAutospacing="0"/>
              <w:ind w:left="0" w:right="0"/>
              <w:jc w:val="both"/>
              <w:rPr>
                <w:rFonts w:hint="default"/>
                <w:color w:val="auto"/>
                <w:highlight w:val="none"/>
              </w:rPr>
            </w:pPr>
            <w:r>
              <w:rPr>
                <w:rFonts w:hint="eastAsia"/>
                <w:color w:val="auto"/>
                <w:highlight w:val="none"/>
              </w:rPr>
              <w:t>企业周边5公里范围内居住区、医疗卫生机构、文化教育机构、科研单位、行政机关、企事业单位、商场、公园等人口总数1万人以下，且企业周边500米范围内人口总数500人以下</w:t>
            </w:r>
          </w:p>
        </w:tc>
      </w:tr>
    </w:tbl>
    <w:p w14:paraId="07B2FA47">
      <w:pPr>
        <w:pageBreakBefore w:val="0"/>
        <w:kinsoku/>
        <w:wordWrap/>
        <w:overflowPunct/>
        <w:topLinePunct w:val="0"/>
        <w:autoSpaceDE/>
        <w:autoSpaceDN/>
        <w:bidi w:val="0"/>
        <w:spacing w:line="360" w:lineRule="auto"/>
        <w:ind w:firstLine="560"/>
        <w:textAlignment w:val="auto"/>
        <w:rPr>
          <w:rFonts w:hAnsi="PMingLiU" w:cs="Times New Roman"/>
          <w:sz w:val="24"/>
          <w:szCs w:val="24"/>
          <w:highlight w:val="none"/>
        </w:rPr>
      </w:pPr>
      <w:r>
        <w:rPr>
          <w:rFonts w:hint="eastAsia" w:hAnsi="PMingLiU" w:cs="Times New Roman"/>
          <w:sz w:val="24"/>
          <w:szCs w:val="24"/>
          <w:highlight w:val="none"/>
          <w:lang w:eastAsia="zh-CN"/>
        </w:rPr>
        <w:t>公司</w:t>
      </w:r>
      <w:r>
        <w:rPr>
          <w:rFonts w:hint="eastAsia" w:hAnsi="PMingLiU" w:cs="Times New Roman"/>
          <w:sz w:val="24"/>
          <w:szCs w:val="24"/>
          <w:highlight w:val="none"/>
        </w:rPr>
        <w:t>周边5公里范围内居住区、医疗卫生机构、文化教育机构、科研单位、行政机关、企事业单位、商场、公园等人口总数1万人以上、5万人以下。</w:t>
      </w:r>
      <w:r>
        <w:rPr>
          <w:rFonts w:hAnsi="PMingLiU" w:cs="Times New Roman"/>
          <w:sz w:val="24"/>
          <w:szCs w:val="24"/>
          <w:highlight w:val="none"/>
        </w:rPr>
        <w:t>该公司</w:t>
      </w:r>
      <w:r>
        <w:rPr>
          <w:rFonts w:hint="eastAsia" w:hAnsi="PMingLiU" w:cs="Times New Roman"/>
          <w:sz w:val="24"/>
          <w:szCs w:val="24"/>
          <w:highlight w:val="none"/>
        </w:rPr>
        <w:t>大气环境风险受体敏感程度类型</w:t>
      </w:r>
      <w:r>
        <w:rPr>
          <w:rFonts w:hAnsi="PMingLiU" w:cs="Times New Roman"/>
          <w:sz w:val="24"/>
          <w:szCs w:val="24"/>
          <w:highlight w:val="none"/>
        </w:rPr>
        <w:t>为类型</w:t>
      </w:r>
      <w:r>
        <w:rPr>
          <w:rFonts w:hint="eastAsia" w:hAnsi="PMingLiU" w:cs="Times New Roman"/>
          <w:sz w:val="24"/>
          <w:szCs w:val="24"/>
          <w:highlight w:val="none"/>
        </w:rPr>
        <w:t>2</w:t>
      </w:r>
      <w:r>
        <w:rPr>
          <w:rFonts w:hAnsi="PMingLiU" w:cs="Times New Roman"/>
          <w:sz w:val="24"/>
          <w:szCs w:val="24"/>
          <w:highlight w:val="none"/>
        </w:rPr>
        <w:t>，以E2表示。</w:t>
      </w:r>
    </w:p>
    <w:p w14:paraId="03352AB9">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7.1.4</w:t>
      </w:r>
      <w:r>
        <w:rPr>
          <w:rFonts w:hint="eastAsia"/>
          <w:sz w:val="24"/>
          <w:szCs w:val="24"/>
          <w:highlight w:val="none"/>
        </w:rPr>
        <w:t>突发大气环境事件风险等级确定</w:t>
      </w:r>
    </w:p>
    <w:p w14:paraId="4772E453">
      <w:pPr>
        <w:pageBreakBefore w:val="0"/>
        <w:widowControl/>
        <w:kinsoku/>
        <w:wordWrap/>
        <w:overflowPunct/>
        <w:topLinePunct w:val="0"/>
        <w:autoSpaceDE/>
        <w:autoSpaceDN/>
        <w:bidi w:val="0"/>
        <w:adjustRightInd w:val="0"/>
        <w:snapToGrid w:val="0"/>
        <w:spacing w:line="360" w:lineRule="auto"/>
        <w:ind w:firstLine="561"/>
        <w:textAlignment w:val="auto"/>
        <w:rPr>
          <w:highlight w:val="none"/>
          <w:lang w:eastAsia="zh-CN"/>
        </w:rPr>
      </w:pPr>
      <w:r>
        <w:rPr>
          <w:rFonts w:hint="eastAsia"/>
          <w:sz w:val="24"/>
          <w:szCs w:val="24"/>
          <w:highlight w:val="none"/>
          <w:lang w:eastAsia="zh-CN"/>
        </w:rPr>
        <w:t>根据公司周边大气环境风险受体敏感程度（E）、涉气风险物质数量与临界量比值（Q）和生产工艺过程与大气环境风险控制水平（M），按照表7.1-6确定企业突发大气环境事件风险等级</w:t>
      </w:r>
      <w:r>
        <w:rPr>
          <w:rFonts w:hint="default" w:ascii="Times New Roman" w:hAnsi="Times New Roman" w:cs="Times New Roman"/>
          <w:color w:val="auto"/>
          <w:sz w:val="24"/>
          <w:szCs w:val="24"/>
          <w:highlight w:val="none"/>
        </w:rPr>
        <w:t>，为</w:t>
      </w:r>
      <w:r>
        <w:rPr>
          <w:rFonts w:hint="eastAsia" w:cs="Times New Roman"/>
          <w:color w:val="auto"/>
          <w:sz w:val="24"/>
          <w:szCs w:val="24"/>
          <w:highlight w:val="none"/>
          <w:lang w:eastAsia="zh-CN"/>
        </w:rPr>
        <w:t>重</w:t>
      </w:r>
      <w:r>
        <w:rPr>
          <w:rFonts w:hint="default" w:ascii="Times New Roman" w:hAnsi="Times New Roman" w:cs="Times New Roman"/>
          <w:color w:val="auto"/>
          <w:sz w:val="24"/>
          <w:szCs w:val="24"/>
          <w:highlight w:val="none"/>
          <w:lang w:eastAsia="zh-CN"/>
        </w:rPr>
        <w:t>大</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大气（Q</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-E2）。</w:t>
      </w:r>
    </w:p>
    <w:p w14:paraId="7F468221">
      <w:pPr>
        <w:pStyle w:val="127"/>
        <w:spacing w:before="72" w:after="48"/>
        <w:rPr>
          <w:highlight w:val="none"/>
        </w:rPr>
      </w:pPr>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7.1</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5</w:t>
      </w:r>
      <w:r>
        <w:rPr>
          <w:highlight w:val="none"/>
        </w:rPr>
        <w:fldChar w:fldCharType="end"/>
      </w:r>
      <w:r>
        <w:rPr>
          <w:highlight w:val="none"/>
        </w:rPr>
        <w:t xml:space="preserve"> </w:t>
      </w:r>
      <w:r>
        <w:rPr>
          <w:rFonts w:hint="eastAsia"/>
          <w:highlight w:val="none"/>
        </w:rPr>
        <w:t>企业突发环境事件风险分级矩阵表</w:t>
      </w:r>
    </w:p>
    <w:tbl>
      <w:tblPr>
        <w:tblStyle w:val="33"/>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921"/>
        <w:gridCol w:w="2409"/>
        <w:gridCol w:w="1267"/>
        <w:gridCol w:w="1267"/>
        <w:gridCol w:w="1267"/>
        <w:gridCol w:w="1271"/>
      </w:tblGrid>
      <w:tr w14:paraId="70E6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004798C9">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环境风险受体</w:t>
            </w:r>
          </w:p>
          <w:p w14:paraId="14685BDC">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敏感程度（E）</w:t>
            </w:r>
          </w:p>
        </w:tc>
        <w:tc>
          <w:tcPr>
            <w:tcW w:w="2409" w:type="dxa"/>
            <w:vMerge w:val="restart"/>
            <w:shd w:val="clear" w:color="auto" w:fill="FFFFFF" w:themeFill="background1"/>
            <w:vAlign w:val="center"/>
          </w:tcPr>
          <w:p w14:paraId="0F973DD4">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风险物质数量与临界量比值（Q）</w:t>
            </w:r>
          </w:p>
        </w:tc>
        <w:tc>
          <w:tcPr>
            <w:tcW w:w="5072" w:type="dxa"/>
            <w:gridSpan w:val="4"/>
            <w:shd w:val="clear" w:color="auto" w:fill="FFFFFF" w:themeFill="background1"/>
            <w:vAlign w:val="center"/>
          </w:tcPr>
          <w:p w14:paraId="7E26A227">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生产工艺过程与环境风险控制水平（M）</w:t>
            </w:r>
          </w:p>
        </w:tc>
      </w:tr>
      <w:tr w14:paraId="5264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5F7B74B7">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vMerge w:val="continue"/>
            <w:shd w:val="clear" w:color="auto" w:fill="FFFFFF" w:themeFill="background1"/>
            <w:vAlign w:val="center"/>
          </w:tcPr>
          <w:p w14:paraId="6AC0A0D8">
            <w:pPr>
              <w:pStyle w:val="126"/>
              <w:keepNext w:val="0"/>
              <w:keepLines w:val="0"/>
              <w:widowControl/>
              <w:suppressLineNumbers w:val="0"/>
              <w:spacing w:before="0" w:beforeAutospacing="0" w:after="0" w:afterAutospacing="0"/>
              <w:ind w:left="0" w:right="0"/>
              <w:rPr>
                <w:rFonts w:hint="default"/>
                <w:color w:val="auto"/>
                <w:highlight w:val="none"/>
              </w:rPr>
            </w:pPr>
          </w:p>
        </w:tc>
        <w:tc>
          <w:tcPr>
            <w:tcW w:w="1267" w:type="dxa"/>
            <w:shd w:val="clear" w:color="auto" w:fill="FFFFFF" w:themeFill="background1"/>
            <w:vAlign w:val="center"/>
          </w:tcPr>
          <w:p w14:paraId="3024C4CB">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M1类水平</w:t>
            </w:r>
          </w:p>
        </w:tc>
        <w:tc>
          <w:tcPr>
            <w:tcW w:w="1267" w:type="dxa"/>
            <w:shd w:val="clear" w:color="auto" w:fill="FFFFFF" w:themeFill="background1"/>
            <w:vAlign w:val="center"/>
          </w:tcPr>
          <w:p w14:paraId="229E4D2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M2类水平</w:t>
            </w:r>
          </w:p>
        </w:tc>
        <w:tc>
          <w:tcPr>
            <w:tcW w:w="1267" w:type="dxa"/>
            <w:shd w:val="clear" w:color="auto" w:fill="FFFFFF" w:themeFill="background1"/>
            <w:vAlign w:val="center"/>
          </w:tcPr>
          <w:p w14:paraId="6197CF87">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M3类水平</w:t>
            </w:r>
          </w:p>
        </w:tc>
        <w:tc>
          <w:tcPr>
            <w:tcW w:w="1271" w:type="dxa"/>
            <w:shd w:val="clear" w:color="auto" w:fill="FFFFFF" w:themeFill="background1"/>
            <w:vAlign w:val="center"/>
          </w:tcPr>
          <w:p w14:paraId="6C145D4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M4类水平</w:t>
            </w:r>
          </w:p>
        </w:tc>
      </w:tr>
      <w:tr w14:paraId="17AF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6C713BF6">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类型1</w:t>
            </w:r>
          </w:p>
          <w:p w14:paraId="7123B4FB">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（E1）</w:t>
            </w:r>
          </w:p>
        </w:tc>
        <w:tc>
          <w:tcPr>
            <w:tcW w:w="2409" w:type="dxa"/>
            <w:shd w:val="clear" w:color="auto" w:fill="FFFFFF" w:themeFill="background1"/>
            <w:vAlign w:val="center"/>
          </w:tcPr>
          <w:p w14:paraId="7F86E021">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 Q＜10（Q1）</w:t>
            </w:r>
          </w:p>
        </w:tc>
        <w:tc>
          <w:tcPr>
            <w:tcW w:w="1267" w:type="dxa"/>
            <w:shd w:val="clear" w:color="auto" w:fill="FFFFFF" w:themeFill="background1"/>
            <w:vAlign w:val="center"/>
          </w:tcPr>
          <w:p w14:paraId="5135BC5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51521663">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37AC75E5">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72679BBF">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5531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28E6F3F6">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43DEF778">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10≤ Q＜100（Q2）</w:t>
            </w:r>
          </w:p>
        </w:tc>
        <w:tc>
          <w:tcPr>
            <w:tcW w:w="1267" w:type="dxa"/>
            <w:shd w:val="clear" w:color="auto" w:fill="FFFFFF" w:themeFill="background1"/>
            <w:vAlign w:val="center"/>
          </w:tcPr>
          <w:p w14:paraId="5715021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66A901F0">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67" w:type="dxa"/>
            <w:shd w:val="clear" w:color="auto" w:fill="FFFFFF" w:themeFill="background1"/>
            <w:vAlign w:val="center"/>
          </w:tcPr>
          <w:p w14:paraId="2C2ECF1E">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03781F8E">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7546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46F33385">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2D7D7CB4">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Q≥ 100（Q3）</w:t>
            </w:r>
          </w:p>
        </w:tc>
        <w:tc>
          <w:tcPr>
            <w:tcW w:w="1267" w:type="dxa"/>
            <w:shd w:val="clear" w:color="auto" w:fill="FFFFFF" w:themeFill="background1"/>
            <w:vAlign w:val="center"/>
          </w:tcPr>
          <w:p w14:paraId="3971071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67" w:type="dxa"/>
            <w:shd w:val="clear" w:color="auto" w:fill="FFFFFF" w:themeFill="background1"/>
            <w:vAlign w:val="center"/>
          </w:tcPr>
          <w:p w14:paraId="3F5A24C1">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67" w:type="dxa"/>
            <w:shd w:val="clear" w:color="auto" w:fill="FFFFFF" w:themeFill="background1"/>
            <w:vAlign w:val="center"/>
          </w:tcPr>
          <w:p w14:paraId="39C6C09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40BE4CC8">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7D35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29B764A7">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类型2</w:t>
            </w:r>
          </w:p>
          <w:p w14:paraId="2BFE1AA8">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（E2）</w:t>
            </w:r>
          </w:p>
        </w:tc>
        <w:tc>
          <w:tcPr>
            <w:tcW w:w="2409" w:type="dxa"/>
            <w:shd w:val="clear" w:color="auto" w:fill="FFFFFF" w:themeFill="background1"/>
            <w:vAlign w:val="center"/>
          </w:tcPr>
          <w:p w14:paraId="6590859F">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 Q＜10（Q1）</w:t>
            </w:r>
          </w:p>
        </w:tc>
        <w:tc>
          <w:tcPr>
            <w:tcW w:w="1267" w:type="dxa"/>
            <w:shd w:val="clear" w:color="auto" w:fill="FFFFFF" w:themeFill="background1"/>
            <w:vAlign w:val="center"/>
          </w:tcPr>
          <w:p w14:paraId="6281358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一般</w:t>
            </w:r>
          </w:p>
        </w:tc>
        <w:tc>
          <w:tcPr>
            <w:tcW w:w="1267" w:type="dxa"/>
            <w:shd w:val="clear" w:color="auto" w:fill="FFFFFF" w:themeFill="background1"/>
            <w:vAlign w:val="center"/>
          </w:tcPr>
          <w:p w14:paraId="4CEEE2D1">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66FA548A">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71" w:type="dxa"/>
            <w:shd w:val="clear" w:color="auto" w:fill="FFFFFF" w:themeFill="background1"/>
            <w:vAlign w:val="center"/>
          </w:tcPr>
          <w:p w14:paraId="242EAD3B">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1588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0C138501">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7F3A6648">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10≤ Q＜100（Q2）</w:t>
            </w:r>
          </w:p>
        </w:tc>
        <w:tc>
          <w:tcPr>
            <w:tcW w:w="1267" w:type="dxa"/>
            <w:shd w:val="clear" w:color="auto" w:fill="FFFFFF" w:themeFill="background1"/>
            <w:vAlign w:val="center"/>
          </w:tcPr>
          <w:p w14:paraId="0A5E03C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77B60A72">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7792EB13">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7A8FF5FD">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2510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0CA78CEA">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5BCDF237">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Q≥100（Q3）</w:t>
            </w:r>
          </w:p>
        </w:tc>
        <w:tc>
          <w:tcPr>
            <w:tcW w:w="1267" w:type="dxa"/>
            <w:shd w:val="clear" w:color="auto" w:fill="FFFFFF" w:themeFill="background1"/>
            <w:vAlign w:val="center"/>
          </w:tcPr>
          <w:p w14:paraId="3863C0CF">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7AE677D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0000FF"/>
                <w:highlight w:val="none"/>
              </w:rPr>
              <w:t>重大</w:t>
            </w:r>
          </w:p>
        </w:tc>
        <w:tc>
          <w:tcPr>
            <w:tcW w:w="1267" w:type="dxa"/>
            <w:shd w:val="clear" w:color="auto" w:fill="FFFFFF" w:themeFill="background1"/>
            <w:vAlign w:val="center"/>
          </w:tcPr>
          <w:p w14:paraId="40184FD1">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0D36A6C5">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45AD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4A28A979">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类型3</w:t>
            </w:r>
          </w:p>
          <w:p w14:paraId="56B07A12">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（E3）</w:t>
            </w:r>
          </w:p>
        </w:tc>
        <w:tc>
          <w:tcPr>
            <w:tcW w:w="2409" w:type="dxa"/>
            <w:shd w:val="clear" w:color="auto" w:fill="FFFFFF" w:themeFill="background1"/>
            <w:vAlign w:val="center"/>
          </w:tcPr>
          <w:p w14:paraId="74D14532">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 Q＜10（Q1）</w:t>
            </w:r>
          </w:p>
        </w:tc>
        <w:tc>
          <w:tcPr>
            <w:tcW w:w="1267" w:type="dxa"/>
            <w:shd w:val="clear" w:color="auto" w:fill="FFFFFF" w:themeFill="background1"/>
            <w:vAlign w:val="center"/>
          </w:tcPr>
          <w:p w14:paraId="0D799F18">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一般</w:t>
            </w:r>
          </w:p>
        </w:tc>
        <w:tc>
          <w:tcPr>
            <w:tcW w:w="1267" w:type="dxa"/>
            <w:shd w:val="clear" w:color="auto" w:fill="FFFFFF" w:themeFill="background1"/>
            <w:vAlign w:val="center"/>
          </w:tcPr>
          <w:p w14:paraId="6F63C9C8">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一般</w:t>
            </w:r>
          </w:p>
        </w:tc>
        <w:tc>
          <w:tcPr>
            <w:tcW w:w="1267" w:type="dxa"/>
            <w:shd w:val="clear" w:color="auto" w:fill="FFFFFF" w:themeFill="background1"/>
            <w:vAlign w:val="center"/>
          </w:tcPr>
          <w:p w14:paraId="5F01343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71" w:type="dxa"/>
            <w:shd w:val="clear" w:color="auto" w:fill="FFFFFF" w:themeFill="background1"/>
            <w:vAlign w:val="center"/>
          </w:tcPr>
          <w:p w14:paraId="57C11DE5">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r>
      <w:tr w14:paraId="0AE9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081D92A0">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3E0DB397">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10≤ Q＜100（Q2）</w:t>
            </w:r>
          </w:p>
        </w:tc>
        <w:tc>
          <w:tcPr>
            <w:tcW w:w="1267" w:type="dxa"/>
            <w:shd w:val="clear" w:color="auto" w:fill="FFFFFF" w:themeFill="background1"/>
            <w:vAlign w:val="center"/>
          </w:tcPr>
          <w:p w14:paraId="35CC495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一般</w:t>
            </w:r>
          </w:p>
        </w:tc>
        <w:tc>
          <w:tcPr>
            <w:tcW w:w="1267" w:type="dxa"/>
            <w:shd w:val="clear" w:color="auto" w:fill="FFFFFF" w:themeFill="background1"/>
            <w:vAlign w:val="center"/>
          </w:tcPr>
          <w:p w14:paraId="181D9669">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2E22CA5C">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71" w:type="dxa"/>
            <w:shd w:val="clear" w:color="auto" w:fill="FFFFFF" w:themeFill="background1"/>
            <w:vAlign w:val="center"/>
          </w:tcPr>
          <w:p w14:paraId="09F86A50">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r w14:paraId="3ECF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338C62BA">
            <w:pPr>
              <w:pStyle w:val="126"/>
              <w:keepNext w:val="0"/>
              <w:keepLines w:val="0"/>
              <w:widowControl/>
              <w:suppressLineNumbers w:val="0"/>
              <w:spacing w:before="0" w:beforeAutospacing="0" w:after="0" w:afterAutospacing="0"/>
              <w:ind w:left="0" w:right="0"/>
              <w:rPr>
                <w:rFonts w:hint="default"/>
                <w:color w:val="auto"/>
                <w:highlight w:val="none"/>
              </w:rPr>
            </w:pPr>
          </w:p>
        </w:tc>
        <w:tc>
          <w:tcPr>
            <w:tcW w:w="2409" w:type="dxa"/>
            <w:shd w:val="clear" w:color="auto" w:fill="FFFFFF" w:themeFill="background1"/>
            <w:vAlign w:val="center"/>
          </w:tcPr>
          <w:p w14:paraId="5FCB7859">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Q≥ 100（Q3）</w:t>
            </w:r>
          </w:p>
        </w:tc>
        <w:tc>
          <w:tcPr>
            <w:tcW w:w="1267" w:type="dxa"/>
            <w:shd w:val="clear" w:color="auto" w:fill="FFFFFF" w:themeFill="background1"/>
            <w:vAlign w:val="center"/>
          </w:tcPr>
          <w:p w14:paraId="58A03058">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35438BB4">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较大</w:t>
            </w:r>
          </w:p>
        </w:tc>
        <w:tc>
          <w:tcPr>
            <w:tcW w:w="1267" w:type="dxa"/>
            <w:shd w:val="clear" w:color="auto" w:fill="FFFFFF" w:themeFill="background1"/>
            <w:vAlign w:val="center"/>
          </w:tcPr>
          <w:p w14:paraId="00207FD3">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c>
          <w:tcPr>
            <w:tcW w:w="1271" w:type="dxa"/>
            <w:shd w:val="clear" w:color="auto" w:fill="FFFFFF" w:themeFill="background1"/>
            <w:vAlign w:val="center"/>
          </w:tcPr>
          <w:p w14:paraId="00CC384B">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重大</w:t>
            </w:r>
          </w:p>
        </w:tc>
      </w:tr>
    </w:tbl>
    <w:p w14:paraId="54299B97">
      <w:pPr>
        <w:pStyle w:val="7"/>
        <w:pageBreakBefore w:val="0"/>
        <w:kinsoku/>
        <w:wordWrap/>
        <w:overflowPunct/>
        <w:topLinePunct w:val="0"/>
        <w:autoSpaceDE/>
        <w:autoSpaceDN/>
        <w:bidi w:val="0"/>
        <w:spacing w:before="0" w:after="0"/>
        <w:textAlignment w:val="auto"/>
        <w:rPr>
          <w:rFonts w:hint="eastAsia"/>
          <w:highlight w:val="none"/>
          <w:lang w:val="en-US" w:eastAsia="zh-CN"/>
        </w:rPr>
      </w:pPr>
      <w:bookmarkStart w:id="92" w:name="_Toc71712267"/>
      <w:bookmarkStart w:id="93" w:name="_Toc522985314"/>
      <w:bookmarkStart w:id="94" w:name="_Toc127256793"/>
    </w:p>
    <w:p w14:paraId="6F4778B1">
      <w:pPr>
        <w:pStyle w:val="7"/>
        <w:pageBreakBefore w:val="0"/>
        <w:kinsoku/>
        <w:wordWrap/>
        <w:overflowPunct/>
        <w:topLinePunct w:val="0"/>
        <w:autoSpaceDE/>
        <w:autoSpaceDN/>
        <w:bidi w:val="0"/>
        <w:spacing w:before="0" w:after="0"/>
        <w:textAlignment w:val="auto"/>
        <w:rPr>
          <w:highlight w:val="none"/>
        </w:rPr>
      </w:pPr>
      <w:bookmarkStart w:id="95" w:name="_Toc27581"/>
      <w:r>
        <w:rPr>
          <w:rFonts w:hint="eastAsia"/>
          <w:highlight w:val="none"/>
          <w:lang w:val="en-US" w:eastAsia="zh-CN"/>
        </w:rPr>
        <w:t>7.2</w:t>
      </w:r>
      <w:r>
        <w:rPr>
          <w:highlight w:val="none"/>
        </w:rPr>
        <w:t>企业突发水环境事件风险等级</w:t>
      </w:r>
      <w:bookmarkEnd w:id="92"/>
      <w:bookmarkEnd w:id="93"/>
      <w:bookmarkEnd w:id="94"/>
      <w:bookmarkEnd w:id="95"/>
    </w:p>
    <w:p w14:paraId="79F991D9">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7.2.1</w:t>
      </w:r>
      <w:r>
        <w:rPr>
          <w:sz w:val="24"/>
          <w:szCs w:val="24"/>
          <w:highlight w:val="none"/>
        </w:rPr>
        <w:t>计算涉水风险物质与临界量比值（</w:t>
      </w:r>
      <w:r>
        <w:rPr>
          <w:rFonts w:hint="eastAsia"/>
          <w:sz w:val="24"/>
          <w:szCs w:val="24"/>
          <w:highlight w:val="none"/>
        </w:rPr>
        <w:t>Q</w:t>
      </w:r>
      <w:r>
        <w:rPr>
          <w:sz w:val="24"/>
          <w:szCs w:val="24"/>
          <w:highlight w:val="none"/>
        </w:rPr>
        <w:t>）</w:t>
      </w:r>
    </w:p>
    <w:p w14:paraId="10343D37">
      <w:pPr>
        <w:pStyle w:val="130"/>
        <w:pageBreakBefore w:val="0"/>
        <w:kinsoku/>
        <w:wordWrap/>
        <w:overflowPunct/>
        <w:topLinePunct w:val="0"/>
        <w:autoSpaceDE/>
        <w:autoSpaceDN/>
        <w:bidi w:val="0"/>
        <w:ind w:firstLine="480"/>
        <w:textAlignment w:val="auto"/>
        <w:rPr>
          <w:highlight w:val="none"/>
          <w:lang w:eastAsia="zh-CN"/>
        </w:rPr>
      </w:pPr>
      <w:r>
        <w:rPr>
          <w:rFonts w:hint="eastAsia"/>
          <w:highlight w:val="none"/>
          <w:lang w:eastAsia="zh-CN"/>
        </w:rPr>
        <w:t>计算涉水风险物质在厂界内的存在量（如存在量呈动态变化，则按年度内最大存在量计算）与《企业突发环境事件风险分级方法》（</w:t>
      </w:r>
      <w:r>
        <w:rPr>
          <w:highlight w:val="none"/>
          <w:lang w:eastAsia="zh-CN"/>
        </w:rPr>
        <w:t>2018.3.1）</w:t>
      </w:r>
      <w:r>
        <w:rPr>
          <w:rFonts w:hint="eastAsia"/>
          <w:highlight w:val="none"/>
          <w:lang w:eastAsia="zh-CN"/>
        </w:rPr>
        <w:t>附录 A 中临界量的比值 Q：</w:t>
      </w:r>
    </w:p>
    <w:p w14:paraId="2656F549">
      <w:pPr>
        <w:pStyle w:val="123"/>
        <w:pageBreakBefore w:val="0"/>
        <w:kinsoku/>
        <w:wordWrap/>
        <w:overflowPunct/>
        <w:topLinePunct w:val="0"/>
        <w:autoSpaceDE/>
        <w:autoSpaceDN/>
        <w:bidi w:val="0"/>
        <w:textAlignment w:val="auto"/>
        <w:rPr>
          <w:highlight w:val="none"/>
          <w:lang w:eastAsia="zh-CN" w:bidi="en-US"/>
        </w:rPr>
      </w:pPr>
      <w:r>
        <w:rPr>
          <w:rFonts w:hint="eastAsia"/>
          <w:highlight w:val="none"/>
          <w:lang w:eastAsia="zh-CN"/>
        </w:rPr>
        <w:t>（1）当企业只涉及一种风险物质时，该物质的数量与其临界量比值，即为 Q。</w:t>
      </w:r>
    </w:p>
    <w:p w14:paraId="152B25EA">
      <w:pPr>
        <w:pStyle w:val="130"/>
        <w:pageBreakBefore w:val="0"/>
        <w:kinsoku/>
        <w:wordWrap/>
        <w:overflowPunct/>
        <w:topLinePunct w:val="0"/>
        <w:autoSpaceDE/>
        <w:autoSpaceDN/>
        <w:bidi w:val="0"/>
        <w:ind w:firstLine="480"/>
        <w:textAlignment w:val="auto"/>
        <w:rPr>
          <w:highlight w:val="none"/>
          <w:lang w:eastAsia="zh-CN"/>
        </w:rPr>
      </w:pPr>
      <w:r>
        <w:rPr>
          <w:rFonts w:hint="eastAsia"/>
          <w:highlight w:val="none"/>
          <w:lang w:eastAsia="zh-CN"/>
        </w:rPr>
        <w:t>（2）当企业存在多种风险物质时，则按式（1）计算：</w:t>
      </w:r>
    </w:p>
    <w:p w14:paraId="6B42E725">
      <w:pPr>
        <w:pStyle w:val="135"/>
        <w:pageBreakBefore w:val="0"/>
        <w:kinsoku/>
        <w:wordWrap/>
        <w:overflowPunct/>
        <w:topLinePunct w:val="0"/>
        <w:autoSpaceDE/>
        <w:autoSpaceDN/>
        <w:bidi w:val="0"/>
        <w:ind w:left="900" w:hanging="420"/>
        <w:textAlignment w:val="auto"/>
        <w:rPr>
          <w:highlight w:val="none"/>
        </w:rPr>
      </w:pPr>
      <w:r>
        <w:rPr>
          <w:highlight w:val="none"/>
        </w:rPr>
        <w:drawing>
          <wp:anchor distT="0" distB="0" distL="114300" distR="114300" simplePos="0" relativeHeight="251669504" behindDoc="0" locked="0" layoutInCell="1" allowOverlap="1">
            <wp:simplePos x="0" y="0"/>
            <wp:positionH relativeFrom="column">
              <wp:posOffset>4105275</wp:posOffset>
            </wp:positionH>
            <wp:positionV relativeFrom="paragraph">
              <wp:posOffset>146685</wp:posOffset>
            </wp:positionV>
            <wp:extent cx="447675" cy="285750"/>
            <wp:effectExtent l="0" t="0" r="9525" b="0"/>
            <wp:wrapThrough wrapText="bothSides">
              <wp:wrapPolygon>
                <wp:start x="0" y="0"/>
                <wp:lineTo x="0" y="20160"/>
                <wp:lineTo x="20436" y="20160"/>
                <wp:lineTo x="20436" y="0"/>
                <wp:lineTo x="0" y="0"/>
              </wp:wrapPolygon>
            </wp:wrapThrough>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7675" cy="285750"/>
                    </a:xfrm>
                    <a:prstGeom prst="rect">
                      <a:avLst/>
                    </a:prstGeom>
                  </pic:spPr>
                </pic:pic>
              </a:graphicData>
            </a:graphic>
          </wp:anchor>
        </w:drawing>
      </w:r>
      <w:r>
        <w:rPr>
          <w:highlight w:val="none"/>
        </w:rPr>
        <w:drawing>
          <wp:inline distT="0" distB="0" distL="0" distR="0">
            <wp:extent cx="2171700" cy="542925"/>
            <wp:effectExtent l="0" t="0" r="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23" cstate="print"/>
                    <a:stretch>
                      <a:fillRect/>
                    </a:stretch>
                  </pic:blipFill>
                  <pic:spPr>
                    <a:xfrm>
                      <a:off x="0" y="0"/>
                      <a:ext cx="2171700" cy="542925"/>
                    </a:xfrm>
                    <a:prstGeom prst="rect">
                      <a:avLst/>
                    </a:prstGeom>
                  </pic:spPr>
                </pic:pic>
              </a:graphicData>
            </a:graphic>
          </wp:inline>
        </w:drawing>
      </w:r>
      <w:r>
        <w:rPr>
          <w:rFonts w:hint="eastAsia"/>
          <w:highlight w:val="none"/>
        </w:rPr>
        <w:t xml:space="preserve">    </w:t>
      </w:r>
    </w:p>
    <w:p w14:paraId="42244835">
      <w:pPr>
        <w:pStyle w:val="130"/>
        <w:keepNext w:val="0"/>
        <w:keepLines w:val="0"/>
        <w:pageBreakBefore w:val="0"/>
        <w:widowControl w:val="0"/>
        <w:kinsoku/>
        <w:wordWrap/>
        <w:overflowPunct/>
        <w:topLinePunct w:val="0"/>
        <w:autoSpaceDE/>
        <w:autoSpaceDN/>
        <w:bidi w:val="0"/>
        <w:snapToGrid w:val="0"/>
        <w:ind w:firstLine="480"/>
        <w:textAlignment w:val="auto"/>
        <w:rPr>
          <w:sz w:val="24"/>
          <w:szCs w:val="24"/>
          <w:highlight w:val="none"/>
          <w:lang w:eastAsia="zh-CN"/>
        </w:rPr>
      </w:pPr>
      <w:r>
        <w:rPr>
          <w:sz w:val="24"/>
          <w:szCs w:val="24"/>
          <w:highlight w:val="none"/>
          <w:lang w:eastAsia="zh-CN"/>
        </w:rPr>
        <w:t>式中：</w:t>
      </w:r>
      <w:r>
        <w:rPr>
          <w:rFonts w:hint="eastAsia"/>
          <w:i/>
          <w:sz w:val="24"/>
          <w:szCs w:val="24"/>
          <w:highlight w:val="none"/>
          <w:lang w:eastAsia="zh-CN"/>
        </w:rPr>
        <w:t>w</w:t>
      </w:r>
      <w:r>
        <w:rPr>
          <w:rFonts w:hint="eastAsia"/>
          <w:i/>
          <w:sz w:val="24"/>
          <w:szCs w:val="24"/>
          <w:highlight w:val="none"/>
          <w:vertAlign w:val="subscript"/>
          <w:lang w:eastAsia="zh-CN"/>
        </w:rPr>
        <w:t>1</w:t>
      </w:r>
      <w:r>
        <w:rPr>
          <w:i/>
          <w:sz w:val="24"/>
          <w:szCs w:val="24"/>
          <w:highlight w:val="none"/>
          <w:lang w:eastAsia="zh-CN"/>
        </w:rPr>
        <w:t>,w</w:t>
      </w:r>
      <w:r>
        <w:rPr>
          <w:i/>
          <w:sz w:val="24"/>
          <w:szCs w:val="24"/>
          <w:highlight w:val="none"/>
          <w:vertAlign w:val="subscript"/>
          <w:lang w:eastAsia="zh-CN"/>
        </w:rPr>
        <w:t>2</w:t>
      </w:r>
      <w:r>
        <w:rPr>
          <w:i/>
          <w:sz w:val="24"/>
          <w:szCs w:val="24"/>
          <w:highlight w:val="none"/>
          <w:lang w:eastAsia="zh-CN"/>
        </w:rPr>
        <w:t>,……，</w:t>
      </w:r>
      <w:r>
        <w:rPr>
          <w:rFonts w:hint="eastAsia"/>
          <w:i/>
          <w:sz w:val="24"/>
          <w:szCs w:val="24"/>
          <w:highlight w:val="none"/>
          <w:lang w:eastAsia="zh-CN"/>
        </w:rPr>
        <w:t>w</w:t>
      </w:r>
      <w:r>
        <w:rPr>
          <w:i/>
          <w:sz w:val="24"/>
          <w:szCs w:val="24"/>
          <w:highlight w:val="none"/>
          <w:vertAlign w:val="subscript"/>
          <w:lang w:eastAsia="zh-CN"/>
        </w:rPr>
        <w:t>n</w:t>
      </w:r>
      <w:r>
        <w:rPr>
          <w:i/>
          <w:sz w:val="24"/>
          <w:szCs w:val="24"/>
          <w:highlight w:val="none"/>
          <w:lang w:eastAsia="zh-CN"/>
        </w:rPr>
        <w:t>—</w:t>
      </w:r>
      <w:r>
        <w:rPr>
          <w:sz w:val="24"/>
          <w:szCs w:val="24"/>
          <w:highlight w:val="none"/>
          <w:lang w:eastAsia="zh-CN"/>
        </w:rPr>
        <w:t>—</w:t>
      </w:r>
      <w:r>
        <w:rPr>
          <w:sz w:val="24"/>
          <w:szCs w:val="24"/>
          <w:highlight w:val="none"/>
          <w:vertAlign w:val="subscript"/>
          <w:lang w:eastAsia="zh-CN"/>
        </w:rPr>
        <w:t xml:space="preserve"> </w:t>
      </w:r>
      <w:r>
        <w:rPr>
          <w:sz w:val="24"/>
          <w:szCs w:val="24"/>
          <w:highlight w:val="none"/>
          <w:lang w:eastAsia="zh-CN"/>
        </w:rPr>
        <w:t>每种环境风险物质的存在量，t；</w:t>
      </w:r>
    </w:p>
    <w:p w14:paraId="0C391401">
      <w:pPr>
        <w:pStyle w:val="130"/>
        <w:keepNext w:val="0"/>
        <w:keepLines w:val="0"/>
        <w:pageBreakBefore w:val="0"/>
        <w:widowControl w:val="0"/>
        <w:kinsoku/>
        <w:wordWrap/>
        <w:overflowPunct/>
        <w:topLinePunct w:val="0"/>
        <w:autoSpaceDE/>
        <w:autoSpaceDN/>
        <w:bidi w:val="0"/>
        <w:snapToGrid w:val="0"/>
        <w:ind w:firstLine="849" w:firstLineChars="354"/>
        <w:textAlignment w:val="auto"/>
        <w:rPr>
          <w:sz w:val="24"/>
          <w:szCs w:val="24"/>
          <w:highlight w:val="none"/>
          <w:lang w:eastAsia="zh-CN"/>
        </w:rPr>
      </w:pPr>
      <w:r>
        <w:rPr>
          <w:i/>
          <w:sz w:val="24"/>
          <w:szCs w:val="24"/>
          <w:highlight w:val="none"/>
          <w:lang w:eastAsia="zh-CN"/>
        </w:rPr>
        <w:t>W</w:t>
      </w:r>
      <w:r>
        <w:rPr>
          <w:i/>
          <w:sz w:val="24"/>
          <w:szCs w:val="24"/>
          <w:highlight w:val="none"/>
          <w:vertAlign w:val="subscript"/>
          <w:lang w:eastAsia="zh-CN"/>
        </w:rPr>
        <w:t>1</w:t>
      </w:r>
      <w:r>
        <w:rPr>
          <w:i/>
          <w:sz w:val="24"/>
          <w:szCs w:val="24"/>
          <w:highlight w:val="none"/>
          <w:lang w:eastAsia="zh-CN"/>
        </w:rPr>
        <w:t>,W</w:t>
      </w:r>
      <w:r>
        <w:rPr>
          <w:i/>
          <w:sz w:val="24"/>
          <w:szCs w:val="24"/>
          <w:highlight w:val="none"/>
          <w:vertAlign w:val="subscript"/>
          <w:lang w:eastAsia="zh-CN"/>
        </w:rPr>
        <w:t>2</w:t>
      </w:r>
      <w:r>
        <w:rPr>
          <w:i/>
          <w:sz w:val="24"/>
          <w:szCs w:val="24"/>
          <w:highlight w:val="none"/>
          <w:lang w:eastAsia="zh-CN"/>
        </w:rPr>
        <w:t>,……，W</w:t>
      </w:r>
      <w:r>
        <w:rPr>
          <w:i/>
          <w:sz w:val="24"/>
          <w:szCs w:val="24"/>
          <w:highlight w:val="none"/>
          <w:vertAlign w:val="subscript"/>
          <w:lang w:eastAsia="zh-CN"/>
        </w:rPr>
        <w:t>N</w:t>
      </w:r>
      <w:r>
        <w:rPr>
          <w:sz w:val="24"/>
          <w:szCs w:val="24"/>
          <w:highlight w:val="none"/>
          <w:lang w:eastAsia="zh-CN"/>
        </w:rPr>
        <w:t>——</w:t>
      </w:r>
      <w:r>
        <w:rPr>
          <w:sz w:val="24"/>
          <w:szCs w:val="24"/>
          <w:highlight w:val="none"/>
          <w:vertAlign w:val="subscript"/>
          <w:lang w:eastAsia="zh-CN"/>
        </w:rPr>
        <w:t xml:space="preserve"> </w:t>
      </w:r>
      <w:r>
        <w:rPr>
          <w:sz w:val="24"/>
          <w:szCs w:val="24"/>
          <w:highlight w:val="none"/>
          <w:lang w:eastAsia="zh-CN"/>
        </w:rPr>
        <w:t>每种环境风险物质的</w:t>
      </w:r>
      <w:r>
        <w:rPr>
          <w:rFonts w:hint="eastAsia"/>
          <w:sz w:val="24"/>
          <w:szCs w:val="24"/>
          <w:highlight w:val="none"/>
          <w:lang w:eastAsia="zh-CN"/>
        </w:rPr>
        <w:t>临界</w:t>
      </w:r>
      <w:r>
        <w:rPr>
          <w:sz w:val="24"/>
          <w:szCs w:val="24"/>
          <w:highlight w:val="none"/>
          <w:lang w:eastAsia="zh-CN"/>
        </w:rPr>
        <w:t>量，t。</w:t>
      </w:r>
    </w:p>
    <w:p w14:paraId="38D69C0E">
      <w:pPr>
        <w:pStyle w:val="130"/>
        <w:keepNext w:val="0"/>
        <w:keepLines w:val="0"/>
        <w:pageBreakBefore w:val="0"/>
        <w:widowControl w:val="0"/>
        <w:kinsoku/>
        <w:wordWrap/>
        <w:overflowPunct/>
        <w:topLinePunct w:val="0"/>
        <w:autoSpaceDE/>
        <w:autoSpaceDN/>
        <w:bidi w:val="0"/>
        <w:snapToGrid w:val="0"/>
        <w:ind w:firstLine="464"/>
        <w:textAlignment w:val="auto"/>
        <w:rPr>
          <w:spacing w:val="-4"/>
          <w:sz w:val="24"/>
          <w:szCs w:val="24"/>
          <w:highlight w:val="none"/>
          <w:lang w:eastAsia="zh-CN"/>
        </w:rPr>
      </w:pPr>
      <w:r>
        <w:rPr>
          <w:spacing w:val="-4"/>
          <w:sz w:val="24"/>
          <w:szCs w:val="24"/>
          <w:highlight w:val="none"/>
          <w:lang w:eastAsia="zh-CN"/>
        </w:rPr>
        <w:t>计算出Q值后，将Q值划分为4个水平，分别为：</w:t>
      </w:r>
    </w:p>
    <w:p w14:paraId="4CCB0D1E">
      <w:pPr>
        <w:pStyle w:val="130"/>
        <w:keepNext w:val="0"/>
        <w:keepLines w:val="0"/>
        <w:pageBreakBefore w:val="0"/>
        <w:widowControl w:val="0"/>
        <w:kinsoku/>
        <w:wordWrap/>
        <w:overflowPunct/>
        <w:topLinePunct w:val="0"/>
        <w:autoSpaceDE/>
        <w:autoSpaceDN/>
        <w:bidi w:val="0"/>
        <w:snapToGrid w:val="0"/>
        <w:ind w:firstLine="464"/>
        <w:textAlignment w:val="auto"/>
        <w:rPr>
          <w:spacing w:val="-4"/>
          <w:sz w:val="24"/>
          <w:szCs w:val="24"/>
          <w:highlight w:val="none"/>
          <w:lang w:eastAsia="zh-CN"/>
        </w:rPr>
      </w:pPr>
      <w:r>
        <w:rPr>
          <w:spacing w:val="-4"/>
          <w:sz w:val="24"/>
          <w:szCs w:val="24"/>
          <w:highlight w:val="none"/>
          <w:lang w:eastAsia="zh-CN"/>
        </w:rPr>
        <w:t>（1）Q＜1,以Q0表示，企业直接评为,一般环境风险等级；</w:t>
      </w:r>
    </w:p>
    <w:p w14:paraId="03B84D12">
      <w:pPr>
        <w:pStyle w:val="130"/>
        <w:keepNext w:val="0"/>
        <w:keepLines w:val="0"/>
        <w:pageBreakBefore w:val="0"/>
        <w:widowControl w:val="0"/>
        <w:kinsoku/>
        <w:wordWrap/>
        <w:overflowPunct/>
        <w:topLinePunct w:val="0"/>
        <w:autoSpaceDE/>
        <w:autoSpaceDN/>
        <w:bidi w:val="0"/>
        <w:snapToGrid w:val="0"/>
        <w:ind w:firstLine="464"/>
        <w:textAlignment w:val="auto"/>
        <w:rPr>
          <w:spacing w:val="-4"/>
          <w:sz w:val="24"/>
          <w:szCs w:val="24"/>
          <w:highlight w:val="none"/>
        </w:rPr>
      </w:pPr>
      <w:r>
        <w:rPr>
          <w:spacing w:val="-4"/>
          <w:sz w:val="24"/>
          <w:szCs w:val="24"/>
          <w:highlight w:val="none"/>
        </w:rPr>
        <w:t>（2）1≤Q＜10,以</w:t>
      </w:r>
      <w:r>
        <w:rPr>
          <w:rFonts w:hint="eastAsia"/>
          <w:spacing w:val="-4"/>
          <w:sz w:val="24"/>
          <w:szCs w:val="24"/>
          <w:highlight w:val="none"/>
        </w:rPr>
        <w:t>Q1表示；</w:t>
      </w:r>
    </w:p>
    <w:p w14:paraId="328BED17">
      <w:pPr>
        <w:pStyle w:val="130"/>
        <w:keepNext w:val="0"/>
        <w:keepLines w:val="0"/>
        <w:pageBreakBefore w:val="0"/>
        <w:widowControl w:val="0"/>
        <w:kinsoku/>
        <w:wordWrap/>
        <w:overflowPunct/>
        <w:topLinePunct w:val="0"/>
        <w:autoSpaceDE/>
        <w:autoSpaceDN/>
        <w:bidi w:val="0"/>
        <w:snapToGrid w:val="0"/>
        <w:ind w:firstLine="464"/>
        <w:textAlignment w:val="auto"/>
        <w:rPr>
          <w:spacing w:val="-4"/>
          <w:sz w:val="24"/>
          <w:szCs w:val="24"/>
          <w:highlight w:val="none"/>
        </w:rPr>
      </w:pPr>
      <w:r>
        <w:rPr>
          <w:spacing w:val="-4"/>
          <w:sz w:val="24"/>
          <w:szCs w:val="24"/>
          <w:highlight w:val="none"/>
        </w:rPr>
        <w:t>（3）10≤Q＜100,以</w:t>
      </w:r>
      <w:r>
        <w:rPr>
          <w:rFonts w:hint="eastAsia"/>
          <w:spacing w:val="-4"/>
          <w:sz w:val="24"/>
          <w:szCs w:val="24"/>
          <w:highlight w:val="none"/>
        </w:rPr>
        <w:t>Q2表示；</w:t>
      </w:r>
    </w:p>
    <w:p w14:paraId="05082371">
      <w:pPr>
        <w:pStyle w:val="130"/>
        <w:keepNext w:val="0"/>
        <w:keepLines w:val="0"/>
        <w:pageBreakBefore w:val="0"/>
        <w:widowControl w:val="0"/>
        <w:kinsoku/>
        <w:wordWrap/>
        <w:overflowPunct/>
        <w:topLinePunct w:val="0"/>
        <w:autoSpaceDE/>
        <w:autoSpaceDN/>
        <w:bidi w:val="0"/>
        <w:snapToGrid w:val="0"/>
        <w:ind w:firstLine="464"/>
        <w:textAlignment w:val="auto"/>
        <w:rPr>
          <w:spacing w:val="-2"/>
          <w:sz w:val="24"/>
          <w:szCs w:val="24"/>
          <w:highlight w:val="none"/>
          <w:lang w:eastAsia="zh-CN"/>
        </w:rPr>
      </w:pPr>
      <w:r>
        <w:rPr>
          <w:spacing w:val="-4"/>
          <w:sz w:val="24"/>
          <w:szCs w:val="24"/>
          <w:highlight w:val="none"/>
          <w:lang w:eastAsia="zh-CN"/>
        </w:rPr>
        <w:t>（4）Q≥100,以</w:t>
      </w:r>
      <w:r>
        <w:rPr>
          <w:rFonts w:hint="eastAsia"/>
          <w:spacing w:val="-4"/>
          <w:sz w:val="24"/>
          <w:szCs w:val="24"/>
          <w:highlight w:val="none"/>
          <w:lang w:eastAsia="zh-CN"/>
        </w:rPr>
        <w:t>Q3表示。</w:t>
      </w:r>
    </w:p>
    <w:p w14:paraId="5F7E028E">
      <w:pPr>
        <w:keepNext w:val="0"/>
        <w:keepLines w:val="0"/>
        <w:pageBreakBefore w:val="0"/>
        <w:widowControl w:val="0"/>
        <w:kinsoku/>
        <w:wordWrap/>
        <w:overflowPunct/>
        <w:topLinePunct w:val="0"/>
        <w:autoSpaceDE/>
        <w:autoSpaceDN/>
        <w:bidi w:val="0"/>
        <w:snapToGrid w:val="0"/>
        <w:spacing w:line="360" w:lineRule="auto"/>
        <w:ind w:firstLine="560"/>
        <w:jc w:val="both"/>
        <w:textAlignment w:val="auto"/>
        <w:rPr>
          <w:rFonts w:cs="Times New Roman"/>
          <w:spacing w:val="-2"/>
          <w:sz w:val="24"/>
          <w:szCs w:val="24"/>
          <w:highlight w:val="none"/>
        </w:rPr>
      </w:pPr>
      <w:r>
        <w:rPr>
          <w:rFonts w:hint="eastAsia" w:cs="Times New Roman"/>
          <w:spacing w:val="-2"/>
          <w:sz w:val="24"/>
          <w:szCs w:val="24"/>
          <w:highlight w:val="none"/>
        </w:rPr>
        <w:t>对照《企业突发环境事件风险分级方法》</w:t>
      </w:r>
      <w:r>
        <w:rPr>
          <w:rFonts w:cs="Times New Roman"/>
          <w:spacing w:val="-2"/>
          <w:sz w:val="24"/>
          <w:szCs w:val="24"/>
          <w:highlight w:val="none"/>
        </w:rPr>
        <w:t>（2018.3.1）附录 A 中涉水风险物质，企业涉</w:t>
      </w:r>
      <w:r>
        <w:rPr>
          <w:rFonts w:hint="eastAsia" w:cs="Times New Roman"/>
          <w:spacing w:val="-2"/>
          <w:sz w:val="24"/>
          <w:szCs w:val="24"/>
          <w:highlight w:val="none"/>
        </w:rPr>
        <w:t>水</w:t>
      </w:r>
      <w:r>
        <w:rPr>
          <w:rFonts w:cs="Times New Roman"/>
          <w:spacing w:val="-2"/>
          <w:sz w:val="24"/>
          <w:szCs w:val="24"/>
          <w:highlight w:val="none"/>
        </w:rPr>
        <w:t>环境风险物质与临界量比值保守计算结果见</w:t>
      </w:r>
      <w:r>
        <w:rPr>
          <w:sz w:val="24"/>
          <w:szCs w:val="24"/>
          <w:highlight w:val="none"/>
        </w:rPr>
        <w:fldChar w:fldCharType="begin"/>
      </w:r>
      <w:r>
        <w:rPr>
          <w:sz w:val="24"/>
          <w:szCs w:val="24"/>
          <w:highlight w:val="none"/>
        </w:rPr>
        <w:instrText xml:space="preserve"> REF _Ref95230279 \h  \* MERGEFORMAT </w:instrText>
      </w:r>
      <w:r>
        <w:rPr>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1</w:t>
      </w:r>
      <w:r>
        <w:rPr>
          <w:sz w:val="24"/>
          <w:szCs w:val="24"/>
          <w:highlight w:val="none"/>
        </w:rPr>
        <w:fldChar w:fldCharType="end"/>
      </w:r>
      <w:r>
        <w:rPr>
          <w:rFonts w:cs="Times New Roman"/>
          <w:spacing w:val="-2"/>
          <w:sz w:val="24"/>
          <w:szCs w:val="24"/>
          <w:highlight w:val="none"/>
        </w:rPr>
        <w:t>。</w:t>
      </w:r>
    </w:p>
    <w:p w14:paraId="0C0146C0">
      <w:pPr>
        <w:pStyle w:val="127"/>
        <w:spacing w:before="72" w:after="48"/>
        <w:rPr>
          <w:highlight w:val="none"/>
        </w:rPr>
      </w:pPr>
      <w:bookmarkStart w:id="96" w:name="_Ref95230279"/>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7.2</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1</w:t>
      </w:r>
      <w:r>
        <w:rPr>
          <w:highlight w:val="none"/>
        </w:rPr>
        <w:fldChar w:fldCharType="end"/>
      </w:r>
      <w:bookmarkEnd w:id="96"/>
      <w:r>
        <w:rPr>
          <w:highlight w:val="none"/>
        </w:rPr>
        <w:t xml:space="preserve"> </w:t>
      </w:r>
      <w:r>
        <w:rPr>
          <w:rFonts w:hint="eastAsia"/>
          <w:highlight w:val="none"/>
          <w:lang w:bidi="en-US"/>
        </w:rPr>
        <w:t>涉水</w:t>
      </w:r>
      <w:r>
        <w:rPr>
          <w:highlight w:val="none"/>
        </w:rPr>
        <w:t>环境风险物质与临界量的比值结果</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7A82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3C2A33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0F6E23F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190AEC9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2B23FC4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6863B8C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6537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CB83D4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1A8CDFD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糠醛</w:t>
            </w:r>
          </w:p>
        </w:tc>
        <w:tc>
          <w:tcPr>
            <w:tcW w:w="2160" w:type="dxa"/>
            <w:vAlign w:val="center"/>
          </w:tcPr>
          <w:p w14:paraId="444077E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950" w:type="dxa"/>
            <w:vAlign w:val="center"/>
          </w:tcPr>
          <w:p w14:paraId="5D3D348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522</w:t>
            </w:r>
          </w:p>
        </w:tc>
        <w:tc>
          <w:tcPr>
            <w:tcW w:w="1554" w:type="dxa"/>
            <w:vAlign w:val="center"/>
          </w:tcPr>
          <w:p w14:paraId="7660615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104.4</w:t>
            </w:r>
          </w:p>
        </w:tc>
      </w:tr>
      <w:tr w14:paraId="6221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4C6D03E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431" w:type="dxa"/>
            <w:vAlign w:val="center"/>
          </w:tcPr>
          <w:p w14:paraId="234C5B5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糠醇</w:t>
            </w:r>
          </w:p>
        </w:tc>
        <w:tc>
          <w:tcPr>
            <w:tcW w:w="2160" w:type="dxa"/>
            <w:vAlign w:val="center"/>
          </w:tcPr>
          <w:p w14:paraId="13517C1E">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w:t>
            </w:r>
          </w:p>
        </w:tc>
        <w:tc>
          <w:tcPr>
            <w:tcW w:w="1950" w:type="dxa"/>
            <w:vAlign w:val="center"/>
          </w:tcPr>
          <w:p w14:paraId="6795F1EB">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452</w:t>
            </w:r>
          </w:p>
        </w:tc>
        <w:tc>
          <w:tcPr>
            <w:tcW w:w="1554" w:type="dxa"/>
            <w:vAlign w:val="center"/>
          </w:tcPr>
          <w:p w14:paraId="5C918C6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w:t>
            </w:r>
          </w:p>
        </w:tc>
      </w:tr>
      <w:tr w14:paraId="76A4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4E73E90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w:t>
            </w:r>
          </w:p>
        </w:tc>
        <w:tc>
          <w:tcPr>
            <w:tcW w:w="2431" w:type="dxa"/>
            <w:vAlign w:val="center"/>
          </w:tcPr>
          <w:p w14:paraId="207E17C2">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2-甲基呋喃</w:t>
            </w:r>
          </w:p>
        </w:tc>
        <w:tc>
          <w:tcPr>
            <w:tcW w:w="2160" w:type="dxa"/>
            <w:vAlign w:val="center"/>
          </w:tcPr>
          <w:p w14:paraId="6AB7776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1950" w:type="dxa"/>
            <w:vAlign w:val="center"/>
          </w:tcPr>
          <w:p w14:paraId="14A64E2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257</w:t>
            </w:r>
          </w:p>
        </w:tc>
        <w:tc>
          <w:tcPr>
            <w:tcW w:w="1554" w:type="dxa"/>
            <w:vAlign w:val="center"/>
          </w:tcPr>
          <w:p w14:paraId="12D6DFE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r>
      <w:tr w14:paraId="0EBC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E124297">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w:t>
            </w:r>
          </w:p>
        </w:tc>
        <w:tc>
          <w:tcPr>
            <w:tcW w:w="2431" w:type="dxa"/>
            <w:vAlign w:val="center"/>
          </w:tcPr>
          <w:p w14:paraId="6A72F27B">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废机油</w:t>
            </w:r>
          </w:p>
        </w:tc>
        <w:tc>
          <w:tcPr>
            <w:tcW w:w="2160" w:type="dxa"/>
            <w:vAlign w:val="center"/>
          </w:tcPr>
          <w:p w14:paraId="2339287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2500</w:t>
            </w:r>
          </w:p>
        </w:tc>
        <w:tc>
          <w:tcPr>
            <w:tcW w:w="1950" w:type="dxa"/>
            <w:vAlign w:val="center"/>
          </w:tcPr>
          <w:p w14:paraId="1F6E16A4">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554" w:type="dxa"/>
            <w:vAlign w:val="center"/>
          </w:tcPr>
          <w:p w14:paraId="34509C49">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r>
      <w:tr w14:paraId="7C77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53794ACF">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073DE948">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废有机溶剂</w:t>
            </w:r>
          </w:p>
        </w:tc>
        <w:tc>
          <w:tcPr>
            <w:tcW w:w="2160" w:type="dxa"/>
            <w:vAlign w:val="center"/>
          </w:tcPr>
          <w:p w14:paraId="311D0E1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200</w:t>
            </w:r>
          </w:p>
        </w:tc>
        <w:tc>
          <w:tcPr>
            <w:tcW w:w="1950" w:type="dxa"/>
            <w:vAlign w:val="center"/>
          </w:tcPr>
          <w:p w14:paraId="5EADD7DB">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400</w:t>
            </w:r>
          </w:p>
        </w:tc>
        <w:tc>
          <w:tcPr>
            <w:tcW w:w="1554" w:type="dxa"/>
            <w:vAlign w:val="center"/>
          </w:tcPr>
          <w:p w14:paraId="6E295972">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w:t>
            </w:r>
          </w:p>
        </w:tc>
      </w:tr>
      <w:tr w14:paraId="72A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36328E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合计</w:t>
            </w:r>
          </w:p>
        </w:tc>
        <w:tc>
          <w:tcPr>
            <w:tcW w:w="2431" w:type="dxa"/>
            <w:vAlign w:val="center"/>
          </w:tcPr>
          <w:p w14:paraId="1489ADA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2160" w:type="dxa"/>
            <w:vAlign w:val="center"/>
          </w:tcPr>
          <w:p w14:paraId="01A27F9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p>
        </w:tc>
        <w:tc>
          <w:tcPr>
            <w:tcW w:w="1950" w:type="dxa"/>
            <w:vAlign w:val="center"/>
          </w:tcPr>
          <w:p w14:paraId="76A497E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p>
        </w:tc>
        <w:tc>
          <w:tcPr>
            <w:tcW w:w="1554" w:type="dxa"/>
            <w:vAlign w:val="center"/>
          </w:tcPr>
          <w:p w14:paraId="1458509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106.4</w:t>
            </w:r>
          </w:p>
        </w:tc>
      </w:tr>
    </w:tbl>
    <w:p w14:paraId="6D02C5EB">
      <w:pPr>
        <w:spacing w:before="240" w:line="360" w:lineRule="auto"/>
        <w:ind w:firstLine="480" w:firstLineChars="200"/>
        <w:jc w:val="both"/>
        <w:rPr>
          <w:rFonts w:cs="Times New Roman"/>
          <w:b/>
          <w:bCs/>
          <w:spacing w:val="-4"/>
          <w:highlight w:val="none"/>
        </w:rPr>
      </w:pPr>
      <w:r>
        <w:rPr>
          <w:rFonts w:cs="Times New Roman"/>
          <w:sz w:val="24"/>
          <w:szCs w:val="24"/>
          <w:highlight w:val="none"/>
        </w:rPr>
        <w:t>由</w:t>
      </w:r>
      <w:r>
        <w:rPr>
          <w:sz w:val="24"/>
          <w:szCs w:val="24"/>
          <w:highlight w:val="none"/>
        </w:rPr>
        <w:fldChar w:fldCharType="begin"/>
      </w:r>
      <w:r>
        <w:rPr>
          <w:sz w:val="24"/>
          <w:szCs w:val="24"/>
          <w:highlight w:val="none"/>
        </w:rPr>
        <w:instrText xml:space="preserve"> REF _Ref95230279 \h  \* MERGEFORMAT </w:instrText>
      </w:r>
      <w:r>
        <w:rPr>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1</w:t>
      </w:r>
      <w:r>
        <w:rPr>
          <w:sz w:val="24"/>
          <w:szCs w:val="24"/>
          <w:highlight w:val="none"/>
        </w:rPr>
        <w:fldChar w:fldCharType="end"/>
      </w:r>
      <w:r>
        <w:rPr>
          <w:rFonts w:cs="Times New Roman"/>
          <w:sz w:val="24"/>
          <w:szCs w:val="24"/>
          <w:highlight w:val="none"/>
        </w:rPr>
        <w:t>可以看出，该公司涉水环境风险物质与临界量的比值</w:t>
      </w:r>
      <w:r>
        <w:rPr>
          <w:rFonts w:hint="default" w:ascii="Times New Roman" w:hAnsi="Times New Roman" w:cs="Times New Roman"/>
          <w:color w:val="auto"/>
          <w:sz w:val="24"/>
          <w:szCs w:val="24"/>
          <w:highlight w:val="none"/>
        </w:rPr>
        <w:t>Q=</w:t>
      </w:r>
      <w:r>
        <w:rPr>
          <w:rFonts w:hint="eastAsia" w:cs="Times New Roman"/>
          <w:color w:val="auto"/>
          <w:sz w:val="24"/>
          <w:szCs w:val="24"/>
          <w:highlight w:val="none"/>
          <w:lang w:val="en-US" w:eastAsia="zh-CN"/>
        </w:rPr>
        <w:t>106.4</w:t>
      </w:r>
      <w:r>
        <w:rPr>
          <w:rFonts w:hint="default" w:ascii="Times New Roman" w:hAnsi="Times New Roman" w:cs="Times New Roman"/>
          <w:color w:val="auto"/>
          <w:sz w:val="24"/>
          <w:szCs w:val="24"/>
          <w:highlight w:val="none"/>
        </w:rPr>
        <w:t>，</w:t>
      </w:r>
      <w:r>
        <w:rPr>
          <w:spacing w:val="-4"/>
          <w:sz w:val="24"/>
          <w:szCs w:val="24"/>
          <w:highlight w:val="none"/>
          <w:lang w:eastAsia="zh-CN"/>
        </w:rPr>
        <w:t>Q≥10</w:t>
      </w:r>
      <w:r>
        <w:rPr>
          <w:rFonts w:hint="default" w:ascii="Times New Roman" w:hAnsi="Times New Roman" w:cs="Times New Roman"/>
          <w:color w:val="auto"/>
          <w:sz w:val="24"/>
          <w:highlight w:val="none"/>
        </w:rPr>
        <w:t>0</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水</w:t>
      </w:r>
      <w:r>
        <w:rPr>
          <w:rFonts w:hint="eastAsia" w:cs="Times New Roman"/>
          <w:color w:val="auto"/>
          <w:sz w:val="24"/>
          <w:szCs w:val="24"/>
          <w:highlight w:val="none"/>
          <w:lang w:eastAsia="zh-CN"/>
        </w:rPr>
        <w:t>为</w:t>
      </w:r>
      <w:r>
        <w:rPr>
          <w:rFonts w:hint="default" w:ascii="Times New Roman" w:hAnsi="Times New Roman" w:cs="Times New Roman"/>
          <w:color w:val="auto"/>
          <w:sz w:val="24"/>
          <w:szCs w:val="24"/>
          <w:highlight w:val="none"/>
        </w:rPr>
        <w:t>（Q</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highlight w:val="none"/>
        </w:rPr>
        <w:t>。</w:t>
      </w:r>
      <w:bookmarkStart w:id="124" w:name="_GoBack"/>
      <w:bookmarkEnd w:id="124"/>
    </w:p>
    <w:p w14:paraId="6F2082EB">
      <w:pPr>
        <w:pStyle w:val="8"/>
        <w:pageBreakBefore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7.2.2</w:t>
      </w:r>
      <w:r>
        <w:rPr>
          <w:rFonts w:hint="eastAsia"/>
          <w:sz w:val="24"/>
          <w:szCs w:val="24"/>
          <w:highlight w:val="none"/>
        </w:rPr>
        <w:t>生产工艺过程与水环境风险控制水平（M）评估</w:t>
      </w:r>
    </w:p>
    <w:p w14:paraId="15069A8C">
      <w:pPr>
        <w:pageBreakBefore w:val="0"/>
        <w:widowControl/>
        <w:kinsoku/>
        <w:wordWrap/>
        <w:overflowPunct/>
        <w:topLinePunct w:val="0"/>
        <w:autoSpaceDE/>
        <w:autoSpaceDN/>
        <w:bidi w:val="0"/>
        <w:adjustRightInd w:val="0"/>
        <w:snapToGrid w:val="0"/>
        <w:spacing w:line="360" w:lineRule="auto"/>
        <w:ind w:firstLine="360"/>
        <w:textAlignment w:val="auto"/>
        <w:rPr>
          <w:rFonts w:hint="default" w:ascii="Times New Roman" w:hAnsi="Times New Roman" w:cs="Times New Roman"/>
          <w:bCs/>
          <w:color w:val="auto"/>
          <w:kern w:val="36"/>
          <w:sz w:val="24"/>
          <w:szCs w:val="24"/>
          <w:highlight w:val="none"/>
        </w:rPr>
      </w:pPr>
      <w:r>
        <w:rPr>
          <w:rFonts w:hint="default" w:ascii="Times New Roman" w:hAnsi="Times New Roman" w:cs="Times New Roman"/>
          <w:bCs/>
          <w:color w:val="auto"/>
          <w:kern w:val="36"/>
          <w:sz w:val="24"/>
          <w:szCs w:val="24"/>
          <w:highlight w:val="none"/>
        </w:rPr>
        <w:t>采用评分法对生产工艺过程、水环境风险防控措施及突发大气环境事件发生情况进行评估，将各项指标分值累加，确定</w:t>
      </w:r>
      <w:r>
        <w:rPr>
          <w:rFonts w:hint="eastAsia" w:cs="Times New Roman"/>
          <w:bCs/>
          <w:color w:val="auto"/>
          <w:kern w:val="36"/>
          <w:sz w:val="24"/>
          <w:szCs w:val="24"/>
          <w:highlight w:val="none"/>
          <w:lang w:eastAsia="zh-CN"/>
        </w:rPr>
        <w:t>公司</w:t>
      </w:r>
      <w:r>
        <w:rPr>
          <w:rFonts w:hint="default" w:ascii="Times New Roman" w:hAnsi="Times New Roman" w:cs="Times New Roman"/>
          <w:bCs/>
          <w:color w:val="auto"/>
          <w:kern w:val="36"/>
          <w:sz w:val="24"/>
          <w:szCs w:val="24"/>
          <w:highlight w:val="none"/>
        </w:rPr>
        <w:t>生产工艺过程与水环境风险控制水平（M）。</w:t>
      </w:r>
    </w:p>
    <w:p w14:paraId="653EA18D">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highlight w:val="none"/>
        </w:rPr>
      </w:pPr>
      <w:r>
        <w:rPr>
          <w:rFonts w:hint="eastAsia"/>
          <w:b/>
          <w:bCs/>
          <w:sz w:val="24"/>
          <w:szCs w:val="24"/>
          <w:highlight w:val="none"/>
          <w:lang w:val="en-US" w:eastAsia="zh-CN"/>
        </w:rPr>
        <w:t>7.2.2.1</w:t>
      </w:r>
      <w:r>
        <w:rPr>
          <w:rFonts w:hint="eastAsia"/>
          <w:b/>
          <w:bCs/>
          <w:sz w:val="24"/>
          <w:szCs w:val="24"/>
          <w:highlight w:val="none"/>
        </w:rPr>
        <w:t>生产工艺过程含有风险工艺和设备情况</w:t>
      </w:r>
    </w:p>
    <w:p w14:paraId="1356F00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kern w:val="2"/>
          <w:sz w:val="24"/>
          <w:szCs w:val="24"/>
          <w:highlight w:val="none"/>
        </w:rPr>
      </w:pPr>
      <w:r>
        <w:rPr>
          <w:rFonts w:hint="eastAsia" w:ascii="Times New Roman" w:hAnsi="Times New Roman" w:cs="Times New Roman"/>
          <w:kern w:val="2"/>
          <w:sz w:val="24"/>
          <w:szCs w:val="24"/>
          <w:highlight w:val="none"/>
        </w:rPr>
        <w:t>对生产工艺过程含有风险工艺和设备情况的评估按照工艺单元进行，具有多套工艺单元的企业，对每套工艺单元分别评分并求和，该指标分值最高为30分。</w:t>
      </w:r>
    </w:p>
    <w:p w14:paraId="6CB96BBA">
      <w:pPr>
        <w:pStyle w:val="68"/>
        <w:spacing w:line="360" w:lineRule="auto"/>
        <w:ind w:firstLine="482"/>
        <w:rPr>
          <w:rFonts w:hint="default" w:ascii="Times New Roman" w:hAnsi="Times New Roman" w:cs="Times New Roman"/>
          <w:b w:val="0"/>
          <w:bCs/>
          <w:color w:val="auto"/>
          <w:sz w:val="22"/>
          <w:szCs w:val="20"/>
          <w:highlight w:val="none"/>
        </w:rPr>
      </w:pPr>
      <w:r>
        <w:rPr>
          <w:rFonts w:hint="default" w:ascii="Times New Roman" w:hAnsi="Times New Roman" w:cs="Times New Roman"/>
          <w:b w:val="0"/>
          <w:bCs/>
          <w:color w:val="auto"/>
          <w:sz w:val="22"/>
          <w:szCs w:val="20"/>
          <w:highlight w:val="none"/>
        </w:rPr>
        <w:t>表</w:t>
      </w:r>
      <w:r>
        <w:rPr>
          <w:rFonts w:hint="default" w:ascii="Times New Roman" w:hAnsi="Times New Roman" w:cs="Times New Roman"/>
          <w:b w:val="0"/>
          <w:bCs/>
          <w:color w:val="auto"/>
          <w:sz w:val="22"/>
          <w:szCs w:val="20"/>
          <w:highlight w:val="none"/>
          <w:lang w:val="en-US" w:eastAsia="zh-CN"/>
        </w:rPr>
        <w:t>7.2-</w:t>
      </w:r>
      <w:r>
        <w:rPr>
          <w:rFonts w:hint="eastAsia" w:ascii="Times New Roman" w:hAnsi="Times New Roman" w:cs="Times New Roman"/>
          <w:b w:val="0"/>
          <w:bCs/>
          <w:color w:val="auto"/>
          <w:sz w:val="22"/>
          <w:szCs w:val="20"/>
          <w:highlight w:val="none"/>
          <w:lang w:val="en-US" w:eastAsia="zh-CN"/>
        </w:rPr>
        <w:t>1</w:t>
      </w:r>
      <w:r>
        <w:rPr>
          <w:rFonts w:hint="default" w:ascii="Times New Roman" w:hAnsi="Times New Roman" w:cs="Times New Roman"/>
          <w:b w:val="0"/>
          <w:bCs/>
          <w:color w:val="auto"/>
          <w:sz w:val="22"/>
          <w:szCs w:val="20"/>
          <w:highlight w:val="none"/>
        </w:rPr>
        <w:t xml:space="preserve">  企业生产工艺评分依据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45EF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285B09D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4245EDF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2DB5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C5C73A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10203196">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10/每套</w:t>
            </w:r>
          </w:p>
        </w:tc>
      </w:tr>
      <w:tr w14:paraId="4193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14B1B89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687FDEC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4B0D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E64AC1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1C141AC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016C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CDEE11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66B49D5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6375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295BC81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注：a高温指工艺温度≥300℃，高压指压力容器的设计压力（p）≥10.0MPa，易燃易爆物质是指按照GB30000.2至GB30000.13所确定的化学物质；b指《产业结构调整指导目录》中有淘汰期限的淘汰类落后生产工艺装备</w:t>
            </w:r>
          </w:p>
        </w:tc>
      </w:tr>
    </w:tbl>
    <w:p w14:paraId="0B317268">
      <w:pPr>
        <w:pStyle w:val="2"/>
      </w:pPr>
    </w:p>
    <w:p w14:paraId="47ED8E77">
      <w:pPr>
        <w:pStyle w:val="127"/>
        <w:spacing w:before="72" w:after="48"/>
        <w:rPr>
          <w:highlight w:val="none"/>
        </w:rPr>
      </w:pPr>
      <w:bookmarkStart w:id="97" w:name="_Ref95230428"/>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7.2</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2</w:t>
      </w:r>
      <w:r>
        <w:rPr>
          <w:highlight w:val="none"/>
        </w:rPr>
        <w:fldChar w:fldCharType="end"/>
      </w:r>
      <w:bookmarkEnd w:id="97"/>
      <w:r>
        <w:rPr>
          <w:highlight w:val="none"/>
        </w:rPr>
        <w:t xml:space="preserve">  企业环境风险及其控制水平得分表</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7875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098D88A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67CC4E4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07BA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9AF6F8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3421B3D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20</w:t>
            </w:r>
          </w:p>
        </w:tc>
      </w:tr>
      <w:tr w14:paraId="7D11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589FD6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2C5E9E4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10</w:t>
            </w:r>
          </w:p>
        </w:tc>
      </w:tr>
      <w:tr w14:paraId="3E73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316169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464DBAB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0FA5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397B9A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125931C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bl>
    <w:p w14:paraId="4648492F">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7.2.2.2</w:t>
      </w:r>
      <w:r>
        <w:rPr>
          <w:rFonts w:hint="eastAsia" w:ascii="宋体" w:hAnsi="宋体" w:eastAsia="宋体" w:cs="宋体"/>
          <w:b/>
          <w:bCs/>
          <w:sz w:val="24"/>
          <w:szCs w:val="24"/>
          <w:highlight w:val="none"/>
        </w:rPr>
        <w:t>水环境风险防控措施及突发水环境事件发生情况</w:t>
      </w:r>
    </w:p>
    <w:p w14:paraId="072C342B">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highlight w:val="none"/>
        </w:rPr>
      </w:pPr>
      <w:r>
        <w:rPr>
          <w:rFonts w:hint="eastAsia" w:cs="Times New Roman"/>
          <w:kern w:val="2"/>
          <w:sz w:val="24"/>
          <w:szCs w:val="24"/>
          <w:highlight w:val="none"/>
          <w:lang w:eastAsia="zh-CN"/>
        </w:rPr>
        <w:t>公司</w:t>
      </w:r>
      <w:r>
        <w:rPr>
          <w:rFonts w:hint="eastAsia" w:ascii="Times New Roman" w:hAnsi="Times New Roman" w:cs="Times New Roman"/>
          <w:kern w:val="2"/>
          <w:sz w:val="24"/>
          <w:szCs w:val="24"/>
          <w:highlight w:val="none"/>
        </w:rPr>
        <w:t>水环境风险防控措施及突发水环境事件发生情况评估指标见</w:t>
      </w:r>
      <w:r>
        <w:rPr>
          <w:rFonts w:ascii="Times New Roman" w:hAnsi="Times New Roman" w:cs="Times New Roman"/>
          <w:kern w:val="2"/>
          <w:sz w:val="24"/>
          <w:szCs w:val="24"/>
          <w:highlight w:val="none"/>
        </w:rPr>
        <w:fldChar w:fldCharType="begin"/>
      </w:r>
      <w:r>
        <w:rPr>
          <w:rFonts w:ascii="Times New Roman" w:hAnsi="Times New Roman" w:cs="Times New Roman"/>
          <w:kern w:val="2"/>
          <w:sz w:val="24"/>
          <w:szCs w:val="24"/>
          <w:highlight w:val="none"/>
        </w:rPr>
        <w:instrText xml:space="preserve"> </w:instrText>
      </w:r>
      <w:r>
        <w:rPr>
          <w:rFonts w:hint="eastAsia" w:ascii="Times New Roman" w:hAnsi="Times New Roman" w:cs="Times New Roman"/>
          <w:kern w:val="2"/>
          <w:sz w:val="24"/>
          <w:szCs w:val="24"/>
          <w:highlight w:val="none"/>
        </w:rPr>
        <w:instrText xml:space="preserve">REF _Ref95230378 \h</w:instrText>
      </w:r>
      <w:r>
        <w:rPr>
          <w:rFonts w:ascii="Times New Roman" w:hAnsi="Times New Roman" w:cs="Times New Roman"/>
          <w:kern w:val="2"/>
          <w:sz w:val="24"/>
          <w:szCs w:val="24"/>
          <w:highlight w:val="none"/>
        </w:rPr>
        <w:instrText xml:space="preserve">  \* MERGEFORMAT </w:instrText>
      </w:r>
      <w:r>
        <w:rPr>
          <w:rFonts w:ascii="Times New Roman" w:hAnsi="Times New Roman" w:cs="Times New Roman"/>
          <w:kern w:val="2"/>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3</w:t>
      </w:r>
      <w:r>
        <w:rPr>
          <w:rFonts w:ascii="Times New Roman" w:hAnsi="Times New Roman" w:cs="Times New Roman"/>
          <w:kern w:val="2"/>
          <w:sz w:val="24"/>
          <w:szCs w:val="24"/>
          <w:highlight w:val="none"/>
        </w:rPr>
        <w:fldChar w:fldCharType="end"/>
      </w:r>
      <w:r>
        <w:rPr>
          <w:rFonts w:hint="eastAsia" w:ascii="Times New Roman" w:hAnsi="Times New Roman" w:cs="Times New Roman"/>
          <w:kern w:val="2"/>
          <w:sz w:val="24"/>
          <w:szCs w:val="24"/>
          <w:highlight w:val="none"/>
        </w:rPr>
        <w:t>。对各项评估指标分别评分、计算总和，各项指标分值合计最高为70分。</w:t>
      </w:r>
    </w:p>
    <w:p w14:paraId="1A15ECDE">
      <w:pPr>
        <w:pStyle w:val="127"/>
        <w:spacing w:before="72" w:after="48"/>
        <w:rPr>
          <w:rFonts w:hint="eastAsia"/>
          <w:highlight w:val="none"/>
        </w:rPr>
      </w:pPr>
      <w:bookmarkStart w:id="98" w:name="_Ref95230378"/>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7.2</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3</w:t>
      </w:r>
      <w:r>
        <w:rPr>
          <w:highlight w:val="none"/>
        </w:rPr>
        <w:fldChar w:fldCharType="end"/>
      </w:r>
      <w:bookmarkEnd w:id="98"/>
      <w:r>
        <w:rPr>
          <w:highlight w:val="none"/>
        </w:rPr>
        <w:t xml:space="preserve"> </w:t>
      </w:r>
      <w:r>
        <w:rPr>
          <w:rFonts w:hint="eastAsia"/>
          <w:highlight w:val="none"/>
        </w:rPr>
        <w:t>企业水环境风险防控措施与突发水环境事件发生情况评估</w:t>
      </w:r>
    </w:p>
    <w:tbl>
      <w:tblPr>
        <w:tblStyle w:val="34"/>
        <w:tblW w:w="957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9"/>
        <w:gridCol w:w="5522"/>
        <w:gridCol w:w="583"/>
        <w:gridCol w:w="1729"/>
        <w:gridCol w:w="658"/>
      </w:tblGrid>
      <w:tr w14:paraId="166690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Align w:val="center"/>
          </w:tcPr>
          <w:p w14:paraId="5F177C4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评估指标</w:t>
            </w:r>
          </w:p>
        </w:tc>
        <w:tc>
          <w:tcPr>
            <w:tcW w:w="5522" w:type="dxa"/>
            <w:vAlign w:val="center"/>
          </w:tcPr>
          <w:p w14:paraId="22C796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583" w:type="dxa"/>
            <w:vAlign w:val="center"/>
          </w:tcPr>
          <w:p w14:paraId="3D24C47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分值</w:t>
            </w:r>
          </w:p>
        </w:tc>
        <w:tc>
          <w:tcPr>
            <w:tcW w:w="1729" w:type="dxa"/>
            <w:vAlign w:val="center"/>
          </w:tcPr>
          <w:p w14:paraId="7A1ABB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c>
          <w:tcPr>
            <w:tcW w:w="658" w:type="dxa"/>
            <w:vAlign w:val="center"/>
          </w:tcPr>
          <w:p w14:paraId="7E67BD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评估分值</w:t>
            </w:r>
          </w:p>
        </w:tc>
      </w:tr>
      <w:tr w14:paraId="5671FA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5500EDE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5522" w:type="dxa"/>
            <w:vAlign w:val="center"/>
          </w:tcPr>
          <w:p w14:paraId="671DE54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0155DC8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7ABEE51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583" w:type="dxa"/>
            <w:vAlign w:val="center"/>
          </w:tcPr>
          <w:p w14:paraId="28F551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24CA8A7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cs="Times New Roman"/>
                <w:color w:val="auto"/>
                <w:szCs w:val="21"/>
                <w:highlight w:val="none"/>
              </w:rPr>
              <w:t>。</w:t>
            </w:r>
          </w:p>
          <w:p w14:paraId="4782F67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410F746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131F2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66CBE86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62006DC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583" w:type="dxa"/>
            <w:vAlign w:val="center"/>
          </w:tcPr>
          <w:p w14:paraId="0087DD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8</w:t>
            </w:r>
          </w:p>
        </w:tc>
        <w:tc>
          <w:tcPr>
            <w:tcW w:w="1729" w:type="dxa"/>
            <w:vMerge w:val="continue"/>
            <w:vAlign w:val="center"/>
          </w:tcPr>
          <w:p w14:paraId="08824AA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0B29A29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88D15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4995968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5522" w:type="dxa"/>
            <w:vAlign w:val="center"/>
          </w:tcPr>
          <w:p w14:paraId="6A5E131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66AEFBF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39B9453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583" w:type="dxa"/>
            <w:vAlign w:val="center"/>
          </w:tcPr>
          <w:p w14:paraId="38E8CC4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74F8FD6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w:t>
            </w:r>
            <w:r>
              <w:rPr>
                <w:rFonts w:hint="default" w:ascii="Times New Roman" w:hAnsi="Times New Roman" w:cs="Times New Roman"/>
                <w:color w:val="auto"/>
                <w:kern w:val="0"/>
                <w:sz w:val="21"/>
                <w:szCs w:val="21"/>
                <w:highlight w:val="none"/>
                <w:lang w:val="en-US" w:eastAsia="zh-CN"/>
              </w:rPr>
              <w:t>2</w:t>
            </w:r>
            <w:r>
              <w:rPr>
                <w:rFonts w:hint="default" w:ascii="Times New Roman" w:hAnsi="Times New Roman" w:cs="Times New Roman"/>
                <w:color w:val="auto"/>
                <w:kern w:val="0"/>
                <w:sz w:val="21"/>
                <w:szCs w:val="21"/>
                <w:highlight w:val="none"/>
              </w:rPr>
              <w:t>个（有效</w:t>
            </w:r>
            <w:r>
              <w:rPr>
                <w:rFonts w:hint="default" w:ascii="Times New Roman" w:hAnsi="Times New Roman" w:cs="Times New Roman"/>
                <w:color w:val="auto"/>
                <w:sz w:val="21"/>
                <w:szCs w:val="21"/>
                <w:highlight w:val="none"/>
              </w:rPr>
              <w:t>容积</w:t>
            </w:r>
            <w:r>
              <w:rPr>
                <w:rFonts w:hint="eastAsia" w:cs="Times New Roman"/>
                <w:color w:val="auto"/>
                <w:sz w:val="21"/>
                <w:szCs w:val="21"/>
                <w:highlight w:val="none"/>
                <w:lang w:eastAsia="zh-CN"/>
              </w:rPr>
              <w:t>分别为</w:t>
            </w:r>
            <w:r>
              <w:rPr>
                <w:rFonts w:hint="default" w:ascii="Times New Roman" w:hAnsi="Times New Roman" w:cs="Times New Roman"/>
                <w:color w:val="auto"/>
                <w:sz w:val="21"/>
                <w:szCs w:val="21"/>
                <w:highlight w:val="none"/>
                <w:lang w:val="en-US" w:eastAsia="zh-CN"/>
              </w:rPr>
              <w:t>50</w:t>
            </w:r>
            <w:r>
              <w:rPr>
                <w:rFonts w:hint="default" w:ascii="Times New Roman" w:hAnsi="Times New Roman" w:cs="Times New Roman"/>
                <w:color w:val="auto"/>
                <w:sz w:val="21"/>
                <w:szCs w:val="21"/>
                <w:highlight w:val="none"/>
              </w:rPr>
              <w:t>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240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r>
              <w:rPr>
                <w:rFonts w:hint="default" w:ascii="Times New Roman" w:hAnsi="Times New Roman" w:cs="Times New Roman"/>
                <w:color w:val="auto"/>
                <w:szCs w:val="21"/>
                <w:highlight w:val="none"/>
              </w:rPr>
              <w:t>。</w:t>
            </w:r>
          </w:p>
          <w:p w14:paraId="00573B0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0D97A1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943CF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9" w:hRule="atLeast"/>
        </w:trPr>
        <w:tc>
          <w:tcPr>
            <w:tcW w:w="1079" w:type="dxa"/>
            <w:vMerge w:val="continue"/>
            <w:vAlign w:val="center"/>
          </w:tcPr>
          <w:p w14:paraId="4ED12E1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1FD352B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583" w:type="dxa"/>
            <w:vAlign w:val="center"/>
          </w:tcPr>
          <w:p w14:paraId="502D1AC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729" w:type="dxa"/>
            <w:vMerge w:val="continue"/>
            <w:vAlign w:val="center"/>
          </w:tcPr>
          <w:p w14:paraId="65AE8F8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39A5677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07543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1C7092E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5522" w:type="dxa"/>
            <w:vAlign w:val="center"/>
          </w:tcPr>
          <w:p w14:paraId="49105D3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56B0349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7920FCF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15978F7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0AAA51C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2AB073F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77F9E0E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583" w:type="dxa"/>
            <w:vAlign w:val="center"/>
          </w:tcPr>
          <w:p w14:paraId="0938001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170E730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采用雨污分流制，初期雨水通过导排系统排入2个初期雨水收集池，然后分批泵送至</w:t>
            </w:r>
            <w:r>
              <w:rPr>
                <w:rFonts w:hint="default" w:ascii="Times New Roman" w:hAnsi="Times New Roman" w:cs="Times New Roman"/>
                <w:color w:val="auto"/>
                <w:szCs w:val="21"/>
                <w:highlight w:val="none"/>
                <w:lang w:eastAsia="zh-CN"/>
              </w:rPr>
              <w:t>山东隆盛和助剂有限公司</w:t>
            </w:r>
            <w:r>
              <w:rPr>
                <w:rFonts w:hint="default" w:ascii="Times New Roman" w:hAnsi="Times New Roman" w:eastAsia="宋体" w:cs="Times New Roman"/>
                <w:color w:val="auto"/>
                <w:szCs w:val="21"/>
                <w:highlight w:val="none"/>
                <w:lang w:eastAsia="zh-CN"/>
              </w:rPr>
              <w:t>污水处理站处理，处理达标后排入齐鲁石化供排水厂进行深度处理。</w:t>
            </w:r>
          </w:p>
          <w:p w14:paraId="1F02A35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2E2231D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6152253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1172FA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75934C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68B5BB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092B4BE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583" w:type="dxa"/>
            <w:vAlign w:val="center"/>
          </w:tcPr>
          <w:p w14:paraId="79F747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729" w:type="dxa"/>
            <w:vMerge w:val="continue"/>
            <w:vAlign w:val="center"/>
          </w:tcPr>
          <w:p w14:paraId="5DB6663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534A11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7A747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5E38F33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5522" w:type="dxa"/>
            <w:vAlign w:val="center"/>
          </w:tcPr>
          <w:p w14:paraId="694628F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15C1C15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0C2C95D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79A0E52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583" w:type="dxa"/>
            <w:vAlign w:val="center"/>
          </w:tcPr>
          <w:p w14:paraId="7FA4A73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13E7A67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需设置初期雨水收集池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40C097E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6D85D54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79CA051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2A6523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0E2C6AE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1F814BE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583" w:type="dxa"/>
            <w:vAlign w:val="center"/>
          </w:tcPr>
          <w:p w14:paraId="50C41B6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729" w:type="dxa"/>
            <w:vMerge w:val="continue"/>
            <w:vAlign w:val="center"/>
          </w:tcPr>
          <w:p w14:paraId="446542E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519E99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34CA9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375CC42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5522" w:type="dxa"/>
            <w:vAlign w:val="center"/>
          </w:tcPr>
          <w:p w14:paraId="527655A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6992266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6608868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76B00FE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4D3D78E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1D5075B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583" w:type="dxa"/>
            <w:vAlign w:val="center"/>
          </w:tcPr>
          <w:p w14:paraId="4600EB1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0876631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0355271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c>
          <w:tcPr>
            <w:tcW w:w="658" w:type="dxa"/>
            <w:vMerge w:val="restart"/>
            <w:vAlign w:val="center"/>
          </w:tcPr>
          <w:p w14:paraId="671F84B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2F43F3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1A648FB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5ED18B8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583" w:type="dxa"/>
            <w:vAlign w:val="center"/>
          </w:tcPr>
          <w:p w14:paraId="60F51D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729" w:type="dxa"/>
            <w:vMerge w:val="continue"/>
            <w:vAlign w:val="center"/>
          </w:tcPr>
          <w:p w14:paraId="1197CAA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42F4A6E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4DFCE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1079" w:type="dxa"/>
            <w:vMerge w:val="restart"/>
            <w:vAlign w:val="center"/>
          </w:tcPr>
          <w:p w14:paraId="596582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5522" w:type="dxa"/>
            <w:vAlign w:val="center"/>
          </w:tcPr>
          <w:p w14:paraId="321C176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583" w:type="dxa"/>
            <w:vAlign w:val="center"/>
          </w:tcPr>
          <w:p w14:paraId="5443F97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72ED83C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w:t>
            </w:r>
            <w:r>
              <w:rPr>
                <w:rFonts w:hint="eastAsia" w:cs="Times New Roman"/>
                <w:color w:val="auto"/>
                <w:szCs w:val="21"/>
                <w:highlight w:val="none"/>
                <w:lang w:eastAsia="zh-CN"/>
              </w:rPr>
              <w:t>同集团公司山东隆盛和助剂有限公司</w:t>
            </w:r>
            <w:r>
              <w:rPr>
                <w:rFonts w:hint="default" w:ascii="Times New Roman" w:hAnsi="Times New Roman" w:cs="Times New Roman"/>
                <w:color w:val="auto"/>
                <w:szCs w:val="21"/>
                <w:highlight w:val="none"/>
                <w:lang w:eastAsia="zh-CN"/>
              </w:rPr>
              <w:t>污水处理装置预处理后通过管网排入齐鲁石化供排水厂深度处理，处理达标后经排海管线排海</w:t>
            </w:r>
          </w:p>
        </w:tc>
        <w:tc>
          <w:tcPr>
            <w:tcW w:w="658" w:type="dxa"/>
            <w:vMerge w:val="restart"/>
            <w:vAlign w:val="center"/>
          </w:tcPr>
          <w:p w14:paraId="4982D1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6</w:t>
            </w:r>
          </w:p>
        </w:tc>
      </w:tr>
      <w:tr w14:paraId="2DA41A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009EADE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685C65E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71496AE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（2）进入工业废水集中处理厂；或</w:t>
            </w:r>
          </w:p>
          <w:p w14:paraId="11F1FA1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583" w:type="dxa"/>
            <w:vAlign w:val="center"/>
          </w:tcPr>
          <w:p w14:paraId="474E4A6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729" w:type="dxa"/>
            <w:vMerge w:val="continue"/>
            <w:vAlign w:val="center"/>
          </w:tcPr>
          <w:p w14:paraId="0BC5BA7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0F198E6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5B882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7B3AFFB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67F6584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6E7A61E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23E8D3B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1BCECC0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583" w:type="dxa"/>
            <w:vAlign w:val="center"/>
          </w:tcPr>
          <w:p w14:paraId="624E60A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1729" w:type="dxa"/>
            <w:vMerge w:val="continue"/>
            <w:vAlign w:val="center"/>
          </w:tcPr>
          <w:p w14:paraId="66018A6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278449F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F7A5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7EA4E8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0D9EA45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5522" w:type="dxa"/>
            <w:vAlign w:val="center"/>
          </w:tcPr>
          <w:p w14:paraId="639DE96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2FF3A18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583" w:type="dxa"/>
            <w:vAlign w:val="center"/>
          </w:tcPr>
          <w:p w14:paraId="6FB0F3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restart"/>
            <w:vAlign w:val="center"/>
          </w:tcPr>
          <w:p w14:paraId="02F4CA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危险废物</w:t>
            </w:r>
            <w:r>
              <w:rPr>
                <w:rFonts w:hint="default" w:ascii="Times New Roman" w:hAnsi="Times New Roman" w:cs="Times New Roman"/>
                <w:color w:val="auto"/>
                <w:szCs w:val="21"/>
                <w:highlight w:val="none"/>
                <w:lang w:eastAsia="zh-CN"/>
              </w:rPr>
              <w:t>定期由有资质危废单位回收处理</w:t>
            </w:r>
          </w:p>
        </w:tc>
        <w:tc>
          <w:tcPr>
            <w:tcW w:w="658" w:type="dxa"/>
            <w:vMerge w:val="restart"/>
            <w:vAlign w:val="center"/>
          </w:tcPr>
          <w:p w14:paraId="35FCACD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230A3E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7BB993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02EB980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583" w:type="dxa"/>
            <w:vAlign w:val="center"/>
          </w:tcPr>
          <w:p w14:paraId="3E25546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1729" w:type="dxa"/>
            <w:vMerge w:val="continue"/>
            <w:vAlign w:val="center"/>
          </w:tcPr>
          <w:p w14:paraId="79D262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445365B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D164F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restart"/>
            <w:vAlign w:val="center"/>
          </w:tcPr>
          <w:p w14:paraId="0B5EA81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5522" w:type="dxa"/>
            <w:vAlign w:val="center"/>
          </w:tcPr>
          <w:p w14:paraId="5389B80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583" w:type="dxa"/>
            <w:vAlign w:val="center"/>
          </w:tcPr>
          <w:p w14:paraId="4B40EE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729" w:type="dxa"/>
            <w:vMerge w:val="restart"/>
            <w:vAlign w:val="center"/>
          </w:tcPr>
          <w:p w14:paraId="0411B1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c>
          <w:tcPr>
            <w:tcW w:w="658" w:type="dxa"/>
            <w:vMerge w:val="restart"/>
            <w:vAlign w:val="center"/>
          </w:tcPr>
          <w:p w14:paraId="26D9B17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7AD20F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7198AEE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09A94CD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583" w:type="dxa"/>
            <w:vAlign w:val="center"/>
          </w:tcPr>
          <w:p w14:paraId="0CA32A2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729" w:type="dxa"/>
            <w:vMerge w:val="continue"/>
            <w:vAlign w:val="center"/>
          </w:tcPr>
          <w:p w14:paraId="5EE6122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4F7F5D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7747A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20C3D7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5B010B4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583" w:type="dxa"/>
            <w:vAlign w:val="center"/>
          </w:tcPr>
          <w:p w14:paraId="53EA0DD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729" w:type="dxa"/>
            <w:vMerge w:val="continue"/>
            <w:vAlign w:val="center"/>
          </w:tcPr>
          <w:p w14:paraId="1D88C7B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189901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3550E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9" w:type="dxa"/>
            <w:vMerge w:val="continue"/>
            <w:vAlign w:val="center"/>
          </w:tcPr>
          <w:p w14:paraId="49AC40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522" w:type="dxa"/>
            <w:vAlign w:val="center"/>
          </w:tcPr>
          <w:p w14:paraId="5C6F5B8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583" w:type="dxa"/>
            <w:vAlign w:val="center"/>
          </w:tcPr>
          <w:p w14:paraId="3431D56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729" w:type="dxa"/>
            <w:vMerge w:val="continue"/>
            <w:vAlign w:val="center"/>
          </w:tcPr>
          <w:p w14:paraId="032D77C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07477D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C0021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13" w:type="dxa"/>
            <w:gridSpan w:val="4"/>
            <w:vAlign w:val="center"/>
          </w:tcPr>
          <w:p w14:paraId="789E6DE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658" w:type="dxa"/>
            <w:vAlign w:val="center"/>
          </w:tcPr>
          <w:p w14:paraId="12C84E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0</w:t>
            </w:r>
          </w:p>
        </w:tc>
      </w:tr>
      <w:tr w14:paraId="159D03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571" w:type="dxa"/>
            <w:gridSpan w:val="5"/>
            <w:vAlign w:val="center"/>
          </w:tcPr>
          <w:p w14:paraId="7D02EC8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注：本表中相关规范具体指GB 50483、GB 50160、GB 50351、GB 50747、SH 3015</w:t>
            </w:r>
          </w:p>
        </w:tc>
      </w:tr>
    </w:tbl>
    <w:p w14:paraId="533453F0">
      <w:pPr>
        <w:outlineLvl w:val="9"/>
        <w:rPr>
          <w:b/>
          <w:bCs/>
          <w:highlight w:val="none"/>
        </w:rPr>
      </w:pPr>
    </w:p>
    <w:p w14:paraId="49E3FEDD">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highlight w:val="none"/>
        </w:rPr>
      </w:pPr>
      <w:r>
        <w:rPr>
          <w:rFonts w:hint="eastAsia"/>
          <w:b/>
          <w:bCs/>
          <w:sz w:val="24"/>
          <w:szCs w:val="24"/>
          <w:highlight w:val="none"/>
          <w:lang w:val="en-US" w:eastAsia="zh-CN"/>
        </w:rPr>
        <w:t>7.2.2.3</w:t>
      </w:r>
      <w:r>
        <w:rPr>
          <w:rFonts w:hint="eastAsia"/>
          <w:b/>
          <w:bCs/>
          <w:sz w:val="24"/>
          <w:szCs w:val="24"/>
          <w:highlight w:val="none"/>
        </w:rPr>
        <w:t>企业生产工艺过程与水环境风险控制水平</w:t>
      </w:r>
    </w:p>
    <w:p w14:paraId="183D9BE3">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highlight w:val="none"/>
        </w:rPr>
      </w:pPr>
      <w:r>
        <w:rPr>
          <w:rFonts w:hint="eastAsia" w:ascii="Times New Roman" w:hAnsi="Times New Roman" w:cs="Times New Roman"/>
          <w:kern w:val="2"/>
          <w:sz w:val="24"/>
          <w:szCs w:val="24"/>
          <w:highlight w:val="none"/>
        </w:rPr>
        <w:t>将生产工艺过程、水环境风险防控措施及突发水环境事件发生情况各项指标评估分值累加，得出生产工艺过程与水环境风险控制水平值，按照</w:t>
      </w:r>
      <w:r>
        <w:rPr>
          <w:rFonts w:ascii="Times New Roman" w:hAnsi="Times New Roman" w:cs="Times New Roman"/>
          <w:kern w:val="2"/>
          <w:sz w:val="24"/>
          <w:szCs w:val="24"/>
          <w:highlight w:val="none"/>
        </w:rPr>
        <w:fldChar w:fldCharType="begin"/>
      </w:r>
      <w:r>
        <w:rPr>
          <w:rFonts w:ascii="Times New Roman" w:hAnsi="Times New Roman" w:cs="Times New Roman"/>
          <w:kern w:val="2"/>
          <w:sz w:val="24"/>
          <w:szCs w:val="24"/>
          <w:highlight w:val="none"/>
        </w:rPr>
        <w:instrText xml:space="preserve"> </w:instrText>
      </w:r>
      <w:r>
        <w:rPr>
          <w:rFonts w:hint="eastAsia" w:ascii="Times New Roman" w:hAnsi="Times New Roman" w:cs="Times New Roman"/>
          <w:kern w:val="2"/>
          <w:sz w:val="24"/>
          <w:szCs w:val="24"/>
          <w:highlight w:val="none"/>
        </w:rPr>
        <w:instrText xml:space="preserve">REF _Ref95230405 \h</w:instrText>
      </w:r>
      <w:r>
        <w:rPr>
          <w:rFonts w:ascii="Times New Roman" w:hAnsi="Times New Roman" w:cs="Times New Roman"/>
          <w:kern w:val="2"/>
          <w:sz w:val="24"/>
          <w:szCs w:val="24"/>
          <w:highlight w:val="none"/>
        </w:rPr>
        <w:instrText xml:space="preserve">  \* MERGEFORMAT </w:instrText>
      </w:r>
      <w:r>
        <w:rPr>
          <w:rFonts w:ascii="Times New Roman" w:hAnsi="Times New Roman" w:cs="Times New Roman"/>
          <w:kern w:val="2"/>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4</w:t>
      </w:r>
      <w:r>
        <w:rPr>
          <w:rFonts w:ascii="Times New Roman" w:hAnsi="Times New Roman" w:cs="Times New Roman"/>
          <w:kern w:val="2"/>
          <w:sz w:val="24"/>
          <w:szCs w:val="24"/>
          <w:highlight w:val="none"/>
        </w:rPr>
        <w:fldChar w:fldCharType="end"/>
      </w:r>
      <w:r>
        <w:rPr>
          <w:rFonts w:hint="eastAsia" w:ascii="Times New Roman" w:hAnsi="Times New Roman" w:cs="Times New Roman"/>
          <w:kern w:val="2"/>
          <w:sz w:val="24"/>
          <w:szCs w:val="24"/>
          <w:highlight w:val="none"/>
        </w:rPr>
        <w:t>划分为4个类型。</w:t>
      </w:r>
    </w:p>
    <w:p w14:paraId="5CF6F3FB">
      <w:pPr>
        <w:pStyle w:val="127"/>
        <w:spacing w:before="72" w:after="48"/>
        <w:rPr>
          <w:highlight w:val="none"/>
        </w:rPr>
      </w:pPr>
      <w:bookmarkStart w:id="99" w:name="_Ref95230405"/>
      <w:r>
        <w:rPr>
          <w:highlight w:val="none"/>
        </w:rPr>
        <w:t xml:space="preserve">表 </w:t>
      </w:r>
      <w:r>
        <w:rPr>
          <w:highlight w:val="none"/>
        </w:rPr>
        <w:fldChar w:fldCharType="begin"/>
      </w:r>
      <w:r>
        <w:rPr>
          <w:highlight w:val="none"/>
        </w:rPr>
        <w:instrText xml:space="preserve"> STYLEREF 2 \s </w:instrText>
      </w:r>
      <w:r>
        <w:rPr>
          <w:highlight w:val="none"/>
        </w:rPr>
        <w:fldChar w:fldCharType="separate"/>
      </w:r>
      <w:r>
        <w:rPr>
          <w:highlight w:val="none"/>
        </w:rPr>
        <w:t>7.2</w:t>
      </w:r>
      <w:r>
        <w:rPr>
          <w:highlight w:val="none"/>
        </w:rPr>
        <w:fldChar w:fldCharType="end"/>
      </w:r>
      <w:r>
        <w:rPr>
          <w:highlight w:val="none"/>
        </w:rPr>
        <w:noBreakHyphen/>
      </w:r>
      <w:r>
        <w:rPr>
          <w:highlight w:val="none"/>
        </w:rPr>
        <w:fldChar w:fldCharType="begin"/>
      </w:r>
      <w:r>
        <w:rPr>
          <w:highlight w:val="none"/>
        </w:rPr>
        <w:instrText xml:space="preserve"> SEQ 表格 \* ARABIC \s 2 </w:instrText>
      </w:r>
      <w:r>
        <w:rPr>
          <w:highlight w:val="none"/>
        </w:rPr>
        <w:fldChar w:fldCharType="separate"/>
      </w:r>
      <w:r>
        <w:rPr>
          <w:highlight w:val="none"/>
        </w:rPr>
        <w:t>4</w:t>
      </w:r>
      <w:r>
        <w:rPr>
          <w:highlight w:val="none"/>
        </w:rPr>
        <w:fldChar w:fldCharType="end"/>
      </w:r>
      <w:bookmarkEnd w:id="99"/>
      <w:r>
        <w:rPr>
          <w:highlight w:val="none"/>
        </w:rPr>
        <w:t xml:space="preserve"> </w:t>
      </w:r>
      <w:r>
        <w:rPr>
          <w:rFonts w:hint="eastAsia"/>
          <w:highlight w:val="none"/>
        </w:rPr>
        <w:t>企业生产工艺过程与环境风险控制水平类型划分</w:t>
      </w:r>
    </w:p>
    <w:tbl>
      <w:tblPr>
        <w:tblStyle w:val="1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6C3C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62D55B9E">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生产工艺过程与环境风险控制水平值</w:t>
            </w:r>
          </w:p>
        </w:tc>
        <w:tc>
          <w:tcPr>
            <w:tcW w:w="2500" w:type="pct"/>
            <w:vAlign w:val="center"/>
          </w:tcPr>
          <w:p w14:paraId="16341614">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生产工艺过程与环境风险控制水平类型</w:t>
            </w:r>
          </w:p>
        </w:tc>
      </w:tr>
      <w:tr w14:paraId="0463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47D92E0E">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M＜25</w:t>
            </w:r>
          </w:p>
        </w:tc>
        <w:tc>
          <w:tcPr>
            <w:tcW w:w="2500" w:type="pct"/>
            <w:vAlign w:val="center"/>
          </w:tcPr>
          <w:p w14:paraId="4E22DEAA">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M1</w:t>
            </w:r>
          </w:p>
        </w:tc>
      </w:tr>
      <w:tr w14:paraId="465D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634F18B0">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25≤M＜45</w:t>
            </w:r>
          </w:p>
        </w:tc>
        <w:tc>
          <w:tcPr>
            <w:tcW w:w="2500" w:type="pct"/>
            <w:vAlign w:val="center"/>
          </w:tcPr>
          <w:p w14:paraId="1962380F">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M2</w:t>
            </w:r>
          </w:p>
        </w:tc>
      </w:tr>
      <w:tr w14:paraId="7AF0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73E37309">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45≤M＜65</w:t>
            </w:r>
          </w:p>
        </w:tc>
        <w:tc>
          <w:tcPr>
            <w:tcW w:w="2500" w:type="pct"/>
            <w:vAlign w:val="center"/>
          </w:tcPr>
          <w:p w14:paraId="75196A65">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M3</w:t>
            </w:r>
          </w:p>
        </w:tc>
      </w:tr>
      <w:tr w14:paraId="5608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6BACFDB7">
            <w:pPr>
              <w:pStyle w:val="126"/>
              <w:keepNext w:val="0"/>
              <w:keepLines w:val="0"/>
              <w:widowControl/>
              <w:suppressLineNumbers w:val="0"/>
              <w:spacing w:before="0" w:beforeAutospacing="0" w:after="0" w:afterAutospacing="0"/>
              <w:ind w:left="0" w:right="0"/>
              <w:rPr>
                <w:rFonts w:hint="default"/>
                <w:color w:val="auto"/>
                <w:highlight w:val="none"/>
              </w:rPr>
            </w:pPr>
            <w:r>
              <w:rPr>
                <w:rFonts w:hint="eastAsia"/>
                <w:color w:val="auto"/>
                <w:highlight w:val="none"/>
              </w:rPr>
              <w:t>M≥65</w:t>
            </w:r>
          </w:p>
        </w:tc>
        <w:tc>
          <w:tcPr>
            <w:tcW w:w="2500" w:type="pct"/>
            <w:vAlign w:val="center"/>
          </w:tcPr>
          <w:p w14:paraId="31D8A794">
            <w:pPr>
              <w:pStyle w:val="126"/>
              <w:keepNext w:val="0"/>
              <w:keepLines w:val="0"/>
              <w:widowControl/>
              <w:suppressLineNumbers w:val="0"/>
              <w:spacing w:before="0" w:beforeAutospacing="0" w:after="0" w:afterAutospacing="0"/>
              <w:ind w:left="0" w:right="0"/>
              <w:rPr>
                <w:rFonts w:hint="default"/>
                <w:color w:val="auto"/>
                <w:highlight w:val="none"/>
              </w:rPr>
            </w:pPr>
            <w:r>
              <w:rPr>
                <w:rFonts w:hint="default"/>
                <w:color w:val="auto"/>
                <w:highlight w:val="none"/>
              </w:rPr>
              <w:t>M4</w:t>
            </w:r>
          </w:p>
        </w:tc>
      </w:tr>
    </w:tbl>
    <w:p w14:paraId="1ECA1C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highlight w:val="none"/>
        </w:rPr>
      </w:pPr>
      <w:r>
        <w:rPr>
          <w:rFonts w:ascii="Times New Roman" w:hAnsi="Times New Roman" w:cs="Times New Roman"/>
          <w:kern w:val="2"/>
          <w:sz w:val="24"/>
          <w:szCs w:val="24"/>
          <w:highlight w:val="none"/>
        </w:rPr>
        <w:t>对照</w:t>
      </w:r>
      <w:r>
        <w:rPr>
          <w:sz w:val="24"/>
          <w:szCs w:val="24"/>
          <w:highlight w:val="none"/>
        </w:rPr>
        <w:fldChar w:fldCharType="begin"/>
      </w:r>
      <w:r>
        <w:rPr>
          <w:sz w:val="24"/>
          <w:szCs w:val="24"/>
          <w:highlight w:val="none"/>
        </w:rPr>
        <w:instrText xml:space="preserve"> REF _Ref95230428 \h  \* MERGEFORMAT </w:instrText>
      </w:r>
      <w:r>
        <w:rPr>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2</w:t>
      </w:r>
      <w:r>
        <w:rPr>
          <w:sz w:val="24"/>
          <w:szCs w:val="24"/>
          <w:highlight w:val="none"/>
        </w:rPr>
        <w:fldChar w:fldCharType="end"/>
      </w:r>
      <w:r>
        <w:rPr>
          <w:rFonts w:hint="eastAsia" w:ascii="Times New Roman" w:hAnsi="Times New Roman" w:cs="Times New Roman"/>
          <w:kern w:val="2"/>
          <w:sz w:val="24"/>
          <w:szCs w:val="24"/>
          <w:highlight w:val="none"/>
        </w:rPr>
        <w:t>、</w:t>
      </w:r>
      <w:r>
        <w:rPr>
          <w:sz w:val="24"/>
          <w:szCs w:val="24"/>
          <w:highlight w:val="none"/>
        </w:rPr>
        <w:fldChar w:fldCharType="begin"/>
      </w:r>
      <w:r>
        <w:rPr>
          <w:sz w:val="24"/>
          <w:szCs w:val="24"/>
          <w:highlight w:val="none"/>
        </w:rPr>
        <w:instrText xml:space="preserve"> REF _Ref95230378 \h  \* MERGEFORMAT </w:instrText>
      </w:r>
      <w:r>
        <w:rPr>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3</w:t>
      </w:r>
      <w:r>
        <w:rPr>
          <w:sz w:val="24"/>
          <w:szCs w:val="24"/>
          <w:highlight w:val="none"/>
        </w:rPr>
        <w:fldChar w:fldCharType="end"/>
      </w:r>
      <w:r>
        <w:rPr>
          <w:rFonts w:ascii="Times New Roman" w:hAnsi="Times New Roman" w:cs="Times New Roman"/>
          <w:kern w:val="2"/>
          <w:sz w:val="24"/>
          <w:szCs w:val="24"/>
          <w:highlight w:val="none"/>
        </w:rPr>
        <w:t>得</w:t>
      </w:r>
      <w:r>
        <w:rPr>
          <w:rFonts w:hint="eastAsia" w:ascii="Times New Roman" w:hAnsi="Times New Roman" w:cs="Times New Roman"/>
          <w:kern w:val="2"/>
          <w:sz w:val="24"/>
          <w:szCs w:val="24"/>
          <w:highlight w:val="none"/>
        </w:rPr>
        <w:t>到M值为</w:t>
      </w:r>
      <w:r>
        <w:rPr>
          <w:rFonts w:hint="eastAsia" w:cs="Times New Roman"/>
          <w:kern w:val="2"/>
          <w:sz w:val="24"/>
          <w:szCs w:val="24"/>
          <w:highlight w:val="none"/>
          <w:lang w:val="en-US" w:eastAsia="zh-CN"/>
        </w:rPr>
        <w:t>36</w:t>
      </w:r>
      <w:r>
        <w:rPr>
          <w:rFonts w:hint="eastAsia" w:ascii="Times New Roman" w:hAnsi="Times New Roman" w:cs="Times New Roman"/>
          <w:kern w:val="2"/>
          <w:sz w:val="24"/>
          <w:szCs w:val="24"/>
          <w:highlight w:val="none"/>
        </w:rPr>
        <w:t>。因此，依据</w:t>
      </w:r>
      <w:r>
        <w:rPr>
          <w:sz w:val="24"/>
          <w:szCs w:val="24"/>
          <w:highlight w:val="none"/>
        </w:rPr>
        <w:fldChar w:fldCharType="begin"/>
      </w:r>
      <w:r>
        <w:rPr>
          <w:sz w:val="24"/>
          <w:szCs w:val="24"/>
          <w:highlight w:val="none"/>
        </w:rPr>
        <w:instrText xml:space="preserve"> REF _Ref95230405 \h  \* MERGEFORMAT </w:instrText>
      </w:r>
      <w:r>
        <w:rPr>
          <w:sz w:val="24"/>
          <w:szCs w:val="24"/>
          <w:highlight w:val="none"/>
        </w:rPr>
        <w:fldChar w:fldCharType="separate"/>
      </w:r>
      <w:r>
        <w:rPr>
          <w:sz w:val="24"/>
          <w:szCs w:val="24"/>
          <w:highlight w:val="none"/>
        </w:rPr>
        <w:t>表 7.2</w:t>
      </w:r>
      <w:r>
        <w:rPr>
          <w:sz w:val="24"/>
          <w:szCs w:val="24"/>
          <w:highlight w:val="none"/>
        </w:rPr>
        <w:noBreakHyphen/>
      </w:r>
      <w:r>
        <w:rPr>
          <w:sz w:val="24"/>
          <w:szCs w:val="24"/>
          <w:highlight w:val="none"/>
        </w:rPr>
        <w:t>4</w:t>
      </w:r>
      <w:r>
        <w:rPr>
          <w:sz w:val="24"/>
          <w:szCs w:val="24"/>
          <w:highlight w:val="none"/>
        </w:rPr>
        <w:fldChar w:fldCharType="end"/>
      </w:r>
      <w:r>
        <w:rPr>
          <w:rFonts w:ascii="Times New Roman" w:hAnsi="Times New Roman" w:cs="Times New Roman"/>
          <w:kern w:val="2"/>
          <w:sz w:val="24"/>
          <w:szCs w:val="24"/>
          <w:highlight w:val="none"/>
        </w:rPr>
        <w:t>，确定企业生产工艺过程与水环境风险控制水平为M</w:t>
      </w:r>
      <w:r>
        <w:rPr>
          <w:rFonts w:hint="eastAsia" w:cs="Times New Roman"/>
          <w:kern w:val="2"/>
          <w:sz w:val="24"/>
          <w:szCs w:val="24"/>
          <w:highlight w:val="none"/>
          <w:lang w:val="en-US" w:eastAsia="zh-CN"/>
        </w:rPr>
        <w:t>2</w:t>
      </w:r>
      <w:r>
        <w:rPr>
          <w:rFonts w:ascii="Times New Roman" w:hAnsi="Times New Roman" w:cs="Times New Roman"/>
          <w:kern w:val="2"/>
          <w:sz w:val="24"/>
          <w:szCs w:val="24"/>
          <w:highlight w:val="none"/>
        </w:rPr>
        <w:t>类水平</w:t>
      </w:r>
      <w:r>
        <w:rPr>
          <w:rFonts w:hint="eastAsia" w:ascii="Times New Roman" w:hAnsi="Times New Roman" w:cs="Times New Roman"/>
          <w:kern w:val="2"/>
          <w:sz w:val="24"/>
          <w:szCs w:val="24"/>
          <w:highlight w:val="none"/>
        </w:rPr>
        <w:t>。</w:t>
      </w:r>
    </w:p>
    <w:p w14:paraId="5730F5D5">
      <w:pPr>
        <w:pStyle w:val="8"/>
        <w:rPr>
          <w:sz w:val="24"/>
          <w:szCs w:val="24"/>
          <w:highlight w:val="none"/>
        </w:rPr>
      </w:pPr>
      <w:r>
        <w:rPr>
          <w:rFonts w:hint="eastAsia"/>
          <w:sz w:val="24"/>
          <w:szCs w:val="24"/>
          <w:highlight w:val="none"/>
          <w:lang w:val="en-US" w:eastAsia="zh-CN"/>
        </w:rPr>
        <w:t>7.2.3</w:t>
      </w:r>
      <w:r>
        <w:rPr>
          <w:sz w:val="24"/>
          <w:szCs w:val="24"/>
          <w:highlight w:val="none"/>
        </w:rPr>
        <w:t>水环境风险受体类型（E）评估</w:t>
      </w:r>
    </w:p>
    <w:p w14:paraId="3EBDEE7E">
      <w:pPr>
        <w:spacing w:line="360" w:lineRule="auto"/>
        <w:ind w:firstLine="480" w:firstLineChars="200"/>
        <w:rPr>
          <w:rFonts w:ascii="Times New Roman" w:hAnsi="Times New Roman" w:cs="Times New Roman"/>
          <w:kern w:val="2"/>
          <w:sz w:val="24"/>
          <w:szCs w:val="24"/>
          <w:highlight w:val="none"/>
        </w:rPr>
      </w:pPr>
      <w:r>
        <w:rPr>
          <w:rFonts w:hint="eastAsia" w:ascii="Times New Roman" w:hAnsi="Times New Roman" w:cs="Times New Roman"/>
          <w:kern w:val="2"/>
          <w:sz w:val="24"/>
          <w:szCs w:val="24"/>
          <w:highlight w:val="none"/>
        </w:rPr>
        <w:t>按照水环境风险受体敏感程度，同时考虑河流跨界的情况和可能造成土壤污染的情况，将水环境风险受体敏感程度类型划分为类型 1、类型 2 和类型 3，分别以 E1、E2 和 E3 表示，见</w:t>
      </w:r>
      <w:r>
        <w:rPr>
          <w:rFonts w:ascii="Times New Roman" w:hAnsi="Times New Roman" w:cs="Times New Roman"/>
          <w:kern w:val="2"/>
          <w:sz w:val="24"/>
          <w:szCs w:val="24"/>
          <w:highlight w:val="none"/>
        </w:rPr>
        <w:fldChar w:fldCharType="begin"/>
      </w:r>
      <w:r>
        <w:rPr>
          <w:rFonts w:ascii="Times New Roman" w:hAnsi="Times New Roman" w:cs="Times New Roman"/>
          <w:kern w:val="2"/>
          <w:sz w:val="24"/>
          <w:szCs w:val="24"/>
          <w:highlight w:val="none"/>
        </w:rPr>
        <w:instrText xml:space="preserve"> </w:instrText>
      </w:r>
      <w:r>
        <w:rPr>
          <w:rFonts w:hint="eastAsia" w:ascii="Times New Roman" w:hAnsi="Times New Roman" w:cs="Times New Roman"/>
          <w:kern w:val="2"/>
          <w:sz w:val="24"/>
          <w:szCs w:val="24"/>
          <w:highlight w:val="none"/>
        </w:rPr>
        <w:instrText xml:space="preserve">REF _Ref95230465 \h</w:instrText>
      </w:r>
      <w:r>
        <w:rPr>
          <w:rFonts w:ascii="Times New Roman" w:hAnsi="Times New Roman" w:cs="Times New Roman"/>
          <w:kern w:val="2"/>
          <w:sz w:val="24"/>
          <w:szCs w:val="24"/>
          <w:highlight w:val="none"/>
        </w:rPr>
        <w:instrText xml:space="preserve">  \* MERGEFORMAT </w:instrText>
      </w:r>
      <w:r>
        <w:rPr>
          <w:rFonts w:ascii="Times New Roman" w:hAnsi="Times New Roman" w:cs="Times New Roman"/>
          <w:kern w:val="2"/>
          <w:sz w:val="24"/>
          <w:szCs w:val="24"/>
          <w:highlight w:val="none"/>
        </w:rPr>
        <w:fldChar w:fldCharType="separate"/>
      </w:r>
      <w:r>
        <w:rPr>
          <w:rFonts w:ascii="Times New Roman" w:hAnsi="Times New Roman" w:eastAsia="黑体" w:cs="Times New Roman"/>
          <w:kern w:val="2"/>
          <w:sz w:val="24"/>
          <w:szCs w:val="24"/>
          <w:highlight w:val="none"/>
        </w:rPr>
        <w:t>表 7.2</w:t>
      </w:r>
      <w:r>
        <w:rPr>
          <w:rFonts w:ascii="Times New Roman" w:hAnsi="Times New Roman" w:eastAsia="黑体" w:cs="Times New Roman"/>
          <w:kern w:val="2"/>
          <w:sz w:val="24"/>
          <w:szCs w:val="24"/>
          <w:highlight w:val="none"/>
        </w:rPr>
        <w:noBreakHyphen/>
      </w:r>
      <w:r>
        <w:rPr>
          <w:rFonts w:ascii="Times New Roman" w:hAnsi="Times New Roman" w:eastAsia="黑体" w:cs="Times New Roman"/>
          <w:kern w:val="2"/>
          <w:sz w:val="24"/>
          <w:szCs w:val="24"/>
          <w:highlight w:val="none"/>
        </w:rPr>
        <w:t>5</w:t>
      </w:r>
      <w:r>
        <w:rPr>
          <w:rFonts w:ascii="Times New Roman" w:hAnsi="Times New Roman" w:cs="Times New Roman"/>
          <w:kern w:val="2"/>
          <w:sz w:val="24"/>
          <w:szCs w:val="24"/>
          <w:highlight w:val="none"/>
        </w:rPr>
        <w:fldChar w:fldCharType="end"/>
      </w:r>
      <w:r>
        <w:rPr>
          <w:rFonts w:hint="eastAsia" w:ascii="Times New Roman" w:hAnsi="Times New Roman" w:cs="Times New Roman"/>
          <w:kern w:val="2"/>
          <w:sz w:val="24"/>
          <w:szCs w:val="24"/>
          <w:highlight w:val="none"/>
        </w:rPr>
        <w:t>。</w:t>
      </w:r>
    </w:p>
    <w:p w14:paraId="5934D262">
      <w:pPr>
        <w:spacing w:line="360" w:lineRule="auto"/>
        <w:ind w:firstLine="480" w:firstLineChars="200"/>
        <w:rPr>
          <w:rFonts w:ascii="Times New Roman" w:hAnsi="Times New Roman" w:cs="Times New Roman"/>
          <w:kern w:val="2"/>
          <w:sz w:val="24"/>
          <w:szCs w:val="24"/>
          <w:highlight w:val="none"/>
        </w:rPr>
      </w:pPr>
      <w:r>
        <w:rPr>
          <w:rFonts w:hint="eastAsia" w:ascii="Times New Roman" w:hAnsi="Times New Roman" w:cs="Times New Roman"/>
          <w:kern w:val="2"/>
          <w:sz w:val="24"/>
          <w:szCs w:val="24"/>
          <w:highlight w:val="none"/>
        </w:rPr>
        <w:t>水环境风险受体敏感程度按类型 1、类型 2 和类型 3 顺序依次降低。若企业周边存在多种敏感程度类型的水环境风险受体，则按敏感程度高者确定企业水环境风险受体敏感程度类型。</w:t>
      </w:r>
    </w:p>
    <w:p w14:paraId="04E34B09">
      <w:pPr>
        <w:spacing w:line="360" w:lineRule="auto"/>
        <w:jc w:val="center"/>
        <w:rPr>
          <w:rFonts w:ascii="Times New Roman" w:hAnsi="Times New Roman" w:eastAsia="黑体" w:cs="Times New Roman"/>
          <w:kern w:val="2"/>
          <w:szCs w:val="22"/>
          <w:highlight w:val="none"/>
        </w:rPr>
      </w:pPr>
      <w:bookmarkStart w:id="100" w:name="_Ref95230465"/>
      <w:r>
        <w:rPr>
          <w:rFonts w:ascii="Times New Roman" w:hAnsi="Times New Roman" w:eastAsia="黑体" w:cs="Times New Roman"/>
          <w:kern w:val="2"/>
          <w:szCs w:val="22"/>
          <w:highlight w:val="none"/>
        </w:rPr>
        <w:t xml:space="preserve">表 </w:t>
      </w:r>
      <w:r>
        <w:rPr>
          <w:rFonts w:ascii="Times New Roman" w:hAnsi="Times New Roman" w:eastAsia="黑体" w:cs="Times New Roman"/>
          <w:kern w:val="2"/>
          <w:szCs w:val="22"/>
          <w:highlight w:val="none"/>
        </w:rPr>
        <w:fldChar w:fldCharType="begin"/>
      </w:r>
      <w:r>
        <w:rPr>
          <w:rFonts w:ascii="Times New Roman" w:hAnsi="Times New Roman" w:eastAsia="黑体" w:cs="Times New Roman"/>
          <w:kern w:val="2"/>
          <w:szCs w:val="22"/>
          <w:highlight w:val="none"/>
        </w:rPr>
        <w:instrText xml:space="preserve"> STYLEREF 2 \s </w:instrText>
      </w:r>
      <w:r>
        <w:rPr>
          <w:rFonts w:ascii="Times New Roman" w:hAnsi="Times New Roman" w:eastAsia="黑体" w:cs="Times New Roman"/>
          <w:kern w:val="2"/>
          <w:szCs w:val="22"/>
          <w:highlight w:val="none"/>
        </w:rPr>
        <w:fldChar w:fldCharType="separate"/>
      </w:r>
      <w:r>
        <w:rPr>
          <w:rFonts w:ascii="Times New Roman" w:hAnsi="Times New Roman" w:eastAsia="黑体" w:cs="Times New Roman"/>
          <w:kern w:val="2"/>
          <w:szCs w:val="22"/>
          <w:highlight w:val="none"/>
        </w:rPr>
        <w:t>7.2</w:t>
      </w:r>
      <w:r>
        <w:rPr>
          <w:rFonts w:ascii="Times New Roman" w:hAnsi="Times New Roman" w:eastAsia="黑体" w:cs="Times New Roman"/>
          <w:kern w:val="2"/>
          <w:szCs w:val="22"/>
          <w:highlight w:val="none"/>
        </w:rPr>
        <w:fldChar w:fldCharType="end"/>
      </w:r>
      <w:r>
        <w:rPr>
          <w:rFonts w:ascii="Times New Roman" w:hAnsi="Times New Roman" w:eastAsia="黑体" w:cs="Times New Roman"/>
          <w:kern w:val="2"/>
          <w:szCs w:val="22"/>
          <w:highlight w:val="none"/>
        </w:rPr>
        <w:noBreakHyphen/>
      </w:r>
      <w:r>
        <w:rPr>
          <w:rFonts w:ascii="Times New Roman" w:hAnsi="Times New Roman" w:eastAsia="黑体" w:cs="Times New Roman"/>
          <w:kern w:val="2"/>
          <w:szCs w:val="22"/>
          <w:highlight w:val="none"/>
        </w:rPr>
        <w:fldChar w:fldCharType="begin"/>
      </w:r>
      <w:r>
        <w:rPr>
          <w:rFonts w:ascii="Times New Roman" w:hAnsi="Times New Roman" w:eastAsia="黑体" w:cs="Times New Roman"/>
          <w:kern w:val="2"/>
          <w:szCs w:val="22"/>
          <w:highlight w:val="none"/>
        </w:rPr>
        <w:instrText xml:space="preserve"> SEQ 表格 \* ARABIC \s 2 </w:instrText>
      </w:r>
      <w:r>
        <w:rPr>
          <w:rFonts w:ascii="Times New Roman" w:hAnsi="Times New Roman" w:eastAsia="黑体" w:cs="Times New Roman"/>
          <w:kern w:val="2"/>
          <w:szCs w:val="22"/>
          <w:highlight w:val="none"/>
        </w:rPr>
        <w:fldChar w:fldCharType="separate"/>
      </w:r>
      <w:r>
        <w:rPr>
          <w:rFonts w:ascii="Times New Roman" w:hAnsi="Times New Roman" w:eastAsia="黑体" w:cs="Times New Roman"/>
          <w:kern w:val="2"/>
          <w:szCs w:val="22"/>
          <w:highlight w:val="none"/>
        </w:rPr>
        <w:t>5</w:t>
      </w:r>
      <w:r>
        <w:rPr>
          <w:rFonts w:ascii="Times New Roman" w:hAnsi="Times New Roman" w:eastAsia="黑体" w:cs="Times New Roman"/>
          <w:kern w:val="2"/>
          <w:szCs w:val="22"/>
          <w:highlight w:val="none"/>
        </w:rPr>
        <w:fldChar w:fldCharType="end"/>
      </w:r>
      <w:bookmarkEnd w:id="100"/>
      <w:r>
        <w:rPr>
          <w:rFonts w:ascii="Times New Roman" w:hAnsi="Times New Roman" w:eastAsia="黑体" w:cs="Times New Roman"/>
          <w:kern w:val="2"/>
          <w:szCs w:val="22"/>
          <w:highlight w:val="none"/>
        </w:rPr>
        <w:t xml:space="preserve">  水</w:t>
      </w:r>
      <w:r>
        <w:rPr>
          <w:rFonts w:hint="eastAsia" w:ascii="Times New Roman" w:hAnsi="Times New Roman" w:eastAsia="黑体" w:cs="Times New Roman"/>
          <w:kern w:val="2"/>
          <w:szCs w:val="22"/>
          <w:highlight w:val="none"/>
        </w:rPr>
        <w:t>环境风险受体敏感程度类型划分</w:t>
      </w:r>
    </w:p>
    <w:tbl>
      <w:tblPr>
        <w:tblStyle w:val="136"/>
        <w:tblW w:w="9406" w:type="dxa"/>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Layout w:type="fixed"/>
        <w:tblCellMar>
          <w:top w:w="0" w:type="dxa"/>
          <w:left w:w="28" w:type="dxa"/>
          <w:bottom w:w="0" w:type="dxa"/>
          <w:right w:w="28" w:type="dxa"/>
        </w:tblCellMar>
      </w:tblPr>
      <w:tblGrid>
        <w:gridCol w:w="1716"/>
        <w:gridCol w:w="7690"/>
      </w:tblGrid>
      <w:tr w14:paraId="736C5A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CellMar>
            <w:top w:w="0" w:type="dxa"/>
            <w:left w:w="28" w:type="dxa"/>
            <w:bottom w:w="0" w:type="dxa"/>
            <w:right w:w="28" w:type="dxa"/>
          </w:tblCellMar>
        </w:tblPrEx>
        <w:trPr>
          <w:trHeight w:val="457" w:hRule="atLeast"/>
        </w:trPr>
        <w:tc>
          <w:tcPr>
            <w:tcW w:w="1716"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3535272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敏感程度类型</w:t>
            </w:r>
          </w:p>
        </w:tc>
        <w:tc>
          <w:tcPr>
            <w:tcW w:w="7690"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074148D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水环境风险受体</w:t>
            </w:r>
          </w:p>
        </w:tc>
      </w:tr>
      <w:tr w14:paraId="027B6E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447" w:hRule="atLeast"/>
        </w:trPr>
        <w:tc>
          <w:tcPr>
            <w:tcW w:w="1716" w:type="dxa"/>
            <w:shd w:val="clear" w:color="auto" w:fill="FFFFFF" w:themeFill="background1"/>
            <w:vAlign w:val="center"/>
          </w:tcPr>
          <w:p w14:paraId="4842BDD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类型1（E1）</w:t>
            </w:r>
          </w:p>
        </w:tc>
        <w:tc>
          <w:tcPr>
            <w:tcW w:w="7690" w:type="dxa"/>
            <w:shd w:val="clear" w:color="auto" w:fill="FFFFFF" w:themeFill="background1"/>
            <w:vAlign w:val="center"/>
          </w:tcPr>
          <w:p w14:paraId="6DAB23A1">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企业雨水排口、清净废水排口、污水排口下游10公里流经范围内有如下一类或多类环境风险受体：集中式地表水、地下水饮用水水源保护区（包括一级保护区、二级保护区及准保护区）；农村及分散式饮用水水源保护区；</w:t>
            </w:r>
          </w:p>
          <w:p w14:paraId="2E4B2F65">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（2）废水排入受纳水体后24小时流经范围（按受纳河流最大日均流速计算）内涉及跨国界的</w:t>
            </w:r>
          </w:p>
        </w:tc>
      </w:tr>
      <w:tr w14:paraId="1B64DE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935" w:hRule="atLeast"/>
        </w:trPr>
        <w:tc>
          <w:tcPr>
            <w:tcW w:w="1716" w:type="dxa"/>
            <w:shd w:val="clear" w:color="auto" w:fill="FFFFFF" w:themeFill="background1"/>
            <w:vAlign w:val="center"/>
          </w:tcPr>
          <w:p w14:paraId="513B791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类型2（E2）</w:t>
            </w:r>
          </w:p>
        </w:tc>
        <w:tc>
          <w:tcPr>
            <w:tcW w:w="7690" w:type="dxa"/>
            <w:shd w:val="clear" w:color="auto" w:fill="FFFFFF" w:themeFill="background1"/>
            <w:vAlign w:val="center"/>
          </w:tcPr>
          <w:p w14:paraId="29DFA595">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企业雨水排口、清净废水排口、污水排口下游10公里流经范围内有生态保护红线划定的或具有水生态服务功能的其他水生态环境敏感区和脆弱区，如国家公园，国家级和省级水产种质资源保护区，水产养殖区，天然渔场，海水浴场，盐场保护区，国家重要湿地，国家级和地方级海洋特别保护区，国家级和地方级海洋自然保护区，生物多样性保护优先区域，国家级和地方级自然保护区，国家级和省级风景名胜区，世界文化和自然遗产地，国家级和省级森林公园，世界、国家和省级地质公园，基本农田保护区，基本草原；</w:t>
            </w:r>
          </w:p>
          <w:p w14:paraId="1AAC07C9">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（2）企业雨水排口、清净废水排口、污水排口下游10公里流经范围内涉及跨省界的；</w:t>
            </w:r>
          </w:p>
          <w:p w14:paraId="553E0793">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（3）企业位于溶岩地貌、泄洪区、泥石流多发等地区</w:t>
            </w:r>
          </w:p>
        </w:tc>
      </w:tr>
      <w:tr w14:paraId="30FD1B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20" w:hRule="atLeast"/>
        </w:trPr>
        <w:tc>
          <w:tcPr>
            <w:tcW w:w="1716" w:type="dxa"/>
            <w:shd w:val="clear" w:color="auto" w:fill="FFFFFF" w:themeFill="background1"/>
            <w:vAlign w:val="center"/>
          </w:tcPr>
          <w:p w14:paraId="3B00774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类型3（E3）</w:t>
            </w:r>
          </w:p>
        </w:tc>
        <w:tc>
          <w:tcPr>
            <w:tcW w:w="7690" w:type="dxa"/>
            <w:shd w:val="clear" w:color="auto" w:fill="FFFFFF" w:themeFill="background1"/>
            <w:vAlign w:val="center"/>
          </w:tcPr>
          <w:p w14:paraId="75E9B64E">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不涉及类型1和类型2情况的</w:t>
            </w:r>
          </w:p>
        </w:tc>
      </w:tr>
      <w:tr w14:paraId="377B9E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9406" w:type="dxa"/>
            <w:gridSpan w:val="2"/>
            <w:shd w:val="clear" w:color="auto" w:fill="FFFFFF" w:themeFill="background1"/>
            <w:vAlign w:val="center"/>
          </w:tcPr>
          <w:p w14:paraId="394BCD4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注</w:t>
            </w:r>
            <w:r>
              <w:rPr>
                <w:rFonts w:hint="eastAsia" w:ascii="Times New Roman" w:hAnsi="Times New Roman" w:cs="Times New Roman"/>
                <w:kern w:val="2"/>
                <w:sz w:val="21"/>
                <w:szCs w:val="21"/>
                <w:highlight w:val="none"/>
              </w:rPr>
              <w:t>：本表中规定的距离范围以到各类水环境保护目标或保护区域的边界为准</w:t>
            </w:r>
          </w:p>
        </w:tc>
      </w:tr>
    </w:tbl>
    <w:p w14:paraId="1D476F14">
      <w:pPr>
        <w:keepNext w:val="0"/>
        <w:keepLines w:val="0"/>
        <w:pageBreakBefore w:val="0"/>
        <w:tabs>
          <w:tab w:val="left" w:pos="371"/>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判断</w:t>
      </w:r>
      <w:r>
        <w:rPr>
          <w:rFonts w:hint="eastAsia" w:ascii="Times New Roman" w:hAnsi="Times New Roman" w:cs="Times New Roman"/>
          <w:bCs/>
          <w:color w:val="auto"/>
          <w:sz w:val="24"/>
          <w:highlight w:val="none"/>
          <w:lang w:eastAsia="zh-CN"/>
        </w:rPr>
        <w:t>淄博元齐生物科技有限公司</w:t>
      </w:r>
      <w:r>
        <w:rPr>
          <w:rFonts w:hint="default" w:ascii="Times New Roman" w:hAnsi="Times New Roman" w:cs="Times New Roman"/>
          <w:color w:val="auto"/>
          <w:sz w:val="24"/>
          <w:highlight w:val="none"/>
        </w:rPr>
        <w:t>环境风险受体类型为：类型</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（E</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5AEAC86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根据周边水环境风险敏感程度（E）、涉水风险物质数量与临界量比值（Q）和生产工艺过程与水环境风险控制水平（M），按照表7.2-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确定企业突发水环境事件风险等级。</w:t>
      </w:r>
    </w:p>
    <w:p w14:paraId="6546B299">
      <w:pPr>
        <w:pStyle w:val="8"/>
        <w:pageBreakBefore w:val="0"/>
        <w:widowControl w:val="0"/>
        <w:kinsoku/>
        <w:wordWrap/>
        <w:overflowPunct/>
        <w:topLinePunct w:val="0"/>
        <w:autoSpaceDE/>
        <w:autoSpaceDN/>
        <w:bidi w:val="0"/>
        <w:spacing w:before="0" w:after="0"/>
        <w:textAlignment w:val="auto"/>
        <w:rPr>
          <w:sz w:val="24"/>
          <w:szCs w:val="24"/>
          <w:highlight w:val="none"/>
        </w:rPr>
      </w:pPr>
      <w:r>
        <w:rPr>
          <w:rFonts w:hint="eastAsia"/>
          <w:sz w:val="24"/>
          <w:szCs w:val="24"/>
          <w:highlight w:val="none"/>
          <w:lang w:val="en-US" w:eastAsia="zh-CN"/>
        </w:rPr>
        <w:t>7.2.4</w:t>
      </w:r>
      <w:r>
        <w:rPr>
          <w:rFonts w:hint="eastAsia"/>
          <w:sz w:val="24"/>
          <w:szCs w:val="24"/>
          <w:highlight w:val="none"/>
        </w:rPr>
        <w:t>突发水环境事件风险等级确定</w:t>
      </w:r>
    </w:p>
    <w:p w14:paraId="08B7880F">
      <w:pPr>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s="Times New Roman"/>
          <w:kern w:val="2"/>
          <w:sz w:val="24"/>
          <w:szCs w:val="24"/>
          <w:highlight w:val="none"/>
        </w:rPr>
      </w:pPr>
      <w:r>
        <w:rPr>
          <w:rFonts w:hint="eastAsia" w:ascii="Times New Roman" w:hAnsi="Times New Roman" w:cs="Times New Roman"/>
          <w:kern w:val="2"/>
          <w:sz w:val="24"/>
          <w:szCs w:val="24"/>
          <w:highlight w:val="none"/>
        </w:rPr>
        <w:t>根据周边水环境风险受体敏感程度（E）、涉水风险物质数量与临界量比值（Q）和生产工艺过程与水环境风险控制水平（M），按照</w:t>
      </w:r>
      <w:r>
        <w:rPr>
          <w:rFonts w:ascii="Times New Roman" w:hAnsi="Times New Roman" w:cs="Times New Roman"/>
          <w:kern w:val="2"/>
          <w:sz w:val="24"/>
          <w:szCs w:val="24"/>
          <w:highlight w:val="none"/>
        </w:rPr>
        <w:fldChar w:fldCharType="begin"/>
      </w:r>
      <w:r>
        <w:rPr>
          <w:rFonts w:ascii="Times New Roman" w:hAnsi="Times New Roman" w:cs="Times New Roman"/>
          <w:kern w:val="2"/>
          <w:sz w:val="24"/>
          <w:szCs w:val="24"/>
          <w:highlight w:val="none"/>
        </w:rPr>
        <w:instrText xml:space="preserve"> </w:instrText>
      </w:r>
      <w:r>
        <w:rPr>
          <w:rFonts w:hint="eastAsia" w:ascii="Times New Roman" w:hAnsi="Times New Roman" w:cs="Times New Roman"/>
          <w:kern w:val="2"/>
          <w:sz w:val="24"/>
          <w:szCs w:val="24"/>
          <w:highlight w:val="none"/>
        </w:rPr>
        <w:instrText xml:space="preserve">REF _Ref95230465 \h</w:instrText>
      </w:r>
      <w:r>
        <w:rPr>
          <w:rFonts w:ascii="Times New Roman" w:hAnsi="Times New Roman" w:cs="Times New Roman"/>
          <w:kern w:val="2"/>
          <w:sz w:val="24"/>
          <w:szCs w:val="24"/>
          <w:highlight w:val="none"/>
        </w:rPr>
        <w:instrText xml:space="preserve">  \* MERGEFORMAT </w:instrText>
      </w:r>
      <w:r>
        <w:rPr>
          <w:rFonts w:ascii="Times New Roman" w:hAnsi="Times New Roman" w:cs="Times New Roman"/>
          <w:kern w:val="2"/>
          <w:sz w:val="24"/>
          <w:szCs w:val="24"/>
          <w:highlight w:val="none"/>
        </w:rPr>
        <w:fldChar w:fldCharType="separate"/>
      </w:r>
      <w:r>
        <w:rPr>
          <w:rFonts w:ascii="Times New Roman" w:hAnsi="Times New Roman" w:eastAsia="黑体" w:cs="Times New Roman"/>
          <w:kern w:val="2"/>
          <w:sz w:val="24"/>
          <w:szCs w:val="24"/>
          <w:highlight w:val="none"/>
        </w:rPr>
        <w:t>表 7.2</w:t>
      </w:r>
      <w:r>
        <w:rPr>
          <w:rFonts w:ascii="Times New Roman" w:hAnsi="Times New Roman" w:eastAsia="黑体" w:cs="Times New Roman"/>
          <w:kern w:val="2"/>
          <w:sz w:val="24"/>
          <w:szCs w:val="24"/>
          <w:highlight w:val="none"/>
        </w:rPr>
        <w:noBreakHyphen/>
      </w:r>
      <w:r>
        <w:rPr>
          <w:rFonts w:ascii="Times New Roman" w:hAnsi="Times New Roman" w:eastAsia="黑体" w:cs="Times New Roman"/>
          <w:kern w:val="2"/>
          <w:sz w:val="24"/>
          <w:szCs w:val="24"/>
          <w:highlight w:val="none"/>
        </w:rPr>
        <w:t>5</w:t>
      </w:r>
      <w:r>
        <w:rPr>
          <w:rFonts w:ascii="Times New Roman" w:hAnsi="Times New Roman" w:cs="Times New Roman"/>
          <w:kern w:val="2"/>
          <w:sz w:val="24"/>
          <w:szCs w:val="24"/>
          <w:highlight w:val="none"/>
        </w:rPr>
        <w:fldChar w:fldCharType="end"/>
      </w:r>
      <w:r>
        <w:rPr>
          <w:rFonts w:hint="eastAsia" w:ascii="Times New Roman" w:hAnsi="Times New Roman" w:cs="Times New Roman"/>
          <w:kern w:val="2"/>
          <w:sz w:val="24"/>
          <w:szCs w:val="24"/>
          <w:highlight w:val="none"/>
        </w:rPr>
        <w:t>确定企业突发水环境事件风险等级为“</w:t>
      </w:r>
      <w:r>
        <w:rPr>
          <w:rFonts w:hint="eastAsia" w:cs="Times New Roman"/>
          <w:kern w:val="2"/>
          <w:sz w:val="24"/>
          <w:szCs w:val="24"/>
          <w:highlight w:val="none"/>
          <w:lang w:eastAsia="zh-CN"/>
        </w:rPr>
        <w:t>重</w:t>
      </w:r>
      <w:r>
        <w:rPr>
          <w:rFonts w:hint="eastAsia" w:ascii="Times New Roman" w:hAnsi="Times New Roman" w:cs="Times New Roman"/>
          <w:kern w:val="2"/>
          <w:sz w:val="24"/>
          <w:szCs w:val="24"/>
          <w:highlight w:val="none"/>
        </w:rPr>
        <w:t>大-水（Q</w:t>
      </w:r>
      <w:r>
        <w:rPr>
          <w:rFonts w:hint="eastAsia" w:cs="Times New Roman"/>
          <w:kern w:val="2"/>
          <w:sz w:val="24"/>
          <w:szCs w:val="24"/>
          <w:highlight w:val="none"/>
          <w:lang w:val="en-US" w:eastAsia="zh-CN"/>
        </w:rPr>
        <w:t>3</w:t>
      </w:r>
      <w:r>
        <w:rPr>
          <w:rFonts w:ascii="Times New Roman" w:hAnsi="Times New Roman" w:cs="Times New Roman"/>
          <w:kern w:val="2"/>
          <w:sz w:val="24"/>
          <w:szCs w:val="24"/>
          <w:highlight w:val="none"/>
        </w:rPr>
        <w:t>-M</w:t>
      </w:r>
      <w:r>
        <w:rPr>
          <w:rFonts w:hint="eastAsia" w:cs="Times New Roman"/>
          <w:kern w:val="2"/>
          <w:sz w:val="24"/>
          <w:szCs w:val="24"/>
          <w:highlight w:val="none"/>
          <w:lang w:val="en-US" w:eastAsia="zh-CN"/>
        </w:rPr>
        <w:t>2</w:t>
      </w:r>
      <w:r>
        <w:rPr>
          <w:rFonts w:ascii="Times New Roman" w:hAnsi="Times New Roman" w:cs="Times New Roman"/>
          <w:kern w:val="2"/>
          <w:sz w:val="24"/>
          <w:szCs w:val="24"/>
          <w:highlight w:val="none"/>
        </w:rPr>
        <w:t>-E2</w:t>
      </w:r>
      <w:r>
        <w:rPr>
          <w:rFonts w:hint="eastAsia" w:ascii="Times New Roman" w:hAnsi="Times New Roman" w:cs="Times New Roman"/>
          <w:kern w:val="2"/>
          <w:sz w:val="24"/>
          <w:szCs w:val="24"/>
          <w:highlight w:val="none"/>
        </w:rPr>
        <w:t>）”。</w:t>
      </w:r>
    </w:p>
    <w:p w14:paraId="5EF3884A">
      <w:pPr>
        <w:spacing w:line="360" w:lineRule="auto"/>
        <w:jc w:val="center"/>
        <w:rPr>
          <w:rFonts w:ascii="Times New Roman" w:hAnsi="Times New Roman" w:eastAsia="黑体" w:cs="Times New Roman"/>
          <w:kern w:val="2"/>
          <w:szCs w:val="22"/>
          <w:highlight w:val="none"/>
        </w:rPr>
      </w:pPr>
      <w:r>
        <w:rPr>
          <w:rFonts w:ascii="Times New Roman" w:hAnsi="Times New Roman" w:eastAsia="黑体" w:cs="Times New Roman"/>
          <w:kern w:val="2"/>
          <w:szCs w:val="22"/>
          <w:highlight w:val="none"/>
        </w:rPr>
        <w:t xml:space="preserve">表 </w:t>
      </w:r>
      <w:r>
        <w:rPr>
          <w:rFonts w:ascii="Times New Roman" w:hAnsi="Times New Roman" w:eastAsia="黑体" w:cs="Times New Roman"/>
          <w:kern w:val="2"/>
          <w:szCs w:val="22"/>
          <w:highlight w:val="none"/>
        </w:rPr>
        <w:fldChar w:fldCharType="begin"/>
      </w:r>
      <w:r>
        <w:rPr>
          <w:rFonts w:ascii="Times New Roman" w:hAnsi="Times New Roman" w:eastAsia="黑体" w:cs="Times New Roman"/>
          <w:kern w:val="2"/>
          <w:szCs w:val="22"/>
          <w:highlight w:val="none"/>
        </w:rPr>
        <w:instrText xml:space="preserve"> STYLEREF 2 \s </w:instrText>
      </w:r>
      <w:r>
        <w:rPr>
          <w:rFonts w:ascii="Times New Roman" w:hAnsi="Times New Roman" w:eastAsia="黑体" w:cs="Times New Roman"/>
          <w:kern w:val="2"/>
          <w:szCs w:val="22"/>
          <w:highlight w:val="none"/>
        </w:rPr>
        <w:fldChar w:fldCharType="separate"/>
      </w:r>
      <w:r>
        <w:rPr>
          <w:rFonts w:ascii="Times New Roman" w:hAnsi="Times New Roman" w:eastAsia="黑体" w:cs="Times New Roman"/>
          <w:kern w:val="2"/>
          <w:szCs w:val="22"/>
          <w:highlight w:val="none"/>
        </w:rPr>
        <w:t>7.2</w:t>
      </w:r>
      <w:r>
        <w:rPr>
          <w:rFonts w:ascii="Times New Roman" w:hAnsi="Times New Roman" w:eastAsia="黑体" w:cs="Times New Roman"/>
          <w:kern w:val="2"/>
          <w:szCs w:val="22"/>
          <w:highlight w:val="none"/>
        </w:rPr>
        <w:fldChar w:fldCharType="end"/>
      </w:r>
      <w:r>
        <w:rPr>
          <w:rFonts w:ascii="Times New Roman" w:hAnsi="Times New Roman" w:eastAsia="黑体" w:cs="Times New Roman"/>
          <w:kern w:val="2"/>
          <w:szCs w:val="22"/>
          <w:highlight w:val="none"/>
        </w:rPr>
        <w:noBreakHyphen/>
      </w:r>
      <w:r>
        <w:rPr>
          <w:rFonts w:ascii="Times New Roman" w:hAnsi="Times New Roman" w:eastAsia="黑体" w:cs="Times New Roman"/>
          <w:kern w:val="2"/>
          <w:szCs w:val="22"/>
          <w:highlight w:val="none"/>
        </w:rPr>
        <w:fldChar w:fldCharType="begin"/>
      </w:r>
      <w:r>
        <w:rPr>
          <w:rFonts w:ascii="Times New Roman" w:hAnsi="Times New Roman" w:eastAsia="黑体" w:cs="Times New Roman"/>
          <w:kern w:val="2"/>
          <w:szCs w:val="22"/>
          <w:highlight w:val="none"/>
        </w:rPr>
        <w:instrText xml:space="preserve"> SEQ 表格 \* ARABIC \s 2 </w:instrText>
      </w:r>
      <w:r>
        <w:rPr>
          <w:rFonts w:ascii="Times New Roman" w:hAnsi="Times New Roman" w:eastAsia="黑体" w:cs="Times New Roman"/>
          <w:kern w:val="2"/>
          <w:szCs w:val="22"/>
          <w:highlight w:val="none"/>
        </w:rPr>
        <w:fldChar w:fldCharType="separate"/>
      </w:r>
      <w:r>
        <w:rPr>
          <w:rFonts w:ascii="Times New Roman" w:hAnsi="Times New Roman" w:eastAsia="黑体" w:cs="Times New Roman"/>
          <w:kern w:val="2"/>
          <w:szCs w:val="22"/>
          <w:highlight w:val="none"/>
        </w:rPr>
        <w:t>6</w:t>
      </w:r>
      <w:r>
        <w:rPr>
          <w:rFonts w:ascii="Times New Roman" w:hAnsi="Times New Roman" w:eastAsia="黑体" w:cs="Times New Roman"/>
          <w:kern w:val="2"/>
          <w:szCs w:val="22"/>
          <w:highlight w:val="none"/>
        </w:rPr>
        <w:fldChar w:fldCharType="end"/>
      </w:r>
      <w:r>
        <w:rPr>
          <w:rFonts w:ascii="Times New Roman" w:hAnsi="Times New Roman" w:eastAsia="黑体" w:cs="Times New Roman"/>
          <w:kern w:val="2"/>
          <w:szCs w:val="22"/>
          <w:highlight w:val="none"/>
        </w:rPr>
        <w:t xml:space="preserve"> </w:t>
      </w:r>
      <w:r>
        <w:rPr>
          <w:rFonts w:hint="eastAsia" w:ascii="Times New Roman" w:hAnsi="Times New Roman" w:eastAsia="黑体" w:cs="Times New Roman"/>
          <w:kern w:val="2"/>
          <w:szCs w:val="22"/>
          <w:highlight w:val="none"/>
        </w:rPr>
        <w:t>企业突发环境事件风险分级矩阵表</w:t>
      </w:r>
    </w:p>
    <w:tbl>
      <w:tblPr>
        <w:tblStyle w:val="136"/>
        <w:tblW w:w="940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Layout w:type="fixed"/>
        <w:tblCellMar>
          <w:top w:w="0" w:type="dxa"/>
          <w:left w:w="28" w:type="dxa"/>
          <w:bottom w:w="0" w:type="dxa"/>
          <w:right w:w="28" w:type="dxa"/>
        </w:tblCellMar>
      </w:tblPr>
      <w:tblGrid>
        <w:gridCol w:w="1921"/>
        <w:gridCol w:w="2409"/>
        <w:gridCol w:w="1267"/>
        <w:gridCol w:w="1267"/>
        <w:gridCol w:w="1267"/>
        <w:gridCol w:w="1271"/>
      </w:tblGrid>
      <w:tr w14:paraId="71CD2F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CellMar>
            <w:top w:w="0" w:type="dxa"/>
            <w:left w:w="28" w:type="dxa"/>
            <w:bottom w:w="0" w:type="dxa"/>
            <w:right w:w="28" w:type="dxa"/>
          </w:tblCellMar>
        </w:tblPrEx>
        <w:trPr>
          <w:trHeight w:val="374" w:hRule="atLeast"/>
        </w:trPr>
        <w:tc>
          <w:tcPr>
            <w:tcW w:w="1921" w:type="dxa"/>
            <w:vMerge w:val="restart"/>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577C1CD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环境风险受体</w:t>
            </w:r>
          </w:p>
          <w:p w14:paraId="1CC6FC9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敏感程度（E）</w:t>
            </w:r>
          </w:p>
        </w:tc>
        <w:tc>
          <w:tcPr>
            <w:tcW w:w="2409" w:type="dxa"/>
            <w:vMerge w:val="restart"/>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55CEBE7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风险物质数量与临界量比值（Q）</w:t>
            </w:r>
          </w:p>
        </w:tc>
        <w:tc>
          <w:tcPr>
            <w:tcW w:w="5072" w:type="dxa"/>
            <w:gridSpan w:val="4"/>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4C47A75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生产工艺过程与环境风险控制水平（M）</w:t>
            </w:r>
          </w:p>
        </w:tc>
      </w:tr>
      <w:tr w14:paraId="6F7328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221E988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vMerge w:val="continue"/>
            <w:shd w:val="clear" w:color="auto" w:fill="FFFFFF" w:themeFill="background1"/>
            <w:vAlign w:val="center"/>
          </w:tcPr>
          <w:p w14:paraId="0C632E1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1267" w:type="dxa"/>
            <w:shd w:val="clear" w:color="auto" w:fill="FFFFFF" w:themeFill="background1"/>
            <w:vAlign w:val="center"/>
          </w:tcPr>
          <w:p w14:paraId="375AA5B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M1类水平</w:t>
            </w:r>
          </w:p>
        </w:tc>
        <w:tc>
          <w:tcPr>
            <w:tcW w:w="1267" w:type="dxa"/>
            <w:shd w:val="clear" w:color="auto" w:fill="FFFFFF" w:themeFill="background1"/>
            <w:vAlign w:val="center"/>
          </w:tcPr>
          <w:p w14:paraId="294A554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M2类水平</w:t>
            </w:r>
          </w:p>
        </w:tc>
        <w:tc>
          <w:tcPr>
            <w:tcW w:w="1267" w:type="dxa"/>
            <w:shd w:val="clear" w:color="auto" w:fill="FFFFFF" w:themeFill="background1"/>
            <w:vAlign w:val="center"/>
          </w:tcPr>
          <w:p w14:paraId="3D2301D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M3类水平</w:t>
            </w:r>
          </w:p>
        </w:tc>
        <w:tc>
          <w:tcPr>
            <w:tcW w:w="1271" w:type="dxa"/>
            <w:shd w:val="clear" w:color="auto" w:fill="FFFFFF" w:themeFill="background1"/>
            <w:vAlign w:val="center"/>
          </w:tcPr>
          <w:p w14:paraId="72F5CD1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M4类水平</w:t>
            </w:r>
          </w:p>
        </w:tc>
      </w:tr>
      <w:tr w14:paraId="391E49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7624483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类型1</w:t>
            </w:r>
          </w:p>
          <w:p w14:paraId="65A42D4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（E1）</w:t>
            </w:r>
          </w:p>
        </w:tc>
        <w:tc>
          <w:tcPr>
            <w:tcW w:w="2409" w:type="dxa"/>
            <w:shd w:val="clear" w:color="auto" w:fill="FFFFFF" w:themeFill="background1"/>
            <w:vAlign w:val="center"/>
          </w:tcPr>
          <w:p w14:paraId="140FBB0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 Q＜10（Q1）</w:t>
            </w:r>
          </w:p>
        </w:tc>
        <w:tc>
          <w:tcPr>
            <w:tcW w:w="1267" w:type="dxa"/>
            <w:shd w:val="clear" w:color="auto" w:fill="FFFFFF" w:themeFill="background1"/>
            <w:vAlign w:val="center"/>
          </w:tcPr>
          <w:p w14:paraId="5337843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6845D54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3E882B4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3C0C31A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476A22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2A455DE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3614F04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 Q＜100（Q2）</w:t>
            </w:r>
          </w:p>
        </w:tc>
        <w:tc>
          <w:tcPr>
            <w:tcW w:w="1267" w:type="dxa"/>
            <w:shd w:val="clear" w:color="auto" w:fill="FFFFFF" w:themeFill="background1"/>
            <w:vAlign w:val="center"/>
          </w:tcPr>
          <w:p w14:paraId="26493E0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6B5343E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67" w:type="dxa"/>
            <w:shd w:val="clear" w:color="auto" w:fill="FFFFFF" w:themeFill="background1"/>
            <w:vAlign w:val="center"/>
          </w:tcPr>
          <w:p w14:paraId="7D8E814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0DE6AE4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654FE0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11092BB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2572C98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Q≥ 100（Q3）</w:t>
            </w:r>
          </w:p>
        </w:tc>
        <w:tc>
          <w:tcPr>
            <w:tcW w:w="1267" w:type="dxa"/>
            <w:shd w:val="clear" w:color="auto" w:fill="FFFFFF" w:themeFill="background1"/>
            <w:vAlign w:val="center"/>
          </w:tcPr>
          <w:p w14:paraId="5E96E48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67" w:type="dxa"/>
            <w:shd w:val="clear" w:color="auto" w:fill="FFFFFF" w:themeFill="background1"/>
            <w:vAlign w:val="center"/>
          </w:tcPr>
          <w:p w14:paraId="2A1FBE2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67" w:type="dxa"/>
            <w:shd w:val="clear" w:color="auto" w:fill="FFFFFF" w:themeFill="background1"/>
            <w:vAlign w:val="center"/>
          </w:tcPr>
          <w:p w14:paraId="61350BB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7E890E3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2194A4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2036CF9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类型2</w:t>
            </w:r>
          </w:p>
          <w:p w14:paraId="3EA72C2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（E2）</w:t>
            </w:r>
          </w:p>
        </w:tc>
        <w:tc>
          <w:tcPr>
            <w:tcW w:w="2409" w:type="dxa"/>
            <w:shd w:val="clear" w:color="auto" w:fill="FFFFFF" w:themeFill="background1"/>
            <w:vAlign w:val="center"/>
          </w:tcPr>
          <w:p w14:paraId="6DC735A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 Q＜10（Q1）</w:t>
            </w:r>
          </w:p>
        </w:tc>
        <w:tc>
          <w:tcPr>
            <w:tcW w:w="1267" w:type="dxa"/>
            <w:shd w:val="clear" w:color="auto" w:fill="FFFFFF" w:themeFill="background1"/>
            <w:vAlign w:val="center"/>
          </w:tcPr>
          <w:p w14:paraId="4051B19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一般</w:t>
            </w:r>
          </w:p>
        </w:tc>
        <w:tc>
          <w:tcPr>
            <w:tcW w:w="1267" w:type="dxa"/>
            <w:shd w:val="clear" w:color="auto" w:fill="FFFFFF" w:themeFill="background1"/>
            <w:vAlign w:val="center"/>
          </w:tcPr>
          <w:p w14:paraId="5C3B842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247381C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71" w:type="dxa"/>
            <w:shd w:val="clear" w:color="auto" w:fill="FFFFFF" w:themeFill="background1"/>
            <w:vAlign w:val="center"/>
          </w:tcPr>
          <w:p w14:paraId="23147FE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080652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643706D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442DA4D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 Q＜100（Q2）</w:t>
            </w:r>
          </w:p>
        </w:tc>
        <w:tc>
          <w:tcPr>
            <w:tcW w:w="1267" w:type="dxa"/>
            <w:shd w:val="clear" w:color="auto" w:fill="FFFFFF" w:themeFill="background1"/>
            <w:vAlign w:val="center"/>
          </w:tcPr>
          <w:p w14:paraId="5F6A894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0D30683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33FAE6D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30B2F6B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246121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29EADD8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686B3A5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Q≥ 100（Q3）</w:t>
            </w:r>
          </w:p>
        </w:tc>
        <w:tc>
          <w:tcPr>
            <w:tcW w:w="1267" w:type="dxa"/>
            <w:shd w:val="clear" w:color="auto" w:fill="FFFFFF" w:themeFill="background1"/>
            <w:vAlign w:val="center"/>
          </w:tcPr>
          <w:p w14:paraId="5F87C02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7672E3F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67" w:type="dxa"/>
            <w:shd w:val="clear" w:color="auto" w:fill="FFFFFF" w:themeFill="background1"/>
            <w:vAlign w:val="center"/>
          </w:tcPr>
          <w:p w14:paraId="1CE7A38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5EDDDC6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67C136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280AFB3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类型3</w:t>
            </w:r>
          </w:p>
          <w:p w14:paraId="5CE1B12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（E3）</w:t>
            </w:r>
          </w:p>
        </w:tc>
        <w:tc>
          <w:tcPr>
            <w:tcW w:w="2409" w:type="dxa"/>
            <w:shd w:val="clear" w:color="auto" w:fill="FFFFFF" w:themeFill="background1"/>
            <w:vAlign w:val="center"/>
          </w:tcPr>
          <w:p w14:paraId="318C64B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 Q＜10（Q1）</w:t>
            </w:r>
          </w:p>
        </w:tc>
        <w:tc>
          <w:tcPr>
            <w:tcW w:w="1267" w:type="dxa"/>
            <w:shd w:val="clear" w:color="auto" w:fill="FFFFFF" w:themeFill="background1"/>
            <w:vAlign w:val="center"/>
          </w:tcPr>
          <w:p w14:paraId="54232AC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一般</w:t>
            </w:r>
          </w:p>
        </w:tc>
        <w:tc>
          <w:tcPr>
            <w:tcW w:w="1267" w:type="dxa"/>
            <w:shd w:val="clear" w:color="auto" w:fill="FFFFFF" w:themeFill="background1"/>
            <w:vAlign w:val="center"/>
          </w:tcPr>
          <w:p w14:paraId="11B319B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一般</w:t>
            </w:r>
          </w:p>
        </w:tc>
        <w:tc>
          <w:tcPr>
            <w:tcW w:w="1267" w:type="dxa"/>
            <w:shd w:val="clear" w:color="auto" w:fill="FFFFFF" w:themeFill="background1"/>
            <w:vAlign w:val="center"/>
          </w:tcPr>
          <w:p w14:paraId="26B43AC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71" w:type="dxa"/>
            <w:shd w:val="clear" w:color="auto" w:fill="FFFFFF" w:themeFill="background1"/>
            <w:vAlign w:val="center"/>
          </w:tcPr>
          <w:p w14:paraId="16346E5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r>
      <w:tr w14:paraId="3A1C81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519E9FA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12D4169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 Q＜100（Q2）</w:t>
            </w:r>
          </w:p>
        </w:tc>
        <w:tc>
          <w:tcPr>
            <w:tcW w:w="1267" w:type="dxa"/>
            <w:shd w:val="clear" w:color="auto" w:fill="FFFFFF" w:themeFill="background1"/>
            <w:vAlign w:val="center"/>
          </w:tcPr>
          <w:p w14:paraId="3D83F7F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一般</w:t>
            </w:r>
          </w:p>
        </w:tc>
        <w:tc>
          <w:tcPr>
            <w:tcW w:w="1267" w:type="dxa"/>
            <w:tcBorders>
              <w:bottom w:val="single" w:color="auto" w:sz="2" w:space="0"/>
            </w:tcBorders>
            <w:shd w:val="clear" w:color="auto" w:fill="FFFFFF" w:themeFill="background1"/>
            <w:vAlign w:val="center"/>
          </w:tcPr>
          <w:p w14:paraId="5472B0F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4A139AB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71" w:type="dxa"/>
            <w:shd w:val="clear" w:color="auto" w:fill="FFFFFF" w:themeFill="background1"/>
            <w:vAlign w:val="center"/>
          </w:tcPr>
          <w:p w14:paraId="746336C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r w14:paraId="0E4F7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146D81C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p>
        </w:tc>
        <w:tc>
          <w:tcPr>
            <w:tcW w:w="2409" w:type="dxa"/>
            <w:shd w:val="clear" w:color="auto" w:fill="FFFFFF" w:themeFill="background1"/>
            <w:vAlign w:val="center"/>
          </w:tcPr>
          <w:p w14:paraId="47E0B38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Q≥ 100（Q3）</w:t>
            </w:r>
          </w:p>
        </w:tc>
        <w:tc>
          <w:tcPr>
            <w:tcW w:w="1267" w:type="dxa"/>
            <w:shd w:val="clear" w:color="auto" w:fill="FFFFFF" w:themeFill="background1"/>
            <w:vAlign w:val="center"/>
          </w:tcPr>
          <w:p w14:paraId="5D5287D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2BE04B2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较大</w:t>
            </w:r>
          </w:p>
        </w:tc>
        <w:tc>
          <w:tcPr>
            <w:tcW w:w="1267" w:type="dxa"/>
            <w:shd w:val="clear" w:color="auto" w:fill="FFFFFF" w:themeFill="background1"/>
            <w:vAlign w:val="center"/>
          </w:tcPr>
          <w:p w14:paraId="1FB3BA3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c>
          <w:tcPr>
            <w:tcW w:w="1271" w:type="dxa"/>
            <w:shd w:val="clear" w:color="auto" w:fill="FFFFFF" w:themeFill="background1"/>
            <w:vAlign w:val="center"/>
          </w:tcPr>
          <w:p w14:paraId="179446F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highlight w:val="none"/>
              </w:rPr>
            </w:pPr>
            <w:r>
              <w:rPr>
                <w:rFonts w:hint="default" w:ascii="Times New Roman" w:hAnsi="Times New Roman" w:cs="Times New Roman"/>
                <w:kern w:val="2"/>
                <w:sz w:val="21"/>
                <w:szCs w:val="21"/>
                <w:highlight w:val="none"/>
              </w:rPr>
              <w:t>重大</w:t>
            </w:r>
          </w:p>
        </w:tc>
      </w:tr>
    </w:tbl>
    <w:p w14:paraId="5198684A">
      <w:pPr>
        <w:pStyle w:val="7"/>
        <w:spacing w:before="120"/>
        <w:rPr>
          <w:highlight w:val="none"/>
        </w:rPr>
      </w:pPr>
      <w:bookmarkStart w:id="101" w:name="_Toc9273"/>
      <w:r>
        <w:rPr>
          <w:rFonts w:hint="eastAsia"/>
          <w:highlight w:val="none"/>
          <w:lang w:val="en-US" w:eastAsia="zh-CN"/>
        </w:rPr>
        <w:t>7.3</w:t>
      </w:r>
      <w:r>
        <w:rPr>
          <w:rFonts w:hint="eastAsia"/>
          <w:highlight w:val="none"/>
        </w:rPr>
        <w:t>企业突发环境事件风险等级确定</w:t>
      </w:r>
      <w:bookmarkEnd w:id="101"/>
    </w:p>
    <w:p w14:paraId="31C7B24A">
      <w:pPr>
        <w:adjustRightInd w:val="0"/>
        <w:snapToGrid w:val="0"/>
        <w:spacing w:line="360" w:lineRule="auto"/>
        <w:ind w:firstLine="480" w:firstLineChars="200"/>
        <w:rPr>
          <w:rStyle w:val="121"/>
          <w:rFonts w:hint="default" w:ascii="Times New Roman" w:hAnsi="Times New Roman" w:cs="Times New Roman"/>
          <w:color w:val="auto"/>
          <w:sz w:val="11"/>
          <w:szCs w:val="11"/>
          <w:highlight w:val="none"/>
        </w:rPr>
      </w:pPr>
      <w:r>
        <w:rPr>
          <w:rFonts w:hint="default" w:ascii="Times New Roman" w:hAnsi="Times New Roman" w:cs="Times New Roman"/>
          <w:color w:val="auto"/>
          <w:sz w:val="24"/>
          <w:highlight w:val="none"/>
        </w:rPr>
        <w:t>因此根据</w:t>
      </w:r>
      <w:r>
        <w:rPr>
          <w:rFonts w:hint="eastAsia" w:cs="Times New Roman"/>
          <w:color w:val="auto"/>
          <w:sz w:val="24"/>
          <w:highlight w:val="none"/>
          <w:lang w:eastAsia="zh-CN"/>
        </w:rPr>
        <w:t>公司</w:t>
      </w:r>
      <w:r>
        <w:rPr>
          <w:rFonts w:hint="default" w:ascii="Times New Roman" w:hAnsi="Times New Roman" w:cs="Times New Roman"/>
          <w:color w:val="auto"/>
          <w:sz w:val="24"/>
          <w:highlight w:val="none"/>
        </w:rPr>
        <w:t>涉及的物质和工艺系统的危险性及其所在地的环境敏感程度，结合事故情形下环境影响途径，可知</w:t>
      </w:r>
      <w:r>
        <w:rPr>
          <w:rFonts w:hint="eastAsia" w:cs="Times New Roman"/>
          <w:color w:val="auto"/>
          <w:sz w:val="24"/>
          <w:highlight w:val="none"/>
          <w:lang w:eastAsia="zh-CN"/>
        </w:rPr>
        <w:t>淄博元齐生物科技</w:t>
      </w:r>
      <w:r>
        <w:rPr>
          <w:rFonts w:hint="default" w:ascii="Times New Roman" w:hAnsi="Times New Roman" w:cs="Times New Roman"/>
          <w:color w:val="auto"/>
          <w:sz w:val="24"/>
          <w:highlight w:val="none"/>
          <w:lang w:eastAsia="zh-CN"/>
        </w:rPr>
        <w:t>有限公司</w:t>
      </w:r>
      <w:r>
        <w:rPr>
          <w:rFonts w:hint="default" w:ascii="Times New Roman" w:hAnsi="Times New Roman" w:cs="Times New Roman"/>
          <w:color w:val="auto"/>
          <w:sz w:val="24"/>
          <w:highlight w:val="none"/>
        </w:rPr>
        <w:t>属于</w:t>
      </w:r>
      <w:r>
        <w:rPr>
          <w:rFonts w:hint="default" w:ascii="Times New Roman" w:hAnsi="Times New Roman" w:cs="Times New Roman"/>
          <w:color w:val="auto"/>
          <w:sz w:val="24"/>
          <w:szCs w:val="24"/>
          <w:highlight w:val="none"/>
          <w:lang w:val="en-US" w:eastAsia="zh-CN"/>
        </w:rPr>
        <w:t>较大</w:t>
      </w:r>
      <w:r>
        <w:rPr>
          <w:rFonts w:hint="default" w:ascii="Times New Roman" w:hAnsi="Times New Roman" w:cs="Times New Roman"/>
          <w:color w:val="auto"/>
          <w:sz w:val="24"/>
          <w:highlight w:val="none"/>
        </w:rPr>
        <w:t>环境风险等级。</w:t>
      </w:r>
    </w:p>
    <w:p w14:paraId="463AE515">
      <w:pPr>
        <w:pStyle w:val="130"/>
        <w:ind w:left="0" w:leftChars="0" w:firstLine="480" w:firstLineChars="200"/>
        <w:rPr>
          <w:lang w:eastAsia="zh-CN"/>
        </w:rPr>
      </w:pPr>
      <w:r>
        <w:rPr>
          <w:rFonts w:hint="default" w:ascii="Times New Roman" w:hAnsi="Times New Roman" w:cs="Times New Roman"/>
          <w:color w:val="auto"/>
          <w:sz w:val="24"/>
          <w:szCs w:val="20"/>
          <w:highlight w:val="none"/>
          <w:lang w:eastAsia="zh-CN"/>
        </w:rPr>
        <w:t>本</w:t>
      </w:r>
      <w:r>
        <w:rPr>
          <w:rFonts w:hint="eastAsia" w:cs="Times New Roman"/>
          <w:color w:val="auto"/>
          <w:sz w:val="24"/>
          <w:szCs w:val="20"/>
          <w:highlight w:val="none"/>
          <w:lang w:eastAsia="zh-CN"/>
        </w:rPr>
        <w:t>公司</w:t>
      </w:r>
      <w:r>
        <w:rPr>
          <w:rFonts w:hint="default" w:ascii="Times New Roman" w:hAnsi="Times New Roman" w:cs="Times New Roman"/>
          <w:color w:val="auto"/>
          <w:sz w:val="24"/>
          <w:szCs w:val="20"/>
          <w:highlight w:val="none"/>
          <w:lang w:eastAsia="zh-CN"/>
        </w:rPr>
        <w:t>为涉气和涉水环境风险物质</w:t>
      </w:r>
      <w:r>
        <w:rPr>
          <w:rFonts w:hint="default" w:ascii="Times New Roman" w:hAnsi="Times New Roman" w:cs="Times New Roman"/>
          <w:color w:val="auto"/>
          <w:sz w:val="24"/>
          <w:szCs w:val="20"/>
          <w:highlight w:val="none"/>
        </w:rPr>
        <w:t>的企业，</w:t>
      </w:r>
      <w:r>
        <w:rPr>
          <w:rFonts w:hint="eastAsia"/>
          <w:lang w:eastAsia="zh-CN"/>
        </w:rPr>
        <w:t>风险级别为重大</w:t>
      </w:r>
      <w:r>
        <w:rPr>
          <w:lang w:eastAsia="zh-CN"/>
        </w:rPr>
        <w:t xml:space="preserve">[ </w:t>
      </w:r>
      <w:r>
        <w:rPr>
          <w:rFonts w:hint="eastAsia"/>
          <w:lang w:eastAsia="zh-CN"/>
        </w:rPr>
        <w:t>重大</w:t>
      </w:r>
      <w:r>
        <w:rPr>
          <w:lang w:eastAsia="zh-CN"/>
        </w:rPr>
        <w:t>-大气（Q</w:t>
      </w:r>
      <w:r>
        <w:rPr>
          <w:rFonts w:hint="eastAsia"/>
          <w:lang w:val="en-US" w:eastAsia="zh-CN"/>
        </w:rPr>
        <w:t>3</w:t>
      </w:r>
      <w:r>
        <w:rPr>
          <w:lang w:eastAsia="zh-CN"/>
        </w:rPr>
        <w:t>-M</w:t>
      </w:r>
      <w:r>
        <w:rPr>
          <w:rFonts w:hint="eastAsia"/>
          <w:lang w:val="en-US" w:eastAsia="zh-CN"/>
        </w:rPr>
        <w:t>2</w:t>
      </w:r>
      <w:r>
        <w:rPr>
          <w:lang w:eastAsia="zh-CN"/>
        </w:rPr>
        <w:t>-E</w:t>
      </w:r>
      <w:r>
        <w:rPr>
          <w:rFonts w:hint="eastAsia"/>
          <w:lang w:val="en-US" w:eastAsia="zh-CN"/>
        </w:rPr>
        <w:t>2</w:t>
      </w:r>
      <w:r>
        <w:rPr>
          <w:lang w:eastAsia="zh-CN"/>
        </w:rPr>
        <w:t>）+</w:t>
      </w:r>
      <w:r>
        <w:rPr>
          <w:rFonts w:hint="eastAsia"/>
          <w:lang w:eastAsia="zh-CN"/>
        </w:rPr>
        <w:t>重大-</w:t>
      </w:r>
      <w:r>
        <w:rPr>
          <w:lang w:eastAsia="zh-CN"/>
        </w:rPr>
        <w:t>水（Q</w:t>
      </w:r>
      <w:r>
        <w:rPr>
          <w:rFonts w:hint="eastAsia"/>
          <w:lang w:val="en-US" w:eastAsia="zh-CN"/>
        </w:rPr>
        <w:t>3</w:t>
      </w:r>
      <w:r>
        <w:rPr>
          <w:lang w:eastAsia="zh-CN"/>
        </w:rPr>
        <w:t>-M</w:t>
      </w:r>
      <w:r>
        <w:rPr>
          <w:rFonts w:hint="eastAsia"/>
          <w:lang w:val="en-US" w:eastAsia="zh-CN"/>
        </w:rPr>
        <w:t>2</w:t>
      </w:r>
      <w:r>
        <w:rPr>
          <w:lang w:eastAsia="zh-CN"/>
        </w:rPr>
        <w:t>-E2）]。</w:t>
      </w:r>
    </w:p>
    <w:p w14:paraId="00611B6B">
      <w:pPr>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s="Times New Roman"/>
          <w:kern w:val="2"/>
          <w:sz w:val="24"/>
          <w:szCs w:val="24"/>
          <w:highlight w:val="none"/>
        </w:rPr>
      </w:pPr>
    </w:p>
    <w:p w14:paraId="7F66A81A">
      <w:pPr>
        <w:pStyle w:val="123"/>
        <w:spacing w:before="120" w:after="120"/>
        <w:rPr>
          <w:color w:val="000000" w:themeColor="text1"/>
          <w:highlight w:val="none"/>
          <w:lang w:eastAsia="zh-CN"/>
          <w14:textFill>
            <w14:solidFill>
              <w14:schemeClr w14:val="tx1"/>
            </w14:solidFill>
          </w14:textFill>
        </w:rPr>
      </w:pPr>
    </w:p>
    <w:p w14:paraId="4808798C">
      <w:pPr>
        <w:pStyle w:val="123"/>
        <w:spacing w:before="120" w:after="120"/>
        <w:rPr>
          <w:color w:val="000000" w:themeColor="text1"/>
          <w:highlight w:val="none"/>
          <w:lang w:eastAsia="zh-CN"/>
          <w14:textFill>
            <w14:solidFill>
              <w14:schemeClr w14:val="tx1"/>
            </w14:solidFill>
          </w14:textFill>
        </w:rPr>
        <w:sectPr>
          <w:pgSz w:w="11906" w:h="16838"/>
          <w:pgMar w:top="1418" w:right="1247" w:bottom="1418" w:left="1247" w:header="794" w:footer="850" w:gutter="0"/>
          <w:cols w:space="720" w:num="1"/>
          <w:docGrid w:linePitch="326" w:charSpace="0"/>
        </w:sectPr>
      </w:pPr>
    </w:p>
    <w:p w14:paraId="6B4238D8">
      <w:pPr>
        <w:pStyle w:val="6"/>
        <w:rPr>
          <w:color w:val="000000" w:themeColor="text1"/>
          <w:lang w:eastAsia="zh-CN"/>
          <w14:textFill>
            <w14:solidFill>
              <w14:schemeClr w14:val="tx1"/>
            </w14:solidFill>
          </w14:textFill>
        </w:rPr>
      </w:pPr>
      <w:bookmarkStart w:id="102" w:name="_Toc73285836"/>
      <w:bookmarkStart w:id="103" w:name="_Toc78062900"/>
      <w:bookmarkStart w:id="104" w:name="_Toc515387330"/>
      <w:bookmarkStart w:id="105" w:name="_Toc28653"/>
      <w:bookmarkStart w:id="106" w:name="_Toc127256795"/>
      <w:bookmarkStart w:id="107" w:name="_Toc73285609"/>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附图</w:t>
      </w:r>
      <w:bookmarkEnd w:id="102"/>
      <w:bookmarkEnd w:id="103"/>
      <w:bookmarkEnd w:id="104"/>
      <w:bookmarkEnd w:id="105"/>
      <w:bookmarkEnd w:id="106"/>
      <w:bookmarkEnd w:id="107"/>
    </w:p>
    <w:p w14:paraId="366487BB">
      <w:pPr>
        <w:outlineLvl w:val="1"/>
        <w:rPr>
          <w:b/>
          <w:bCs/>
          <w:color w:val="000000" w:themeColor="text1"/>
          <w:sz w:val="24"/>
          <w:szCs w:val="24"/>
          <w14:textFill>
            <w14:solidFill>
              <w14:schemeClr w14:val="tx1"/>
            </w14:solidFill>
          </w14:textFill>
        </w:rPr>
      </w:pPr>
      <w:bookmarkStart w:id="108" w:name="_Toc18442"/>
      <w:r>
        <w:rPr>
          <w:rFonts w:hint="default" w:ascii="Times New Roman" w:hAnsi="Times New Roman" w:eastAsia="宋体" w:cs="Times New Roman"/>
          <w:color w:val="FF0000"/>
        </w:rPr>
        <w:drawing>
          <wp:anchor distT="0" distB="0" distL="114300" distR="114300" simplePos="0" relativeHeight="251670528" behindDoc="0" locked="0" layoutInCell="1" allowOverlap="1">
            <wp:simplePos x="0" y="0"/>
            <wp:positionH relativeFrom="column">
              <wp:posOffset>-108585</wp:posOffset>
            </wp:positionH>
            <wp:positionV relativeFrom="paragraph">
              <wp:posOffset>320040</wp:posOffset>
            </wp:positionV>
            <wp:extent cx="9188450" cy="4766945"/>
            <wp:effectExtent l="0" t="0" r="12700" b="14605"/>
            <wp:wrapSquare wrapText="bothSides"/>
            <wp:docPr id="7" name="图片 73" descr="D:\win7我的文档-桌面-收藏夹\Desktop\地理位置图.jpg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3" descr="D:\win7我的文档-桌面-收藏夹\Desktop\地理位置图.jpg地理位置图"/>
                    <pic:cNvPicPr>
                      <a:picLocks noChangeAspect="1"/>
                    </pic:cNvPicPr>
                  </pic:nvPicPr>
                  <pic:blipFill>
                    <a:blip r:embed="rId24"/>
                    <a:stretch>
                      <a:fillRect/>
                    </a:stretch>
                  </pic:blipFill>
                  <pic:spPr>
                    <a:xfrm>
                      <a:off x="0" y="0"/>
                      <a:ext cx="9188450" cy="4766945"/>
                    </a:xfrm>
                    <a:prstGeom prst="rect">
                      <a:avLst/>
                    </a:prstGeom>
                    <a:solidFill>
                      <a:srgbClr val="FFFFFF"/>
                    </a:solidFill>
                    <a:ln>
                      <a:noFill/>
                    </a:ln>
                  </pic:spPr>
                </pic:pic>
              </a:graphicData>
            </a:graphic>
          </wp:anchor>
        </w:drawing>
      </w:r>
      <w:r>
        <w:rPr>
          <w:b/>
          <w:bCs/>
          <w:color w:val="000000" w:themeColor="text1"/>
          <w:sz w:val="24"/>
          <w:szCs w:val="24"/>
          <w14:textFill>
            <w14:solidFill>
              <w14:schemeClr w14:val="tx1"/>
            </w14:solidFill>
          </w14:textFill>
        </w:rPr>
        <w:t>附</w:t>
      </w:r>
      <w:r>
        <w:rPr>
          <w:rFonts w:hint="eastAsia"/>
          <w:b/>
          <w:bCs/>
          <w:color w:val="000000" w:themeColor="text1"/>
          <w:sz w:val="24"/>
          <w:szCs w:val="24"/>
          <w14:textFill>
            <w14:solidFill>
              <w14:schemeClr w14:val="tx1"/>
            </w14:solidFill>
          </w14:textFill>
        </w:rPr>
        <w:t>图</w:t>
      </w:r>
      <w:r>
        <w:rPr>
          <w:b/>
          <w:bCs/>
          <w:color w:val="000000" w:themeColor="text1"/>
          <w:sz w:val="24"/>
          <w:szCs w:val="24"/>
          <w14:textFill>
            <w14:solidFill>
              <w14:schemeClr w14:val="tx1"/>
            </w14:solidFill>
          </w14:textFill>
        </w:rPr>
        <w:fldChar w:fldCharType="begin"/>
      </w:r>
      <w:r>
        <w:rPr>
          <w:b/>
          <w:bCs/>
          <w:color w:val="000000" w:themeColor="text1"/>
          <w:sz w:val="24"/>
          <w:szCs w:val="24"/>
          <w14:textFill>
            <w14:solidFill>
              <w14:schemeClr w14:val="tx1"/>
            </w14:solidFill>
          </w14:textFill>
        </w:rPr>
        <w:instrText xml:space="preserve"> SEQ 附件3- \* ARABIC </w:instrText>
      </w:r>
      <w:r>
        <w:rPr>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1</w:t>
      </w:r>
      <w:r>
        <w:rPr>
          <w:b/>
          <w:bCs/>
          <w:color w:val="000000" w:themeColor="text1"/>
          <w:sz w:val="24"/>
          <w:szCs w:val="24"/>
          <w14:textFill>
            <w14:solidFill>
              <w14:schemeClr w14:val="tx1"/>
            </w14:solidFill>
          </w14:textFill>
        </w:rPr>
        <w:fldChar w:fldCharType="end"/>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地理位置图</w:t>
      </w:r>
      <w:r>
        <w:rPr>
          <w:rFonts w:hint="eastAsia" w:ascii="Times New Roman" w:hAnsi="Times New Roman" w:eastAsia="宋体" w:cs="Times New Roman"/>
          <w:b/>
          <w:bCs w:val="0"/>
          <w:caps w:val="0"/>
          <w:smallCaps w:val="0"/>
          <w:color w:val="auto"/>
          <w:spacing w:val="0"/>
          <w:position w:val="0"/>
          <w:sz w:val="24"/>
          <w:szCs w:val="24"/>
          <w:highlight w:val="none"/>
          <w:lang w:eastAsia="zh-CN"/>
        </w:rPr>
        <w:t>与周边环境</w:t>
      </w:r>
      <w:bookmarkEnd w:id="108"/>
    </w:p>
    <w:p w14:paraId="0AE39472">
      <w:pPr>
        <w:pStyle w:val="123"/>
        <w:spacing w:before="120" w:after="120"/>
        <w:rPr>
          <w:color w:val="000000" w:themeColor="text1"/>
          <w:lang w:eastAsia="zh-CN"/>
          <w14:textFill>
            <w14:solidFill>
              <w14:schemeClr w14:val="tx1"/>
            </w14:solidFill>
          </w14:textFill>
        </w:rPr>
        <w:sectPr>
          <w:pgSz w:w="16838" w:h="11906" w:orient="landscape"/>
          <w:pgMar w:top="1247" w:right="1418" w:bottom="1247" w:left="1418" w:header="794" w:footer="850" w:gutter="0"/>
          <w:cols w:space="720" w:num="1"/>
          <w:docGrid w:linePitch="326" w:charSpace="0"/>
        </w:sectPr>
      </w:pPr>
    </w:p>
    <w:p w14:paraId="7F7DBD38">
      <w:pPr>
        <w:widowControl/>
        <w:adjustRightInd w:val="0"/>
        <w:snapToGrid w:val="0"/>
        <w:spacing w:line="360" w:lineRule="auto"/>
        <w:jc w:val="left"/>
        <w:outlineLvl w:val="1"/>
        <w:rPr>
          <w:rFonts w:hint="default" w:ascii="Times New Roman" w:hAnsi="Times New Roman" w:cs="Times New Roman"/>
          <w:b/>
          <w:bCs/>
          <w:color w:val="auto"/>
          <w:sz w:val="24"/>
          <w:highlight w:val="none"/>
        </w:rPr>
      </w:pPr>
      <w:bookmarkStart w:id="109" w:name="_Toc32242"/>
      <w:r>
        <w:rPr>
          <w:rFonts w:hint="default" w:ascii="Times New Roman" w:hAnsi="Times New Roman" w:cs="Times New Roman"/>
          <w:b/>
          <w:bCs/>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2567940</wp:posOffset>
                </wp:positionH>
                <wp:positionV relativeFrom="paragraph">
                  <wp:posOffset>7927975</wp:posOffset>
                </wp:positionV>
                <wp:extent cx="1927860" cy="18986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927860" cy="189865"/>
                        </a:xfrm>
                        <a:prstGeom prst="rect">
                          <a:avLst/>
                        </a:prstGeom>
                        <a:noFill/>
                        <a:ln w="6350">
                          <a:noFill/>
                        </a:ln>
                      </wps:spPr>
                      <wps:txbx>
                        <w:txbxContent>
                          <w:p w14:paraId="40AA420D">
                            <w:r>
                              <w:rPr>
                                <w:rFonts w:hint="eastAsia"/>
                              </w:rPr>
                              <w:t>附图</w:t>
                            </w:r>
                            <w:r>
                              <w:t xml:space="preserve">2 </w:t>
                            </w:r>
                            <w:r>
                              <w:rPr>
                                <w:rFonts w:hint="eastAsia"/>
                              </w:rPr>
                              <w:t>企业周边风险受体图</w:t>
                            </w:r>
                          </w:p>
                        </w:txbxContent>
                      </wps:txbx>
                      <wps:bodyPr upright="1"/>
                    </wps:wsp>
                  </a:graphicData>
                </a:graphic>
              </wp:anchor>
            </w:drawing>
          </mc:Choice>
          <mc:Fallback>
            <w:pict>
              <v:shape id="文本框 6" o:spid="_x0000_s1026" o:spt="202" type="#_x0000_t202" style="position:absolute;left:0pt;margin-left:202.2pt;margin-top:624.25pt;height:14.95pt;width:151.8pt;z-index:251663360;mso-width-relative:page;mso-height-relative:page;" filled="f" stroked="f" coordsize="21600,21600" o:gfxdata="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2H0D9wAAAANAQAADwAAAAAAAAABACAAAAAiAAAAZHJzL2Rvd25yZXYueG1sUEsBAhQA&#10;FAAAAAgAh07iQFZZGyq1AQAAVwMAAA4AAAAAAAAAAQAgAAAAKwEAAGRycy9lMm9Eb2MueG1sUEsF&#10;BgAAAAAGAAYAWQEAAFIFAAAAAA==&#10;">
                <v:fill on="f" focussize="0,0"/>
                <v:stroke on="f" weight="0.5pt"/>
                <v:imagedata o:title=""/>
                <o:lock v:ext="edit" aspectratio="f"/>
                <v:textbox>
                  <w:txbxContent>
                    <w:p w14:paraId="40AA420D">
                      <w:r>
                        <w:rPr>
                          <w:rFonts w:hint="eastAsia"/>
                        </w:rPr>
                        <w:t>附图</w:t>
                      </w:r>
                      <w:r>
                        <w:t xml:space="preserve">2 </w:t>
                      </w:r>
                      <w:r>
                        <w:rPr>
                          <w:rFonts w:hint="eastAsia"/>
                        </w:rPr>
                        <w:t>企业周边风险受体图</w:t>
                      </w:r>
                    </w:p>
                  </w:txbxContent>
                </v:textbox>
              </v:shape>
            </w:pict>
          </mc:Fallback>
        </mc:AlternateContent>
      </w:r>
      <w:bookmarkStart w:id="110" w:name="_Toc22888"/>
      <w:bookmarkStart w:id="111" w:name="_Toc2965"/>
      <w:bookmarkStart w:id="112" w:name="_Toc18406"/>
      <w:bookmarkStart w:id="113" w:name="_Toc11359"/>
      <w:bookmarkStart w:id="114" w:name="_Toc5256"/>
      <w:bookmarkStart w:id="115" w:name="_Toc1402"/>
      <w:bookmarkStart w:id="116" w:name="_Toc4354"/>
      <w:bookmarkStart w:id="117" w:name="_Toc3375"/>
      <w:r>
        <w:rPr>
          <w:rFonts w:hint="default" w:ascii="Times New Roman" w:hAnsi="Times New Roman" w:cs="Times New Roman"/>
          <w:b/>
          <w:bCs/>
          <w:color w:val="auto"/>
          <w:sz w:val="24"/>
          <w:szCs w:val="24"/>
          <w:highlight w:val="none"/>
        </w:rPr>
        <w:t>附图2 企业周边风险受体图</w:t>
      </w:r>
      <w:bookmarkEnd w:id="110"/>
      <w:bookmarkEnd w:id="111"/>
      <w:bookmarkEnd w:id="112"/>
      <w:bookmarkEnd w:id="113"/>
      <w:bookmarkEnd w:id="114"/>
      <w:r>
        <w:rPr>
          <w:rFonts w:hint="default" w:ascii="Times New Roman" w:hAnsi="Times New Roman" w:cs="Times New Roman"/>
          <w:b/>
          <w:bCs/>
          <w:color w:val="auto"/>
          <w:sz w:val="24"/>
          <w:highlight w:val="none"/>
        </w:rPr>
        <w:t>（比例尺  1：</w:t>
      </w:r>
      <w:r>
        <w:rPr>
          <w:rFonts w:hint="default" w:ascii="Times New Roman" w:hAnsi="Times New Roman" w:cs="Times New Roman"/>
          <w:b/>
          <w:bCs/>
          <w:color w:val="auto"/>
          <w:sz w:val="24"/>
          <w:highlight w:val="none"/>
          <w:lang w:val="en-US" w:eastAsia="zh-CN"/>
        </w:rPr>
        <w:t>15</w:t>
      </w:r>
      <w:r>
        <w:rPr>
          <w:rFonts w:hint="default" w:ascii="Times New Roman" w:hAnsi="Times New Roman" w:cs="Times New Roman"/>
          <w:b/>
          <w:bCs/>
          <w:color w:val="auto"/>
          <w:sz w:val="24"/>
          <w:highlight w:val="none"/>
        </w:rPr>
        <w:t>0000）</w:t>
      </w:r>
      <w:bookmarkEnd w:id="109"/>
      <w:bookmarkEnd w:id="115"/>
      <w:bookmarkEnd w:id="116"/>
      <w:bookmarkEnd w:id="117"/>
    </w:p>
    <w:p w14:paraId="659A3319">
      <w:pPr>
        <w:pStyle w:val="123"/>
        <w:spacing w:before="120" w:after="120"/>
        <w:rPr>
          <w:color w:val="000000" w:themeColor="text1"/>
          <w:lang w:eastAsia="zh-CN"/>
          <w14:textFill>
            <w14:solidFill>
              <w14:schemeClr w14:val="tx1"/>
            </w14:solidFill>
          </w14:textFill>
        </w:rPr>
      </w:pPr>
    </w:p>
    <w:p w14:paraId="663574CF">
      <w:pPr>
        <w:pStyle w:val="123"/>
        <w:spacing w:before="120" w:after="120"/>
        <w:rPr>
          <w:color w:val="000000" w:themeColor="text1"/>
          <w:lang w:eastAsia="zh-CN"/>
          <w14:textFill>
            <w14:solidFill>
              <w14:schemeClr w14:val="tx1"/>
            </w14:solidFill>
          </w14:textFill>
        </w:rPr>
        <w:sectPr>
          <w:pgSz w:w="16838" w:h="11906" w:orient="landscape"/>
          <w:pgMar w:top="1247" w:right="1418" w:bottom="1247" w:left="1418" w:header="794" w:footer="850" w:gutter="0"/>
          <w:cols w:space="720" w:num="1"/>
          <w:docGrid w:linePitch="326" w:charSpace="0"/>
        </w:sectPr>
      </w:pPr>
      <w:r>
        <w:rPr>
          <w:color w:val="000000" w:themeColor="text1"/>
          <w:lang w:eastAsia="zh-CN"/>
          <w14:textFill>
            <w14:solidFill>
              <w14:schemeClr w14:val="tx1"/>
            </w14:solidFill>
          </w14:textFill>
        </w:rPr>
        <w:drawing>
          <wp:inline distT="0" distB="0" distL="114300" distR="114300">
            <wp:extent cx="7620000" cy="4010025"/>
            <wp:effectExtent l="0" t="0" r="0" b="9525"/>
            <wp:docPr id="22" name="图片 22" descr="环境风险受体单位-元齐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环境风险受体单位-元齐 (1)"/>
                    <pic:cNvPicPr>
                      <a:picLocks noChangeAspect="1"/>
                    </pic:cNvPicPr>
                  </pic:nvPicPr>
                  <pic:blipFill>
                    <a:blip r:embed="rId25"/>
                    <a:stretch>
                      <a:fillRect/>
                    </a:stretch>
                  </pic:blipFill>
                  <pic:spPr>
                    <a:xfrm>
                      <a:off x="0" y="0"/>
                      <a:ext cx="7620000" cy="4010025"/>
                    </a:xfrm>
                    <a:prstGeom prst="rect">
                      <a:avLst/>
                    </a:prstGeom>
                  </pic:spPr>
                </pic:pic>
              </a:graphicData>
            </a:graphic>
          </wp:inline>
        </w:drawing>
      </w:r>
    </w:p>
    <w:p w14:paraId="43D92C9A">
      <w:pPr>
        <w:pStyle w:val="2"/>
        <w:adjustRightInd w:val="0"/>
        <w:snapToGrid w:val="0"/>
        <w:spacing w:after="0"/>
        <w:ind w:left="0" w:leftChars="0" w:firstLine="0" w:firstLineChars="0"/>
        <w:jc w:val="left"/>
        <w:outlineLvl w:val="1"/>
        <w:rPr>
          <w:rFonts w:hint="default" w:ascii="Times New Roman" w:hAnsi="Times New Roman" w:eastAsia="宋体" w:cs="Times New Roman"/>
          <w:color w:val="auto"/>
          <w:sz w:val="24"/>
          <w:highlight w:val="none"/>
          <w:lang w:eastAsia="zh-CN"/>
        </w:rPr>
      </w:pPr>
      <w:bookmarkStart w:id="118" w:name="_Toc4529"/>
      <w:r>
        <w:rPr>
          <w:rFonts w:hint="default" w:ascii="Times New Roman" w:hAnsi="Times New Roman" w:cs="Times New Roman"/>
          <w:b/>
          <w:bCs/>
          <w:color w:val="auto"/>
          <w:sz w:val="24"/>
          <w:highlight w:val="none"/>
        </w:rPr>
        <w:t>附图</w:t>
      </w:r>
      <w:r>
        <w:rPr>
          <w:rFonts w:hint="default" w:ascii="Times New Roman" w:hAnsi="Times New Roman" w:cs="Times New Roman"/>
          <w:b/>
          <w:bCs/>
          <w:color w:val="auto"/>
          <w:sz w:val="24"/>
          <w:highlight w:val="none"/>
          <w:lang w:val="en-US" w:eastAsia="zh-CN"/>
        </w:rPr>
        <w:t xml:space="preserve">3 </w:t>
      </w:r>
      <w:r>
        <w:rPr>
          <w:rFonts w:hint="default" w:ascii="Times New Roman" w:hAnsi="Times New Roman" w:cs="Times New Roman"/>
          <w:b/>
          <w:bCs/>
          <w:color w:val="auto"/>
          <w:sz w:val="24"/>
          <w:highlight w:val="none"/>
          <w:lang w:eastAsia="zh-CN"/>
        </w:rPr>
        <w:t>厂区平面图</w:t>
      </w:r>
      <w:bookmarkEnd w:id="118"/>
    </w:p>
    <w:p w14:paraId="60F39DAE">
      <w:pPr>
        <w:snapToGrid w:val="0"/>
        <w:spacing w:line="480" w:lineRule="exact"/>
        <w:ind w:firstLine="480" w:firstLineChars="200"/>
        <w:rPr>
          <w:rFonts w:hint="default" w:ascii="Times New Roman" w:hAnsi="Times New Roman" w:cs="Times New Roman"/>
          <w:color w:val="auto"/>
          <w:kern w:val="2"/>
          <w:sz w:val="24"/>
          <w:szCs w:val="24"/>
        </w:rPr>
      </w:pPr>
    </w:p>
    <w:p w14:paraId="1A1817EE">
      <w:pPr>
        <w:pStyle w:val="2"/>
        <w:rPr>
          <w:rFonts w:hint="default" w:ascii="Times New Roman" w:hAnsi="Times New Roman" w:cs="Times New Roman"/>
          <w:color w:val="auto"/>
          <w:kern w:val="2"/>
          <w:sz w:val="24"/>
          <w:szCs w:val="24"/>
        </w:rPr>
      </w:pPr>
      <w:bookmarkStart w:id="119" w:name="_Toc25549"/>
      <w:r>
        <w:rPr>
          <w:rFonts w:hint="default"/>
          <w:lang w:eastAsia="zh-CN"/>
        </w:rPr>
        <w:drawing>
          <wp:inline distT="0" distB="0" distL="114300" distR="114300">
            <wp:extent cx="4679950" cy="6624955"/>
            <wp:effectExtent l="0" t="0" r="6350" b="4445"/>
            <wp:docPr id="24" name="图片 4" descr="厂区平面图-元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厂区平面图-元齐"/>
                    <pic:cNvPicPr>
                      <a:picLocks noChangeAspect="1"/>
                    </pic:cNvPicPr>
                  </pic:nvPicPr>
                  <pic:blipFill>
                    <a:blip r:embed="rId26"/>
                    <a:stretch>
                      <a:fillRect/>
                    </a:stretch>
                  </pic:blipFill>
                  <pic:spPr>
                    <a:xfrm>
                      <a:off x="0" y="0"/>
                      <a:ext cx="4679950" cy="6624955"/>
                    </a:xfrm>
                    <a:prstGeom prst="rect">
                      <a:avLst/>
                    </a:prstGeom>
                    <a:noFill/>
                    <a:ln>
                      <a:noFill/>
                    </a:ln>
                  </pic:spPr>
                </pic:pic>
              </a:graphicData>
            </a:graphic>
          </wp:inline>
        </w:drawing>
      </w:r>
      <w:bookmarkEnd w:id="119"/>
    </w:p>
    <w:p w14:paraId="3EB25541">
      <w:pPr>
        <w:rPr>
          <w:rFonts w:hint="default" w:ascii="Times New Roman" w:hAnsi="Times New Roman" w:cs="Times New Roman"/>
          <w:color w:val="auto"/>
          <w:kern w:val="2"/>
          <w:sz w:val="24"/>
          <w:szCs w:val="24"/>
        </w:rPr>
      </w:pPr>
    </w:p>
    <w:p w14:paraId="434E3D1B">
      <w:pPr>
        <w:pStyle w:val="2"/>
        <w:rPr>
          <w:rFonts w:hint="default"/>
        </w:rPr>
      </w:pPr>
    </w:p>
    <w:bookmarkEnd w:id="57"/>
    <w:bookmarkEnd w:id="58"/>
    <w:p w14:paraId="18BB93C7">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5A466D6D">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7DBFA497">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275641E9">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6AA85B90">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2F138F9C">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4DE939EA">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rPr>
      </w:pPr>
    </w:p>
    <w:p w14:paraId="308771F0">
      <w:pPr>
        <w:pStyle w:val="2"/>
        <w:adjustRightInd w:val="0"/>
        <w:snapToGrid w:val="0"/>
        <w:spacing w:after="0"/>
        <w:ind w:left="0" w:leftChars="0" w:firstLine="0" w:firstLineChars="0"/>
        <w:jc w:val="left"/>
        <w:outlineLvl w:val="1"/>
        <w:rPr>
          <w:rFonts w:hint="default" w:ascii="Times New Roman" w:hAnsi="Times New Roman" w:cs="Times New Roman"/>
          <w:b/>
          <w:bCs/>
          <w:color w:val="auto"/>
          <w:sz w:val="24"/>
          <w:highlight w:val="none"/>
          <w:lang w:val="en-US" w:eastAsia="zh-CN"/>
        </w:rPr>
      </w:pPr>
      <w:bookmarkStart w:id="120" w:name="_Toc9604"/>
      <w:r>
        <w:rPr>
          <w:b/>
          <w:bCs/>
          <w:color w:val="000000" w:themeColor="text1"/>
          <w:sz w:val="24"/>
          <w:szCs w:val="24"/>
          <w14:textFill>
            <w14:solidFill>
              <w14:schemeClr w14:val="tx1"/>
            </w14:solidFill>
          </w14:textFill>
        </w:rPr>
        <w:t>附</w:t>
      </w:r>
      <w:r>
        <w:rPr>
          <w:rFonts w:hint="eastAsia"/>
          <w:b/>
          <w:bCs/>
          <w:color w:val="000000" w:themeColor="text1"/>
          <w:sz w:val="24"/>
          <w:szCs w:val="24"/>
          <w14:textFill>
            <w14:solidFill>
              <w14:schemeClr w14:val="tx1"/>
            </w14:solidFill>
          </w14:textFill>
        </w:rPr>
        <w:t>图</w:t>
      </w:r>
      <w:r>
        <w:rPr>
          <w:rFonts w:hint="eastAsia"/>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eastAsia="zh-CN"/>
        </w:rPr>
        <w:t>应急逃生路线</w:t>
      </w:r>
      <w:r>
        <w:rPr>
          <w:rFonts w:hint="default" w:ascii="Times New Roman" w:hAnsi="Times New Roman" w:cs="Times New Roman"/>
          <w:b/>
          <w:bCs/>
          <w:color w:val="auto"/>
          <w:sz w:val="24"/>
          <w:highlight w:val="none"/>
          <w:lang w:val="en-US" w:eastAsia="zh-CN"/>
        </w:rPr>
        <w:t>、应急器物资布置图</w:t>
      </w:r>
      <w:bookmarkEnd w:id="120"/>
    </w:p>
    <w:p w14:paraId="3BED4910">
      <w:pPr>
        <w:pStyle w:val="2"/>
        <w:adjustRightInd w:val="0"/>
        <w:snapToGrid w:val="0"/>
        <w:spacing w:after="0"/>
        <w:ind w:left="0" w:leftChars="0" w:firstLine="0" w:firstLineChars="0"/>
        <w:jc w:val="left"/>
        <w:outlineLvl w:val="1"/>
        <w:rPr>
          <w:rFonts w:hint="default" w:ascii="Times New Roman" w:hAnsi="Times New Roman" w:cs="Times New Roman"/>
          <w:color w:val="auto"/>
          <w:sz w:val="24"/>
          <w:highlight w:val="none"/>
        </w:rPr>
      </w:pPr>
    </w:p>
    <w:p w14:paraId="16081E95">
      <w:pPr>
        <w:pStyle w:val="2"/>
        <w:ind w:left="0" w:leftChars="0" w:firstLine="0" w:firstLineChars="0"/>
        <w:jc w:val="both"/>
        <w:rPr>
          <w:rFonts w:hint="eastAsia"/>
          <w:lang w:val="en-US" w:eastAsia="zh-CN"/>
        </w:rPr>
      </w:pPr>
      <w:r>
        <w:rPr>
          <w:rFonts w:hint="eastAsia"/>
          <w:lang w:val="en-US" w:eastAsia="zh-CN"/>
        </w:rPr>
        <w:drawing>
          <wp:anchor distT="0" distB="0" distL="114300" distR="114300" simplePos="0" relativeHeight="251682816" behindDoc="0" locked="0" layoutInCell="1" allowOverlap="1">
            <wp:simplePos x="0" y="0"/>
            <wp:positionH relativeFrom="column">
              <wp:posOffset>356235</wp:posOffset>
            </wp:positionH>
            <wp:positionV relativeFrom="page">
              <wp:posOffset>1593215</wp:posOffset>
            </wp:positionV>
            <wp:extent cx="4803775" cy="6800215"/>
            <wp:effectExtent l="0" t="0" r="15875" b="635"/>
            <wp:wrapSquare wrapText="bothSides"/>
            <wp:docPr id="25" name="图片 2" descr="应急撤离路线物资布置图-元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应急撤离路线物资布置图-元齐"/>
                    <pic:cNvPicPr>
                      <a:picLocks noChangeAspect="1"/>
                    </pic:cNvPicPr>
                  </pic:nvPicPr>
                  <pic:blipFill>
                    <a:blip r:embed="rId27"/>
                    <a:stretch>
                      <a:fillRect/>
                    </a:stretch>
                  </pic:blipFill>
                  <pic:spPr>
                    <a:xfrm>
                      <a:off x="0" y="0"/>
                      <a:ext cx="4803775" cy="6800215"/>
                    </a:xfrm>
                    <a:prstGeom prst="rect">
                      <a:avLst/>
                    </a:prstGeom>
                    <a:noFill/>
                    <a:ln>
                      <a:noFill/>
                    </a:ln>
                  </pic:spPr>
                </pic:pic>
              </a:graphicData>
            </a:graphic>
          </wp:anchor>
        </w:drawing>
      </w:r>
    </w:p>
    <w:p w14:paraId="4E7AF757">
      <w:pPr>
        <w:bidi w:val="0"/>
        <w:rPr>
          <w:rFonts w:hint="default"/>
          <w:lang w:eastAsia="zh-CN"/>
        </w:rPr>
      </w:pPr>
    </w:p>
    <w:p w14:paraId="60987801">
      <w:pPr>
        <w:bidi w:val="0"/>
        <w:rPr>
          <w:rFonts w:hint="default"/>
          <w:lang w:eastAsia="zh-CN"/>
        </w:rPr>
      </w:pPr>
    </w:p>
    <w:p w14:paraId="1509D4D8">
      <w:pPr>
        <w:bidi w:val="0"/>
        <w:rPr>
          <w:rFonts w:hint="default"/>
          <w:lang w:eastAsia="zh-CN"/>
        </w:rPr>
      </w:pPr>
    </w:p>
    <w:p w14:paraId="5A21E570">
      <w:pPr>
        <w:bidi w:val="0"/>
        <w:rPr>
          <w:rFonts w:hint="default"/>
          <w:lang w:eastAsia="zh-CN"/>
        </w:rPr>
      </w:pPr>
    </w:p>
    <w:p w14:paraId="5AC30B6F">
      <w:pPr>
        <w:bidi w:val="0"/>
        <w:rPr>
          <w:rFonts w:hint="default"/>
          <w:lang w:eastAsia="zh-CN"/>
        </w:rPr>
      </w:pPr>
    </w:p>
    <w:p w14:paraId="12C6761A">
      <w:pPr>
        <w:bidi w:val="0"/>
        <w:rPr>
          <w:rFonts w:hint="default"/>
          <w:lang w:eastAsia="zh-CN"/>
        </w:rPr>
      </w:pPr>
    </w:p>
    <w:p w14:paraId="64ACCF8A">
      <w:pPr>
        <w:bidi w:val="0"/>
        <w:rPr>
          <w:rFonts w:hint="default"/>
          <w:lang w:eastAsia="zh-CN"/>
        </w:rPr>
      </w:pPr>
    </w:p>
    <w:p w14:paraId="1BFF2BC7">
      <w:pPr>
        <w:bidi w:val="0"/>
        <w:rPr>
          <w:rFonts w:hint="default"/>
          <w:lang w:eastAsia="zh-CN"/>
        </w:rPr>
      </w:pPr>
    </w:p>
    <w:p w14:paraId="66285A49">
      <w:pPr>
        <w:bidi w:val="0"/>
        <w:rPr>
          <w:rFonts w:hint="default"/>
          <w:lang w:eastAsia="zh-CN"/>
        </w:rPr>
      </w:pPr>
    </w:p>
    <w:p w14:paraId="02CA12F1">
      <w:pPr>
        <w:bidi w:val="0"/>
        <w:rPr>
          <w:rFonts w:hint="default"/>
          <w:lang w:eastAsia="zh-CN"/>
        </w:rPr>
      </w:pPr>
    </w:p>
    <w:p w14:paraId="61DD7E08">
      <w:pPr>
        <w:bidi w:val="0"/>
        <w:rPr>
          <w:rFonts w:hint="default"/>
          <w:lang w:eastAsia="zh-CN"/>
        </w:rPr>
      </w:pPr>
    </w:p>
    <w:p w14:paraId="766CD35A">
      <w:pPr>
        <w:bidi w:val="0"/>
        <w:rPr>
          <w:rFonts w:hint="default"/>
          <w:lang w:eastAsia="zh-CN"/>
        </w:rPr>
      </w:pPr>
    </w:p>
    <w:p w14:paraId="6DA51BD3">
      <w:pPr>
        <w:bidi w:val="0"/>
        <w:rPr>
          <w:rFonts w:hint="default"/>
          <w:lang w:eastAsia="zh-CN"/>
        </w:rPr>
      </w:pPr>
    </w:p>
    <w:p w14:paraId="2F7C8A6D">
      <w:pPr>
        <w:bidi w:val="0"/>
        <w:rPr>
          <w:rFonts w:hint="default"/>
          <w:lang w:eastAsia="zh-CN"/>
        </w:rPr>
      </w:pPr>
    </w:p>
    <w:p w14:paraId="2772AB63">
      <w:pPr>
        <w:bidi w:val="0"/>
        <w:rPr>
          <w:rFonts w:hint="default"/>
          <w:lang w:eastAsia="zh-CN"/>
        </w:rPr>
      </w:pPr>
    </w:p>
    <w:p w14:paraId="4E269743">
      <w:pPr>
        <w:bidi w:val="0"/>
        <w:rPr>
          <w:rFonts w:hint="default"/>
          <w:lang w:eastAsia="zh-CN"/>
        </w:rPr>
      </w:pPr>
    </w:p>
    <w:p w14:paraId="178BEDA9">
      <w:pPr>
        <w:bidi w:val="0"/>
        <w:rPr>
          <w:rFonts w:hint="default"/>
          <w:lang w:eastAsia="zh-CN"/>
        </w:rPr>
      </w:pPr>
    </w:p>
    <w:p w14:paraId="65EC3A44">
      <w:pPr>
        <w:bidi w:val="0"/>
        <w:rPr>
          <w:rFonts w:hint="default"/>
          <w:lang w:eastAsia="zh-CN"/>
        </w:rPr>
      </w:pPr>
    </w:p>
    <w:p w14:paraId="5F9F1CB7">
      <w:pPr>
        <w:bidi w:val="0"/>
        <w:rPr>
          <w:rFonts w:hint="default"/>
          <w:lang w:eastAsia="zh-CN"/>
        </w:rPr>
      </w:pPr>
    </w:p>
    <w:p w14:paraId="7EFF0756">
      <w:pPr>
        <w:bidi w:val="0"/>
        <w:rPr>
          <w:rFonts w:hint="default"/>
          <w:lang w:eastAsia="zh-CN"/>
        </w:rPr>
      </w:pPr>
    </w:p>
    <w:p w14:paraId="4632F8A7">
      <w:pPr>
        <w:bidi w:val="0"/>
        <w:rPr>
          <w:rFonts w:hint="default"/>
          <w:lang w:eastAsia="zh-CN"/>
        </w:rPr>
      </w:pPr>
    </w:p>
    <w:p w14:paraId="6DD6E532">
      <w:pPr>
        <w:bidi w:val="0"/>
        <w:rPr>
          <w:rFonts w:hint="default"/>
          <w:lang w:eastAsia="zh-CN"/>
        </w:rPr>
      </w:pPr>
    </w:p>
    <w:p w14:paraId="10BC052D">
      <w:pPr>
        <w:bidi w:val="0"/>
        <w:rPr>
          <w:rFonts w:hint="default"/>
          <w:lang w:eastAsia="zh-CN"/>
        </w:rPr>
      </w:pPr>
    </w:p>
    <w:p w14:paraId="76783544">
      <w:pPr>
        <w:bidi w:val="0"/>
        <w:rPr>
          <w:rFonts w:hint="default"/>
          <w:lang w:eastAsia="zh-CN"/>
        </w:rPr>
      </w:pPr>
    </w:p>
    <w:p w14:paraId="58007FF3">
      <w:pPr>
        <w:bidi w:val="0"/>
        <w:rPr>
          <w:rFonts w:hint="default"/>
          <w:lang w:eastAsia="zh-CN"/>
        </w:rPr>
      </w:pPr>
    </w:p>
    <w:p w14:paraId="28994EB7">
      <w:pPr>
        <w:bidi w:val="0"/>
        <w:rPr>
          <w:rFonts w:hint="default"/>
          <w:lang w:eastAsia="zh-CN"/>
        </w:rPr>
      </w:pPr>
    </w:p>
    <w:p w14:paraId="3EADAC35">
      <w:pPr>
        <w:bidi w:val="0"/>
        <w:rPr>
          <w:rFonts w:hint="default"/>
          <w:lang w:eastAsia="zh-CN"/>
        </w:rPr>
      </w:pPr>
    </w:p>
    <w:p w14:paraId="4C959CE8">
      <w:pPr>
        <w:bidi w:val="0"/>
        <w:rPr>
          <w:rFonts w:hint="default"/>
          <w:lang w:eastAsia="zh-CN"/>
        </w:rPr>
      </w:pPr>
    </w:p>
    <w:p w14:paraId="2CA9DE62">
      <w:pPr>
        <w:bidi w:val="0"/>
        <w:rPr>
          <w:rFonts w:hint="default"/>
          <w:lang w:eastAsia="zh-CN"/>
        </w:rPr>
      </w:pPr>
    </w:p>
    <w:p w14:paraId="7440D752">
      <w:pPr>
        <w:bidi w:val="0"/>
        <w:rPr>
          <w:rFonts w:hint="default"/>
          <w:lang w:eastAsia="zh-CN"/>
        </w:rPr>
      </w:pPr>
    </w:p>
    <w:p w14:paraId="64A1064A">
      <w:pPr>
        <w:bidi w:val="0"/>
        <w:rPr>
          <w:rFonts w:hint="default"/>
          <w:lang w:eastAsia="zh-CN"/>
        </w:rPr>
      </w:pPr>
    </w:p>
    <w:p w14:paraId="44F29EC0">
      <w:pPr>
        <w:bidi w:val="0"/>
        <w:rPr>
          <w:rFonts w:hint="default"/>
          <w:lang w:eastAsia="zh-CN"/>
        </w:rPr>
      </w:pPr>
    </w:p>
    <w:p w14:paraId="06C2F6ED">
      <w:pPr>
        <w:bidi w:val="0"/>
        <w:rPr>
          <w:rFonts w:hint="default"/>
          <w:lang w:eastAsia="zh-CN"/>
        </w:rPr>
      </w:pPr>
    </w:p>
    <w:p w14:paraId="08669368">
      <w:pPr>
        <w:bidi w:val="0"/>
        <w:rPr>
          <w:rFonts w:hint="default"/>
          <w:lang w:eastAsia="zh-CN"/>
        </w:rPr>
      </w:pPr>
    </w:p>
    <w:p w14:paraId="30220847">
      <w:pPr>
        <w:bidi w:val="0"/>
        <w:rPr>
          <w:rFonts w:hint="default"/>
          <w:lang w:eastAsia="zh-CN"/>
        </w:rPr>
      </w:pPr>
    </w:p>
    <w:p w14:paraId="464FBF4B">
      <w:pPr>
        <w:bidi w:val="0"/>
        <w:rPr>
          <w:rFonts w:hint="default"/>
          <w:lang w:eastAsia="zh-CN"/>
        </w:rPr>
      </w:pPr>
    </w:p>
    <w:p w14:paraId="39B705C3">
      <w:pPr>
        <w:bidi w:val="0"/>
        <w:rPr>
          <w:rFonts w:hint="default"/>
          <w:lang w:eastAsia="zh-CN"/>
        </w:rPr>
      </w:pPr>
    </w:p>
    <w:p w14:paraId="531E2FE1">
      <w:pPr>
        <w:bidi w:val="0"/>
        <w:rPr>
          <w:rFonts w:hint="default"/>
          <w:lang w:eastAsia="zh-CN"/>
        </w:rPr>
      </w:pPr>
    </w:p>
    <w:p w14:paraId="620F483A">
      <w:pPr>
        <w:bidi w:val="0"/>
        <w:rPr>
          <w:rFonts w:hint="default"/>
          <w:lang w:eastAsia="zh-CN"/>
        </w:rPr>
      </w:pPr>
    </w:p>
    <w:p w14:paraId="13CECE35">
      <w:pPr>
        <w:bidi w:val="0"/>
        <w:rPr>
          <w:rFonts w:hint="default"/>
          <w:lang w:eastAsia="zh-CN"/>
        </w:rPr>
      </w:pPr>
    </w:p>
    <w:p w14:paraId="1B62535B">
      <w:pPr>
        <w:bidi w:val="0"/>
        <w:rPr>
          <w:rFonts w:hint="default"/>
          <w:lang w:eastAsia="zh-CN"/>
        </w:rPr>
      </w:pPr>
    </w:p>
    <w:p w14:paraId="32E9465F">
      <w:pPr>
        <w:bidi w:val="0"/>
        <w:rPr>
          <w:rFonts w:hint="default"/>
          <w:lang w:eastAsia="zh-CN"/>
        </w:rPr>
      </w:pPr>
    </w:p>
    <w:p w14:paraId="530CA933">
      <w:pPr>
        <w:bidi w:val="0"/>
        <w:rPr>
          <w:rFonts w:hint="default"/>
          <w:lang w:eastAsia="zh-CN"/>
        </w:rPr>
      </w:pPr>
    </w:p>
    <w:p w14:paraId="64FE1C5B">
      <w:pPr>
        <w:bidi w:val="0"/>
        <w:rPr>
          <w:rFonts w:hint="default"/>
          <w:lang w:eastAsia="zh-CN"/>
        </w:rPr>
      </w:pPr>
    </w:p>
    <w:p w14:paraId="11ACA615">
      <w:pPr>
        <w:bidi w:val="0"/>
        <w:rPr>
          <w:rFonts w:hint="default"/>
          <w:lang w:eastAsia="zh-CN"/>
        </w:rPr>
      </w:pPr>
    </w:p>
    <w:p w14:paraId="78E67F7C">
      <w:pPr>
        <w:bidi w:val="0"/>
        <w:rPr>
          <w:rFonts w:hint="default"/>
          <w:lang w:eastAsia="zh-CN"/>
        </w:rPr>
      </w:pPr>
    </w:p>
    <w:p w14:paraId="1D515A9F">
      <w:pPr>
        <w:bidi w:val="0"/>
        <w:rPr>
          <w:rFonts w:hint="default"/>
          <w:lang w:eastAsia="zh-CN"/>
        </w:rPr>
      </w:pPr>
    </w:p>
    <w:p w14:paraId="7597E455">
      <w:pPr>
        <w:bidi w:val="0"/>
        <w:rPr>
          <w:rFonts w:hint="default"/>
          <w:lang w:eastAsia="zh-CN"/>
        </w:rPr>
      </w:pPr>
    </w:p>
    <w:p w14:paraId="37406A88">
      <w:pPr>
        <w:bidi w:val="0"/>
        <w:rPr>
          <w:rFonts w:hint="default"/>
          <w:lang w:eastAsia="zh-CN"/>
        </w:rPr>
      </w:pPr>
    </w:p>
    <w:p w14:paraId="4BD5000F">
      <w:pPr>
        <w:bidi w:val="0"/>
        <w:rPr>
          <w:rFonts w:hint="default"/>
          <w:lang w:eastAsia="zh-CN"/>
        </w:rPr>
      </w:pPr>
    </w:p>
    <w:p w14:paraId="494A21EE">
      <w:pPr>
        <w:bidi w:val="0"/>
        <w:rPr>
          <w:rFonts w:hint="default"/>
          <w:lang w:eastAsia="zh-CN"/>
        </w:rPr>
      </w:pPr>
    </w:p>
    <w:p w14:paraId="5AFDB625">
      <w:pPr>
        <w:bidi w:val="0"/>
        <w:ind w:firstLine="315" w:firstLineChars="0"/>
        <w:jc w:val="left"/>
        <w:rPr>
          <w:rFonts w:hint="default"/>
          <w:lang w:eastAsia="zh-CN"/>
        </w:rPr>
      </w:pPr>
    </w:p>
    <w:p w14:paraId="0EF1C7DF">
      <w:pPr>
        <w:pStyle w:val="2"/>
        <w:rPr>
          <w:rFonts w:hint="default"/>
          <w:lang w:eastAsia="zh-CN"/>
        </w:rPr>
      </w:pPr>
    </w:p>
    <w:p w14:paraId="3EB023DF">
      <w:pPr>
        <w:pStyle w:val="2"/>
        <w:adjustRightInd w:val="0"/>
        <w:snapToGrid w:val="0"/>
        <w:spacing w:after="0"/>
        <w:ind w:left="0" w:leftChars="0" w:firstLine="0" w:firstLineChars="0"/>
        <w:jc w:val="left"/>
        <w:outlineLvl w:val="1"/>
        <w:rPr>
          <w:rFonts w:hint="eastAsia" w:ascii="Times New Roman" w:hAnsi="Times New Roman" w:eastAsia="宋体" w:cs="Times New Roman"/>
          <w:b/>
          <w:bCs/>
          <w:color w:val="auto"/>
          <w:sz w:val="24"/>
          <w:highlight w:val="none"/>
          <w:lang w:val="en-US" w:eastAsia="zh-CN"/>
        </w:rPr>
      </w:pPr>
      <w:bookmarkStart w:id="121" w:name="_Toc28298"/>
      <w:r>
        <w:rPr>
          <w:b/>
          <w:bCs/>
          <w:color w:val="000000" w:themeColor="text1"/>
          <w:sz w:val="24"/>
          <w:szCs w:val="24"/>
          <w14:textFill>
            <w14:solidFill>
              <w14:schemeClr w14:val="tx1"/>
            </w14:solidFill>
          </w14:textFill>
        </w:rPr>
        <w:t>附</w:t>
      </w:r>
      <w:r>
        <w:rPr>
          <w:rFonts w:hint="eastAsia"/>
          <w:b/>
          <w:bCs/>
          <w:color w:val="000000" w:themeColor="text1"/>
          <w:sz w:val="24"/>
          <w:szCs w:val="24"/>
          <w14:textFill>
            <w14:solidFill>
              <w14:schemeClr w14:val="tx1"/>
            </w14:solidFill>
          </w14:textFill>
        </w:rPr>
        <w:t>图</w:t>
      </w:r>
      <w:r>
        <w:rPr>
          <w:rFonts w:hint="eastAsia" w:ascii="Times New Roman" w:hAnsi="Times New Roman" w:eastAsia="宋体" w:cs="Times New Roman"/>
          <w:b/>
          <w:bCs/>
          <w:color w:val="auto"/>
          <w:sz w:val="24"/>
          <w:highlight w:val="none"/>
          <w:lang w:val="en-US" w:eastAsia="zh-CN"/>
        </w:rPr>
        <w:t>5 应急监测协议</w:t>
      </w:r>
      <w:bookmarkEnd w:id="121"/>
    </w:p>
    <w:p w14:paraId="56FF0CB6">
      <w:pPr>
        <w:pStyle w:val="2"/>
        <w:ind w:left="0" w:leftChars="0" w:firstLine="0" w:firstLineChars="0"/>
        <w:rPr>
          <w:rFonts w:hint="default" w:ascii="Times New Roman" w:hAnsi="Times New Roman" w:eastAsia="宋体" w:cs="Times New Roman"/>
          <w:b/>
          <w:bCs/>
          <w:color w:val="FF0000"/>
          <w:sz w:val="24"/>
        </w:rPr>
      </w:pPr>
      <w:r>
        <w:drawing>
          <wp:anchor distT="0" distB="0" distL="114300" distR="114300" simplePos="0" relativeHeight="251683840" behindDoc="0" locked="0" layoutInCell="1" allowOverlap="1">
            <wp:simplePos x="0" y="0"/>
            <wp:positionH relativeFrom="column">
              <wp:posOffset>228600</wp:posOffset>
            </wp:positionH>
            <wp:positionV relativeFrom="page">
              <wp:posOffset>1362075</wp:posOffset>
            </wp:positionV>
            <wp:extent cx="5457825" cy="7172325"/>
            <wp:effectExtent l="0" t="0" r="9525" b="9525"/>
            <wp:wrapSquare wrapText="bothSides"/>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8"/>
                    <a:stretch>
                      <a:fillRect/>
                    </a:stretch>
                  </pic:blipFill>
                  <pic:spPr>
                    <a:xfrm>
                      <a:off x="0" y="0"/>
                      <a:ext cx="5457825" cy="7172325"/>
                    </a:xfrm>
                    <a:prstGeom prst="rect">
                      <a:avLst/>
                    </a:prstGeom>
                    <a:noFill/>
                    <a:ln>
                      <a:noFill/>
                    </a:ln>
                  </pic:spPr>
                </pic:pic>
              </a:graphicData>
            </a:graphic>
          </wp:anchor>
        </w:drawing>
      </w:r>
    </w:p>
    <w:p w14:paraId="217BAE94">
      <w:pPr>
        <w:pStyle w:val="2"/>
        <w:adjustRightInd w:val="0"/>
        <w:snapToGrid w:val="0"/>
        <w:spacing w:after="0"/>
        <w:ind w:left="0" w:leftChars="0" w:firstLine="0" w:firstLineChars="0"/>
        <w:jc w:val="left"/>
        <w:outlineLvl w:val="0"/>
        <w:rPr>
          <w:rFonts w:hint="default" w:ascii="Times New Roman" w:hAnsi="Times New Roman" w:cs="Times New Roman"/>
          <w:b/>
          <w:bCs/>
          <w:color w:val="auto"/>
          <w:sz w:val="24"/>
          <w:highlight w:val="none"/>
        </w:rPr>
      </w:pPr>
    </w:p>
    <w:p w14:paraId="005E753F">
      <w:pPr>
        <w:rPr>
          <w:rFonts w:hint="default"/>
          <w:lang w:eastAsia="zh-CN"/>
        </w:rPr>
      </w:pPr>
    </w:p>
    <w:p w14:paraId="4137D6B0">
      <w:pPr>
        <w:pStyle w:val="2"/>
        <w:rPr>
          <w:rFonts w:hint="default"/>
          <w:lang w:eastAsia="zh-CN"/>
        </w:rPr>
      </w:pPr>
    </w:p>
    <w:p w14:paraId="48273C64">
      <w:pPr>
        <w:rPr>
          <w:rFonts w:hint="default"/>
          <w:lang w:eastAsia="zh-CN"/>
        </w:rPr>
      </w:pPr>
    </w:p>
    <w:p w14:paraId="203CAA3E">
      <w:pPr>
        <w:pStyle w:val="2"/>
        <w:rPr>
          <w:rFonts w:hint="default"/>
          <w:lang w:eastAsia="zh-CN"/>
        </w:rPr>
      </w:pPr>
    </w:p>
    <w:p w14:paraId="3AE4D1ED">
      <w:pPr>
        <w:rPr>
          <w:rFonts w:hint="default"/>
          <w:lang w:eastAsia="zh-CN"/>
        </w:rPr>
      </w:pPr>
    </w:p>
    <w:p w14:paraId="7228D5E6">
      <w:pPr>
        <w:pStyle w:val="2"/>
        <w:rPr>
          <w:rFonts w:hint="default"/>
          <w:lang w:eastAsia="zh-CN"/>
        </w:rPr>
      </w:pPr>
    </w:p>
    <w:p w14:paraId="16F6FD91">
      <w:pPr>
        <w:rPr>
          <w:rFonts w:hint="default"/>
          <w:lang w:eastAsia="zh-CN"/>
        </w:rPr>
      </w:pPr>
    </w:p>
    <w:p w14:paraId="303969E3">
      <w:pPr>
        <w:pStyle w:val="2"/>
        <w:rPr>
          <w:rFonts w:hint="default"/>
          <w:lang w:eastAsia="zh-CN"/>
        </w:rPr>
      </w:pPr>
    </w:p>
    <w:p w14:paraId="40776E04">
      <w:pPr>
        <w:pStyle w:val="2"/>
        <w:rPr>
          <w:rFonts w:hint="default"/>
          <w:lang w:eastAsia="zh-CN"/>
        </w:rPr>
      </w:pPr>
    </w:p>
    <w:p w14:paraId="5AEA2699">
      <w:pPr>
        <w:pStyle w:val="2"/>
        <w:rPr>
          <w:rFonts w:hint="default"/>
          <w:lang w:eastAsia="zh-CN"/>
        </w:rPr>
      </w:pPr>
    </w:p>
    <w:p w14:paraId="225631AC">
      <w:pPr>
        <w:pStyle w:val="2"/>
        <w:rPr>
          <w:rFonts w:hint="default"/>
          <w:lang w:eastAsia="zh-CN"/>
        </w:rPr>
      </w:pPr>
    </w:p>
    <w:p w14:paraId="43CACB24">
      <w:pPr>
        <w:pStyle w:val="2"/>
        <w:rPr>
          <w:rFonts w:hint="default"/>
          <w:lang w:eastAsia="zh-CN"/>
        </w:rPr>
      </w:pPr>
    </w:p>
    <w:p w14:paraId="714BB0CC">
      <w:pPr>
        <w:pStyle w:val="2"/>
        <w:rPr>
          <w:rFonts w:hint="eastAsia" w:ascii="Times New Roman" w:hAnsi="Times New Roman" w:eastAsia="宋体" w:cs="Times New Roman"/>
          <w:b/>
          <w:bCs/>
          <w:color w:val="FF0000"/>
          <w:sz w:val="24"/>
          <w:lang w:eastAsia="zh-CN"/>
        </w:rPr>
      </w:pPr>
      <w:r>
        <w:rPr>
          <w:rFonts w:hint="eastAsia" w:ascii="Times New Roman" w:hAnsi="Times New Roman" w:eastAsia="宋体" w:cs="Times New Roman"/>
          <w:b/>
          <w:bCs/>
          <w:color w:val="FF0000"/>
          <w:sz w:val="24"/>
          <w:lang w:eastAsia="zh-CN"/>
        </w:rPr>
        <w:drawing>
          <wp:anchor distT="0" distB="0" distL="114300" distR="114300" simplePos="0" relativeHeight="251684864" behindDoc="0" locked="0" layoutInCell="1" allowOverlap="1">
            <wp:simplePos x="0" y="0"/>
            <wp:positionH relativeFrom="column">
              <wp:posOffset>-124460</wp:posOffset>
            </wp:positionH>
            <wp:positionV relativeFrom="page">
              <wp:posOffset>1268730</wp:posOffset>
            </wp:positionV>
            <wp:extent cx="5012690" cy="6825615"/>
            <wp:effectExtent l="0" t="0" r="16510" b="13335"/>
            <wp:wrapSquare wrapText="bothSides"/>
            <wp:docPr id="29" name="图片 4" descr="76569bc0eb1551d928d1e5da06a89f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76569bc0eb1551d928d1e5da06a89f58"/>
                    <pic:cNvPicPr>
                      <a:picLocks noChangeAspect="1"/>
                    </pic:cNvPicPr>
                  </pic:nvPicPr>
                  <pic:blipFill>
                    <a:blip r:embed="rId29"/>
                    <a:stretch>
                      <a:fillRect/>
                    </a:stretch>
                  </pic:blipFill>
                  <pic:spPr>
                    <a:xfrm>
                      <a:off x="0" y="0"/>
                      <a:ext cx="5012690" cy="6825615"/>
                    </a:xfrm>
                    <a:prstGeom prst="rect">
                      <a:avLst/>
                    </a:prstGeom>
                    <a:noFill/>
                    <a:ln>
                      <a:noFill/>
                    </a:ln>
                  </pic:spPr>
                </pic:pic>
              </a:graphicData>
            </a:graphic>
          </wp:anchor>
        </w:drawing>
      </w:r>
    </w:p>
    <w:p w14:paraId="422B1E50">
      <w:pPr>
        <w:bidi w:val="0"/>
        <w:rPr>
          <w:rFonts w:hint="default"/>
          <w:lang w:eastAsia="zh-CN"/>
        </w:rPr>
      </w:pPr>
    </w:p>
    <w:p w14:paraId="5F941039">
      <w:pPr>
        <w:bidi w:val="0"/>
        <w:rPr>
          <w:rFonts w:hint="default"/>
          <w:lang w:eastAsia="zh-CN"/>
        </w:rPr>
      </w:pPr>
    </w:p>
    <w:p w14:paraId="09E896B1">
      <w:pPr>
        <w:bidi w:val="0"/>
        <w:rPr>
          <w:rFonts w:hint="default"/>
          <w:lang w:eastAsia="zh-CN"/>
        </w:rPr>
      </w:pPr>
    </w:p>
    <w:p w14:paraId="36FDE679">
      <w:pPr>
        <w:bidi w:val="0"/>
        <w:rPr>
          <w:rFonts w:hint="default"/>
          <w:lang w:eastAsia="zh-CN"/>
        </w:rPr>
      </w:pPr>
    </w:p>
    <w:p w14:paraId="0AF7A9E0">
      <w:pPr>
        <w:bidi w:val="0"/>
        <w:rPr>
          <w:rFonts w:hint="default"/>
          <w:lang w:eastAsia="zh-CN"/>
        </w:rPr>
      </w:pPr>
    </w:p>
    <w:p w14:paraId="520DD5D6">
      <w:pPr>
        <w:bidi w:val="0"/>
        <w:rPr>
          <w:rFonts w:hint="default"/>
          <w:lang w:eastAsia="zh-CN"/>
        </w:rPr>
      </w:pPr>
    </w:p>
    <w:p w14:paraId="3D752A92">
      <w:pPr>
        <w:bidi w:val="0"/>
        <w:rPr>
          <w:rFonts w:hint="default"/>
          <w:lang w:eastAsia="zh-CN"/>
        </w:rPr>
      </w:pPr>
    </w:p>
    <w:p w14:paraId="2F998821">
      <w:pPr>
        <w:bidi w:val="0"/>
        <w:rPr>
          <w:rFonts w:hint="default"/>
          <w:lang w:eastAsia="zh-CN"/>
        </w:rPr>
      </w:pPr>
    </w:p>
    <w:p w14:paraId="329AAB0B">
      <w:pPr>
        <w:bidi w:val="0"/>
        <w:rPr>
          <w:rFonts w:hint="default"/>
          <w:lang w:eastAsia="zh-CN"/>
        </w:rPr>
      </w:pPr>
    </w:p>
    <w:p w14:paraId="04294D88">
      <w:pPr>
        <w:bidi w:val="0"/>
        <w:rPr>
          <w:rFonts w:hint="default"/>
          <w:lang w:eastAsia="zh-CN"/>
        </w:rPr>
      </w:pPr>
    </w:p>
    <w:p w14:paraId="24ACE785">
      <w:pPr>
        <w:bidi w:val="0"/>
        <w:rPr>
          <w:rFonts w:hint="default"/>
          <w:lang w:eastAsia="zh-CN"/>
        </w:rPr>
      </w:pPr>
    </w:p>
    <w:p w14:paraId="39BB7426">
      <w:pPr>
        <w:bidi w:val="0"/>
        <w:rPr>
          <w:rFonts w:hint="default"/>
          <w:lang w:eastAsia="zh-CN"/>
        </w:rPr>
      </w:pPr>
    </w:p>
    <w:p w14:paraId="1306E6D7">
      <w:pPr>
        <w:bidi w:val="0"/>
        <w:rPr>
          <w:rFonts w:hint="default"/>
          <w:lang w:eastAsia="zh-CN"/>
        </w:rPr>
      </w:pPr>
    </w:p>
    <w:p w14:paraId="633FB16A">
      <w:pPr>
        <w:bidi w:val="0"/>
        <w:rPr>
          <w:rFonts w:hint="default"/>
          <w:lang w:eastAsia="zh-CN"/>
        </w:rPr>
      </w:pPr>
    </w:p>
    <w:p w14:paraId="6ADF44D6">
      <w:pPr>
        <w:bidi w:val="0"/>
        <w:rPr>
          <w:rFonts w:hint="default"/>
          <w:lang w:eastAsia="zh-CN"/>
        </w:rPr>
      </w:pPr>
    </w:p>
    <w:p w14:paraId="6EA5AD6B">
      <w:pPr>
        <w:bidi w:val="0"/>
        <w:rPr>
          <w:rFonts w:hint="default"/>
          <w:lang w:eastAsia="zh-CN"/>
        </w:rPr>
      </w:pPr>
    </w:p>
    <w:p w14:paraId="6FBBDDD1">
      <w:pPr>
        <w:bidi w:val="0"/>
        <w:rPr>
          <w:rFonts w:hint="default"/>
          <w:lang w:eastAsia="zh-CN"/>
        </w:rPr>
      </w:pPr>
    </w:p>
    <w:p w14:paraId="36A71F42">
      <w:pPr>
        <w:bidi w:val="0"/>
        <w:rPr>
          <w:rFonts w:hint="default"/>
          <w:lang w:eastAsia="zh-CN"/>
        </w:rPr>
      </w:pPr>
    </w:p>
    <w:p w14:paraId="4D78C9A4">
      <w:pPr>
        <w:bidi w:val="0"/>
        <w:rPr>
          <w:rFonts w:hint="default"/>
          <w:lang w:eastAsia="zh-CN"/>
        </w:rPr>
      </w:pPr>
    </w:p>
    <w:p w14:paraId="680FEED5">
      <w:pPr>
        <w:bidi w:val="0"/>
        <w:rPr>
          <w:rFonts w:hint="default"/>
          <w:lang w:eastAsia="zh-CN"/>
        </w:rPr>
      </w:pPr>
    </w:p>
    <w:p w14:paraId="7692688F">
      <w:pPr>
        <w:bidi w:val="0"/>
        <w:rPr>
          <w:rFonts w:hint="default"/>
          <w:lang w:eastAsia="zh-CN"/>
        </w:rPr>
      </w:pPr>
    </w:p>
    <w:p w14:paraId="61A0ED0D">
      <w:pPr>
        <w:bidi w:val="0"/>
        <w:rPr>
          <w:rFonts w:hint="default"/>
          <w:lang w:eastAsia="zh-CN"/>
        </w:rPr>
      </w:pPr>
    </w:p>
    <w:p w14:paraId="70936493">
      <w:pPr>
        <w:bidi w:val="0"/>
        <w:rPr>
          <w:rFonts w:hint="default"/>
          <w:lang w:eastAsia="zh-CN"/>
        </w:rPr>
      </w:pPr>
    </w:p>
    <w:p w14:paraId="4E2CD36D">
      <w:pPr>
        <w:bidi w:val="0"/>
        <w:rPr>
          <w:rFonts w:hint="default"/>
          <w:lang w:eastAsia="zh-CN"/>
        </w:rPr>
      </w:pPr>
    </w:p>
    <w:p w14:paraId="1F0C39C2">
      <w:pPr>
        <w:bidi w:val="0"/>
        <w:rPr>
          <w:rFonts w:hint="default"/>
          <w:lang w:eastAsia="zh-CN"/>
        </w:rPr>
      </w:pPr>
    </w:p>
    <w:p w14:paraId="43BAD970">
      <w:pPr>
        <w:bidi w:val="0"/>
        <w:rPr>
          <w:rFonts w:hint="default"/>
          <w:lang w:eastAsia="zh-CN"/>
        </w:rPr>
      </w:pPr>
    </w:p>
    <w:p w14:paraId="58A118D8">
      <w:pPr>
        <w:bidi w:val="0"/>
        <w:rPr>
          <w:rFonts w:hint="default"/>
          <w:lang w:eastAsia="zh-CN"/>
        </w:rPr>
      </w:pPr>
    </w:p>
    <w:p w14:paraId="56F68938">
      <w:pPr>
        <w:bidi w:val="0"/>
        <w:rPr>
          <w:rFonts w:hint="default"/>
          <w:lang w:eastAsia="zh-CN"/>
        </w:rPr>
      </w:pPr>
    </w:p>
    <w:p w14:paraId="7BC352A6">
      <w:pPr>
        <w:bidi w:val="0"/>
        <w:rPr>
          <w:rFonts w:hint="default"/>
          <w:lang w:eastAsia="zh-CN"/>
        </w:rPr>
      </w:pPr>
    </w:p>
    <w:p w14:paraId="00D7DDC1">
      <w:pPr>
        <w:bidi w:val="0"/>
        <w:rPr>
          <w:rFonts w:hint="default"/>
          <w:lang w:eastAsia="zh-CN"/>
        </w:rPr>
      </w:pPr>
    </w:p>
    <w:p w14:paraId="1FF7F2BE">
      <w:pPr>
        <w:bidi w:val="0"/>
        <w:rPr>
          <w:rFonts w:hint="default"/>
          <w:lang w:eastAsia="zh-CN"/>
        </w:rPr>
      </w:pPr>
    </w:p>
    <w:p w14:paraId="4D3FB2F5">
      <w:pPr>
        <w:bidi w:val="0"/>
        <w:rPr>
          <w:rFonts w:hint="default"/>
          <w:lang w:eastAsia="zh-CN"/>
        </w:rPr>
      </w:pPr>
    </w:p>
    <w:p w14:paraId="7209A8E2">
      <w:pPr>
        <w:bidi w:val="0"/>
        <w:rPr>
          <w:rFonts w:hint="default"/>
          <w:lang w:eastAsia="zh-CN"/>
        </w:rPr>
      </w:pPr>
    </w:p>
    <w:p w14:paraId="07078BD0">
      <w:pPr>
        <w:bidi w:val="0"/>
        <w:rPr>
          <w:rFonts w:hint="default"/>
          <w:lang w:eastAsia="zh-CN"/>
        </w:rPr>
      </w:pPr>
    </w:p>
    <w:p w14:paraId="2C2D1C0D">
      <w:pPr>
        <w:bidi w:val="0"/>
        <w:rPr>
          <w:rFonts w:hint="default"/>
          <w:lang w:eastAsia="zh-CN"/>
        </w:rPr>
      </w:pPr>
    </w:p>
    <w:p w14:paraId="144CDBB7">
      <w:pPr>
        <w:bidi w:val="0"/>
        <w:rPr>
          <w:rFonts w:hint="default"/>
          <w:lang w:eastAsia="zh-CN"/>
        </w:rPr>
      </w:pPr>
    </w:p>
    <w:p w14:paraId="5C8D7366">
      <w:pPr>
        <w:bidi w:val="0"/>
        <w:rPr>
          <w:rFonts w:hint="default"/>
          <w:lang w:eastAsia="zh-CN"/>
        </w:rPr>
      </w:pPr>
    </w:p>
    <w:p w14:paraId="7A0F5747">
      <w:pPr>
        <w:bidi w:val="0"/>
        <w:rPr>
          <w:rFonts w:hint="default"/>
          <w:lang w:eastAsia="zh-CN"/>
        </w:rPr>
      </w:pPr>
    </w:p>
    <w:p w14:paraId="09C372FD">
      <w:pPr>
        <w:bidi w:val="0"/>
        <w:rPr>
          <w:rFonts w:hint="default"/>
          <w:lang w:eastAsia="zh-CN"/>
        </w:rPr>
      </w:pPr>
    </w:p>
    <w:p w14:paraId="7FB4FD96">
      <w:pPr>
        <w:bidi w:val="0"/>
        <w:rPr>
          <w:rFonts w:hint="default"/>
          <w:lang w:eastAsia="zh-CN"/>
        </w:rPr>
      </w:pPr>
    </w:p>
    <w:p w14:paraId="2B67F53C">
      <w:pPr>
        <w:bidi w:val="0"/>
        <w:rPr>
          <w:rFonts w:hint="default"/>
          <w:lang w:eastAsia="zh-CN"/>
        </w:rPr>
      </w:pPr>
    </w:p>
    <w:p w14:paraId="599C6793">
      <w:pPr>
        <w:bidi w:val="0"/>
        <w:rPr>
          <w:rFonts w:hint="default"/>
          <w:lang w:eastAsia="zh-CN"/>
        </w:rPr>
      </w:pPr>
    </w:p>
    <w:p w14:paraId="00DD388C">
      <w:pPr>
        <w:bidi w:val="0"/>
        <w:rPr>
          <w:rFonts w:hint="default"/>
          <w:lang w:eastAsia="zh-CN"/>
        </w:rPr>
      </w:pPr>
    </w:p>
    <w:p w14:paraId="531E048D">
      <w:pPr>
        <w:bidi w:val="0"/>
        <w:rPr>
          <w:rFonts w:hint="default"/>
          <w:lang w:eastAsia="zh-CN"/>
        </w:rPr>
      </w:pPr>
    </w:p>
    <w:p w14:paraId="5C2615F6">
      <w:pPr>
        <w:bidi w:val="0"/>
        <w:rPr>
          <w:rFonts w:hint="default"/>
          <w:lang w:eastAsia="zh-CN"/>
        </w:rPr>
      </w:pPr>
    </w:p>
    <w:p w14:paraId="7D4444A0">
      <w:pPr>
        <w:bidi w:val="0"/>
        <w:rPr>
          <w:rFonts w:hint="default"/>
          <w:lang w:eastAsia="zh-CN"/>
        </w:rPr>
      </w:pPr>
    </w:p>
    <w:p w14:paraId="4EAC6751">
      <w:pPr>
        <w:bidi w:val="0"/>
        <w:ind w:firstLine="420" w:firstLineChars="0"/>
        <w:jc w:val="left"/>
        <w:rPr>
          <w:rFonts w:hint="default"/>
          <w:lang w:eastAsia="zh-CN"/>
        </w:rPr>
      </w:pPr>
    </w:p>
    <w:p w14:paraId="07C29A12">
      <w:pPr>
        <w:pStyle w:val="2"/>
        <w:adjustRightInd w:val="0"/>
        <w:snapToGrid w:val="0"/>
        <w:spacing w:after="0"/>
        <w:ind w:left="0" w:leftChars="0" w:firstLine="0" w:firstLineChars="0"/>
        <w:jc w:val="left"/>
        <w:outlineLvl w:val="1"/>
        <w:rPr>
          <w:rFonts w:hint="default" w:ascii="Times New Roman" w:hAnsi="Times New Roman" w:eastAsia="宋体" w:cs="Times New Roman"/>
          <w:b/>
          <w:bCs/>
          <w:color w:val="auto"/>
          <w:sz w:val="24"/>
          <w:highlight w:val="none"/>
          <w:lang w:val="en-US" w:eastAsia="zh-CN"/>
        </w:rPr>
      </w:pPr>
      <w:bookmarkStart w:id="122" w:name="_Toc28910"/>
      <w:r>
        <w:rPr>
          <w:b/>
          <w:bCs/>
          <w:color w:val="000000" w:themeColor="text1"/>
          <w:sz w:val="24"/>
          <w:szCs w:val="24"/>
          <w14:textFill>
            <w14:solidFill>
              <w14:schemeClr w14:val="tx1"/>
            </w14:solidFill>
          </w14:textFill>
        </w:rPr>
        <w:t>附</w:t>
      </w:r>
      <w:r>
        <w:rPr>
          <w:rFonts w:hint="eastAsia"/>
          <w:b/>
          <w:bCs/>
          <w:color w:val="000000" w:themeColor="text1"/>
          <w:sz w:val="24"/>
          <w:szCs w:val="24"/>
          <w14:textFill>
            <w14:solidFill>
              <w14:schemeClr w14:val="tx1"/>
            </w14:solidFill>
          </w14:textFill>
        </w:rPr>
        <w:t>图</w:t>
      </w:r>
      <w:r>
        <w:rPr>
          <w:rFonts w:hint="eastAsia" w:ascii="Times New Roman" w:hAnsi="Times New Roman" w:eastAsia="宋体" w:cs="Times New Roman"/>
          <w:b/>
          <w:bCs/>
          <w:color w:val="auto"/>
          <w:sz w:val="24"/>
          <w:highlight w:val="none"/>
          <w:lang w:val="en-US" w:eastAsia="zh-CN"/>
        </w:rPr>
        <w:t>6 应急互救协议</w:t>
      </w:r>
      <w:bookmarkEnd w:id="122"/>
    </w:p>
    <w:p w14:paraId="71ED7C06">
      <w:pPr>
        <w:pStyle w:val="2"/>
        <w:rPr>
          <w:rFonts w:hint="default"/>
          <w:lang w:eastAsia="zh-CN"/>
        </w:rPr>
      </w:pPr>
    </w:p>
    <w:p w14:paraId="74B50EDA">
      <w:pPr>
        <w:pStyle w:val="2"/>
      </w:pPr>
      <w:r>
        <w:drawing>
          <wp:anchor distT="0" distB="0" distL="114300" distR="114300" simplePos="0" relativeHeight="251685888" behindDoc="0" locked="0" layoutInCell="1" allowOverlap="1">
            <wp:simplePos x="0" y="0"/>
            <wp:positionH relativeFrom="column">
              <wp:posOffset>-28575</wp:posOffset>
            </wp:positionH>
            <wp:positionV relativeFrom="paragraph">
              <wp:posOffset>319405</wp:posOffset>
            </wp:positionV>
            <wp:extent cx="5366385" cy="6652260"/>
            <wp:effectExtent l="0" t="0" r="5715" b="15240"/>
            <wp:wrapSquare wrapText="bothSides"/>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30"/>
                    <a:stretch>
                      <a:fillRect/>
                    </a:stretch>
                  </pic:blipFill>
                  <pic:spPr>
                    <a:xfrm>
                      <a:off x="0" y="0"/>
                      <a:ext cx="5366385" cy="6652260"/>
                    </a:xfrm>
                    <a:prstGeom prst="rect">
                      <a:avLst/>
                    </a:prstGeom>
                    <a:noFill/>
                    <a:ln>
                      <a:noFill/>
                    </a:ln>
                  </pic:spPr>
                </pic:pic>
              </a:graphicData>
            </a:graphic>
          </wp:anchor>
        </w:drawing>
      </w:r>
    </w:p>
    <w:p w14:paraId="0CB80E98">
      <w:pPr>
        <w:bidi w:val="0"/>
        <w:rPr>
          <w:rFonts w:hint="default"/>
          <w:lang w:eastAsia="zh-CN"/>
        </w:rPr>
      </w:pPr>
    </w:p>
    <w:p w14:paraId="0EB409D7">
      <w:pPr>
        <w:tabs>
          <w:tab w:val="left" w:pos="810"/>
        </w:tabs>
        <w:bidi w:val="0"/>
        <w:jc w:val="left"/>
        <w:rPr>
          <w:rFonts w:hint="eastAsia"/>
          <w:lang w:eastAsia="zh-CN"/>
        </w:rPr>
      </w:pPr>
      <w:r>
        <w:rPr>
          <w:rFonts w:hint="eastAsia"/>
          <w:lang w:eastAsia="zh-CN"/>
        </w:rPr>
        <w:tab/>
      </w:r>
    </w:p>
    <w:p w14:paraId="78E1929F">
      <w:pPr>
        <w:pStyle w:val="2"/>
        <w:rPr>
          <w:rFonts w:hint="eastAsia"/>
          <w:lang w:eastAsia="zh-CN"/>
        </w:rPr>
      </w:pPr>
    </w:p>
    <w:p w14:paraId="0F52D392">
      <w:pPr>
        <w:rPr>
          <w:rFonts w:hint="eastAsia"/>
          <w:lang w:eastAsia="zh-CN"/>
        </w:rPr>
      </w:pPr>
    </w:p>
    <w:p w14:paraId="55846923">
      <w:pPr>
        <w:pStyle w:val="2"/>
        <w:rPr>
          <w:rFonts w:hint="eastAsia"/>
          <w:lang w:eastAsia="zh-CN"/>
        </w:rPr>
      </w:pPr>
    </w:p>
    <w:p w14:paraId="60DFE546">
      <w:pPr>
        <w:rPr>
          <w:rFonts w:hint="eastAsia"/>
          <w:lang w:eastAsia="zh-CN"/>
        </w:rPr>
      </w:pPr>
    </w:p>
    <w:p w14:paraId="2C5BAB94">
      <w:pPr>
        <w:pStyle w:val="2"/>
        <w:rPr>
          <w:rFonts w:hint="eastAsia"/>
          <w:lang w:eastAsia="zh-CN"/>
        </w:rPr>
      </w:pPr>
    </w:p>
    <w:p w14:paraId="09C8067D">
      <w:pPr>
        <w:rPr>
          <w:rFonts w:hint="eastAsia"/>
          <w:lang w:eastAsia="zh-CN"/>
        </w:rPr>
      </w:pPr>
    </w:p>
    <w:p w14:paraId="059B4922">
      <w:pPr>
        <w:pStyle w:val="125"/>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eastAsia="宋体"/>
          <w:b/>
          <w:bCs w:val="0"/>
          <w:lang w:val="en-US" w:eastAsia="zh-CN"/>
        </w:rPr>
      </w:pPr>
      <w:bookmarkStart w:id="123" w:name="_Toc20623"/>
      <w:r>
        <w:rPr>
          <w:rFonts w:hint="eastAsia" w:eastAsia="宋体"/>
          <w:b/>
          <w:bCs w:val="0"/>
          <w:lang w:val="en-US" w:eastAsia="zh-CN"/>
        </w:rPr>
        <w:t>附图7 互救单位应急物资</w:t>
      </w:r>
      <w:bookmarkEnd w:id="123"/>
    </w:p>
    <w:p w14:paraId="5AA3BF32">
      <w:pPr>
        <w:pStyle w:val="2"/>
        <w:rPr>
          <w:rFonts w:hint="default"/>
          <w:lang w:eastAsia="zh-CN"/>
        </w:rPr>
      </w:pPr>
    </w:p>
    <w:p w14:paraId="25D040FE">
      <w:pPr>
        <w:rPr>
          <w:rFonts w:hint="default"/>
          <w:lang w:eastAsia="zh-CN"/>
        </w:rPr>
      </w:pPr>
    </w:p>
    <w:p w14:paraId="78B7200B">
      <w:pPr>
        <w:pStyle w:val="2"/>
        <w:rPr>
          <w:rFonts w:hint="default"/>
          <w:lang w:eastAsia="zh-CN"/>
        </w:rPr>
      </w:pPr>
    </w:p>
    <w:tbl>
      <w:tblPr>
        <w:tblStyle w:val="33"/>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745"/>
        <w:gridCol w:w="904"/>
        <w:gridCol w:w="1815"/>
        <w:gridCol w:w="1725"/>
        <w:gridCol w:w="1845"/>
      </w:tblGrid>
      <w:tr w14:paraId="4EB4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009" w:type="dxa"/>
            <w:tcBorders>
              <w:top w:val="single" w:color="auto" w:sz="4" w:space="0"/>
              <w:left w:val="single" w:color="auto" w:sz="4" w:space="0"/>
              <w:bottom w:val="single" w:color="auto" w:sz="4" w:space="0"/>
              <w:right w:val="single" w:color="auto" w:sz="4" w:space="0"/>
            </w:tcBorders>
            <w:vAlign w:val="center"/>
          </w:tcPr>
          <w:p w14:paraId="17219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745" w:type="dxa"/>
            <w:tcBorders>
              <w:top w:val="single" w:color="auto" w:sz="4" w:space="0"/>
              <w:left w:val="single" w:color="auto" w:sz="4" w:space="0"/>
              <w:bottom w:val="single" w:color="auto" w:sz="4" w:space="0"/>
              <w:right w:val="single" w:color="auto" w:sz="4" w:space="0"/>
            </w:tcBorders>
            <w:vAlign w:val="center"/>
          </w:tcPr>
          <w:p w14:paraId="43FD8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904" w:type="dxa"/>
            <w:tcBorders>
              <w:top w:val="single" w:color="auto" w:sz="4" w:space="0"/>
              <w:left w:val="single" w:color="auto" w:sz="4" w:space="0"/>
              <w:bottom w:val="single" w:color="auto" w:sz="4" w:space="0"/>
              <w:right w:val="single" w:color="auto" w:sz="4" w:space="0"/>
            </w:tcBorders>
            <w:vAlign w:val="center"/>
          </w:tcPr>
          <w:p w14:paraId="0B70E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815" w:type="dxa"/>
            <w:tcBorders>
              <w:top w:val="single" w:color="auto" w:sz="4" w:space="0"/>
              <w:left w:val="single" w:color="auto" w:sz="4" w:space="0"/>
              <w:bottom w:val="single" w:color="auto" w:sz="4" w:space="0"/>
              <w:right w:val="single" w:color="auto" w:sz="4" w:space="0"/>
            </w:tcBorders>
            <w:vAlign w:val="center"/>
          </w:tcPr>
          <w:p w14:paraId="78F83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725" w:type="dxa"/>
            <w:tcBorders>
              <w:top w:val="single" w:color="auto" w:sz="4" w:space="0"/>
              <w:left w:val="single" w:color="auto" w:sz="4" w:space="0"/>
              <w:bottom w:val="single" w:color="auto" w:sz="4" w:space="0"/>
              <w:right w:val="single" w:color="auto" w:sz="4" w:space="0"/>
            </w:tcBorders>
            <w:vAlign w:val="center"/>
          </w:tcPr>
          <w:p w14:paraId="3C61DE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45" w:type="dxa"/>
            <w:tcBorders>
              <w:top w:val="single" w:color="auto" w:sz="4" w:space="0"/>
              <w:left w:val="single" w:color="auto" w:sz="4" w:space="0"/>
              <w:bottom w:val="single" w:color="auto" w:sz="4" w:space="0"/>
              <w:right w:val="single" w:color="auto" w:sz="4" w:space="0"/>
            </w:tcBorders>
            <w:vAlign w:val="center"/>
          </w:tcPr>
          <w:p w14:paraId="1BE57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电话</w:t>
            </w:r>
          </w:p>
        </w:tc>
      </w:tr>
      <w:tr w14:paraId="215F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64E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745" w:type="dxa"/>
            <w:tcBorders>
              <w:top w:val="single" w:color="auto" w:sz="4" w:space="0"/>
              <w:left w:val="single" w:color="auto" w:sz="4" w:space="0"/>
              <w:bottom w:val="single" w:color="auto" w:sz="4" w:space="0"/>
              <w:right w:val="single" w:color="auto" w:sz="4" w:space="0"/>
            </w:tcBorders>
            <w:vAlign w:val="center"/>
          </w:tcPr>
          <w:p w14:paraId="13F5F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套</w:t>
            </w:r>
          </w:p>
        </w:tc>
        <w:tc>
          <w:tcPr>
            <w:tcW w:w="904" w:type="dxa"/>
            <w:tcBorders>
              <w:top w:val="single" w:color="auto" w:sz="4" w:space="0"/>
              <w:left w:val="single" w:color="auto" w:sz="4" w:space="0"/>
              <w:bottom w:val="single" w:color="auto" w:sz="4" w:space="0"/>
              <w:right w:val="single" w:color="auto" w:sz="4" w:space="0"/>
            </w:tcBorders>
            <w:vAlign w:val="center"/>
          </w:tcPr>
          <w:p w14:paraId="2D7CF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74265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top w:val="single" w:color="auto" w:sz="4" w:space="0"/>
              <w:left w:val="single" w:color="auto" w:sz="4" w:space="0"/>
              <w:right w:val="single" w:color="auto" w:sz="4" w:space="0"/>
            </w:tcBorders>
            <w:vAlign w:val="center"/>
          </w:tcPr>
          <w:p w14:paraId="1E341D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right w:val="single" w:color="auto" w:sz="4" w:space="0"/>
            </w:tcBorders>
            <w:vAlign w:val="center"/>
          </w:tcPr>
          <w:p w14:paraId="0B8ACB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4BA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FC63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长管呼吸器</w:t>
            </w:r>
          </w:p>
        </w:tc>
        <w:tc>
          <w:tcPr>
            <w:tcW w:w="745" w:type="dxa"/>
            <w:tcBorders>
              <w:top w:val="single" w:color="auto" w:sz="4" w:space="0"/>
              <w:left w:val="single" w:color="auto" w:sz="4" w:space="0"/>
              <w:bottom w:val="single" w:color="auto" w:sz="4" w:space="0"/>
              <w:right w:val="single" w:color="auto" w:sz="4" w:space="0"/>
            </w:tcBorders>
            <w:vAlign w:val="center"/>
          </w:tcPr>
          <w:p w14:paraId="2EB78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具</w:t>
            </w:r>
          </w:p>
        </w:tc>
        <w:tc>
          <w:tcPr>
            <w:tcW w:w="904" w:type="dxa"/>
            <w:tcBorders>
              <w:top w:val="single" w:color="auto" w:sz="4" w:space="0"/>
              <w:left w:val="single" w:color="auto" w:sz="4" w:space="0"/>
              <w:bottom w:val="single" w:color="auto" w:sz="4" w:space="0"/>
              <w:right w:val="single" w:color="auto" w:sz="4" w:space="0"/>
            </w:tcBorders>
            <w:vAlign w:val="center"/>
          </w:tcPr>
          <w:p w14:paraId="66AB7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c>
          <w:tcPr>
            <w:tcW w:w="1815" w:type="dxa"/>
            <w:tcBorders>
              <w:top w:val="single" w:color="auto" w:sz="4" w:space="0"/>
              <w:left w:val="single" w:color="auto" w:sz="4" w:space="0"/>
              <w:bottom w:val="single" w:color="auto" w:sz="4" w:space="0"/>
              <w:right w:val="single" w:color="auto" w:sz="4" w:space="0"/>
            </w:tcBorders>
            <w:vAlign w:val="center"/>
          </w:tcPr>
          <w:p w14:paraId="539E7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left w:val="single" w:color="auto" w:sz="4" w:space="0"/>
              <w:right w:val="single" w:color="auto" w:sz="4" w:space="0"/>
            </w:tcBorders>
            <w:vAlign w:val="center"/>
          </w:tcPr>
          <w:p w14:paraId="7FC0F1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0F157B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18615123158</w:t>
            </w:r>
          </w:p>
        </w:tc>
      </w:tr>
      <w:tr w14:paraId="0E28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75A1A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745" w:type="dxa"/>
            <w:tcBorders>
              <w:top w:val="single" w:color="auto" w:sz="4" w:space="0"/>
              <w:left w:val="single" w:color="auto" w:sz="4" w:space="0"/>
              <w:bottom w:val="single" w:color="auto" w:sz="4" w:space="0"/>
              <w:right w:val="single" w:color="auto" w:sz="4" w:space="0"/>
            </w:tcBorders>
            <w:vAlign w:val="center"/>
          </w:tcPr>
          <w:p w14:paraId="567C9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904" w:type="dxa"/>
            <w:tcBorders>
              <w:top w:val="single" w:color="auto" w:sz="4" w:space="0"/>
              <w:left w:val="single" w:color="auto" w:sz="4" w:space="0"/>
              <w:bottom w:val="single" w:color="auto" w:sz="4" w:space="0"/>
              <w:right w:val="single" w:color="auto" w:sz="4" w:space="0"/>
            </w:tcBorders>
            <w:vAlign w:val="center"/>
          </w:tcPr>
          <w:p w14:paraId="3B5B5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815" w:type="dxa"/>
            <w:tcBorders>
              <w:top w:val="single" w:color="auto" w:sz="4" w:space="0"/>
              <w:left w:val="single" w:color="auto" w:sz="4" w:space="0"/>
              <w:bottom w:val="single" w:color="auto" w:sz="4" w:space="0"/>
              <w:right w:val="single" w:color="auto" w:sz="4" w:space="0"/>
            </w:tcBorders>
            <w:vAlign w:val="center"/>
          </w:tcPr>
          <w:p w14:paraId="3AE5C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left w:val="single" w:color="auto" w:sz="4" w:space="0"/>
              <w:right w:val="single" w:color="auto" w:sz="4" w:space="0"/>
            </w:tcBorders>
            <w:vAlign w:val="center"/>
          </w:tcPr>
          <w:p w14:paraId="79D2B3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0A5768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18615123158</w:t>
            </w:r>
          </w:p>
        </w:tc>
      </w:tr>
      <w:tr w14:paraId="3EEF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5701B2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胶手套</w:t>
            </w:r>
          </w:p>
        </w:tc>
        <w:tc>
          <w:tcPr>
            <w:tcW w:w="745" w:type="dxa"/>
            <w:tcBorders>
              <w:top w:val="single" w:color="auto" w:sz="4" w:space="0"/>
              <w:left w:val="single" w:color="auto" w:sz="4" w:space="0"/>
              <w:bottom w:val="single" w:color="auto" w:sz="4" w:space="0"/>
              <w:right w:val="single" w:color="auto" w:sz="4" w:space="0"/>
            </w:tcBorders>
            <w:vAlign w:val="center"/>
          </w:tcPr>
          <w:p w14:paraId="6E4FE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付</w:t>
            </w:r>
          </w:p>
        </w:tc>
        <w:tc>
          <w:tcPr>
            <w:tcW w:w="904" w:type="dxa"/>
            <w:tcBorders>
              <w:top w:val="single" w:color="auto" w:sz="4" w:space="0"/>
              <w:left w:val="single" w:color="auto" w:sz="4" w:space="0"/>
              <w:bottom w:val="single" w:color="auto" w:sz="4" w:space="0"/>
              <w:right w:val="single" w:color="auto" w:sz="4" w:space="0"/>
            </w:tcBorders>
            <w:vAlign w:val="center"/>
          </w:tcPr>
          <w:p w14:paraId="1CA3B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2004F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top w:val="single" w:color="auto" w:sz="4" w:space="0"/>
              <w:left w:val="single" w:color="auto" w:sz="4" w:space="0"/>
              <w:right w:val="single" w:color="auto" w:sz="4" w:space="0"/>
            </w:tcBorders>
            <w:vAlign w:val="center"/>
          </w:tcPr>
          <w:p w14:paraId="3E26B8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right w:val="single" w:color="auto" w:sz="4" w:space="0"/>
            </w:tcBorders>
            <w:vAlign w:val="center"/>
          </w:tcPr>
          <w:p w14:paraId="2D7013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7BEB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0B02B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745" w:type="dxa"/>
            <w:tcBorders>
              <w:top w:val="single" w:color="auto" w:sz="4" w:space="0"/>
              <w:left w:val="single" w:color="auto" w:sz="4" w:space="0"/>
              <w:bottom w:val="single" w:color="auto" w:sz="4" w:space="0"/>
              <w:right w:val="single" w:color="auto" w:sz="4" w:space="0"/>
            </w:tcBorders>
            <w:vAlign w:val="center"/>
          </w:tcPr>
          <w:p w14:paraId="0AEF3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904" w:type="dxa"/>
            <w:tcBorders>
              <w:top w:val="single" w:color="auto" w:sz="4" w:space="0"/>
              <w:left w:val="single" w:color="auto" w:sz="4" w:space="0"/>
              <w:bottom w:val="single" w:color="auto" w:sz="4" w:space="0"/>
              <w:right w:val="single" w:color="auto" w:sz="4" w:space="0"/>
            </w:tcBorders>
            <w:vAlign w:val="center"/>
          </w:tcPr>
          <w:p w14:paraId="1955A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33</w:t>
            </w:r>
          </w:p>
        </w:tc>
        <w:tc>
          <w:tcPr>
            <w:tcW w:w="1815" w:type="dxa"/>
            <w:tcBorders>
              <w:top w:val="single" w:color="auto" w:sz="4" w:space="0"/>
              <w:left w:val="single" w:color="auto" w:sz="4" w:space="0"/>
              <w:bottom w:val="single" w:color="auto" w:sz="4" w:space="0"/>
              <w:right w:val="single" w:color="auto" w:sz="4" w:space="0"/>
            </w:tcBorders>
            <w:vAlign w:val="center"/>
          </w:tcPr>
          <w:p w14:paraId="2E74D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厂区</w:t>
            </w:r>
          </w:p>
        </w:tc>
        <w:tc>
          <w:tcPr>
            <w:tcW w:w="1725" w:type="dxa"/>
            <w:tcBorders>
              <w:left w:val="single" w:color="auto" w:sz="4" w:space="0"/>
              <w:right w:val="single" w:color="auto" w:sz="4" w:space="0"/>
            </w:tcBorders>
            <w:vAlign w:val="center"/>
          </w:tcPr>
          <w:p w14:paraId="263F36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B479A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5F0B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7E4C62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745" w:type="dxa"/>
            <w:tcBorders>
              <w:top w:val="single" w:color="auto" w:sz="4" w:space="0"/>
              <w:left w:val="single" w:color="auto" w:sz="4" w:space="0"/>
              <w:bottom w:val="single" w:color="auto" w:sz="4" w:space="0"/>
              <w:right w:val="single" w:color="auto" w:sz="4" w:space="0"/>
            </w:tcBorders>
            <w:vAlign w:val="center"/>
          </w:tcPr>
          <w:p w14:paraId="73B67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36456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w:t>
            </w:r>
          </w:p>
        </w:tc>
        <w:tc>
          <w:tcPr>
            <w:tcW w:w="1815" w:type="dxa"/>
            <w:tcBorders>
              <w:top w:val="single" w:color="auto" w:sz="4" w:space="0"/>
              <w:left w:val="single" w:color="auto" w:sz="4" w:space="0"/>
              <w:bottom w:val="single" w:color="auto" w:sz="4" w:space="0"/>
              <w:right w:val="single" w:color="auto" w:sz="4" w:space="0"/>
            </w:tcBorders>
            <w:vAlign w:val="center"/>
          </w:tcPr>
          <w:p w14:paraId="33EE6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循环水池处</w:t>
            </w:r>
          </w:p>
        </w:tc>
        <w:tc>
          <w:tcPr>
            <w:tcW w:w="1725" w:type="dxa"/>
            <w:tcBorders>
              <w:left w:val="single" w:color="auto" w:sz="4" w:space="0"/>
              <w:right w:val="single" w:color="auto" w:sz="4" w:space="0"/>
            </w:tcBorders>
            <w:vAlign w:val="center"/>
          </w:tcPr>
          <w:p w14:paraId="38A5B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B1268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5B6E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7844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745" w:type="dxa"/>
            <w:tcBorders>
              <w:top w:val="single" w:color="auto" w:sz="4" w:space="0"/>
              <w:left w:val="single" w:color="auto" w:sz="4" w:space="0"/>
              <w:bottom w:val="single" w:color="auto" w:sz="4" w:space="0"/>
              <w:right w:val="single" w:color="auto" w:sz="4" w:space="0"/>
            </w:tcBorders>
            <w:vAlign w:val="center"/>
          </w:tcPr>
          <w:p w14:paraId="08F4F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46AD3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112</w:t>
            </w:r>
          </w:p>
        </w:tc>
        <w:tc>
          <w:tcPr>
            <w:tcW w:w="1815" w:type="dxa"/>
            <w:tcBorders>
              <w:top w:val="single" w:color="auto" w:sz="4" w:space="0"/>
              <w:left w:val="single" w:color="auto" w:sz="4" w:space="0"/>
              <w:bottom w:val="single" w:color="auto" w:sz="4" w:space="0"/>
              <w:right w:val="single" w:color="auto" w:sz="4" w:space="0"/>
            </w:tcBorders>
            <w:vAlign w:val="center"/>
          </w:tcPr>
          <w:p w14:paraId="5E02C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right w:val="single" w:color="auto" w:sz="4" w:space="0"/>
            </w:tcBorders>
            <w:vAlign w:val="center"/>
          </w:tcPr>
          <w:p w14:paraId="6FFB2C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3CD73D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087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32756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745" w:type="dxa"/>
            <w:tcBorders>
              <w:top w:val="single" w:color="auto" w:sz="4" w:space="0"/>
              <w:left w:val="single" w:color="auto" w:sz="4" w:space="0"/>
              <w:bottom w:val="single" w:color="auto" w:sz="4" w:space="0"/>
              <w:right w:val="single" w:color="auto" w:sz="4" w:space="0"/>
            </w:tcBorders>
            <w:vAlign w:val="center"/>
          </w:tcPr>
          <w:p w14:paraId="47AA1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77F4F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w:t>
            </w:r>
          </w:p>
        </w:tc>
        <w:tc>
          <w:tcPr>
            <w:tcW w:w="1815" w:type="dxa"/>
            <w:tcBorders>
              <w:top w:val="single" w:color="auto" w:sz="4" w:space="0"/>
              <w:left w:val="single" w:color="auto" w:sz="4" w:space="0"/>
              <w:bottom w:val="single" w:color="auto" w:sz="4" w:space="0"/>
              <w:right w:val="single" w:color="auto" w:sz="4" w:space="0"/>
            </w:tcBorders>
            <w:vAlign w:val="center"/>
          </w:tcPr>
          <w:p w14:paraId="1B3A80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right w:val="single" w:color="auto" w:sz="4" w:space="0"/>
            </w:tcBorders>
            <w:vAlign w:val="center"/>
          </w:tcPr>
          <w:p w14:paraId="6664FF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610FCE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5FC6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1FF84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745" w:type="dxa"/>
            <w:tcBorders>
              <w:top w:val="single" w:color="auto" w:sz="4" w:space="0"/>
              <w:left w:val="single" w:color="auto" w:sz="4" w:space="0"/>
              <w:bottom w:val="single" w:color="auto" w:sz="4" w:space="0"/>
              <w:right w:val="single" w:color="auto" w:sz="4" w:space="0"/>
            </w:tcBorders>
            <w:vAlign w:val="center"/>
          </w:tcPr>
          <w:p w14:paraId="18029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08F01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3A6AA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配电室</w:t>
            </w:r>
          </w:p>
        </w:tc>
        <w:tc>
          <w:tcPr>
            <w:tcW w:w="1725" w:type="dxa"/>
            <w:tcBorders>
              <w:left w:val="single" w:color="auto" w:sz="4" w:space="0"/>
              <w:right w:val="single" w:color="auto" w:sz="4" w:space="0"/>
            </w:tcBorders>
            <w:vAlign w:val="center"/>
          </w:tcPr>
          <w:p w14:paraId="16C3CD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3BA8AB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73E3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3F9EE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745" w:type="dxa"/>
            <w:tcBorders>
              <w:top w:val="single" w:color="auto" w:sz="4" w:space="0"/>
              <w:left w:val="single" w:color="auto" w:sz="4" w:space="0"/>
              <w:bottom w:val="single" w:color="auto" w:sz="4" w:space="0"/>
              <w:right w:val="single" w:color="auto" w:sz="4" w:space="0"/>
            </w:tcBorders>
            <w:vAlign w:val="center"/>
          </w:tcPr>
          <w:p w14:paraId="698B5A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立方</w:t>
            </w:r>
          </w:p>
        </w:tc>
        <w:tc>
          <w:tcPr>
            <w:tcW w:w="904" w:type="dxa"/>
            <w:tcBorders>
              <w:top w:val="single" w:color="auto" w:sz="4" w:space="0"/>
              <w:left w:val="single" w:color="auto" w:sz="4" w:space="0"/>
              <w:bottom w:val="single" w:color="auto" w:sz="4" w:space="0"/>
              <w:right w:val="single" w:color="auto" w:sz="4" w:space="0"/>
            </w:tcBorders>
            <w:vAlign w:val="center"/>
          </w:tcPr>
          <w:p w14:paraId="4CE70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78192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罐区</w:t>
            </w:r>
          </w:p>
        </w:tc>
        <w:tc>
          <w:tcPr>
            <w:tcW w:w="1725" w:type="dxa"/>
            <w:tcBorders>
              <w:left w:val="single" w:color="auto" w:sz="4" w:space="0"/>
              <w:right w:val="single" w:color="auto" w:sz="4" w:space="0"/>
            </w:tcBorders>
            <w:vAlign w:val="center"/>
          </w:tcPr>
          <w:p w14:paraId="131C52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C10EC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792A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08B7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745" w:type="dxa"/>
            <w:tcBorders>
              <w:top w:val="single" w:color="auto" w:sz="4" w:space="0"/>
              <w:left w:val="single" w:color="auto" w:sz="4" w:space="0"/>
              <w:bottom w:val="single" w:color="auto" w:sz="4" w:space="0"/>
              <w:right w:val="single" w:color="auto" w:sz="4" w:space="0"/>
            </w:tcBorders>
            <w:vAlign w:val="center"/>
          </w:tcPr>
          <w:p w14:paraId="7DB1ED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套</w:t>
            </w:r>
          </w:p>
        </w:tc>
        <w:tc>
          <w:tcPr>
            <w:tcW w:w="904" w:type="dxa"/>
            <w:tcBorders>
              <w:top w:val="single" w:color="auto" w:sz="4" w:space="0"/>
              <w:left w:val="single" w:color="auto" w:sz="4" w:space="0"/>
              <w:bottom w:val="single" w:color="auto" w:sz="4" w:space="0"/>
              <w:right w:val="single" w:color="auto" w:sz="4" w:space="0"/>
            </w:tcBorders>
            <w:vAlign w:val="center"/>
          </w:tcPr>
          <w:p w14:paraId="64723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1815" w:type="dxa"/>
            <w:tcBorders>
              <w:top w:val="single" w:color="auto" w:sz="4" w:space="0"/>
              <w:left w:val="single" w:color="auto" w:sz="4" w:space="0"/>
              <w:bottom w:val="single" w:color="auto" w:sz="4" w:space="0"/>
              <w:right w:val="single" w:color="auto" w:sz="4" w:space="0"/>
            </w:tcBorders>
            <w:vAlign w:val="center"/>
          </w:tcPr>
          <w:p w14:paraId="2CCB8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车间、罐区</w:t>
            </w:r>
          </w:p>
        </w:tc>
        <w:tc>
          <w:tcPr>
            <w:tcW w:w="1725" w:type="dxa"/>
            <w:tcBorders>
              <w:left w:val="single" w:color="auto" w:sz="4" w:space="0"/>
              <w:right w:val="single" w:color="auto" w:sz="4" w:space="0"/>
            </w:tcBorders>
            <w:vAlign w:val="center"/>
          </w:tcPr>
          <w:p w14:paraId="7E95DC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20D885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E23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1A7BE6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745" w:type="dxa"/>
            <w:tcBorders>
              <w:top w:val="single" w:color="auto" w:sz="4" w:space="0"/>
              <w:left w:val="single" w:color="auto" w:sz="4" w:space="0"/>
              <w:bottom w:val="single" w:color="auto" w:sz="4" w:space="0"/>
              <w:right w:val="single" w:color="auto" w:sz="4" w:space="0"/>
            </w:tcBorders>
            <w:vAlign w:val="center"/>
          </w:tcPr>
          <w:p w14:paraId="04221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只</w:t>
            </w:r>
          </w:p>
        </w:tc>
        <w:tc>
          <w:tcPr>
            <w:tcW w:w="904" w:type="dxa"/>
            <w:tcBorders>
              <w:top w:val="single" w:color="auto" w:sz="4" w:space="0"/>
              <w:left w:val="single" w:color="auto" w:sz="4" w:space="0"/>
              <w:bottom w:val="single" w:color="auto" w:sz="4" w:space="0"/>
              <w:right w:val="single" w:color="auto" w:sz="4" w:space="0"/>
            </w:tcBorders>
            <w:vAlign w:val="center"/>
          </w:tcPr>
          <w:p w14:paraId="52E602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32</w:t>
            </w:r>
          </w:p>
        </w:tc>
        <w:tc>
          <w:tcPr>
            <w:tcW w:w="1815" w:type="dxa"/>
            <w:tcBorders>
              <w:top w:val="single" w:color="auto" w:sz="4" w:space="0"/>
              <w:left w:val="single" w:color="auto" w:sz="4" w:space="0"/>
              <w:bottom w:val="single" w:color="auto" w:sz="4" w:space="0"/>
              <w:right w:val="single" w:color="auto" w:sz="4" w:space="0"/>
            </w:tcBorders>
            <w:vAlign w:val="center"/>
          </w:tcPr>
          <w:p w14:paraId="1FDE9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bottom w:val="single" w:color="auto" w:sz="4" w:space="0"/>
              <w:right w:val="single" w:color="auto" w:sz="4" w:space="0"/>
            </w:tcBorders>
            <w:vAlign w:val="center"/>
          </w:tcPr>
          <w:p w14:paraId="3FCD07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bottom w:val="single" w:color="auto" w:sz="4" w:space="0"/>
              <w:right w:val="single" w:color="auto" w:sz="4" w:space="0"/>
            </w:tcBorders>
            <w:vAlign w:val="center"/>
          </w:tcPr>
          <w:p w14:paraId="6EB5AB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EE9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D9CA5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应急灯</w:t>
            </w:r>
          </w:p>
        </w:tc>
        <w:tc>
          <w:tcPr>
            <w:tcW w:w="745" w:type="dxa"/>
            <w:tcBorders>
              <w:top w:val="single" w:color="auto" w:sz="4" w:space="0"/>
              <w:left w:val="single" w:color="auto" w:sz="4" w:space="0"/>
              <w:bottom w:val="single" w:color="auto" w:sz="4" w:space="0"/>
              <w:right w:val="single" w:color="auto" w:sz="4" w:space="0"/>
            </w:tcBorders>
            <w:vAlign w:val="center"/>
          </w:tcPr>
          <w:p w14:paraId="2D311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个</w:t>
            </w:r>
          </w:p>
        </w:tc>
        <w:tc>
          <w:tcPr>
            <w:tcW w:w="904" w:type="dxa"/>
            <w:tcBorders>
              <w:top w:val="single" w:color="auto" w:sz="4" w:space="0"/>
              <w:left w:val="single" w:color="auto" w:sz="4" w:space="0"/>
              <w:bottom w:val="single" w:color="auto" w:sz="4" w:space="0"/>
              <w:right w:val="single" w:color="auto" w:sz="4" w:space="0"/>
            </w:tcBorders>
            <w:vAlign w:val="center"/>
          </w:tcPr>
          <w:p w14:paraId="06078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815" w:type="dxa"/>
            <w:tcBorders>
              <w:top w:val="single" w:color="auto" w:sz="4" w:space="0"/>
              <w:left w:val="single" w:color="auto" w:sz="4" w:space="0"/>
              <w:bottom w:val="single" w:color="auto" w:sz="4" w:space="0"/>
              <w:right w:val="single" w:color="auto" w:sz="4" w:space="0"/>
            </w:tcBorders>
            <w:vAlign w:val="center"/>
          </w:tcPr>
          <w:p w14:paraId="4FD17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车间、办公室</w:t>
            </w:r>
          </w:p>
        </w:tc>
        <w:tc>
          <w:tcPr>
            <w:tcW w:w="1725" w:type="dxa"/>
            <w:tcBorders>
              <w:top w:val="single" w:color="auto" w:sz="4" w:space="0"/>
              <w:left w:val="single" w:color="auto" w:sz="4" w:space="0"/>
              <w:bottom w:val="single" w:color="auto" w:sz="4" w:space="0"/>
              <w:right w:val="single" w:color="auto" w:sz="4" w:space="0"/>
            </w:tcBorders>
            <w:vAlign w:val="center"/>
          </w:tcPr>
          <w:p w14:paraId="419C5C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564BB4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D3A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DA1D1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745" w:type="dxa"/>
            <w:tcBorders>
              <w:top w:val="single" w:color="auto" w:sz="4" w:space="0"/>
              <w:left w:val="single" w:color="auto" w:sz="4" w:space="0"/>
              <w:bottom w:val="single" w:color="auto" w:sz="4" w:space="0"/>
              <w:right w:val="single" w:color="auto" w:sz="4" w:space="0"/>
            </w:tcBorders>
            <w:vAlign w:val="center"/>
          </w:tcPr>
          <w:p w14:paraId="07ED87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条</w:t>
            </w:r>
          </w:p>
        </w:tc>
        <w:tc>
          <w:tcPr>
            <w:tcW w:w="904" w:type="dxa"/>
            <w:tcBorders>
              <w:top w:val="single" w:color="auto" w:sz="4" w:space="0"/>
              <w:left w:val="single" w:color="auto" w:sz="4" w:space="0"/>
              <w:bottom w:val="single" w:color="auto" w:sz="4" w:space="0"/>
              <w:right w:val="single" w:color="auto" w:sz="4" w:space="0"/>
            </w:tcBorders>
            <w:vAlign w:val="center"/>
          </w:tcPr>
          <w:p w14:paraId="6A9E6D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w:t>
            </w:r>
          </w:p>
        </w:tc>
        <w:tc>
          <w:tcPr>
            <w:tcW w:w="1815" w:type="dxa"/>
            <w:tcBorders>
              <w:top w:val="single" w:color="auto" w:sz="4" w:space="0"/>
              <w:left w:val="single" w:color="auto" w:sz="4" w:space="0"/>
              <w:bottom w:val="single" w:color="auto" w:sz="4" w:space="0"/>
              <w:right w:val="single" w:color="auto" w:sz="4" w:space="0"/>
            </w:tcBorders>
            <w:vAlign w:val="center"/>
          </w:tcPr>
          <w:p w14:paraId="38212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77C4BC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20B95E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5987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02A82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745" w:type="dxa"/>
            <w:tcBorders>
              <w:top w:val="single" w:color="auto" w:sz="4" w:space="0"/>
              <w:left w:val="single" w:color="auto" w:sz="4" w:space="0"/>
              <w:bottom w:val="single" w:color="auto" w:sz="4" w:space="0"/>
              <w:right w:val="single" w:color="auto" w:sz="4" w:space="0"/>
            </w:tcBorders>
            <w:vAlign w:val="center"/>
          </w:tcPr>
          <w:p w14:paraId="1BE7FD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904" w:type="dxa"/>
            <w:tcBorders>
              <w:top w:val="single" w:color="auto" w:sz="4" w:space="0"/>
              <w:left w:val="single" w:color="auto" w:sz="4" w:space="0"/>
              <w:bottom w:val="single" w:color="auto" w:sz="4" w:space="0"/>
              <w:right w:val="single" w:color="auto" w:sz="4" w:space="0"/>
            </w:tcBorders>
            <w:vAlign w:val="center"/>
          </w:tcPr>
          <w:p w14:paraId="4281A3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w:t>
            </w:r>
          </w:p>
        </w:tc>
        <w:tc>
          <w:tcPr>
            <w:tcW w:w="1815" w:type="dxa"/>
            <w:tcBorders>
              <w:top w:val="single" w:color="auto" w:sz="4" w:space="0"/>
              <w:left w:val="single" w:color="auto" w:sz="4" w:space="0"/>
              <w:bottom w:val="single" w:color="auto" w:sz="4" w:space="0"/>
              <w:right w:val="single" w:color="auto" w:sz="4" w:space="0"/>
            </w:tcBorders>
            <w:vAlign w:val="center"/>
          </w:tcPr>
          <w:p w14:paraId="48692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209537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6464AE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4F3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5EE7C5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745" w:type="dxa"/>
            <w:tcBorders>
              <w:top w:val="single" w:color="auto" w:sz="4" w:space="0"/>
              <w:left w:val="single" w:color="auto" w:sz="4" w:space="0"/>
              <w:bottom w:val="single" w:color="auto" w:sz="4" w:space="0"/>
              <w:right w:val="single" w:color="auto" w:sz="4" w:space="0"/>
            </w:tcBorders>
            <w:vAlign w:val="center"/>
          </w:tcPr>
          <w:p w14:paraId="40E051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904" w:type="dxa"/>
            <w:tcBorders>
              <w:top w:val="single" w:color="auto" w:sz="4" w:space="0"/>
              <w:left w:val="single" w:color="auto" w:sz="4" w:space="0"/>
              <w:bottom w:val="single" w:color="auto" w:sz="4" w:space="0"/>
              <w:right w:val="single" w:color="auto" w:sz="4" w:space="0"/>
            </w:tcBorders>
            <w:vAlign w:val="center"/>
          </w:tcPr>
          <w:p w14:paraId="47B7F2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53586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11B065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2A6322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FE6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4E050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745" w:type="dxa"/>
            <w:tcBorders>
              <w:top w:val="single" w:color="auto" w:sz="4" w:space="0"/>
              <w:left w:val="single" w:color="auto" w:sz="4" w:space="0"/>
              <w:bottom w:val="single" w:color="auto" w:sz="4" w:space="0"/>
              <w:right w:val="single" w:color="auto" w:sz="4" w:space="0"/>
            </w:tcBorders>
            <w:vAlign w:val="center"/>
          </w:tcPr>
          <w:p w14:paraId="133430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盒</w:t>
            </w:r>
          </w:p>
        </w:tc>
        <w:tc>
          <w:tcPr>
            <w:tcW w:w="904" w:type="dxa"/>
            <w:tcBorders>
              <w:top w:val="single" w:color="auto" w:sz="4" w:space="0"/>
              <w:left w:val="single" w:color="auto" w:sz="4" w:space="0"/>
              <w:bottom w:val="single" w:color="auto" w:sz="4" w:space="0"/>
              <w:right w:val="single" w:color="auto" w:sz="4" w:space="0"/>
            </w:tcBorders>
            <w:vAlign w:val="center"/>
          </w:tcPr>
          <w:p w14:paraId="329406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w:t>
            </w:r>
          </w:p>
        </w:tc>
        <w:tc>
          <w:tcPr>
            <w:tcW w:w="1815" w:type="dxa"/>
            <w:tcBorders>
              <w:top w:val="single" w:color="auto" w:sz="4" w:space="0"/>
              <w:left w:val="single" w:color="auto" w:sz="4" w:space="0"/>
              <w:bottom w:val="single" w:color="auto" w:sz="4" w:space="0"/>
              <w:right w:val="single" w:color="auto" w:sz="4" w:space="0"/>
            </w:tcBorders>
            <w:vAlign w:val="center"/>
          </w:tcPr>
          <w:p w14:paraId="751E66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0DBA3C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61F1D1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7BD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E91D6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745" w:type="dxa"/>
            <w:tcBorders>
              <w:top w:val="single" w:color="auto" w:sz="4" w:space="0"/>
              <w:left w:val="single" w:color="auto" w:sz="4" w:space="0"/>
              <w:bottom w:val="single" w:color="auto" w:sz="4" w:space="0"/>
              <w:right w:val="single" w:color="auto" w:sz="4" w:space="0"/>
            </w:tcBorders>
            <w:vAlign w:val="center"/>
          </w:tcPr>
          <w:p w14:paraId="2BCBDD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块</w:t>
            </w:r>
          </w:p>
        </w:tc>
        <w:tc>
          <w:tcPr>
            <w:tcW w:w="904" w:type="dxa"/>
            <w:tcBorders>
              <w:top w:val="single" w:color="auto" w:sz="4" w:space="0"/>
              <w:left w:val="single" w:color="auto" w:sz="4" w:space="0"/>
              <w:bottom w:val="single" w:color="auto" w:sz="4" w:space="0"/>
              <w:right w:val="single" w:color="auto" w:sz="4" w:space="0"/>
            </w:tcBorders>
            <w:vAlign w:val="center"/>
          </w:tcPr>
          <w:p w14:paraId="706862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w:t>
            </w:r>
          </w:p>
        </w:tc>
        <w:tc>
          <w:tcPr>
            <w:tcW w:w="1815" w:type="dxa"/>
            <w:tcBorders>
              <w:top w:val="single" w:color="auto" w:sz="4" w:space="0"/>
              <w:left w:val="single" w:color="auto" w:sz="4" w:space="0"/>
              <w:bottom w:val="single" w:color="auto" w:sz="4" w:space="0"/>
              <w:right w:val="single" w:color="auto" w:sz="4" w:space="0"/>
            </w:tcBorders>
            <w:vAlign w:val="center"/>
          </w:tcPr>
          <w:p w14:paraId="0C1EC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1EA3FC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4FA774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121B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D273F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745" w:type="dxa"/>
            <w:tcBorders>
              <w:top w:val="single" w:color="auto" w:sz="4" w:space="0"/>
              <w:left w:val="single" w:color="auto" w:sz="4" w:space="0"/>
              <w:bottom w:val="single" w:color="auto" w:sz="4" w:space="0"/>
              <w:right w:val="single" w:color="auto" w:sz="4" w:space="0"/>
            </w:tcBorders>
            <w:vAlign w:val="center"/>
          </w:tcPr>
          <w:p w14:paraId="23EBBB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套</w:t>
            </w:r>
          </w:p>
        </w:tc>
        <w:tc>
          <w:tcPr>
            <w:tcW w:w="904" w:type="dxa"/>
            <w:tcBorders>
              <w:top w:val="single" w:color="auto" w:sz="4" w:space="0"/>
              <w:left w:val="single" w:color="auto" w:sz="4" w:space="0"/>
              <w:bottom w:val="single" w:color="auto" w:sz="4" w:space="0"/>
              <w:right w:val="single" w:color="auto" w:sz="4" w:space="0"/>
            </w:tcBorders>
            <w:vAlign w:val="center"/>
          </w:tcPr>
          <w:p w14:paraId="2DC05C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w:t>
            </w:r>
          </w:p>
        </w:tc>
        <w:tc>
          <w:tcPr>
            <w:tcW w:w="1815" w:type="dxa"/>
            <w:tcBorders>
              <w:top w:val="single" w:color="auto" w:sz="4" w:space="0"/>
              <w:left w:val="single" w:color="auto" w:sz="4" w:space="0"/>
              <w:bottom w:val="single" w:color="auto" w:sz="4" w:space="0"/>
              <w:right w:val="single" w:color="auto" w:sz="4" w:space="0"/>
            </w:tcBorders>
            <w:vAlign w:val="center"/>
          </w:tcPr>
          <w:p w14:paraId="7833D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38C695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50F1E5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942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3509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消防</w:t>
            </w:r>
            <w:r>
              <w:rPr>
                <w:rFonts w:hint="eastAsia" w:cs="Times New Roman"/>
                <w:color w:val="auto"/>
                <w:sz w:val="21"/>
                <w:szCs w:val="21"/>
                <w:lang w:eastAsia="zh-CN"/>
              </w:rPr>
              <w:t>锨</w:t>
            </w:r>
          </w:p>
        </w:tc>
        <w:tc>
          <w:tcPr>
            <w:tcW w:w="745" w:type="dxa"/>
            <w:tcBorders>
              <w:top w:val="single" w:color="auto" w:sz="4" w:space="0"/>
              <w:left w:val="single" w:color="auto" w:sz="4" w:space="0"/>
              <w:bottom w:val="single" w:color="auto" w:sz="4" w:space="0"/>
              <w:right w:val="single" w:color="auto" w:sz="4" w:space="0"/>
            </w:tcBorders>
            <w:vAlign w:val="center"/>
          </w:tcPr>
          <w:p w14:paraId="1C1A3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把</w:t>
            </w:r>
          </w:p>
        </w:tc>
        <w:tc>
          <w:tcPr>
            <w:tcW w:w="904" w:type="dxa"/>
            <w:tcBorders>
              <w:top w:val="single" w:color="auto" w:sz="4" w:space="0"/>
              <w:left w:val="single" w:color="auto" w:sz="4" w:space="0"/>
              <w:bottom w:val="single" w:color="auto" w:sz="4" w:space="0"/>
              <w:right w:val="single" w:color="auto" w:sz="4" w:space="0"/>
            </w:tcBorders>
            <w:vAlign w:val="center"/>
          </w:tcPr>
          <w:p w14:paraId="769BE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0DA5B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35AFF3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29C329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bl>
    <w:p w14:paraId="2C68DBF7">
      <w:pPr>
        <w:rPr>
          <w:rFonts w:hint="default"/>
          <w:lang w:eastAsia="zh-CN"/>
        </w:rPr>
      </w:pPr>
    </w:p>
    <w:sectPr>
      <w:headerReference r:id="rId7" w:type="default"/>
      <w:footerReference r:id="rId8" w:type="default"/>
      <w:pgSz w:w="11906" w:h="16838"/>
      <w:pgMar w:top="1417" w:right="1701" w:bottom="1417" w:left="1701" w:header="850" w:footer="992" w:gutter="0"/>
      <w:pgNumType w:fmt="decimal"/>
      <w:cols w:space="0" w:num="1"/>
      <w:rtlGutter w:val="0"/>
      <w:docGrid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Cambria Math">
    <w:panose1 w:val="02040503050406030204"/>
    <w:charset w:val="00"/>
    <w:family w:val="roman"/>
    <w:pitch w:val="default"/>
    <w:sig w:usb0="E00002FF" w:usb1="420024FF" w:usb2="00000000" w:usb3="00000000" w:csb0="2000019F" w:csb1="00000000"/>
  </w:font>
  <w:font w:name="新宋体-18030">
    <w:altName w:val="宋体"/>
    <w:panose1 w:val="00000000000000000000"/>
    <w:charset w:val="86"/>
    <w:family w:val="modern"/>
    <w:pitch w:val="default"/>
    <w:sig w:usb0="00000000" w:usb1="00000000" w:usb2="000A005E" w:usb3="00000000" w:csb0="00040001" w:csb1="00000000"/>
  </w:font>
  <w:font w:name="GB Pinyinok-A">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8797">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0BEF">
    <w:pPr>
      <w:pStyle w:val="22"/>
      <w:ind w:firstLine="360"/>
      <w:jc w:val="center"/>
      <w:rPr>
        <w:color w:val="4F81BD" w:themeColor="accent1"/>
        <w14:textFill>
          <w14:solidFill>
            <w14:schemeClr w14:val="accent1"/>
          </w14:solidFill>
        </w14:textFill>
      </w:rPr>
    </w:pPr>
    <w:r>
      <w:rPr>
        <w:color w:val="4F81BD" w:themeColor="accent1"/>
        <w14:textFill>
          <w14:solidFill>
            <w14:schemeClr w14:val="accent1"/>
          </w14:solidFill>
        </w14:textFill>
      </w:rPr>
      <w:fldChar w:fldCharType="begin"/>
    </w:r>
    <w:r>
      <w:rPr>
        <w:color w:val="4F81BD" w:themeColor="accent1"/>
        <w14:textFill>
          <w14:solidFill>
            <w14:schemeClr w14:val="accent1"/>
          </w14:solidFill>
        </w14:textFill>
      </w:rPr>
      <w:instrText xml:space="preserve">PAGE  \* Arabic  \* MERGEFORMAT</w:instrText>
    </w:r>
    <w:r>
      <w:rPr>
        <w:color w:val="4F81BD" w:themeColor="accent1"/>
        <w14:textFill>
          <w14:solidFill>
            <w14:schemeClr w14:val="accent1"/>
          </w14:solidFill>
        </w14:textFill>
      </w:rPr>
      <w:fldChar w:fldCharType="separate"/>
    </w:r>
    <w:r>
      <w:rPr>
        <w:color w:val="4F81BD" w:themeColor="accent1"/>
        <w:lang w:val="zh-CN"/>
        <w14:textFill>
          <w14:solidFill>
            <w14:schemeClr w14:val="accent1"/>
          </w14:solidFill>
        </w14:textFill>
      </w:rPr>
      <w:t>70</w:t>
    </w:r>
    <w:r>
      <w:rPr>
        <w:color w:val="4F81BD" w:themeColor="accent1"/>
        <w14:textFill>
          <w14:solidFill>
            <w14:schemeClr w14:val="accent1"/>
          </w14:solidFill>
        </w14:textFil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24AF2">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2E6D9D">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LfAckBAACa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ll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4It8ByQEAAJoDAAAOAAAAAAAAAAEAIAAAAB4BAABkcnMvZTJvRG9j&#10;LnhtbFBLBQYAAAAABgAGAFkBAABZBQAAAAA=&#10;">
              <v:fill on="f" focussize="0,0"/>
              <v:stroke on="f"/>
              <v:imagedata o:title=""/>
              <o:lock v:ext="edit" aspectratio="f"/>
              <v:textbox inset="0mm,0mm,0mm,0mm" style="mso-fit-shape-to-text:t;">
                <w:txbxContent>
                  <w:p w14:paraId="3B2E6D9D">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7E05C">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4377D">
    <w:pPr>
      <w:pStyle w:val="23"/>
      <w:pBdr>
        <w:bottom w:val="thinThickSmallGap" w:color="auto" w:sz="24" w:space="1"/>
      </w:pBdr>
      <w:jc w:val="left"/>
    </w:pPr>
    <w:r>
      <w:rPr>
        <w:rFonts w:hint="eastAsia"/>
        <w:lang w:eastAsia="zh-CN"/>
      </w:rPr>
      <w:t>淄博元齐生物科技有限公司</w:t>
    </w:r>
    <w:r>
      <w:rPr>
        <w:rFonts w:hint="eastAsia"/>
      </w:rPr>
      <w:t>突发环境事件风险评估报告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1EFC9">
    <w:pPr>
      <w:pStyle w:val="23"/>
      <w:pBdr>
        <w:bottom w:val="thinThickSmallGap" w:color="auto" w:sz="24" w:space="1"/>
      </w:pBdr>
      <w:jc w:val="left"/>
    </w:pPr>
    <w:r>
      <w:rPr>
        <w:rFonts w:hint="eastAsia"/>
        <w:lang w:eastAsia="zh-CN"/>
      </w:rPr>
      <w:t>淄博元齐生物科技有限公司</w:t>
    </w:r>
    <w:r>
      <w:rPr>
        <w:rFonts w:hint="eastAsia"/>
      </w:rPr>
      <w:t>突发环境事件风险评估报告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D1668"/>
    <w:multiLevelType w:val="singleLevel"/>
    <w:tmpl w:val="897D1668"/>
    <w:lvl w:ilvl="0" w:tentative="0">
      <w:start w:val="1"/>
      <w:numFmt w:val="decimal"/>
      <w:suff w:val="nothing"/>
      <w:lvlText w:val="%1、"/>
      <w:lvlJc w:val="left"/>
    </w:lvl>
  </w:abstractNum>
  <w:abstractNum w:abstractNumId="1">
    <w:nsid w:val="9FA5A190"/>
    <w:multiLevelType w:val="singleLevel"/>
    <w:tmpl w:val="9FA5A190"/>
    <w:lvl w:ilvl="0" w:tentative="0">
      <w:start w:val="1"/>
      <w:numFmt w:val="decimal"/>
      <w:lvlText w:val="%1."/>
      <w:lvlJc w:val="left"/>
      <w:pPr>
        <w:tabs>
          <w:tab w:val="left" w:pos="312"/>
        </w:tabs>
      </w:pPr>
    </w:lvl>
  </w:abstractNum>
  <w:abstractNum w:abstractNumId="2">
    <w:nsid w:val="CA2B1231"/>
    <w:multiLevelType w:val="singleLevel"/>
    <w:tmpl w:val="CA2B1231"/>
    <w:lvl w:ilvl="0" w:tentative="0">
      <w:start w:val="1"/>
      <w:numFmt w:val="decimal"/>
      <w:suff w:val="nothing"/>
      <w:lvlText w:val="（%1）"/>
      <w:lvlJc w:val="left"/>
    </w:lvl>
  </w:abstractNum>
  <w:abstractNum w:abstractNumId="3">
    <w:nsid w:val="15F21A2C"/>
    <w:multiLevelType w:val="multilevel"/>
    <w:tmpl w:val="15F21A2C"/>
    <w:lvl w:ilvl="0" w:tentative="0">
      <w:start w:val="1"/>
      <w:numFmt w:val="decimal"/>
      <w:suff w:val="nothing"/>
      <w:lvlText w:val="%1"/>
      <w:lvlJc w:val="left"/>
      <w:pPr>
        <w:ind w:left="1985" w:hanging="1985"/>
      </w:pPr>
      <w:rPr>
        <w:rFonts w:hint="eastAsia" w:cs="Times New Roman"/>
      </w:rPr>
    </w:lvl>
    <w:lvl w:ilvl="1" w:tentative="0">
      <w:start w:val="1"/>
      <w:numFmt w:val="decimal"/>
      <w:suff w:val="nothing"/>
      <w:lvlText w:val="%1.%2 "/>
      <w:lvlJc w:val="left"/>
      <w:pPr>
        <w:ind w:left="1985" w:hanging="1985"/>
      </w:pPr>
      <w:rPr>
        <w:rFonts w:hint="default" w:ascii="Times New Roman" w:hAnsi="Times New Roman" w:eastAsia="黑体" w:cs="Times New Roman"/>
        <w:sz w:val="30"/>
        <w:szCs w:val="30"/>
      </w:rPr>
    </w:lvl>
    <w:lvl w:ilvl="2" w:tentative="0">
      <w:start w:val="1"/>
      <w:numFmt w:val="decimal"/>
      <w:suff w:val="nothing"/>
      <w:lvlText w:val="%1.%2.%3 "/>
      <w:lvlJc w:val="left"/>
      <w:pPr>
        <w:ind w:left="1985" w:hanging="1985"/>
      </w:pPr>
      <w:rPr>
        <w:rFonts w:hint="default" w:ascii="Times New Roman" w:hAnsi="Times New Roman" w:eastAsia="黑体" w:cs="Times New Roman"/>
        <w:color w:val="auto"/>
        <w:sz w:val="28"/>
        <w:szCs w:val="28"/>
      </w:rPr>
    </w:lvl>
    <w:lvl w:ilvl="3" w:tentative="0">
      <w:start w:val="1"/>
      <w:numFmt w:val="decimal"/>
      <w:pStyle w:val="9"/>
      <w:suff w:val="nothing"/>
      <w:lvlText w:val="%1.%2.%3.%4 "/>
      <w:lvlJc w:val="left"/>
      <w:pPr>
        <w:ind w:left="1984" w:hanging="1984"/>
      </w:pPr>
      <w:rPr>
        <w:rFonts w:hint="default" w:ascii="Times New Roman" w:hAnsi="Times New Roman" w:cs="Times New Roman"/>
      </w:rPr>
    </w:lvl>
    <w:lvl w:ilvl="4" w:tentative="0">
      <w:start w:val="1"/>
      <w:numFmt w:val="decimal"/>
      <w:lvlText w:val="%1.%2.%3.%4.%5"/>
      <w:lvlJc w:val="left"/>
      <w:pPr>
        <w:tabs>
          <w:tab w:val="left" w:pos="2551"/>
        </w:tabs>
        <w:ind w:left="2551" w:hanging="2551"/>
      </w:pPr>
      <w:rPr>
        <w:rFonts w:hint="eastAsia" w:cs="Times New Roman"/>
      </w:rPr>
    </w:lvl>
    <w:lvl w:ilvl="5" w:tentative="0">
      <w:start w:val="1"/>
      <w:numFmt w:val="decimal"/>
      <w:lvlText w:val="%1.%2.%3.%4.%5.%6"/>
      <w:lvlJc w:val="left"/>
      <w:pPr>
        <w:tabs>
          <w:tab w:val="left" w:pos="3260"/>
        </w:tabs>
        <w:ind w:left="3260" w:hanging="3260"/>
      </w:pPr>
      <w:rPr>
        <w:rFonts w:hint="eastAsia" w:cs="Times New Roman"/>
      </w:rPr>
    </w:lvl>
    <w:lvl w:ilvl="6" w:tentative="0">
      <w:start w:val="1"/>
      <w:numFmt w:val="decimal"/>
      <w:lvlText w:val="%1.%2.%3.%4.%5.%6.%7"/>
      <w:lvlJc w:val="left"/>
      <w:pPr>
        <w:tabs>
          <w:tab w:val="left" w:pos="3827"/>
        </w:tabs>
        <w:ind w:left="3827" w:hanging="3827"/>
      </w:pPr>
      <w:rPr>
        <w:rFonts w:hint="eastAsia" w:cs="Times New Roman"/>
      </w:rPr>
    </w:lvl>
    <w:lvl w:ilvl="7" w:tentative="0">
      <w:start w:val="1"/>
      <w:numFmt w:val="decimal"/>
      <w:lvlText w:val="%1.%2.%3.%4.%5.%6.%7.%8"/>
      <w:lvlJc w:val="left"/>
      <w:pPr>
        <w:tabs>
          <w:tab w:val="left" w:pos="4394"/>
        </w:tabs>
        <w:ind w:left="4394" w:hanging="4394"/>
      </w:pPr>
      <w:rPr>
        <w:rFonts w:hint="eastAsia" w:cs="Times New Roman"/>
      </w:rPr>
    </w:lvl>
    <w:lvl w:ilvl="8" w:tentative="0">
      <w:start w:val="1"/>
      <w:numFmt w:val="decimal"/>
      <w:lvlText w:val="%1.%2.%3.%4.%5.%6.%7.%8.%9"/>
      <w:lvlJc w:val="left"/>
      <w:pPr>
        <w:tabs>
          <w:tab w:val="left" w:pos="5102"/>
        </w:tabs>
        <w:ind w:left="5102" w:hanging="5102"/>
      </w:pPr>
      <w:rPr>
        <w:rFonts w:hint="eastAsia" w:cs="Times New Roman"/>
      </w:rPr>
    </w:lvl>
  </w:abstractNum>
  <w:abstractNum w:abstractNumId="4">
    <w:nsid w:val="19B97C77"/>
    <w:multiLevelType w:val="multilevel"/>
    <w:tmpl w:val="19B97C77"/>
    <w:lvl w:ilvl="0" w:tentative="0">
      <w:start w:val="1"/>
      <w:numFmt w:val="decimal"/>
      <w:suff w:val="nothing"/>
      <w:lvlText w:val="（%1）"/>
      <w:lvlJc w:val="left"/>
      <w:pPr>
        <w:ind w:left="0" w:firstLine="482"/>
      </w:pPr>
      <w:rPr>
        <w:rFonts w:hint="eastAsia"/>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3BF441ED"/>
    <w:multiLevelType w:val="multilevel"/>
    <w:tmpl w:val="3BF441ED"/>
    <w:lvl w:ilvl="0" w:tentative="0">
      <w:start w:val="1"/>
      <w:numFmt w:val="decimal"/>
      <w:suff w:val="nothing"/>
      <w:lvlText w:val="%1)"/>
      <w:lvlJc w:val="left"/>
      <w:pPr>
        <w:ind w:left="0" w:firstLine="454"/>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797C52EE"/>
    <w:multiLevelType w:val="multilevel"/>
    <w:tmpl w:val="797C52EE"/>
    <w:lvl w:ilvl="0" w:tentative="0">
      <w:start w:val="1"/>
      <w:numFmt w:val="decimal"/>
      <w:suff w:val="nothing"/>
      <w:lvlText w:val="（%1）"/>
      <w:lvlJc w:val="left"/>
      <w:pPr>
        <w:ind w:left="0" w:firstLine="482"/>
      </w:pPr>
      <w:rPr>
        <w:rFonts w:hint="eastAsia"/>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7">
    <w:nsid w:val="7F2CC24F"/>
    <w:multiLevelType w:val="singleLevel"/>
    <w:tmpl w:val="7F2CC24F"/>
    <w:lvl w:ilvl="0" w:tentative="0">
      <w:start w:val="1"/>
      <w:numFmt w:val="decimal"/>
      <w:suff w:val="nothing"/>
      <w:lvlText w:val="%1、"/>
      <w:lvlJc w:val="left"/>
    </w:lvl>
  </w:abstractNum>
  <w:num w:numId="1">
    <w:abstractNumId w:val="3"/>
  </w:num>
  <w:num w:numId="2">
    <w:abstractNumId w:val="4"/>
  </w:num>
  <w:num w:numId="3">
    <w:abstractNumId w:val="6"/>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MDNiZGVlNDBiNTY3OTg0ZDFkMWYyOWYxYjFmZGQifQ=="/>
  </w:docVars>
  <w:rsids>
    <w:rsidRoot w:val="000F79E9"/>
    <w:rsid w:val="000101E8"/>
    <w:rsid w:val="0001613C"/>
    <w:rsid w:val="00021023"/>
    <w:rsid w:val="00021904"/>
    <w:rsid w:val="00022A53"/>
    <w:rsid w:val="00022FD0"/>
    <w:rsid w:val="00030E7F"/>
    <w:rsid w:val="0003158C"/>
    <w:rsid w:val="0003228E"/>
    <w:rsid w:val="00033BA4"/>
    <w:rsid w:val="00035AD4"/>
    <w:rsid w:val="00036B34"/>
    <w:rsid w:val="00041C70"/>
    <w:rsid w:val="000466D5"/>
    <w:rsid w:val="00047489"/>
    <w:rsid w:val="0005186F"/>
    <w:rsid w:val="00051C30"/>
    <w:rsid w:val="00051F00"/>
    <w:rsid w:val="00052B77"/>
    <w:rsid w:val="000568FB"/>
    <w:rsid w:val="00056A49"/>
    <w:rsid w:val="00063A61"/>
    <w:rsid w:val="000728B2"/>
    <w:rsid w:val="00072ED3"/>
    <w:rsid w:val="0007329D"/>
    <w:rsid w:val="0007589C"/>
    <w:rsid w:val="00081978"/>
    <w:rsid w:val="00081D58"/>
    <w:rsid w:val="00082800"/>
    <w:rsid w:val="00082F55"/>
    <w:rsid w:val="0008389F"/>
    <w:rsid w:val="00085AFE"/>
    <w:rsid w:val="00087B92"/>
    <w:rsid w:val="00090500"/>
    <w:rsid w:val="0009139A"/>
    <w:rsid w:val="0009192F"/>
    <w:rsid w:val="00092CC9"/>
    <w:rsid w:val="00093315"/>
    <w:rsid w:val="00097F7E"/>
    <w:rsid w:val="000B0090"/>
    <w:rsid w:val="000B06CD"/>
    <w:rsid w:val="000B4717"/>
    <w:rsid w:val="000B51D9"/>
    <w:rsid w:val="000B7F76"/>
    <w:rsid w:val="000C248B"/>
    <w:rsid w:val="000C5BF5"/>
    <w:rsid w:val="000C6760"/>
    <w:rsid w:val="000C7009"/>
    <w:rsid w:val="000C7E70"/>
    <w:rsid w:val="000D1E03"/>
    <w:rsid w:val="000D2C8C"/>
    <w:rsid w:val="000D3802"/>
    <w:rsid w:val="000D5A1B"/>
    <w:rsid w:val="000E2D67"/>
    <w:rsid w:val="000E2EBC"/>
    <w:rsid w:val="000F79E9"/>
    <w:rsid w:val="00100B1B"/>
    <w:rsid w:val="00103B1D"/>
    <w:rsid w:val="00104F1D"/>
    <w:rsid w:val="001056EC"/>
    <w:rsid w:val="00107BC4"/>
    <w:rsid w:val="00110DED"/>
    <w:rsid w:val="00114670"/>
    <w:rsid w:val="001147F2"/>
    <w:rsid w:val="00117E98"/>
    <w:rsid w:val="00120100"/>
    <w:rsid w:val="00121067"/>
    <w:rsid w:val="00125010"/>
    <w:rsid w:val="00132FDD"/>
    <w:rsid w:val="00137125"/>
    <w:rsid w:val="00137BF4"/>
    <w:rsid w:val="0014098F"/>
    <w:rsid w:val="00142268"/>
    <w:rsid w:val="00147187"/>
    <w:rsid w:val="00147320"/>
    <w:rsid w:val="00152953"/>
    <w:rsid w:val="00153AEF"/>
    <w:rsid w:val="00155F25"/>
    <w:rsid w:val="00157692"/>
    <w:rsid w:val="00161FE4"/>
    <w:rsid w:val="00165C7C"/>
    <w:rsid w:val="0016640A"/>
    <w:rsid w:val="00170176"/>
    <w:rsid w:val="00174439"/>
    <w:rsid w:val="00174E8A"/>
    <w:rsid w:val="001753D8"/>
    <w:rsid w:val="0018174C"/>
    <w:rsid w:val="00190B3F"/>
    <w:rsid w:val="00192D96"/>
    <w:rsid w:val="0019579D"/>
    <w:rsid w:val="00195CFA"/>
    <w:rsid w:val="00196759"/>
    <w:rsid w:val="001A109E"/>
    <w:rsid w:val="001A18E7"/>
    <w:rsid w:val="001A75C2"/>
    <w:rsid w:val="001A7D4E"/>
    <w:rsid w:val="001B1914"/>
    <w:rsid w:val="001B1A04"/>
    <w:rsid w:val="001B2EC8"/>
    <w:rsid w:val="001C0247"/>
    <w:rsid w:val="001C10C2"/>
    <w:rsid w:val="001D60A5"/>
    <w:rsid w:val="001D6855"/>
    <w:rsid w:val="001E17A4"/>
    <w:rsid w:val="001E42D2"/>
    <w:rsid w:val="001E47A6"/>
    <w:rsid w:val="001E5F1E"/>
    <w:rsid w:val="001E7885"/>
    <w:rsid w:val="001F0FFD"/>
    <w:rsid w:val="001F4B63"/>
    <w:rsid w:val="001F7E29"/>
    <w:rsid w:val="00200444"/>
    <w:rsid w:val="002055D3"/>
    <w:rsid w:val="002064A6"/>
    <w:rsid w:val="0020705E"/>
    <w:rsid w:val="0021130B"/>
    <w:rsid w:val="002117E2"/>
    <w:rsid w:val="00212B2C"/>
    <w:rsid w:val="00212D67"/>
    <w:rsid w:val="00215CA0"/>
    <w:rsid w:val="0021698D"/>
    <w:rsid w:val="00222329"/>
    <w:rsid w:val="002232C1"/>
    <w:rsid w:val="00231426"/>
    <w:rsid w:val="002402CB"/>
    <w:rsid w:val="0024040D"/>
    <w:rsid w:val="002449D1"/>
    <w:rsid w:val="002449ED"/>
    <w:rsid w:val="0025143F"/>
    <w:rsid w:val="00252174"/>
    <w:rsid w:val="00254FE9"/>
    <w:rsid w:val="002605B2"/>
    <w:rsid w:val="00260D53"/>
    <w:rsid w:val="002619E8"/>
    <w:rsid w:val="00263BDF"/>
    <w:rsid w:val="00264EC4"/>
    <w:rsid w:val="00265516"/>
    <w:rsid w:val="002700E7"/>
    <w:rsid w:val="0027752E"/>
    <w:rsid w:val="0028059C"/>
    <w:rsid w:val="00282EDC"/>
    <w:rsid w:val="002848C9"/>
    <w:rsid w:val="00291D08"/>
    <w:rsid w:val="00293635"/>
    <w:rsid w:val="002944E3"/>
    <w:rsid w:val="00296008"/>
    <w:rsid w:val="002A26DC"/>
    <w:rsid w:val="002B3A6E"/>
    <w:rsid w:val="002B59EE"/>
    <w:rsid w:val="002B7EA5"/>
    <w:rsid w:val="002B7EF9"/>
    <w:rsid w:val="002C12F0"/>
    <w:rsid w:val="002C4FB5"/>
    <w:rsid w:val="002D1408"/>
    <w:rsid w:val="002D2ED6"/>
    <w:rsid w:val="002D4A4E"/>
    <w:rsid w:val="002E1A4C"/>
    <w:rsid w:val="002E265D"/>
    <w:rsid w:val="002E4F95"/>
    <w:rsid w:val="002E5597"/>
    <w:rsid w:val="002E6096"/>
    <w:rsid w:val="002E79FA"/>
    <w:rsid w:val="002F1588"/>
    <w:rsid w:val="002F736D"/>
    <w:rsid w:val="00315581"/>
    <w:rsid w:val="00315E1E"/>
    <w:rsid w:val="003206CB"/>
    <w:rsid w:val="00323D15"/>
    <w:rsid w:val="00324105"/>
    <w:rsid w:val="00325309"/>
    <w:rsid w:val="00327F66"/>
    <w:rsid w:val="00331114"/>
    <w:rsid w:val="003315BE"/>
    <w:rsid w:val="003322DB"/>
    <w:rsid w:val="003349A8"/>
    <w:rsid w:val="00341892"/>
    <w:rsid w:val="00361382"/>
    <w:rsid w:val="00361463"/>
    <w:rsid w:val="003639A1"/>
    <w:rsid w:val="00364CAE"/>
    <w:rsid w:val="00372524"/>
    <w:rsid w:val="0037301C"/>
    <w:rsid w:val="00374320"/>
    <w:rsid w:val="003754BB"/>
    <w:rsid w:val="00380703"/>
    <w:rsid w:val="003824E5"/>
    <w:rsid w:val="003915D8"/>
    <w:rsid w:val="00391B17"/>
    <w:rsid w:val="00392BB4"/>
    <w:rsid w:val="00393529"/>
    <w:rsid w:val="003A6CE2"/>
    <w:rsid w:val="003B0436"/>
    <w:rsid w:val="003B06B1"/>
    <w:rsid w:val="003B22CE"/>
    <w:rsid w:val="003B4935"/>
    <w:rsid w:val="003C312C"/>
    <w:rsid w:val="003C470B"/>
    <w:rsid w:val="003C502D"/>
    <w:rsid w:val="003C6DCB"/>
    <w:rsid w:val="003D42F1"/>
    <w:rsid w:val="003D6F7D"/>
    <w:rsid w:val="003D7215"/>
    <w:rsid w:val="003E2830"/>
    <w:rsid w:val="003E68DA"/>
    <w:rsid w:val="003E6960"/>
    <w:rsid w:val="003F2FEC"/>
    <w:rsid w:val="003F613F"/>
    <w:rsid w:val="003F77E7"/>
    <w:rsid w:val="004013BB"/>
    <w:rsid w:val="00403B54"/>
    <w:rsid w:val="004113C1"/>
    <w:rsid w:val="004225FA"/>
    <w:rsid w:val="00423A0A"/>
    <w:rsid w:val="00424687"/>
    <w:rsid w:val="00424770"/>
    <w:rsid w:val="00426B13"/>
    <w:rsid w:val="004319B3"/>
    <w:rsid w:val="004332B9"/>
    <w:rsid w:val="00433C5E"/>
    <w:rsid w:val="00434D3A"/>
    <w:rsid w:val="00434D74"/>
    <w:rsid w:val="00444E36"/>
    <w:rsid w:val="00450A2D"/>
    <w:rsid w:val="0045235E"/>
    <w:rsid w:val="004524EA"/>
    <w:rsid w:val="00454A86"/>
    <w:rsid w:val="00454E16"/>
    <w:rsid w:val="0046325C"/>
    <w:rsid w:val="00481C1D"/>
    <w:rsid w:val="00486018"/>
    <w:rsid w:val="004876C9"/>
    <w:rsid w:val="004A2885"/>
    <w:rsid w:val="004A2B22"/>
    <w:rsid w:val="004A567D"/>
    <w:rsid w:val="004A5D09"/>
    <w:rsid w:val="004B0180"/>
    <w:rsid w:val="004B0255"/>
    <w:rsid w:val="004B22F3"/>
    <w:rsid w:val="004B2960"/>
    <w:rsid w:val="004B7463"/>
    <w:rsid w:val="004C1C5F"/>
    <w:rsid w:val="004C24C7"/>
    <w:rsid w:val="004C6D23"/>
    <w:rsid w:val="004D269F"/>
    <w:rsid w:val="004D39A8"/>
    <w:rsid w:val="004D4A5E"/>
    <w:rsid w:val="004D5C84"/>
    <w:rsid w:val="004E1A59"/>
    <w:rsid w:val="004E1CE7"/>
    <w:rsid w:val="004E7C92"/>
    <w:rsid w:val="004F265A"/>
    <w:rsid w:val="004F7B90"/>
    <w:rsid w:val="005028DE"/>
    <w:rsid w:val="005054F0"/>
    <w:rsid w:val="00506189"/>
    <w:rsid w:val="00507008"/>
    <w:rsid w:val="005109B8"/>
    <w:rsid w:val="00515054"/>
    <w:rsid w:val="005162E2"/>
    <w:rsid w:val="005205AF"/>
    <w:rsid w:val="0052482E"/>
    <w:rsid w:val="00524BEE"/>
    <w:rsid w:val="005307FE"/>
    <w:rsid w:val="00533532"/>
    <w:rsid w:val="00536B07"/>
    <w:rsid w:val="00541088"/>
    <w:rsid w:val="00546625"/>
    <w:rsid w:val="0055620E"/>
    <w:rsid w:val="005571E2"/>
    <w:rsid w:val="0055757F"/>
    <w:rsid w:val="005644AE"/>
    <w:rsid w:val="00565BF5"/>
    <w:rsid w:val="00571DF3"/>
    <w:rsid w:val="00572299"/>
    <w:rsid w:val="00574169"/>
    <w:rsid w:val="00575752"/>
    <w:rsid w:val="00582246"/>
    <w:rsid w:val="00582A31"/>
    <w:rsid w:val="00583020"/>
    <w:rsid w:val="0058337B"/>
    <w:rsid w:val="005B4D5E"/>
    <w:rsid w:val="005B6EAA"/>
    <w:rsid w:val="005C14F8"/>
    <w:rsid w:val="005C7D7A"/>
    <w:rsid w:val="005D04AD"/>
    <w:rsid w:val="005D2570"/>
    <w:rsid w:val="005D3737"/>
    <w:rsid w:val="005D6806"/>
    <w:rsid w:val="005E1B0F"/>
    <w:rsid w:val="005E4A28"/>
    <w:rsid w:val="005F0279"/>
    <w:rsid w:val="005F2159"/>
    <w:rsid w:val="005F29C6"/>
    <w:rsid w:val="005F3D89"/>
    <w:rsid w:val="00604FCA"/>
    <w:rsid w:val="006053CF"/>
    <w:rsid w:val="00610598"/>
    <w:rsid w:val="00612641"/>
    <w:rsid w:val="006142F7"/>
    <w:rsid w:val="00617D96"/>
    <w:rsid w:val="00621794"/>
    <w:rsid w:val="00621C75"/>
    <w:rsid w:val="006228F8"/>
    <w:rsid w:val="00623EC7"/>
    <w:rsid w:val="006279DD"/>
    <w:rsid w:val="006301A9"/>
    <w:rsid w:val="00630249"/>
    <w:rsid w:val="006302EB"/>
    <w:rsid w:val="00631935"/>
    <w:rsid w:val="0063297F"/>
    <w:rsid w:val="00632FFC"/>
    <w:rsid w:val="00633BCC"/>
    <w:rsid w:val="00635194"/>
    <w:rsid w:val="00640895"/>
    <w:rsid w:val="00642289"/>
    <w:rsid w:val="006451ED"/>
    <w:rsid w:val="006533A2"/>
    <w:rsid w:val="00653989"/>
    <w:rsid w:val="00654EAB"/>
    <w:rsid w:val="006571BC"/>
    <w:rsid w:val="006573E3"/>
    <w:rsid w:val="00660877"/>
    <w:rsid w:val="006637B9"/>
    <w:rsid w:val="00667015"/>
    <w:rsid w:val="0067711C"/>
    <w:rsid w:val="00683FA0"/>
    <w:rsid w:val="00684D7F"/>
    <w:rsid w:val="006872D3"/>
    <w:rsid w:val="006902CD"/>
    <w:rsid w:val="00690AF5"/>
    <w:rsid w:val="0069270B"/>
    <w:rsid w:val="006935C9"/>
    <w:rsid w:val="00695365"/>
    <w:rsid w:val="00695EC9"/>
    <w:rsid w:val="006A0D31"/>
    <w:rsid w:val="006A1E33"/>
    <w:rsid w:val="006A667E"/>
    <w:rsid w:val="006B0E6C"/>
    <w:rsid w:val="006B129E"/>
    <w:rsid w:val="006B3581"/>
    <w:rsid w:val="006B5703"/>
    <w:rsid w:val="006C1C06"/>
    <w:rsid w:val="006C2D67"/>
    <w:rsid w:val="006C4A8E"/>
    <w:rsid w:val="006D4150"/>
    <w:rsid w:val="006D4CCF"/>
    <w:rsid w:val="006E08B6"/>
    <w:rsid w:val="006E5DFA"/>
    <w:rsid w:val="006E6A40"/>
    <w:rsid w:val="006F1C1E"/>
    <w:rsid w:val="006F7DE7"/>
    <w:rsid w:val="00710532"/>
    <w:rsid w:val="00712645"/>
    <w:rsid w:val="007237F1"/>
    <w:rsid w:val="00734F15"/>
    <w:rsid w:val="0073526F"/>
    <w:rsid w:val="00735387"/>
    <w:rsid w:val="00736901"/>
    <w:rsid w:val="0074158E"/>
    <w:rsid w:val="00743127"/>
    <w:rsid w:val="00743763"/>
    <w:rsid w:val="00752F09"/>
    <w:rsid w:val="007537F7"/>
    <w:rsid w:val="00755967"/>
    <w:rsid w:val="00762080"/>
    <w:rsid w:val="00764CC7"/>
    <w:rsid w:val="007703CB"/>
    <w:rsid w:val="0077092D"/>
    <w:rsid w:val="00770B35"/>
    <w:rsid w:val="007715B6"/>
    <w:rsid w:val="00774AA2"/>
    <w:rsid w:val="00775FC2"/>
    <w:rsid w:val="00777AC5"/>
    <w:rsid w:val="007801A3"/>
    <w:rsid w:val="0078798B"/>
    <w:rsid w:val="0079085B"/>
    <w:rsid w:val="00791D67"/>
    <w:rsid w:val="00795B86"/>
    <w:rsid w:val="0079746C"/>
    <w:rsid w:val="007A1E83"/>
    <w:rsid w:val="007A4948"/>
    <w:rsid w:val="007A54C3"/>
    <w:rsid w:val="007A5918"/>
    <w:rsid w:val="007B1166"/>
    <w:rsid w:val="007C1701"/>
    <w:rsid w:val="007C2981"/>
    <w:rsid w:val="007C2D94"/>
    <w:rsid w:val="007C6C83"/>
    <w:rsid w:val="007D0018"/>
    <w:rsid w:val="007D65E6"/>
    <w:rsid w:val="007E0CD8"/>
    <w:rsid w:val="007E27C6"/>
    <w:rsid w:val="007E5013"/>
    <w:rsid w:val="007E7018"/>
    <w:rsid w:val="007F05ED"/>
    <w:rsid w:val="007F0900"/>
    <w:rsid w:val="007F3E27"/>
    <w:rsid w:val="007F679C"/>
    <w:rsid w:val="007F7E71"/>
    <w:rsid w:val="00804873"/>
    <w:rsid w:val="00805FAB"/>
    <w:rsid w:val="00813142"/>
    <w:rsid w:val="0081444C"/>
    <w:rsid w:val="00815F11"/>
    <w:rsid w:val="00816579"/>
    <w:rsid w:val="008268E6"/>
    <w:rsid w:val="008323B8"/>
    <w:rsid w:val="00832F4B"/>
    <w:rsid w:val="00840BB8"/>
    <w:rsid w:val="008461B8"/>
    <w:rsid w:val="00846F59"/>
    <w:rsid w:val="00847F22"/>
    <w:rsid w:val="008516B2"/>
    <w:rsid w:val="00851C2A"/>
    <w:rsid w:val="008532D5"/>
    <w:rsid w:val="008557C3"/>
    <w:rsid w:val="00856255"/>
    <w:rsid w:val="008579A4"/>
    <w:rsid w:val="00863985"/>
    <w:rsid w:val="00863EAE"/>
    <w:rsid w:val="00871BE6"/>
    <w:rsid w:val="00877C98"/>
    <w:rsid w:val="0088078C"/>
    <w:rsid w:val="00881D1A"/>
    <w:rsid w:val="008929F6"/>
    <w:rsid w:val="00892D55"/>
    <w:rsid w:val="0089368B"/>
    <w:rsid w:val="00896392"/>
    <w:rsid w:val="00897C71"/>
    <w:rsid w:val="008A240E"/>
    <w:rsid w:val="008A648E"/>
    <w:rsid w:val="008A7989"/>
    <w:rsid w:val="008A79BA"/>
    <w:rsid w:val="008B18BF"/>
    <w:rsid w:val="008B211C"/>
    <w:rsid w:val="008B3BCC"/>
    <w:rsid w:val="008B4F6D"/>
    <w:rsid w:val="008C1A15"/>
    <w:rsid w:val="008C457E"/>
    <w:rsid w:val="008C6EF1"/>
    <w:rsid w:val="008D4C47"/>
    <w:rsid w:val="008D5383"/>
    <w:rsid w:val="008D67D5"/>
    <w:rsid w:val="008E66E9"/>
    <w:rsid w:val="008F1A9C"/>
    <w:rsid w:val="008F1CDE"/>
    <w:rsid w:val="009027FE"/>
    <w:rsid w:val="00904234"/>
    <w:rsid w:val="0090603D"/>
    <w:rsid w:val="00906160"/>
    <w:rsid w:val="0091170D"/>
    <w:rsid w:val="00912435"/>
    <w:rsid w:val="00912989"/>
    <w:rsid w:val="00912D42"/>
    <w:rsid w:val="00917C37"/>
    <w:rsid w:val="00917D4A"/>
    <w:rsid w:val="009316FB"/>
    <w:rsid w:val="009348B6"/>
    <w:rsid w:val="00935657"/>
    <w:rsid w:val="00937BFC"/>
    <w:rsid w:val="00944DFB"/>
    <w:rsid w:val="00945B18"/>
    <w:rsid w:val="00947411"/>
    <w:rsid w:val="00951DBA"/>
    <w:rsid w:val="00954F0A"/>
    <w:rsid w:val="009553C9"/>
    <w:rsid w:val="009645E2"/>
    <w:rsid w:val="00964A9D"/>
    <w:rsid w:val="00973A7C"/>
    <w:rsid w:val="0097559D"/>
    <w:rsid w:val="00976F15"/>
    <w:rsid w:val="0097788C"/>
    <w:rsid w:val="00982025"/>
    <w:rsid w:val="00983705"/>
    <w:rsid w:val="00983DF9"/>
    <w:rsid w:val="00985ECF"/>
    <w:rsid w:val="009864DB"/>
    <w:rsid w:val="0099049B"/>
    <w:rsid w:val="00991444"/>
    <w:rsid w:val="00993EB8"/>
    <w:rsid w:val="00995B87"/>
    <w:rsid w:val="009A233E"/>
    <w:rsid w:val="009A5682"/>
    <w:rsid w:val="009B2ADC"/>
    <w:rsid w:val="009B2FAE"/>
    <w:rsid w:val="009B6FB1"/>
    <w:rsid w:val="009C157F"/>
    <w:rsid w:val="009C34E1"/>
    <w:rsid w:val="009C500E"/>
    <w:rsid w:val="009D12F4"/>
    <w:rsid w:val="009D1388"/>
    <w:rsid w:val="009D2BD9"/>
    <w:rsid w:val="009D3E21"/>
    <w:rsid w:val="009E0684"/>
    <w:rsid w:val="009E2084"/>
    <w:rsid w:val="009E6A99"/>
    <w:rsid w:val="009F4D95"/>
    <w:rsid w:val="009F4DC1"/>
    <w:rsid w:val="009F5673"/>
    <w:rsid w:val="00A001C0"/>
    <w:rsid w:val="00A101FF"/>
    <w:rsid w:val="00A10B7F"/>
    <w:rsid w:val="00A11F9A"/>
    <w:rsid w:val="00A12D9B"/>
    <w:rsid w:val="00A14A94"/>
    <w:rsid w:val="00A15F26"/>
    <w:rsid w:val="00A17D1F"/>
    <w:rsid w:val="00A21A7C"/>
    <w:rsid w:val="00A221F3"/>
    <w:rsid w:val="00A23E36"/>
    <w:rsid w:val="00A244F3"/>
    <w:rsid w:val="00A25008"/>
    <w:rsid w:val="00A262E3"/>
    <w:rsid w:val="00A32501"/>
    <w:rsid w:val="00A33716"/>
    <w:rsid w:val="00A3410F"/>
    <w:rsid w:val="00A36721"/>
    <w:rsid w:val="00A404EE"/>
    <w:rsid w:val="00A45836"/>
    <w:rsid w:val="00A557B7"/>
    <w:rsid w:val="00A579DA"/>
    <w:rsid w:val="00A61A4E"/>
    <w:rsid w:val="00A621AC"/>
    <w:rsid w:val="00A63F0A"/>
    <w:rsid w:val="00A644AB"/>
    <w:rsid w:val="00A65328"/>
    <w:rsid w:val="00A6545E"/>
    <w:rsid w:val="00A654B4"/>
    <w:rsid w:val="00A671E3"/>
    <w:rsid w:val="00A67D23"/>
    <w:rsid w:val="00A71E0E"/>
    <w:rsid w:val="00A81A5B"/>
    <w:rsid w:val="00A81DD4"/>
    <w:rsid w:val="00A83E05"/>
    <w:rsid w:val="00A848F6"/>
    <w:rsid w:val="00A9081D"/>
    <w:rsid w:val="00A965D0"/>
    <w:rsid w:val="00A97F71"/>
    <w:rsid w:val="00AA03EB"/>
    <w:rsid w:val="00AA6602"/>
    <w:rsid w:val="00AB1538"/>
    <w:rsid w:val="00AB337D"/>
    <w:rsid w:val="00AB371E"/>
    <w:rsid w:val="00AB4596"/>
    <w:rsid w:val="00AB54DE"/>
    <w:rsid w:val="00AB5ACB"/>
    <w:rsid w:val="00AB7EBF"/>
    <w:rsid w:val="00AD530B"/>
    <w:rsid w:val="00AE1AE8"/>
    <w:rsid w:val="00AE41A0"/>
    <w:rsid w:val="00AE64CA"/>
    <w:rsid w:val="00AF3F00"/>
    <w:rsid w:val="00AF54CE"/>
    <w:rsid w:val="00AF70D3"/>
    <w:rsid w:val="00B103D5"/>
    <w:rsid w:val="00B13C86"/>
    <w:rsid w:val="00B16894"/>
    <w:rsid w:val="00B26119"/>
    <w:rsid w:val="00B26B99"/>
    <w:rsid w:val="00B27E61"/>
    <w:rsid w:val="00B41C4F"/>
    <w:rsid w:val="00B505A7"/>
    <w:rsid w:val="00B5225A"/>
    <w:rsid w:val="00B5370F"/>
    <w:rsid w:val="00B543CC"/>
    <w:rsid w:val="00B60E67"/>
    <w:rsid w:val="00B620DC"/>
    <w:rsid w:val="00B622D8"/>
    <w:rsid w:val="00B666BB"/>
    <w:rsid w:val="00B81FBE"/>
    <w:rsid w:val="00B84C19"/>
    <w:rsid w:val="00B87D63"/>
    <w:rsid w:val="00B921C8"/>
    <w:rsid w:val="00BA0641"/>
    <w:rsid w:val="00BA0B70"/>
    <w:rsid w:val="00BA0C60"/>
    <w:rsid w:val="00BB0D2B"/>
    <w:rsid w:val="00BB2195"/>
    <w:rsid w:val="00BB3217"/>
    <w:rsid w:val="00BB459D"/>
    <w:rsid w:val="00BC11DE"/>
    <w:rsid w:val="00BC4CDD"/>
    <w:rsid w:val="00BC7F14"/>
    <w:rsid w:val="00BD0822"/>
    <w:rsid w:val="00BD1E9E"/>
    <w:rsid w:val="00BE14C6"/>
    <w:rsid w:val="00BE676A"/>
    <w:rsid w:val="00C016CC"/>
    <w:rsid w:val="00C01B77"/>
    <w:rsid w:val="00C13D42"/>
    <w:rsid w:val="00C23284"/>
    <w:rsid w:val="00C24EE0"/>
    <w:rsid w:val="00C30D6B"/>
    <w:rsid w:val="00C3410A"/>
    <w:rsid w:val="00C3486E"/>
    <w:rsid w:val="00C34EA4"/>
    <w:rsid w:val="00C34FC6"/>
    <w:rsid w:val="00C450DB"/>
    <w:rsid w:val="00C46730"/>
    <w:rsid w:val="00C51153"/>
    <w:rsid w:val="00C5139F"/>
    <w:rsid w:val="00C5689C"/>
    <w:rsid w:val="00C63FDF"/>
    <w:rsid w:val="00C6592E"/>
    <w:rsid w:val="00C740E6"/>
    <w:rsid w:val="00C8082E"/>
    <w:rsid w:val="00C811C8"/>
    <w:rsid w:val="00C82172"/>
    <w:rsid w:val="00C9008D"/>
    <w:rsid w:val="00C90E33"/>
    <w:rsid w:val="00C91C0A"/>
    <w:rsid w:val="00C91E01"/>
    <w:rsid w:val="00C92F01"/>
    <w:rsid w:val="00C956E7"/>
    <w:rsid w:val="00C96B0E"/>
    <w:rsid w:val="00CA208B"/>
    <w:rsid w:val="00CA3D13"/>
    <w:rsid w:val="00CB245B"/>
    <w:rsid w:val="00CB641C"/>
    <w:rsid w:val="00CB66FA"/>
    <w:rsid w:val="00CB69CE"/>
    <w:rsid w:val="00CC1C6E"/>
    <w:rsid w:val="00CC477E"/>
    <w:rsid w:val="00CD3393"/>
    <w:rsid w:val="00CD4FE3"/>
    <w:rsid w:val="00CD5583"/>
    <w:rsid w:val="00CD5D19"/>
    <w:rsid w:val="00CD6FF3"/>
    <w:rsid w:val="00CE15E5"/>
    <w:rsid w:val="00D020CB"/>
    <w:rsid w:val="00D02BF1"/>
    <w:rsid w:val="00D06766"/>
    <w:rsid w:val="00D0683B"/>
    <w:rsid w:val="00D112E5"/>
    <w:rsid w:val="00D12C4A"/>
    <w:rsid w:val="00D14E85"/>
    <w:rsid w:val="00D166FB"/>
    <w:rsid w:val="00D16A02"/>
    <w:rsid w:val="00D219FE"/>
    <w:rsid w:val="00D2485A"/>
    <w:rsid w:val="00D3135A"/>
    <w:rsid w:val="00D31E7A"/>
    <w:rsid w:val="00D403B8"/>
    <w:rsid w:val="00D420FA"/>
    <w:rsid w:val="00D43393"/>
    <w:rsid w:val="00D460C5"/>
    <w:rsid w:val="00D5081D"/>
    <w:rsid w:val="00D515A3"/>
    <w:rsid w:val="00D51D5E"/>
    <w:rsid w:val="00D53A2F"/>
    <w:rsid w:val="00D5773D"/>
    <w:rsid w:val="00D61692"/>
    <w:rsid w:val="00D61F51"/>
    <w:rsid w:val="00D621FB"/>
    <w:rsid w:val="00D656AB"/>
    <w:rsid w:val="00D7316A"/>
    <w:rsid w:val="00D76E78"/>
    <w:rsid w:val="00D838B0"/>
    <w:rsid w:val="00D84F07"/>
    <w:rsid w:val="00D860A7"/>
    <w:rsid w:val="00D90BA5"/>
    <w:rsid w:val="00D9303A"/>
    <w:rsid w:val="00D95B43"/>
    <w:rsid w:val="00DA110A"/>
    <w:rsid w:val="00DA609F"/>
    <w:rsid w:val="00DB7276"/>
    <w:rsid w:val="00DC0D99"/>
    <w:rsid w:val="00DC28F5"/>
    <w:rsid w:val="00DC3877"/>
    <w:rsid w:val="00DC39AC"/>
    <w:rsid w:val="00DC3BD0"/>
    <w:rsid w:val="00DC3CA3"/>
    <w:rsid w:val="00DC76CA"/>
    <w:rsid w:val="00DD08CF"/>
    <w:rsid w:val="00DD0D4F"/>
    <w:rsid w:val="00DD4096"/>
    <w:rsid w:val="00DD54AF"/>
    <w:rsid w:val="00DD5553"/>
    <w:rsid w:val="00DD5755"/>
    <w:rsid w:val="00DD64BB"/>
    <w:rsid w:val="00DE02D9"/>
    <w:rsid w:val="00DE03BF"/>
    <w:rsid w:val="00DE0DA2"/>
    <w:rsid w:val="00DE1592"/>
    <w:rsid w:val="00DE19D2"/>
    <w:rsid w:val="00DE7040"/>
    <w:rsid w:val="00DF2B9F"/>
    <w:rsid w:val="00DF6900"/>
    <w:rsid w:val="00E04577"/>
    <w:rsid w:val="00E04ACA"/>
    <w:rsid w:val="00E064BC"/>
    <w:rsid w:val="00E10031"/>
    <w:rsid w:val="00E1080A"/>
    <w:rsid w:val="00E11E91"/>
    <w:rsid w:val="00E11FDF"/>
    <w:rsid w:val="00E123B2"/>
    <w:rsid w:val="00E14476"/>
    <w:rsid w:val="00E22884"/>
    <w:rsid w:val="00E25864"/>
    <w:rsid w:val="00E26AFD"/>
    <w:rsid w:val="00E27D54"/>
    <w:rsid w:val="00E27E57"/>
    <w:rsid w:val="00E303C9"/>
    <w:rsid w:val="00E32F99"/>
    <w:rsid w:val="00E35E0B"/>
    <w:rsid w:val="00E42B2A"/>
    <w:rsid w:val="00E42F25"/>
    <w:rsid w:val="00E45235"/>
    <w:rsid w:val="00E5094A"/>
    <w:rsid w:val="00E5368B"/>
    <w:rsid w:val="00E56375"/>
    <w:rsid w:val="00E573C3"/>
    <w:rsid w:val="00E60B14"/>
    <w:rsid w:val="00E65121"/>
    <w:rsid w:val="00E726C7"/>
    <w:rsid w:val="00E72F84"/>
    <w:rsid w:val="00E73F31"/>
    <w:rsid w:val="00E767D7"/>
    <w:rsid w:val="00E824A2"/>
    <w:rsid w:val="00E85277"/>
    <w:rsid w:val="00E854FB"/>
    <w:rsid w:val="00E90235"/>
    <w:rsid w:val="00E9075C"/>
    <w:rsid w:val="00E92954"/>
    <w:rsid w:val="00E946E6"/>
    <w:rsid w:val="00E94A29"/>
    <w:rsid w:val="00E9668F"/>
    <w:rsid w:val="00E96D5D"/>
    <w:rsid w:val="00EA028C"/>
    <w:rsid w:val="00EA3E75"/>
    <w:rsid w:val="00EA52BF"/>
    <w:rsid w:val="00EA793E"/>
    <w:rsid w:val="00EB1A18"/>
    <w:rsid w:val="00EB25AE"/>
    <w:rsid w:val="00EC124A"/>
    <w:rsid w:val="00EC3AEE"/>
    <w:rsid w:val="00EC53A3"/>
    <w:rsid w:val="00EC7912"/>
    <w:rsid w:val="00ED07B8"/>
    <w:rsid w:val="00ED15C7"/>
    <w:rsid w:val="00ED29AF"/>
    <w:rsid w:val="00ED351A"/>
    <w:rsid w:val="00ED4DEB"/>
    <w:rsid w:val="00ED50E1"/>
    <w:rsid w:val="00EE66AE"/>
    <w:rsid w:val="00EE7035"/>
    <w:rsid w:val="00EF5BAD"/>
    <w:rsid w:val="00F005C0"/>
    <w:rsid w:val="00F015D7"/>
    <w:rsid w:val="00F0251B"/>
    <w:rsid w:val="00F0264D"/>
    <w:rsid w:val="00F0546F"/>
    <w:rsid w:val="00F057F2"/>
    <w:rsid w:val="00F07730"/>
    <w:rsid w:val="00F07904"/>
    <w:rsid w:val="00F0796B"/>
    <w:rsid w:val="00F12303"/>
    <w:rsid w:val="00F20281"/>
    <w:rsid w:val="00F21124"/>
    <w:rsid w:val="00F233EF"/>
    <w:rsid w:val="00F268A8"/>
    <w:rsid w:val="00F33B4A"/>
    <w:rsid w:val="00F35E4E"/>
    <w:rsid w:val="00F372A2"/>
    <w:rsid w:val="00F45470"/>
    <w:rsid w:val="00F46708"/>
    <w:rsid w:val="00F509D9"/>
    <w:rsid w:val="00F51B98"/>
    <w:rsid w:val="00F52515"/>
    <w:rsid w:val="00F55068"/>
    <w:rsid w:val="00F55349"/>
    <w:rsid w:val="00F56583"/>
    <w:rsid w:val="00F578AD"/>
    <w:rsid w:val="00F60B34"/>
    <w:rsid w:val="00F610E0"/>
    <w:rsid w:val="00F6224C"/>
    <w:rsid w:val="00F67DB3"/>
    <w:rsid w:val="00F726CA"/>
    <w:rsid w:val="00F750BE"/>
    <w:rsid w:val="00F8220F"/>
    <w:rsid w:val="00F90C6C"/>
    <w:rsid w:val="00F920C5"/>
    <w:rsid w:val="00F941B6"/>
    <w:rsid w:val="00FA2BCF"/>
    <w:rsid w:val="00FA2F1E"/>
    <w:rsid w:val="00FB21E1"/>
    <w:rsid w:val="00FB3969"/>
    <w:rsid w:val="00FB40B3"/>
    <w:rsid w:val="00FD2883"/>
    <w:rsid w:val="00FD3ACB"/>
    <w:rsid w:val="00FD4FBE"/>
    <w:rsid w:val="00FD7E54"/>
    <w:rsid w:val="00FE1708"/>
    <w:rsid w:val="00FE384F"/>
    <w:rsid w:val="00FE4366"/>
    <w:rsid w:val="00FE4A73"/>
    <w:rsid w:val="00FE7AAB"/>
    <w:rsid w:val="00FF2AD9"/>
    <w:rsid w:val="00FF2EDA"/>
    <w:rsid w:val="00FF4A9A"/>
    <w:rsid w:val="010966D1"/>
    <w:rsid w:val="010A5041"/>
    <w:rsid w:val="0112390B"/>
    <w:rsid w:val="011B3C08"/>
    <w:rsid w:val="01281765"/>
    <w:rsid w:val="0136194F"/>
    <w:rsid w:val="013C6133"/>
    <w:rsid w:val="01462755"/>
    <w:rsid w:val="015E5D92"/>
    <w:rsid w:val="01614895"/>
    <w:rsid w:val="017B6A90"/>
    <w:rsid w:val="01824F45"/>
    <w:rsid w:val="0183136E"/>
    <w:rsid w:val="018333B4"/>
    <w:rsid w:val="0186197C"/>
    <w:rsid w:val="018B09D9"/>
    <w:rsid w:val="01933CA1"/>
    <w:rsid w:val="01B23FD5"/>
    <w:rsid w:val="01B7368B"/>
    <w:rsid w:val="01E07700"/>
    <w:rsid w:val="01E865EC"/>
    <w:rsid w:val="01F42E70"/>
    <w:rsid w:val="01FB42FD"/>
    <w:rsid w:val="01FB7095"/>
    <w:rsid w:val="0201217A"/>
    <w:rsid w:val="02061406"/>
    <w:rsid w:val="02097E8B"/>
    <w:rsid w:val="020A11D5"/>
    <w:rsid w:val="020F594B"/>
    <w:rsid w:val="0229430D"/>
    <w:rsid w:val="024E7C57"/>
    <w:rsid w:val="0266765B"/>
    <w:rsid w:val="026E4777"/>
    <w:rsid w:val="02711219"/>
    <w:rsid w:val="027E39FC"/>
    <w:rsid w:val="028B3CE6"/>
    <w:rsid w:val="02941126"/>
    <w:rsid w:val="029C3DB5"/>
    <w:rsid w:val="029D7DF9"/>
    <w:rsid w:val="02AA24FE"/>
    <w:rsid w:val="02B26DBD"/>
    <w:rsid w:val="02B6775B"/>
    <w:rsid w:val="02B7449E"/>
    <w:rsid w:val="02C21A04"/>
    <w:rsid w:val="02C22EC6"/>
    <w:rsid w:val="02C37817"/>
    <w:rsid w:val="02D56825"/>
    <w:rsid w:val="02E72B3C"/>
    <w:rsid w:val="02EF6CAE"/>
    <w:rsid w:val="02F1249A"/>
    <w:rsid w:val="02F477A6"/>
    <w:rsid w:val="03145252"/>
    <w:rsid w:val="03151A94"/>
    <w:rsid w:val="031550ED"/>
    <w:rsid w:val="033D0DB8"/>
    <w:rsid w:val="034070B5"/>
    <w:rsid w:val="036B1FA7"/>
    <w:rsid w:val="03792C07"/>
    <w:rsid w:val="038057B0"/>
    <w:rsid w:val="03CA6444"/>
    <w:rsid w:val="03CE7A7F"/>
    <w:rsid w:val="03DB1078"/>
    <w:rsid w:val="03F22D14"/>
    <w:rsid w:val="03FA5D6A"/>
    <w:rsid w:val="040F6EAA"/>
    <w:rsid w:val="04347A16"/>
    <w:rsid w:val="043851F9"/>
    <w:rsid w:val="04476C93"/>
    <w:rsid w:val="0457591A"/>
    <w:rsid w:val="04704740"/>
    <w:rsid w:val="047401BD"/>
    <w:rsid w:val="047C4F44"/>
    <w:rsid w:val="04932582"/>
    <w:rsid w:val="04AA6042"/>
    <w:rsid w:val="04AD078F"/>
    <w:rsid w:val="04AF6BEF"/>
    <w:rsid w:val="04B85884"/>
    <w:rsid w:val="04C7369F"/>
    <w:rsid w:val="04CE401F"/>
    <w:rsid w:val="04DD4359"/>
    <w:rsid w:val="04E21A0E"/>
    <w:rsid w:val="04ED0B4B"/>
    <w:rsid w:val="05107B8A"/>
    <w:rsid w:val="05193D99"/>
    <w:rsid w:val="05340118"/>
    <w:rsid w:val="05472AD4"/>
    <w:rsid w:val="054B0AE8"/>
    <w:rsid w:val="056435FD"/>
    <w:rsid w:val="056F3E2A"/>
    <w:rsid w:val="057160A0"/>
    <w:rsid w:val="057D34E8"/>
    <w:rsid w:val="05A43401"/>
    <w:rsid w:val="05AC7578"/>
    <w:rsid w:val="05B527E6"/>
    <w:rsid w:val="05C71ED5"/>
    <w:rsid w:val="05C76481"/>
    <w:rsid w:val="05CA5BFC"/>
    <w:rsid w:val="05DD748E"/>
    <w:rsid w:val="05FF25BB"/>
    <w:rsid w:val="060A2B37"/>
    <w:rsid w:val="061E0BC8"/>
    <w:rsid w:val="062478AE"/>
    <w:rsid w:val="062C178D"/>
    <w:rsid w:val="06330C81"/>
    <w:rsid w:val="06351BFD"/>
    <w:rsid w:val="063D4D35"/>
    <w:rsid w:val="06433298"/>
    <w:rsid w:val="06460764"/>
    <w:rsid w:val="064F2365"/>
    <w:rsid w:val="06546127"/>
    <w:rsid w:val="065E6637"/>
    <w:rsid w:val="06702A1A"/>
    <w:rsid w:val="06830300"/>
    <w:rsid w:val="068D49A2"/>
    <w:rsid w:val="068F0BD1"/>
    <w:rsid w:val="06970944"/>
    <w:rsid w:val="069C2465"/>
    <w:rsid w:val="06AA2D14"/>
    <w:rsid w:val="06AB27ED"/>
    <w:rsid w:val="06AD302F"/>
    <w:rsid w:val="06CC0A35"/>
    <w:rsid w:val="06F46FED"/>
    <w:rsid w:val="06F74755"/>
    <w:rsid w:val="06FA2355"/>
    <w:rsid w:val="07066773"/>
    <w:rsid w:val="070F2D95"/>
    <w:rsid w:val="071463DE"/>
    <w:rsid w:val="071D148B"/>
    <w:rsid w:val="0722247E"/>
    <w:rsid w:val="072579B6"/>
    <w:rsid w:val="073249A8"/>
    <w:rsid w:val="07385563"/>
    <w:rsid w:val="07470FC0"/>
    <w:rsid w:val="07531671"/>
    <w:rsid w:val="07624BF2"/>
    <w:rsid w:val="076A1EA2"/>
    <w:rsid w:val="078C64E3"/>
    <w:rsid w:val="07934CEE"/>
    <w:rsid w:val="079500D7"/>
    <w:rsid w:val="079707C0"/>
    <w:rsid w:val="07990E2B"/>
    <w:rsid w:val="07A353E2"/>
    <w:rsid w:val="07A62D73"/>
    <w:rsid w:val="07A86AAB"/>
    <w:rsid w:val="07BB6659"/>
    <w:rsid w:val="07CD4764"/>
    <w:rsid w:val="07DC662F"/>
    <w:rsid w:val="07E31B36"/>
    <w:rsid w:val="07E74A05"/>
    <w:rsid w:val="07F13457"/>
    <w:rsid w:val="07F20818"/>
    <w:rsid w:val="07F7092F"/>
    <w:rsid w:val="08063FB1"/>
    <w:rsid w:val="081355A8"/>
    <w:rsid w:val="08237ADC"/>
    <w:rsid w:val="083D0F82"/>
    <w:rsid w:val="08623EE3"/>
    <w:rsid w:val="086560D6"/>
    <w:rsid w:val="08734A01"/>
    <w:rsid w:val="0873562D"/>
    <w:rsid w:val="087626E4"/>
    <w:rsid w:val="087859C9"/>
    <w:rsid w:val="087B7477"/>
    <w:rsid w:val="087E15BA"/>
    <w:rsid w:val="087F52B7"/>
    <w:rsid w:val="088170BD"/>
    <w:rsid w:val="0886464D"/>
    <w:rsid w:val="08892212"/>
    <w:rsid w:val="088C62F8"/>
    <w:rsid w:val="089E1E1C"/>
    <w:rsid w:val="089F6C29"/>
    <w:rsid w:val="08B84D5E"/>
    <w:rsid w:val="08C2594B"/>
    <w:rsid w:val="08CA0D5B"/>
    <w:rsid w:val="08D67F79"/>
    <w:rsid w:val="08F74842"/>
    <w:rsid w:val="09031506"/>
    <w:rsid w:val="09083111"/>
    <w:rsid w:val="09150A8B"/>
    <w:rsid w:val="091F1371"/>
    <w:rsid w:val="09350040"/>
    <w:rsid w:val="093940C3"/>
    <w:rsid w:val="094318BF"/>
    <w:rsid w:val="094D74B8"/>
    <w:rsid w:val="096302A6"/>
    <w:rsid w:val="09642D75"/>
    <w:rsid w:val="0970224E"/>
    <w:rsid w:val="0987613D"/>
    <w:rsid w:val="09943800"/>
    <w:rsid w:val="099C7F83"/>
    <w:rsid w:val="09AF39E4"/>
    <w:rsid w:val="09B3627A"/>
    <w:rsid w:val="09C2376D"/>
    <w:rsid w:val="09C35C9C"/>
    <w:rsid w:val="09D63FC9"/>
    <w:rsid w:val="09DA083E"/>
    <w:rsid w:val="09E5454F"/>
    <w:rsid w:val="09FC4115"/>
    <w:rsid w:val="09FC71E3"/>
    <w:rsid w:val="09FF404A"/>
    <w:rsid w:val="0A056F7E"/>
    <w:rsid w:val="0A2D5FC2"/>
    <w:rsid w:val="0A3778B8"/>
    <w:rsid w:val="0A393F55"/>
    <w:rsid w:val="0A521154"/>
    <w:rsid w:val="0A5C0004"/>
    <w:rsid w:val="0A7C22F1"/>
    <w:rsid w:val="0A7E32A7"/>
    <w:rsid w:val="0A930EEE"/>
    <w:rsid w:val="0A9358E8"/>
    <w:rsid w:val="0A9D3C79"/>
    <w:rsid w:val="0AA118A8"/>
    <w:rsid w:val="0AA80318"/>
    <w:rsid w:val="0AA91C8A"/>
    <w:rsid w:val="0ABF6EEC"/>
    <w:rsid w:val="0AD15F1B"/>
    <w:rsid w:val="0AD9448B"/>
    <w:rsid w:val="0B087AF8"/>
    <w:rsid w:val="0B3079B7"/>
    <w:rsid w:val="0B3B15F7"/>
    <w:rsid w:val="0B596DA4"/>
    <w:rsid w:val="0B5B276C"/>
    <w:rsid w:val="0B5D1D49"/>
    <w:rsid w:val="0B797885"/>
    <w:rsid w:val="0B803C81"/>
    <w:rsid w:val="0B883877"/>
    <w:rsid w:val="0BA03AE8"/>
    <w:rsid w:val="0BCD7239"/>
    <w:rsid w:val="0BE247B9"/>
    <w:rsid w:val="0BE43E2A"/>
    <w:rsid w:val="0BE55F94"/>
    <w:rsid w:val="0BF122A6"/>
    <w:rsid w:val="0C0C09C7"/>
    <w:rsid w:val="0C0E436B"/>
    <w:rsid w:val="0C1937A5"/>
    <w:rsid w:val="0C22645B"/>
    <w:rsid w:val="0C235884"/>
    <w:rsid w:val="0C2706CA"/>
    <w:rsid w:val="0C2A1352"/>
    <w:rsid w:val="0C38149C"/>
    <w:rsid w:val="0C3B7E76"/>
    <w:rsid w:val="0C451F57"/>
    <w:rsid w:val="0C4A27B9"/>
    <w:rsid w:val="0C7055A4"/>
    <w:rsid w:val="0C771FC7"/>
    <w:rsid w:val="0C7A297C"/>
    <w:rsid w:val="0C7A725D"/>
    <w:rsid w:val="0C7F5089"/>
    <w:rsid w:val="0C977640"/>
    <w:rsid w:val="0C9B4173"/>
    <w:rsid w:val="0CE07D28"/>
    <w:rsid w:val="0CEE141B"/>
    <w:rsid w:val="0CF22D43"/>
    <w:rsid w:val="0D087D82"/>
    <w:rsid w:val="0D26618E"/>
    <w:rsid w:val="0D391EFA"/>
    <w:rsid w:val="0D587038"/>
    <w:rsid w:val="0D5D0579"/>
    <w:rsid w:val="0D5D37FD"/>
    <w:rsid w:val="0D600EFE"/>
    <w:rsid w:val="0D63594E"/>
    <w:rsid w:val="0D680B40"/>
    <w:rsid w:val="0D705241"/>
    <w:rsid w:val="0D76303D"/>
    <w:rsid w:val="0D9C32E2"/>
    <w:rsid w:val="0DA32C6D"/>
    <w:rsid w:val="0DB96B42"/>
    <w:rsid w:val="0DD3660C"/>
    <w:rsid w:val="0DDC4507"/>
    <w:rsid w:val="0E040150"/>
    <w:rsid w:val="0E2A0958"/>
    <w:rsid w:val="0E327A62"/>
    <w:rsid w:val="0E3F1F36"/>
    <w:rsid w:val="0E410EDE"/>
    <w:rsid w:val="0E417B2F"/>
    <w:rsid w:val="0E4A00DD"/>
    <w:rsid w:val="0E53359F"/>
    <w:rsid w:val="0E554C8F"/>
    <w:rsid w:val="0E6065F1"/>
    <w:rsid w:val="0E6B273C"/>
    <w:rsid w:val="0E726630"/>
    <w:rsid w:val="0EBD4D8F"/>
    <w:rsid w:val="0EC14BC9"/>
    <w:rsid w:val="0ED1336A"/>
    <w:rsid w:val="0EDD6097"/>
    <w:rsid w:val="0EDF2E28"/>
    <w:rsid w:val="0EE0368B"/>
    <w:rsid w:val="0EF2171F"/>
    <w:rsid w:val="0EF9321E"/>
    <w:rsid w:val="0EF9444B"/>
    <w:rsid w:val="0F15657E"/>
    <w:rsid w:val="0F19784D"/>
    <w:rsid w:val="0F290D35"/>
    <w:rsid w:val="0F2B4C10"/>
    <w:rsid w:val="0F3F10E2"/>
    <w:rsid w:val="0F4978B1"/>
    <w:rsid w:val="0F735BF1"/>
    <w:rsid w:val="0F7756E1"/>
    <w:rsid w:val="0F7A23DC"/>
    <w:rsid w:val="0FAD0D02"/>
    <w:rsid w:val="0FC772CA"/>
    <w:rsid w:val="0FC87E78"/>
    <w:rsid w:val="0FCE4B96"/>
    <w:rsid w:val="0FD313B7"/>
    <w:rsid w:val="0FE92B27"/>
    <w:rsid w:val="0FF07157"/>
    <w:rsid w:val="0FF30D84"/>
    <w:rsid w:val="0FF5770F"/>
    <w:rsid w:val="10124BB3"/>
    <w:rsid w:val="10254E4D"/>
    <w:rsid w:val="10320BFE"/>
    <w:rsid w:val="10406C2E"/>
    <w:rsid w:val="104117A5"/>
    <w:rsid w:val="10692F56"/>
    <w:rsid w:val="106D57E3"/>
    <w:rsid w:val="1083598C"/>
    <w:rsid w:val="109306A8"/>
    <w:rsid w:val="10A867E1"/>
    <w:rsid w:val="10AA73F0"/>
    <w:rsid w:val="10CA1115"/>
    <w:rsid w:val="10CF1DDF"/>
    <w:rsid w:val="10E25C5D"/>
    <w:rsid w:val="10F677E1"/>
    <w:rsid w:val="10F93B3F"/>
    <w:rsid w:val="112847EE"/>
    <w:rsid w:val="112C4BEA"/>
    <w:rsid w:val="11384881"/>
    <w:rsid w:val="11415D3F"/>
    <w:rsid w:val="11464066"/>
    <w:rsid w:val="114A2981"/>
    <w:rsid w:val="114A726B"/>
    <w:rsid w:val="11520C4F"/>
    <w:rsid w:val="115C6A94"/>
    <w:rsid w:val="11652679"/>
    <w:rsid w:val="11722019"/>
    <w:rsid w:val="11792880"/>
    <w:rsid w:val="117C04E8"/>
    <w:rsid w:val="117D0C67"/>
    <w:rsid w:val="118A7F8B"/>
    <w:rsid w:val="119601B7"/>
    <w:rsid w:val="119718CD"/>
    <w:rsid w:val="119B2E5E"/>
    <w:rsid w:val="11B36C9A"/>
    <w:rsid w:val="11B8134B"/>
    <w:rsid w:val="11BE35AB"/>
    <w:rsid w:val="11C76EB4"/>
    <w:rsid w:val="11D24F46"/>
    <w:rsid w:val="11D8097A"/>
    <w:rsid w:val="11DB6FAC"/>
    <w:rsid w:val="11DE7EEF"/>
    <w:rsid w:val="11E01002"/>
    <w:rsid w:val="11FC7B64"/>
    <w:rsid w:val="120150EC"/>
    <w:rsid w:val="1207307A"/>
    <w:rsid w:val="120D1382"/>
    <w:rsid w:val="12115E4B"/>
    <w:rsid w:val="121B0C96"/>
    <w:rsid w:val="124B7F3C"/>
    <w:rsid w:val="12500F93"/>
    <w:rsid w:val="125274CE"/>
    <w:rsid w:val="12685DA5"/>
    <w:rsid w:val="128A41B2"/>
    <w:rsid w:val="128E4AC3"/>
    <w:rsid w:val="129B2772"/>
    <w:rsid w:val="12C96CDB"/>
    <w:rsid w:val="12DE4337"/>
    <w:rsid w:val="12DF007E"/>
    <w:rsid w:val="12E03E13"/>
    <w:rsid w:val="12EB6997"/>
    <w:rsid w:val="12FA6F28"/>
    <w:rsid w:val="130143BE"/>
    <w:rsid w:val="130B4CCD"/>
    <w:rsid w:val="130F5557"/>
    <w:rsid w:val="131961E1"/>
    <w:rsid w:val="1320518F"/>
    <w:rsid w:val="1326488F"/>
    <w:rsid w:val="133800FB"/>
    <w:rsid w:val="13384FAC"/>
    <w:rsid w:val="13524611"/>
    <w:rsid w:val="13575B22"/>
    <w:rsid w:val="13586C9D"/>
    <w:rsid w:val="13601957"/>
    <w:rsid w:val="1384445B"/>
    <w:rsid w:val="13853B3C"/>
    <w:rsid w:val="138819FA"/>
    <w:rsid w:val="13B913B3"/>
    <w:rsid w:val="13BF4356"/>
    <w:rsid w:val="13C82AF7"/>
    <w:rsid w:val="13C94A30"/>
    <w:rsid w:val="13E7484E"/>
    <w:rsid w:val="13EC1B63"/>
    <w:rsid w:val="141C1BB1"/>
    <w:rsid w:val="14243135"/>
    <w:rsid w:val="142D2826"/>
    <w:rsid w:val="142D6C33"/>
    <w:rsid w:val="146A44E5"/>
    <w:rsid w:val="146A6A43"/>
    <w:rsid w:val="146F4594"/>
    <w:rsid w:val="14700526"/>
    <w:rsid w:val="147A4E18"/>
    <w:rsid w:val="147C72F5"/>
    <w:rsid w:val="14800389"/>
    <w:rsid w:val="14806418"/>
    <w:rsid w:val="14835165"/>
    <w:rsid w:val="148F18B7"/>
    <w:rsid w:val="14930823"/>
    <w:rsid w:val="1497530F"/>
    <w:rsid w:val="14D15DE9"/>
    <w:rsid w:val="14DB6CA9"/>
    <w:rsid w:val="14DF1906"/>
    <w:rsid w:val="14EC0CE9"/>
    <w:rsid w:val="15004F11"/>
    <w:rsid w:val="15102309"/>
    <w:rsid w:val="15162A87"/>
    <w:rsid w:val="153D3B62"/>
    <w:rsid w:val="15493E59"/>
    <w:rsid w:val="156A35F2"/>
    <w:rsid w:val="156D558F"/>
    <w:rsid w:val="15701914"/>
    <w:rsid w:val="157250BC"/>
    <w:rsid w:val="15760E8E"/>
    <w:rsid w:val="158017B8"/>
    <w:rsid w:val="158B01E4"/>
    <w:rsid w:val="158B5312"/>
    <w:rsid w:val="159D0F8F"/>
    <w:rsid w:val="15A2120D"/>
    <w:rsid w:val="15A66F99"/>
    <w:rsid w:val="15AA2F57"/>
    <w:rsid w:val="15AB651B"/>
    <w:rsid w:val="15B22D36"/>
    <w:rsid w:val="15B864A2"/>
    <w:rsid w:val="15BC23ED"/>
    <w:rsid w:val="15C14FDC"/>
    <w:rsid w:val="15CF7EF3"/>
    <w:rsid w:val="15DB7988"/>
    <w:rsid w:val="15ED2480"/>
    <w:rsid w:val="15F8630E"/>
    <w:rsid w:val="16083E54"/>
    <w:rsid w:val="160D6518"/>
    <w:rsid w:val="160F4A6E"/>
    <w:rsid w:val="161D5BDC"/>
    <w:rsid w:val="1636067D"/>
    <w:rsid w:val="163A7083"/>
    <w:rsid w:val="163C640D"/>
    <w:rsid w:val="163C7778"/>
    <w:rsid w:val="16435794"/>
    <w:rsid w:val="1671151B"/>
    <w:rsid w:val="168E4D28"/>
    <w:rsid w:val="169C6ACA"/>
    <w:rsid w:val="16A61AEF"/>
    <w:rsid w:val="16AC1941"/>
    <w:rsid w:val="16C45E57"/>
    <w:rsid w:val="16C920E6"/>
    <w:rsid w:val="16CC581B"/>
    <w:rsid w:val="16D31226"/>
    <w:rsid w:val="16DD7FA0"/>
    <w:rsid w:val="16F07F3F"/>
    <w:rsid w:val="16F277BF"/>
    <w:rsid w:val="16F65358"/>
    <w:rsid w:val="17015BEB"/>
    <w:rsid w:val="1703454E"/>
    <w:rsid w:val="170C2C5F"/>
    <w:rsid w:val="170D06E0"/>
    <w:rsid w:val="170D5540"/>
    <w:rsid w:val="170D64CF"/>
    <w:rsid w:val="170F7330"/>
    <w:rsid w:val="171112E5"/>
    <w:rsid w:val="17142269"/>
    <w:rsid w:val="171B0C88"/>
    <w:rsid w:val="173C5B0D"/>
    <w:rsid w:val="17476846"/>
    <w:rsid w:val="174C2321"/>
    <w:rsid w:val="17507ED0"/>
    <w:rsid w:val="177F0B91"/>
    <w:rsid w:val="178252A2"/>
    <w:rsid w:val="17875466"/>
    <w:rsid w:val="178E7657"/>
    <w:rsid w:val="17A41BDA"/>
    <w:rsid w:val="17A9537D"/>
    <w:rsid w:val="17B32AED"/>
    <w:rsid w:val="17C11721"/>
    <w:rsid w:val="17D7362C"/>
    <w:rsid w:val="17E80AB3"/>
    <w:rsid w:val="17E92078"/>
    <w:rsid w:val="17F20B15"/>
    <w:rsid w:val="17F2733C"/>
    <w:rsid w:val="17FC5BA9"/>
    <w:rsid w:val="17FE5A6A"/>
    <w:rsid w:val="180B41B9"/>
    <w:rsid w:val="18150D01"/>
    <w:rsid w:val="181D30DA"/>
    <w:rsid w:val="182C4B8E"/>
    <w:rsid w:val="183C0DD2"/>
    <w:rsid w:val="187A2E35"/>
    <w:rsid w:val="18811D4A"/>
    <w:rsid w:val="188B1F25"/>
    <w:rsid w:val="188D2580"/>
    <w:rsid w:val="18982B9B"/>
    <w:rsid w:val="189B729C"/>
    <w:rsid w:val="18A03075"/>
    <w:rsid w:val="18B0793E"/>
    <w:rsid w:val="18BA663E"/>
    <w:rsid w:val="18CE4615"/>
    <w:rsid w:val="18CF104B"/>
    <w:rsid w:val="18DC7657"/>
    <w:rsid w:val="18E75EBB"/>
    <w:rsid w:val="18EE2203"/>
    <w:rsid w:val="18FC4D2D"/>
    <w:rsid w:val="190555BE"/>
    <w:rsid w:val="190B2724"/>
    <w:rsid w:val="191474A4"/>
    <w:rsid w:val="191875B9"/>
    <w:rsid w:val="19271346"/>
    <w:rsid w:val="192714AE"/>
    <w:rsid w:val="19360FEA"/>
    <w:rsid w:val="19373FEC"/>
    <w:rsid w:val="193C41A0"/>
    <w:rsid w:val="195D79D5"/>
    <w:rsid w:val="19681E38"/>
    <w:rsid w:val="196E49C7"/>
    <w:rsid w:val="19704F4F"/>
    <w:rsid w:val="19975314"/>
    <w:rsid w:val="19A60971"/>
    <w:rsid w:val="19AA7676"/>
    <w:rsid w:val="19B4513C"/>
    <w:rsid w:val="19B66AC3"/>
    <w:rsid w:val="19B73CEF"/>
    <w:rsid w:val="19BA7045"/>
    <w:rsid w:val="19CE6FDD"/>
    <w:rsid w:val="19E52087"/>
    <w:rsid w:val="19E63AEE"/>
    <w:rsid w:val="19F62F4D"/>
    <w:rsid w:val="19F870F1"/>
    <w:rsid w:val="1A23796E"/>
    <w:rsid w:val="1A2468B2"/>
    <w:rsid w:val="1A287679"/>
    <w:rsid w:val="1A2A4B5E"/>
    <w:rsid w:val="1A3675B3"/>
    <w:rsid w:val="1A3B0898"/>
    <w:rsid w:val="1A4E4D47"/>
    <w:rsid w:val="1A6A7451"/>
    <w:rsid w:val="1A6B1E0E"/>
    <w:rsid w:val="1A795AC1"/>
    <w:rsid w:val="1A8569B6"/>
    <w:rsid w:val="1A9E0D5C"/>
    <w:rsid w:val="1AA92BE9"/>
    <w:rsid w:val="1AAE4DE1"/>
    <w:rsid w:val="1ABC1B65"/>
    <w:rsid w:val="1AC83366"/>
    <w:rsid w:val="1AD500E1"/>
    <w:rsid w:val="1ADF5AAB"/>
    <w:rsid w:val="1AE95432"/>
    <w:rsid w:val="1B1421E2"/>
    <w:rsid w:val="1B37326F"/>
    <w:rsid w:val="1B445520"/>
    <w:rsid w:val="1B54592A"/>
    <w:rsid w:val="1B616D2E"/>
    <w:rsid w:val="1B6C2295"/>
    <w:rsid w:val="1B6F1B8E"/>
    <w:rsid w:val="1B7A0ED9"/>
    <w:rsid w:val="1B836E4F"/>
    <w:rsid w:val="1B867CE3"/>
    <w:rsid w:val="1B9A6D2C"/>
    <w:rsid w:val="1B9D1989"/>
    <w:rsid w:val="1BBD0CBD"/>
    <w:rsid w:val="1BD64E35"/>
    <w:rsid w:val="1BD84F6E"/>
    <w:rsid w:val="1BE556B7"/>
    <w:rsid w:val="1BF2099F"/>
    <w:rsid w:val="1BF37BE9"/>
    <w:rsid w:val="1BFC2F26"/>
    <w:rsid w:val="1C000B30"/>
    <w:rsid w:val="1C0A0D9E"/>
    <w:rsid w:val="1C1338B4"/>
    <w:rsid w:val="1C2C3779"/>
    <w:rsid w:val="1C367189"/>
    <w:rsid w:val="1C5454FE"/>
    <w:rsid w:val="1C5D3626"/>
    <w:rsid w:val="1C71047A"/>
    <w:rsid w:val="1C7779A1"/>
    <w:rsid w:val="1C787E42"/>
    <w:rsid w:val="1C7C39DB"/>
    <w:rsid w:val="1C8F440B"/>
    <w:rsid w:val="1CAC4E19"/>
    <w:rsid w:val="1CB01417"/>
    <w:rsid w:val="1CB57CA7"/>
    <w:rsid w:val="1CB63CEF"/>
    <w:rsid w:val="1CB91DE7"/>
    <w:rsid w:val="1CE00632"/>
    <w:rsid w:val="1CE20230"/>
    <w:rsid w:val="1CED7A43"/>
    <w:rsid w:val="1CF12760"/>
    <w:rsid w:val="1D077D99"/>
    <w:rsid w:val="1D0A0B85"/>
    <w:rsid w:val="1D0F0F82"/>
    <w:rsid w:val="1D16112F"/>
    <w:rsid w:val="1D1F496F"/>
    <w:rsid w:val="1D284FAD"/>
    <w:rsid w:val="1D4A54CD"/>
    <w:rsid w:val="1D576372"/>
    <w:rsid w:val="1D5B43E3"/>
    <w:rsid w:val="1D6E4894"/>
    <w:rsid w:val="1D7F5A82"/>
    <w:rsid w:val="1D94164C"/>
    <w:rsid w:val="1DA23DF3"/>
    <w:rsid w:val="1DD46CDD"/>
    <w:rsid w:val="1DE12D15"/>
    <w:rsid w:val="1DE338AC"/>
    <w:rsid w:val="1DF75C3F"/>
    <w:rsid w:val="1E1B2A71"/>
    <w:rsid w:val="1E22392E"/>
    <w:rsid w:val="1E2F54F2"/>
    <w:rsid w:val="1E4A3FC0"/>
    <w:rsid w:val="1E523CAA"/>
    <w:rsid w:val="1E663E3A"/>
    <w:rsid w:val="1E7A4FEC"/>
    <w:rsid w:val="1E7F3616"/>
    <w:rsid w:val="1E8038C2"/>
    <w:rsid w:val="1E9B246D"/>
    <w:rsid w:val="1EA8395A"/>
    <w:rsid w:val="1EB93E6A"/>
    <w:rsid w:val="1EDB43AF"/>
    <w:rsid w:val="1EE250AF"/>
    <w:rsid w:val="1EE86D49"/>
    <w:rsid w:val="1EEB7280"/>
    <w:rsid w:val="1F0762D2"/>
    <w:rsid w:val="1F0E5D1E"/>
    <w:rsid w:val="1F3D4B11"/>
    <w:rsid w:val="1F477FE0"/>
    <w:rsid w:val="1F5350F7"/>
    <w:rsid w:val="1F550742"/>
    <w:rsid w:val="1F5B0BA6"/>
    <w:rsid w:val="1F7A612C"/>
    <w:rsid w:val="1F7D207A"/>
    <w:rsid w:val="1F994601"/>
    <w:rsid w:val="1FAB6097"/>
    <w:rsid w:val="1FB81BA2"/>
    <w:rsid w:val="1FB958FC"/>
    <w:rsid w:val="1FC723B4"/>
    <w:rsid w:val="1FD7404C"/>
    <w:rsid w:val="1FD80A43"/>
    <w:rsid w:val="1FE204A6"/>
    <w:rsid w:val="1FFC5DDC"/>
    <w:rsid w:val="20007100"/>
    <w:rsid w:val="200F2865"/>
    <w:rsid w:val="20120328"/>
    <w:rsid w:val="20160F53"/>
    <w:rsid w:val="20214412"/>
    <w:rsid w:val="20467421"/>
    <w:rsid w:val="204824E0"/>
    <w:rsid w:val="20573095"/>
    <w:rsid w:val="205A5215"/>
    <w:rsid w:val="20737FF4"/>
    <w:rsid w:val="207643EA"/>
    <w:rsid w:val="207D2842"/>
    <w:rsid w:val="207E0157"/>
    <w:rsid w:val="207E5ADF"/>
    <w:rsid w:val="20895C69"/>
    <w:rsid w:val="208A3D1A"/>
    <w:rsid w:val="20955E3E"/>
    <w:rsid w:val="209C7343"/>
    <w:rsid w:val="20A37FCF"/>
    <w:rsid w:val="20A96320"/>
    <w:rsid w:val="20C06AD8"/>
    <w:rsid w:val="20C34429"/>
    <w:rsid w:val="20C34F4E"/>
    <w:rsid w:val="20CF0D61"/>
    <w:rsid w:val="20D32FEA"/>
    <w:rsid w:val="20DA5429"/>
    <w:rsid w:val="20E9190B"/>
    <w:rsid w:val="20F75BA9"/>
    <w:rsid w:val="20FE6EB4"/>
    <w:rsid w:val="210E62C7"/>
    <w:rsid w:val="211F0ACE"/>
    <w:rsid w:val="212401D0"/>
    <w:rsid w:val="21292A0B"/>
    <w:rsid w:val="212F7492"/>
    <w:rsid w:val="213B5E92"/>
    <w:rsid w:val="21411466"/>
    <w:rsid w:val="21464D7B"/>
    <w:rsid w:val="21484171"/>
    <w:rsid w:val="214A6862"/>
    <w:rsid w:val="214F1E2C"/>
    <w:rsid w:val="215B362C"/>
    <w:rsid w:val="215C72D6"/>
    <w:rsid w:val="21687C5B"/>
    <w:rsid w:val="21771470"/>
    <w:rsid w:val="21774DC8"/>
    <w:rsid w:val="21776FB8"/>
    <w:rsid w:val="218912A4"/>
    <w:rsid w:val="219C1AF3"/>
    <w:rsid w:val="219D07A6"/>
    <w:rsid w:val="219F709C"/>
    <w:rsid w:val="21A23042"/>
    <w:rsid w:val="21A36298"/>
    <w:rsid w:val="21B32A91"/>
    <w:rsid w:val="21BB514A"/>
    <w:rsid w:val="21D45DE6"/>
    <w:rsid w:val="21DA3A54"/>
    <w:rsid w:val="21DA4716"/>
    <w:rsid w:val="21E31B47"/>
    <w:rsid w:val="220152DE"/>
    <w:rsid w:val="22066450"/>
    <w:rsid w:val="220A4AA1"/>
    <w:rsid w:val="220B27D2"/>
    <w:rsid w:val="22207409"/>
    <w:rsid w:val="2246486C"/>
    <w:rsid w:val="224D3A77"/>
    <w:rsid w:val="224D694E"/>
    <w:rsid w:val="22515385"/>
    <w:rsid w:val="226254FB"/>
    <w:rsid w:val="227318C4"/>
    <w:rsid w:val="22837CD3"/>
    <w:rsid w:val="22897463"/>
    <w:rsid w:val="228D583F"/>
    <w:rsid w:val="22A354A5"/>
    <w:rsid w:val="22BC3692"/>
    <w:rsid w:val="22BE55CC"/>
    <w:rsid w:val="22C802FF"/>
    <w:rsid w:val="22CA30D3"/>
    <w:rsid w:val="22DC77DC"/>
    <w:rsid w:val="22E97D50"/>
    <w:rsid w:val="22F6534B"/>
    <w:rsid w:val="230956CA"/>
    <w:rsid w:val="23124563"/>
    <w:rsid w:val="23167D14"/>
    <w:rsid w:val="23201BB6"/>
    <w:rsid w:val="233920CB"/>
    <w:rsid w:val="23396285"/>
    <w:rsid w:val="234A305C"/>
    <w:rsid w:val="23684534"/>
    <w:rsid w:val="236C4EAD"/>
    <w:rsid w:val="237B001C"/>
    <w:rsid w:val="238A1229"/>
    <w:rsid w:val="2396008A"/>
    <w:rsid w:val="23A24268"/>
    <w:rsid w:val="23B83AA8"/>
    <w:rsid w:val="23BC05BD"/>
    <w:rsid w:val="23BD5E67"/>
    <w:rsid w:val="23F02991"/>
    <w:rsid w:val="241449C6"/>
    <w:rsid w:val="241C44E3"/>
    <w:rsid w:val="241C5631"/>
    <w:rsid w:val="242444B8"/>
    <w:rsid w:val="24296BA8"/>
    <w:rsid w:val="242C7BE8"/>
    <w:rsid w:val="243C039A"/>
    <w:rsid w:val="245A1BF0"/>
    <w:rsid w:val="24630C76"/>
    <w:rsid w:val="24665A18"/>
    <w:rsid w:val="24674521"/>
    <w:rsid w:val="2478472E"/>
    <w:rsid w:val="249F4748"/>
    <w:rsid w:val="24A5086B"/>
    <w:rsid w:val="24AB4534"/>
    <w:rsid w:val="24B4763E"/>
    <w:rsid w:val="24BA4BD0"/>
    <w:rsid w:val="24C572D0"/>
    <w:rsid w:val="24C65969"/>
    <w:rsid w:val="24CD5D59"/>
    <w:rsid w:val="24D9551D"/>
    <w:rsid w:val="24DA3F83"/>
    <w:rsid w:val="24E104C1"/>
    <w:rsid w:val="24E120EA"/>
    <w:rsid w:val="24F71E83"/>
    <w:rsid w:val="25125E4F"/>
    <w:rsid w:val="25184B4D"/>
    <w:rsid w:val="251D21DF"/>
    <w:rsid w:val="25211C3F"/>
    <w:rsid w:val="253A7A2A"/>
    <w:rsid w:val="253E2713"/>
    <w:rsid w:val="253E435C"/>
    <w:rsid w:val="25420609"/>
    <w:rsid w:val="254466DF"/>
    <w:rsid w:val="254F3588"/>
    <w:rsid w:val="254F4E90"/>
    <w:rsid w:val="25535A3E"/>
    <w:rsid w:val="25536227"/>
    <w:rsid w:val="255634E0"/>
    <w:rsid w:val="255D3C4C"/>
    <w:rsid w:val="256107E0"/>
    <w:rsid w:val="257A6F0F"/>
    <w:rsid w:val="257B46FA"/>
    <w:rsid w:val="259D19F5"/>
    <w:rsid w:val="25A15F27"/>
    <w:rsid w:val="25A40F8A"/>
    <w:rsid w:val="25B12B77"/>
    <w:rsid w:val="25BE393F"/>
    <w:rsid w:val="25BF5A55"/>
    <w:rsid w:val="25C24E9E"/>
    <w:rsid w:val="25D20868"/>
    <w:rsid w:val="25E06B30"/>
    <w:rsid w:val="25E619F6"/>
    <w:rsid w:val="25EB6D73"/>
    <w:rsid w:val="25F6673F"/>
    <w:rsid w:val="25F75CE6"/>
    <w:rsid w:val="25F91F4D"/>
    <w:rsid w:val="26007BC9"/>
    <w:rsid w:val="2616009D"/>
    <w:rsid w:val="2617030E"/>
    <w:rsid w:val="261C2A00"/>
    <w:rsid w:val="26380B13"/>
    <w:rsid w:val="26503767"/>
    <w:rsid w:val="26510A3F"/>
    <w:rsid w:val="267A01E4"/>
    <w:rsid w:val="267A4A6A"/>
    <w:rsid w:val="267B6B0E"/>
    <w:rsid w:val="268705C2"/>
    <w:rsid w:val="269C2550"/>
    <w:rsid w:val="269C5787"/>
    <w:rsid w:val="26A10CBD"/>
    <w:rsid w:val="26AF08B2"/>
    <w:rsid w:val="26B35E19"/>
    <w:rsid w:val="26C440F3"/>
    <w:rsid w:val="26CA1479"/>
    <w:rsid w:val="26CF6E03"/>
    <w:rsid w:val="26D75840"/>
    <w:rsid w:val="26DD4C5B"/>
    <w:rsid w:val="26EF2570"/>
    <w:rsid w:val="26F81B7B"/>
    <w:rsid w:val="270840C4"/>
    <w:rsid w:val="271576C8"/>
    <w:rsid w:val="271B0E87"/>
    <w:rsid w:val="271F2D5F"/>
    <w:rsid w:val="272771BF"/>
    <w:rsid w:val="27295DC4"/>
    <w:rsid w:val="272C3921"/>
    <w:rsid w:val="27421286"/>
    <w:rsid w:val="2743458E"/>
    <w:rsid w:val="27446F2C"/>
    <w:rsid w:val="274D6C25"/>
    <w:rsid w:val="27545CC0"/>
    <w:rsid w:val="27694B58"/>
    <w:rsid w:val="276C1618"/>
    <w:rsid w:val="27797F5D"/>
    <w:rsid w:val="27822EC6"/>
    <w:rsid w:val="27855B2F"/>
    <w:rsid w:val="27946FCB"/>
    <w:rsid w:val="279F5BB3"/>
    <w:rsid w:val="27A45A0F"/>
    <w:rsid w:val="27BE1166"/>
    <w:rsid w:val="27C838EE"/>
    <w:rsid w:val="27D27607"/>
    <w:rsid w:val="27D327E3"/>
    <w:rsid w:val="27DC2FBF"/>
    <w:rsid w:val="27E54A94"/>
    <w:rsid w:val="27E710A9"/>
    <w:rsid w:val="27EC624B"/>
    <w:rsid w:val="27EF2113"/>
    <w:rsid w:val="27F84A8D"/>
    <w:rsid w:val="27FC58B9"/>
    <w:rsid w:val="27FD4A21"/>
    <w:rsid w:val="280023AD"/>
    <w:rsid w:val="28292FBC"/>
    <w:rsid w:val="282A1B6D"/>
    <w:rsid w:val="28697254"/>
    <w:rsid w:val="288023F4"/>
    <w:rsid w:val="288622F0"/>
    <w:rsid w:val="288D4591"/>
    <w:rsid w:val="28A34DFC"/>
    <w:rsid w:val="28A510BF"/>
    <w:rsid w:val="28A83AC0"/>
    <w:rsid w:val="28B02EAE"/>
    <w:rsid w:val="28BB71ED"/>
    <w:rsid w:val="28BD5422"/>
    <w:rsid w:val="28C10F40"/>
    <w:rsid w:val="28C26AB8"/>
    <w:rsid w:val="28D3157A"/>
    <w:rsid w:val="28DD1419"/>
    <w:rsid w:val="28E278F9"/>
    <w:rsid w:val="28EE6801"/>
    <w:rsid w:val="29072F3B"/>
    <w:rsid w:val="290A346E"/>
    <w:rsid w:val="29165E70"/>
    <w:rsid w:val="292607D1"/>
    <w:rsid w:val="2927283C"/>
    <w:rsid w:val="29323A24"/>
    <w:rsid w:val="29337F23"/>
    <w:rsid w:val="295A3D79"/>
    <w:rsid w:val="295D65D5"/>
    <w:rsid w:val="29622B06"/>
    <w:rsid w:val="296576F6"/>
    <w:rsid w:val="296A1D5A"/>
    <w:rsid w:val="296A4D8D"/>
    <w:rsid w:val="296E2F78"/>
    <w:rsid w:val="29712D49"/>
    <w:rsid w:val="29824AE9"/>
    <w:rsid w:val="298940D8"/>
    <w:rsid w:val="298E633C"/>
    <w:rsid w:val="299D4E00"/>
    <w:rsid w:val="29A14700"/>
    <w:rsid w:val="29C43926"/>
    <w:rsid w:val="29D3225F"/>
    <w:rsid w:val="29E20B5A"/>
    <w:rsid w:val="29E81E99"/>
    <w:rsid w:val="29EC43E2"/>
    <w:rsid w:val="29F82648"/>
    <w:rsid w:val="2A0E1BCD"/>
    <w:rsid w:val="2A24668B"/>
    <w:rsid w:val="2A4D2BDE"/>
    <w:rsid w:val="2A4E7CE0"/>
    <w:rsid w:val="2A5724C8"/>
    <w:rsid w:val="2A5E0E0E"/>
    <w:rsid w:val="2A5E570F"/>
    <w:rsid w:val="2A785209"/>
    <w:rsid w:val="2A792AFC"/>
    <w:rsid w:val="2A8B565F"/>
    <w:rsid w:val="2A8D5BA7"/>
    <w:rsid w:val="2A93333B"/>
    <w:rsid w:val="2A957C66"/>
    <w:rsid w:val="2AAC1C74"/>
    <w:rsid w:val="2ABB5AA9"/>
    <w:rsid w:val="2AC56749"/>
    <w:rsid w:val="2AEA1622"/>
    <w:rsid w:val="2AEE444B"/>
    <w:rsid w:val="2AEE4FFE"/>
    <w:rsid w:val="2B065866"/>
    <w:rsid w:val="2B0A7047"/>
    <w:rsid w:val="2B0C1AC3"/>
    <w:rsid w:val="2B0E74C0"/>
    <w:rsid w:val="2B163BA8"/>
    <w:rsid w:val="2B364400"/>
    <w:rsid w:val="2B3F3A31"/>
    <w:rsid w:val="2B43250A"/>
    <w:rsid w:val="2B4D3F14"/>
    <w:rsid w:val="2B4E174F"/>
    <w:rsid w:val="2B560435"/>
    <w:rsid w:val="2B586C2C"/>
    <w:rsid w:val="2B5F35AA"/>
    <w:rsid w:val="2B76362B"/>
    <w:rsid w:val="2B955C37"/>
    <w:rsid w:val="2B9609D1"/>
    <w:rsid w:val="2BA94A1C"/>
    <w:rsid w:val="2BBB55C1"/>
    <w:rsid w:val="2BC96A98"/>
    <w:rsid w:val="2BE1588C"/>
    <w:rsid w:val="2BF44F91"/>
    <w:rsid w:val="2BF922EB"/>
    <w:rsid w:val="2C0C7F79"/>
    <w:rsid w:val="2C23027A"/>
    <w:rsid w:val="2C2B4B8F"/>
    <w:rsid w:val="2C32240E"/>
    <w:rsid w:val="2C3B4426"/>
    <w:rsid w:val="2C3D4920"/>
    <w:rsid w:val="2C4332FB"/>
    <w:rsid w:val="2C4C5D1A"/>
    <w:rsid w:val="2C536314"/>
    <w:rsid w:val="2C580D02"/>
    <w:rsid w:val="2C65077C"/>
    <w:rsid w:val="2C703D66"/>
    <w:rsid w:val="2C7426BF"/>
    <w:rsid w:val="2C757A16"/>
    <w:rsid w:val="2C8A38E8"/>
    <w:rsid w:val="2CC2454E"/>
    <w:rsid w:val="2CC85B24"/>
    <w:rsid w:val="2CD7321C"/>
    <w:rsid w:val="2CDB7141"/>
    <w:rsid w:val="2CEA5B2D"/>
    <w:rsid w:val="2D21524B"/>
    <w:rsid w:val="2D2C3196"/>
    <w:rsid w:val="2D352CC7"/>
    <w:rsid w:val="2D3D524F"/>
    <w:rsid w:val="2D453E5D"/>
    <w:rsid w:val="2D5735E2"/>
    <w:rsid w:val="2D5C4624"/>
    <w:rsid w:val="2D661466"/>
    <w:rsid w:val="2D67693D"/>
    <w:rsid w:val="2D7C5F20"/>
    <w:rsid w:val="2D7E3C87"/>
    <w:rsid w:val="2D837574"/>
    <w:rsid w:val="2D9C44AA"/>
    <w:rsid w:val="2DA2079F"/>
    <w:rsid w:val="2DAF5A8E"/>
    <w:rsid w:val="2DBE671C"/>
    <w:rsid w:val="2DC241F2"/>
    <w:rsid w:val="2DCF1479"/>
    <w:rsid w:val="2DD51DCC"/>
    <w:rsid w:val="2DD82143"/>
    <w:rsid w:val="2DE531DA"/>
    <w:rsid w:val="2DED26E2"/>
    <w:rsid w:val="2DEE2BC3"/>
    <w:rsid w:val="2E0A0B50"/>
    <w:rsid w:val="2E2F22AE"/>
    <w:rsid w:val="2E312557"/>
    <w:rsid w:val="2E33306A"/>
    <w:rsid w:val="2E3A06FC"/>
    <w:rsid w:val="2E4069D2"/>
    <w:rsid w:val="2E6D090A"/>
    <w:rsid w:val="2E8D5457"/>
    <w:rsid w:val="2E945035"/>
    <w:rsid w:val="2E951990"/>
    <w:rsid w:val="2EC16D9F"/>
    <w:rsid w:val="2ECB781E"/>
    <w:rsid w:val="2ECE71D8"/>
    <w:rsid w:val="2ED708F9"/>
    <w:rsid w:val="2EDB6F13"/>
    <w:rsid w:val="2EDC76B4"/>
    <w:rsid w:val="2EE5531D"/>
    <w:rsid w:val="2EF81098"/>
    <w:rsid w:val="2EF873EF"/>
    <w:rsid w:val="2F00639B"/>
    <w:rsid w:val="2F020177"/>
    <w:rsid w:val="2F116B0A"/>
    <w:rsid w:val="2F2A6DF6"/>
    <w:rsid w:val="2F2B62A5"/>
    <w:rsid w:val="2F2C3B30"/>
    <w:rsid w:val="2F363704"/>
    <w:rsid w:val="2F442DD7"/>
    <w:rsid w:val="2F4B2CA0"/>
    <w:rsid w:val="2F4E0DAB"/>
    <w:rsid w:val="2F507CD5"/>
    <w:rsid w:val="2F5A4236"/>
    <w:rsid w:val="2F630A41"/>
    <w:rsid w:val="2F67120C"/>
    <w:rsid w:val="2F6F34DE"/>
    <w:rsid w:val="2F700F60"/>
    <w:rsid w:val="2F794881"/>
    <w:rsid w:val="2F9857DE"/>
    <w:rsid w:val="2F9E1B1D"/>
    <w:rsid w:val="2FA36462"/>
    <w:rsid w:val="2FA454C3"/>
    <w:rsid w:val="2FAA7E40"/>
    <w:rsid w:val="2FCF0A5E"/>
    <w:rsid w:val="2FD13557"/>
    <w:rsid w:val="2FD353A7"/>
    <w:rsid w:val="2FDE3666"/>
    <w:rsid w:val="2FE931A8"/>
    <w:rsid w:val="2FEC7D3B"/>
    <w:rsid w:val="2FED3948"/>
    <w:rsid w:val="2FF15848"/>
    <w:rsid w:val="2FFB6945"/>
    <w:rsid w:val="2FFE5C89"/>
    <w:rsid w:val="30005399"/>
    <w:rsid w:val="300F1568"/>
    <w:rsid w:val="30251EBA"/>
    <w:rsid w:val="303142B1"/>
    <w:rsid w:val="30451180"/>
    <w:rsid w:val="30613A3D"/>
    <w:rsid w:val="30674328"/>
    <w:rsid w:val="306961C1"/>
    <w:rsid w:val="30745F86"/>
    <w:rsid w:val="307B3DFF"/>
    <w:rsid w:val="308F2E68"/>
    <w:rsid w:val="30A30D45"/>
    <w:rsid w:val="30A779B6"/>
    <w:rsid w:val="30C32F05"/>
    <w:rsid w:val="30C45E54"/>
    <w:rsid w:val="30DF4B93"/>
    <w:rsid w:val="30E679B2"/>
    <w:rsid w:val="30F04489"/>
    <w:rsid w:val="31132427"/>
    <w:rsid w:val="3122501F"/>
    <w:rsid w:val="31343B78"/>
    <w:rsid w:val="313D0912"/>
    <w:rsid w:val="313D33F8"/>
    <w:rsid w:val="31406FDD"/>
    <w:rsid w:val="31512052"/>
    <w:rsid w:val="31531C65"/>
    <w:rsid w:val="31585B88"/>
    <w:rsid w:val="315E381C"/>
    <w:rsid w:val="315E39DD"/>
    <w:rsid w:val="31600DF0"/>
    <w:rsid w:val="317B5B3D"/>
    <w:rsid w:val="31815409"/>
    <w:rsid w:val="318A6A0B"/>
    <w:rsid w:val="318C1146"/>
    <w:rsid w:val="31AD0982"/>
    <w:rsid w:val="31B92A4B"/>
    <w:rsid w:val="31BA5AE0"/>
    <w:rsid w:val="31C439B2"/>
    <w:rsid w:val="31CF3C4B"/>
    <w:rsid w:val="31D720D1"/>
    <w:rsid w:val="31E10B15"/>
    <w:rsid w:val="31F53789"/>
    <w:rsid w:val="320C360F"/>
    <w:rsid w:val="32186917"/>
    <w:rsid w:val="321C0E0F"/>
    <w:rsid w:val="321E2B58"/>
    <w:rsid w:val="321F5F03"/>
    <w:rsid w:val="322453E3"/>
    <w:rsid w:val="3235075B"/>
    <w:rsid w:val="324046DF"/>
    <w:rsid w:val="32445586"/>
    <w:rsid w:val="32543916"/>
    <w:rsid w:val="32572F13"/>
    <w:rsid w:val="325A4124"/>
    <w:rsid w:val="326E0BDC"/>
    <w:rsid w:val="326F76CF"/>
    <w:rsid w:val="32751C28"/>
    <w:rsid w:val="32787431"/>
    <w:rsid w:val="32843096"/>
    <w:rsid w:val="328672F4"/>
    <w:rsid w:val="32923950"/>
    <w:rsid w:val="32973B20"/>
    <w:rsid w:val="32A61CB5"/>
    <w:rsid w:val="32AC282F"/>
    <w:rsid w:val="32D64384"/>
    <w:rsid w:val="32D912CC"/>
    <w:rsid w:val="32E760D0"/>
    <w:rsid w:val="32E9091D"/>
    <w:rsid w:val="32EF07BF"/>
    <w:rsid w:val="33016E3F"/>
    <w:rsid w:val="330368FF"/>
    <w:rsid w:val="33064502"/>
    <w:rsid w:val="330D50B8"/>
    <w:rsid w:val="330F716E"/>
    <w:rsid w:val="33131869"/>
    <w:rsid w:val="33185CB6"/>
    <w:rsid w:val="33253C7E"/>
    <w:rsid w:val="33267CA5"/>
    <w:rsid w:val="3344327C"/>
    <w:rsid w:val="33590BA9"/>
    <w:rsid w:val="335D7E9A"/>
    <w:rsid w:val="3364345F"/>
    <w:rsid w:val="336B2DEA"/>
    <w:rsid w:val="337820FF"/>
    <w:rsid w:val="338053F6"/>
    <w:rsid w:val="33847294"/>
    <w:rsid w:val="33885AE1"/>
    <w:rsid w:val="338B2715"/>
    <w:rsid w:val="339616AF"/>
    <w:rsid w:val="33A04C0E"/>
    <w:rsid w:val="33A61BFC"/>
    <w:rsid w:val="33B029C4"/>
    <w:rsid w:val="33C52F88"/>
    <w:rsid w:val="33CB3AA4"/>
    <w:rsid w:val="33D17B1C"/>
    <w:rsid w:val="33D5403C"/>
    <w:rsid w:val="33ED2723"/>
    <w:rsid w:val="33F425AD"/>
    <w:rsid w:val="33FA2A7F"/>
    <w:rsid w:val="340856A5"/>
    <w:rsid w:val="34104588"/>
    <w:rsid w:val="34257C99"/>
    <w:rsid w:val="343B3CF9"/>
    <w:rsid w:val="344C40F4"/>
    <w:rsid w:val="3464626C"/>
    <w:rsid w:val="34684B19"/>
    <w:rsid w:val="3478662A"/>
    <w:rsid w:val="34A07622"/>
    <w:rsid w:val="34A76D14"/>
    <w:rsid w:val="34B73501"/>
    <w:rsid w:val="34B961E7"/>
    <w:rsid w:val="34C21262"/>
    <w:rsid w:val="34D91922"/>
    <w:rsid w:val="34DD5DDC"/>
    <w:rsid w:val="34E5036A"/>
    <w:rsid w:val="35024EF4"/>
    <w:rsid w:val="35026F4B"/>
    <w:rsid w:val="350C4572"/>
    <w:rsid w:val="350D2195"/>
    <w:rsid w:val="35124F52"/>
    <w:rsid w:val="351A7AC4"/>
    <w:rsid w:val="351F3431"/>
    <w:rsid w:val="352F0622"/>
    <w:rsid w:val="35460AE2"/>
    <w:rsid w:val="35470FDA"/>
    <w:rsid w:val="355105C3"/>
    <w:rsid w:val="35613C72"/>
    <w:rsid w:val="3562308E"/>
    <w:rsid w:val="35661CE5"/>
    <w:rsid w:val="3566572C"/>
    <w:rsid w:val="356D5A8B"/>
    <w:rsid w:val="358344CE"/>
    <w:rsid w:val="35CB0DC5"/>
    <w:rsid w:val="35D14E46"/>
    <w:rsid w:val="35D812B2"/>
    <w:rsid w:val="35E77282"/>
    <w:rsid w:val="35FB7DFD"/>
    <w:rsid w:val="35FD5D73"/>
    <w:rsid w:val="36047B5A"/>
    <w:rsid w:val="360714B4"/>
    <w:rsid w:val="360B765A"/>
    <w:rsid w:val="360B7EBA"/>
    <w:rsid w:val="36207B3E"/>
    <w:rsid w:val="3624278B"/>
    <w:rsid w:val="3624699F"/>
    <w:rsid w:val="36320E09"/>
    <w:rsid w:val="36486B8E"/>
    <w:rsid w:val="36587B4A"/>
    <w:rsid w:val="367F5729"/>
    <w:rsid w:val="369A64A4"/>
    <w:rsid w:val="36CF2E9B"/>
    <w:rsid w:val="36D257C1"/>
    <w:rsid w:val="36D92422"/>
    <w:rsid w:val="36E645B9"/>
    <w:rsid w:val="36F31F8F"/>
    <w:rsid w:val="3730623F"/>
    <w:rsid w:val="37321FDF"/>
    <w:rsid w:val="373D472E"/>
    <w:rsid w:val="3741513F"/>
    <w:rsid w:val="374416F7"/>
    <w:rsid w:val="375D35E9"/>
    <w:rsid w:val="37613080"/>
    <w:rsid w:val="37676AF2"/>
    <w:rsid w:val="377C6467"/>
    <w:rsid w:val="37B26414"/>
    <w:rsid w:val="37F007B1"/>
    <w:rsid w:val="37F540B5"/>
    <w:rsid w:val="37F54EB0"/>
    <w:rsid w:val="37F75CB4"/>
    <w:rsid w:val="380B6A76"/>
    <w:rsid w:val="38127800"/>
    <w:rsid w:val="382562D0"/>
    <w:rsid w:val="38283789"/>
    <w:rsid w:val="38576CEB"/>
    <w:rsid w:val="385F2AD8"/>
    <w:rsid w:val="38623494"/>
    <w:rsid w:val="38632701"/>
    <w:rsid w:val="386A108F"/>
    <w:rsid w:val="388E48C3"/>
    <w:rsid w:val="38A70FC0"/>
    <w:rsid w:val="38B070DD"/>
    <w:rsid w:val="38B33D55"/>
    <w:rsid w:val="38B87172"/>
    <w:rsid w:val="38B97C78"/>
    <w:rsid w:val="38BD7BC3"/>
    <w:rsid w:val="38C44830"/>
    <w:rsid w:val="38E42B66"/>
    <w:rsid w:val="38F261FA"/>
    <w:rsid w:val="39213164"/>
    <w:rsid w:val="39280D76"/>
    <w:rsid w:val="393E42B9"/>
    <w:rsid w:val="393E44F9"/>
    <w:rsid w:val="39490520"/>
    <w:rsid w:val="39504729"/>
    <w:rsid w:val="395241E1"/>
    <w:rsid w:val="3965768A"/>
    <w:rsid w:val="396E7247"/>
    <w:rsid w:val="397855D8"/>
    <w:rsid w:val="39871BE1"/>
    <w:rsid w:val="3988503F"/>
    <w:rsid w:val="39A30E92"/>
    <w:rsid w:val="39A319BA"/>
    <w:rsid w:val="39A737B7"/>
    <w:rsid w:val="39A76DB3"/>
    <w:rsid w:val="39C36336"/>
    <w:rsid w:val="39CE2AE6"/>
    <w:rsid w:val="39CF2763"/>
    <w:rsid w:val="39DE09C7"/>
    <w:rsid w:val="39F93BB6"/>
    <w:rsid w:val="3A07292F"/>
    <w:rsid w:val="3A191B53"/>
    <w:rsid w:val="3A1D75D9"/>
    <w:rsid w:val="3A1F41AF"/>
    <w:rsid w:val="3A2562E0"/>
    <w:rsid w:val="3A2727FF"/>
    <w:rsid w:val="3A4549D4"/>
    <w:rsid w:val="3A4B3532"/>
    <w:rsid w:val="3A4D68B5"/>
    <w:rsid w:val="3A6A61E5"/>
    <w:rsid w:val="3A6C5593"/>
    <w:rsid w:val="3A6E0E76"/>
    <w:rsid w:val="3A6E2AE6"/>
    <w:rsid w:val="3A755744"/>
    <w:rsid w:val="3A762812"/>
    <w:rsid w:val="3A7C26CE"/>
    <w:rsid w:val="3A7E47C2"/>
    <w:rsid w:val="3A8535D4"/>
    <w:rsid w:val="3A8730BD"/>
    <w:rsid w:val="3A9320B2"/>
    <w:rsid w:val="3A993EAE"/>
    <w:rsid w:val="3A9A0838"/>
    <w:rsid w:val="3A9E4591"/>
    <w:rsid w:val="3AA605EF"/>
    <w:rsid w:val="3AAE3B98"/>
    <w:rsid w:val="3ACF4F86"/>
    <w:rsid w:val="3AD34590"/>
    <w:rsid w:val="3AE04ECC"/>
    <w:rsid w:val="3AE86FEB"/>
    <w:rsid w:val="3AF0462A"/>
    <w:rsid w:val="3B041454"/>
    <w:rsid w:val="3B0C4680"/>
    <w:rsid w:val="3B3A3C7B"/>
    <w:rsid w:val="3B3F3F1F"/>
    <w:rsid w:val="3B410F7A"/>
    <w:rsid w:val="3B4A2152"/>
    <w:rsid w:val="3B553864"/>
    <w:rsid w:val="3B7048CF"/>
    <w:rsid w:val="3B7201D0"/>
    <w:rsid w:val="3B7364AD"/>
    <w:rsid w:val="3B881A4B"/>
    <w:rsid w:val="3BAB16D9"/>
    <w:rsid w:val="3BB5745C"/>
    <w:rsid w:val="3BB82377"/>
    <w:rsid w:val="3BBF031D"/>
    <w:rsid w:val="3BCD5F5B"/>
    <w:rsid w:val="3BDF1CA6"/>
    <w:rsid w:val="3BE23573"/>
    <w:rsid w:val="3BE600BA"/>
    <w:rsid w:val="3BFA2B13"/>
    <w:rsid w:val="3C146221"/>
    <w:rsid w:val="3C174661"/>
    <w:rsid w:val="3C2A2BCD"/>
    <w:rsid w:val="3C2C6A0F"/>
    <w:rsid w:val="3C3114A8"/>
    <w:rsid w:val="3C331D32"/>
    <w:rsid w:val="3C333E8E"/>
    <w:rsid w:val="3C36384E"/>
    <w:rsid w:val="3C3663D5"/>
    <w:rsid w:val="3C3D4BF9"/>
    <w:rsid w:val="3C434D28"/>
    <w:rsid w:val="3C4563F6"/>
    <w:rsid w:val="3C471EB4"/>
    <w:rsid w:val="3C54700A"/>
    <w:rsid w:val="3C5A141B"/>
    <w:rsid w:val="3C5F49D0"/>
    <w:rsid w:val="3C6258F5"/>
    <w:rsid w:val="3C6A4001"/>
    <w:rsid w:val="3C706CBC"/>
    <w:rsid w:val="3C7F11EE"/>
    <w:rsid w:val="3C872C05"/>
    <w:rsid w:val="3C885B72"/>
    <w:rsid w:val="3CC9045E"/>
    <w:rsid w:val="3CCA2A44"/>
    <w:rsid w:val="3CCE0218"/>
    <w:rsid w:val="3CD01ACD"/>
    <w:rsid w:val="3CD71724"/>
    <w:rsid w:val="3CEB75EB"/>
    <w:rsid w:val="3CEC592E"/>
    <w:rsid w:val="3CEF33C2"/>
    <w:rsid w:val="3CF103F3"/>
    <w:rsid w:val="3CF47A8D"/>
    <w:rsid w:val="3D1D2101"/>
    <w:rsid w:val="3D250AC3"/>
    <w:rsid w:val="3D307922"/>
    <w:rsid w:val="3D3164B8"/>
    <w:rsid w:val="3D351B7B"/>
    <w:rsid w:val="3D3A3375"/>
    <w:rsid w:val="3D3B0201"/>
    <w:rsid w:val="3D534777"/>
    <w:rsid w:val="3D6010F6"/>
    <w:rsid w:val="3D61514A"/>
    <w:rsid w:val="3D6864CD"/>
    <w:rsid w:val="3D6A1AB6"/>
    <w:rsid w:val="3D6F7148"/>
    <w:rsid w:val="3D770A97"/>
    <w:rsid w:val="3D9125C3"/>
    <w:rsid w:val="3D972703"/>
    <w:rsid w:val="3D9E676C"/>
    <w:rsid w:val="3DA10221"/>
    <w:rsid w:val="3DA13429"/>
    <w:rsid w:val="3DAD28F8"/>
    <w:rsid w:val="3DBA5484"/>
    <w:rsid w:val="3DC426E4"/>
    <w:rsid w:val="3DCE38DA"/>
    <w:rsid w:val="3DE113AA"/>
    <w:rsid w:val="3DFB39F0"/>
    <w:rsid w:val="3DFB4E05"/>
    <w:rsid w:val="3E023B53"/>
    <w:rsid w:val="3E20799C"/>
    <w:rsid w:val="3E2A2375"/>
    <w:rsid w:val="3E2B01B3"/>
    <w:rsid w:val="3E30684F"/>
    <w:rsid w:val="3E347862"/>
    <w:rsid w:val="3E3C5BB6"/>
    <w:rsid w:val="3E3F7B4F"/>
    <w:rsid w:val="3E5B6DAC"/>
    <w:rsid w:val="3E5F0364"/>
    <w:rsid w:val="3E6658A5"/>
    <w:rsid w:val="3E741175"/>
    <w:rsid w:val="3E8A1DCA"/>
    <w:rsid w:val="3E960007"/>
    <w:rsid w:val="3E9F580A"/>
    <w:rsid w:val="3EB3456B"/>
    <w:rsid w:val="3ED70E14"/>
    <w:rsid w:val="3EE37E15"/>
    <w:rsid w:val="3F116813"/>
    <w:rsid w:val="3F1E43C1"/>
    <w:rsid w:val="3F27452A"/>
    <w:rsid w:val="3F2E2097"/>
    <w:rsid w:val="3F32447F"/>
    <w:rsid w:val="3F3C735C"/>
    <w:rsid w:val="3F4E0E53"/>
    <w:rsid w:val="3F5070EA"/>
    <w:rsid w:val="3F5B5C7D"/>
    <w:rsid w:val="3F6727CC"/>
    <w:rsid w:val="3F6F099C"/>
    <w:rsid w:val="3F765BF4"/>
    <w:rsid w:val="3F793D94"/>
    <w:rsid w:val="3F83623C"/>
    <w:rsid w:val="3F845593"/>
    <w:rsid w:val="3F850B3C"/>
    <w:rsid w:val="3FB8290A"/>
    <w:rsid w:val="3FC66A3A"/>
    <w:rsid w:val="3FCC2AE9"/>
    <w:rsid w:val="3FD1113F"/>
    <w:rsid w:val="3FD16E9E"/>
    <w:rsid w:val="3FF03240"/>
    <w:rsid w:val="4007654E"/>
    <w:rsid w:val="40173E32"/>
    <w:rsid w:val="401A76EA"/>
    <w:rsid w:val="402E3A57"/>
    <w:rsid w:val="4034459A"/>
    <w:rsid w:val="403452BB"/>
    <w:rsid w:val="403C5FB5"/>
    <w:rsid w:val="40400B01"/>
    <w:rsid w:val="404037AD"/>
    <w:rsid w:val="406002B2"/>
    <w:rsid w:val="40676716"/>
    <w:rsid w:val="406B5BA4"/>
    <w:rsid w:val="406D4032"/>
    <w:rsid w:val="40824844"/>
    <w:rsid w:val="40916134"/>
    <w:rsid w:val="40A457A7"/>
    <w:rsid w:val="40A46A95"/>
    <w:rsid w:val="40A844ED"/>
    <w:rsid w:val="40B26271"/>
    <w:rsid w:val="40B80B71"/>
    <w:rsid w:val="40C37A36"/>
    <w:rsid w:val="40D12704"/>
    <w:rsid w:val="40EB0F26"/>
    <w:rsid w:val="40EC1DFE"/>
    <w:rsid w:val="40F3109D"/>
    <w:rsid w:val="40F75C3B"/>
    <w:rsid w:val="40F97454"/>
    <w:rsid w:val="40FD5B94"/>
    <w:rsid w:val="410201BD"/>
    <w:rsid w:val="41031F44"/>
    <w:rsid w:val="41080C89"/>
    <w:rsid w:val="412F080D"/>
    <w:rsid w:val="41414D13"/>
    <w:rsid w:val="41431331"/>
    <w:rsid w:val="414D7E6F"/>
    <w:rsid w:val="416003E2"/>
    <w:rsid w:val="416E0A4F"/>
    <w:rsid w:val="41A0349B"/>
    <w:rsid w:val="41B15F81"/>
    <w:rsid w:val="41B525D9"/>
    <w:rsid w:val="41C75D77"/>
    <w:rsid w:val="41CB2833"/>
    <w:rsid w:val="41DB4F86"/>
    <w:rsid w:val="41E160FF"/>
    <w:rsid w:val="41E43129"/>
    <w:rsid w:val="41E86D31"/>
    <w:rsid w:val="41FA4601"/>
    <w:rsid w:val="41FF7556"/>
    <w:rsid w:val="421161EE"/>
    <w:rsid w:val="42215FE5"/>
    <w:rsid w:val="42265026"/>
    <w:rsid w:val="42271215"/>
    <w:rsid w:val="422827DC"/>
    <w:rsid w:val="423479AA"/>
    <w:rsid w:val="423B2D4D"/>
    <w:rsid w:val="42417DA8"/>
    <w:rsid w:val="424336D6"/>
    <w:rsid w:val="4252375D"/>
    <w:rsid w:val="426623FD"/>
    <w:rsid w:val="42775C22"/>
    <w:rsid w:val="42823484"/>
    <w:rsid w:val="42907AB7"/>
    <w:rsid w:val="42A0619D"/>
    <w:rsid w:val="42BC5D57"/>
    <w:rsid w:val="42BE1A1F"/>
    <w:rsid w:val="42C61D78"/>
    <w:rsid w:val="42CB0045"/>
    <w:rsid w:val="42D21748"/>
    <w:rsid w:val="42D22310"/>
    <w:rsid w:val="42D619F5"/>
    <w:rsid w:val="43085783"/>
    <w:rsid w:val="4314588A"/>
    <w:rsid w:val="43171DBB"/>
    <w:rsid w:val="43174A14"/>
    <w:rsid w:val="43185AD2"/>
    <w:rsid w:val="431F199F"/>
    <w:rsid w:val="431F6040"/>
    <w:rsid w:val="43314560"/>
    <w:rsid w:val="43345A01"/>
    <w:rsid w:val="43425EDA"/>
    <w:rsid w:val="43510322"/>
    <w:rsid w:val="435814B5"/>
    <w:rsid w:val="435D62E7"/>
    <w:rsid w:val="435E7F8F"/>
    <w:rsid w:val="435F34D3"/>
    <w:rsid w:val="436A24EF"/>
    <w:rsid w:val="436B1B8C"/>
    <w:rsid w:val="438E2284"/>
    <w:rsid w:val="438F3DDE"/>
    <w:rsid w:val="43960513"/>
    <w:rsid w:val="439F4A0C"/>
    <w:rsid w:val="43CA186B"/>
    <w:rsid w:val="43CD497D"/>
    <w:rsid w:val="43D21CA5"/>
    <w:rsid w:val="43D22F37"/>
    <w:rsid w:val="43D83C99"/>
    <w:rsid w:val="43DA3728"/>
    <w:rsid w:val="43DF1C60"/>
    <w:rsid w:val="43EE32A7"/>
    <w:rsid w:val="43EF2400"/>
    <w:rsid w:val="43F7188F"/>
    <w:rsid w:val="441D6760"/>
    <w:rsid w:val="441E0974"/>
    <w:rsid w:val="4422048F"/>
    <w:rsid w:val="442B45AA"/>
    <w:rsid w:val="444842A6"/>
    <w:rsid w:val="446C7CDE"/>
    <w:rsid w:val="44863EF6"/>
    <w:rsid w:val="44960B84"/>
    <w:rsid w:val="44AE0556"/>
    <w:rsid w:val="44C879E9"/>
    <w:rsid w:val="44C9660E"/>
    <w:rsid w:val="44D91E82"/>
    <w:rsid w:val="44DE54E3"/>
    <w:rsid w:val="44FF683E"/>
    <w:rsid w:val="45124F88"/>
    <w:rsid w:val="451B25D9"/>
    <w:rsid w:val="451C7BB5"/>
    <w:rsid w:val="45295CB7"/>
    <w:rsid w:val="454432E8"/>
    <w:rsid w:val="454C333B"/>
    <w:rsid w:val="45513717"/>
    <w:rsid w:val="45606AFD"/>
    <w:rsid w:val="45714ECB"/>
    <w:rsid w:val="45904AEA"/>
    <w:rsid w:val="45A6216E"/>
    <w:rsid w:val="45AC4DBE"/>
    <w:rsid w:val="45B4385C"/>
    <w:rsid w:val="45CD3A13"/>
    <w:rsid w:val="45D902C6"/>
    <w:rsid w:val="45DB4DAE"/>
    <w:rsid w:val="45E171B1"/>
    <w:rsid w:val="45E44E55"/>
    <w:rsid w:val="45E523F9"/>
    <w:rsid w:val="45EB2796"/>
    <w:rsid w:val="461A74D8"/>
    <w:rsid w:val="461E05C0"/>
    <w:rsid w:val="46226563"/>
    <w:rsid w:val="462E312C"/>
    <w:rsid w:val="46431EF0"/>
    <w:rsid w:val="465602CF"/>
    <w:rsid w:val="466E6E93"/>
    <w:rsid w:val="467D5D0D"/>
    <w:rsid w:val="467E6C9D"/>
    <w:rsid w:val="46986925"/>
    <w:rsid w:val="46B771C2"/>
    <w:rsid w:val="46CD22F1"/>
    <w:rsid w:val="46E12576"/>
    <w:rsid w:val="46E54BFA"/>
    <w:rsid w:val="46F129BD"/>
    <w:rsid w:val="470C1B02"/>
    <w:rsid w:val="472B0583"/>
    <w:rsid w:val="47346CE1"/>
    <w:rsid w:val="474F593B"/>
    <w:rsid w:val="47562FF9"/>
    <w:rsid w:val="475D7214"/>
    <w:rsid w:val="476262F0"/>
    <w:rsid w:val="47665732"/>
    <w:rsid w:val="47823A67"/>
    <w:rsid w:val="4786091C"/>
    <w:rsid w:val="47977DDE"/>
    <w:rsid w:val="479C591D"/>
    <w:rsid w:val="47A210E7"/>
    <w:rsid w:val="47A741D2"/>
    <w:rsid w:val="47B840FC"/>
    <w:rsid w:val="47B9074B"/>
    <w:rsid w:val="47E56887"/>
    <w:rsid w:val="47EE163B"/>
    <w:rsid w:val="47FF5949"/>
    <w:rsid w:val="480A1B30"/>
    <w:rsid w:val="48104EC7"/>
    <w:rsid w:val="482E4477"/>
    <w:rsid w:val="483C0918"/>
    <w:rsid w:val="48603582"/>
    <w:rsid w:val="487C084B"/>
    <w:rsid w:val="487F1A3B"/>
    <w:rsid w:val="48896EB8"/>
    <w:rsid w:val="48925A9D"/>
    <w:rsid w:val="48A44149"/>
    <w:rsid w:val="48A82AC4"/>
    <w:rsid w:val="48A96CF2"/>
    <w:rsid w:val="48AC74A2"/>
    <w:rsid w:val="48CA33FC"/>
    <w:rsid w:val="48CA4EBA"/>
    <w:rsid w:val="48DB0037"/>
    <w:rsid w:val="48E0145B"/>
    <w:rsid w:val="48E47864"/>
    <w:rsid w:val="48E51A27"/>
    <w:rsid w:val="48E80ECD"/>
    <w:rsid w:val="48F254BA"/>
    <w:rsid w:val="48F820C2"/>
    <w:rsid w:val="48FD2562"/>
    <w:rsid w:val="48FF2C16"/>
    <w:rsid w:val="490D4E59"/>
    <w:rsid w:val="493A4506"/>
    <w:rsid w:val="493B6901"/>
    <w:rsid w:val="493D3892"/>
    <w:rsid w:val="49532C77"/>
    <w:rsid w:val="496E1075"/>
    <w:rsid w:val="497343BA"/>
    <w:rsid w:val="497A185C"/>
    <w:rsid w:val="497E161C"/>
    <w:rsid w:val="49883C95"/>
    <w:rsid w:val="498D4DA2"/>
    <w:rsid w:val="498F00F1"/>
    <w:rsid w:val="49A36093"/>
    <w:rsid w:val="49A42173"/>
    <w:rsid w:val="49A53041"/>
    <w:rsid w:val="49A6186C"/>
    <w:rsid w:val="49BA6A07"/>
    <w:rsid w:val="49C61E4B"/>
    <w:rsid w:val="49C90911"/>
    <w:rsid w:val="49F354A6"/>
    <w:rsid w:val="4A02511C"/>
    <w:rsid w:val="4A0544A7"/>
    <w:rsid w:val="4A1273FE"/>
    <w:rsid w:val="4A13006F"/>
    <w:rsid w:val="4A133393"/>
    <w:rsid w:val="4A1456A9"/>
    <w:rsid w:val="4A235520"/>
    <w:rsid w:val="4A245F1F"/>
    <w:rsid w:val="4A285963"/>
    <w:rsid w:val="4A2F1464"/>
    <w:rsid w:val="4A330B35"/>
    <w:rsid w:val="4A3378C0"/>
    <w:rsid w:val="4A386D3E"/>
    <w:rsid w:val="4A531A36"/>
    <w:rsid w:val="4A606051"/>
    <w:rsid w:val="4A6228D4"/>
    <w:rsid w:val="4A643733"/>
    <w:rsid w:val="4A6C5457"/>
    <w:rsid w:val="4A701E62"/>
    <w:rsid w:val="4A705F1D"/>
    <w:rsid w:val="4A715312"/>
    <w:rsid w:val="4A761A1E"/>
    <w:rsid w:val="4A7A348A"/>
    <w:rsid w:val="4A82093D"/>
    <w:rsid w:val="4A833680"/>
    <w:rsid w:val="4A86121C"/>
    <w:rsid w:val="4A953D40"/>
    <w:rsid w:val="4AB94525"/>
    <w:rsid w:val="4ACF1F99"/>
    <w:rsid w:val="4AD31ED6"/>
    <w:rsid w:val="4AD86E8F"/>
    <w:rsid w:val="4AEF0D86"/>
    <w:rsid w:val="4AF316AA"/>
    <w:rsid w:val="4AF8490A"/>
    <w:rsid w:val="4AF86256"/>
    <w:rsid w:val="4B005162"/>
    <w:rsid w:val="4B064F57"/>
    <w:rsid w:val="4B134FF3"/>
    <w:rsid w:val="4B1B04EA"/>
    <w:rsid w:val="4B1F591B"/>
    <w:rsid w:val="4B2315E5"/>
    <w:rsid w:val="4B397B8B"/>
    <w:rsid w:val="4B3A0FFB"/>
    <w:rsid w:val="4B4575D1"/>
    <w:rsid w:val="4B493D5F"/>
    <w:rsid w:val="4B4E2DF0"/>
    <w:rsid w:val="4B5005D2"/>
    <w:rsid w:val="4B5A49AF"/>
    <w:rsid w:val="4B661483"/>
    <w:rsid w:val="4B6C3BD7"/>
    <w:rsid w:val="4B6E1CE9"/>
    <w:rsid w:val="4B8F7F0C"/>
    <w:rsid w:val="4B945C6E"/>
    <w:rsid w:val="4BB672A9"/>
    <w:rsid w:val="4BBD6D0E"/>
    <w:rsid w:val="4BC131CA"/>
    <w:rsid w:val="4BC164BE"/>
    <w:rsid w:val="4BC80A35"/>
    <w:rsid w:val="4BCB00D7"/>
    <w:rsid w:val="4BCE4481"/>
    <w:rsid w:val="4BDF483A"/>
    <w:rsid w:val="4BE60F1D"/>
    <w:rsid w:val="4C03306A"/>
    <w:rsid w:val="4C036D08"/>
    <w:rsid w:val="4C0528B7"/>
    <w:rsid w:val="4C136D16"/>
    <w:rsid w:val="4C2601D0"/>
    <w:rsid w:val="4C3D6DC3"/>
    <w:rsid w:val="4C3F37F8"/>
    <w:rsid w:val="4C587368"/>
    <w:rsid w:val="4C6D29CD"/>
    <w:rsid w:val="4C73380A"/>
    <w:rsid w:val="4C770CD3"/>
    <w:rsid w:val="4C786019"/>
    <w:rsid w:val="4C833986"/>
    <w:rsid w:val="4C892268"/>
    <w:rsid w:val="4C9452F7"/>
    <w:rsid w:val="4CA14B16"/>
    <w:rsid w:val="4CBE7AF6"/>
    <w:rsid w:val="4CC315D0"/>
    <w:rsid w:val="4CCA33A3"/>
    <w:rsid w:val="4CCE4130"/>
    <w:rsid w:val="4CD7577F"/>
    <w:rsid w:val="4CDB0356"/>
    <w:rsid w:val="4CDC3DFD"/>
    <w:rsid w:val="4D007DD7"/>
    <w:rsid w:val="4D035722"/>
    <w:rsid w:val="4D12625B"/>
    <w:rsid w:val="4D222FF5"/>
    <w:rsid w:val="4D283A8F"/>
    <w:rsid w:val="4D2F7151"/>
    <w:rsid w:val="4D30376E"/>
    <w:rsid w:val="4D375C10"/>
    <w:rsid w:val="4D38796C"/>
    <w:rsid w:val="4D3A66C7"/>
    <w:rsid w:val="4D4621D7"/>
    <w:rsid w:val="4D56228A"/>
    <w:rsid w:val="4D75035A"/>
    <w:rsid w:val="4D7B1601"/>
    <w:rsid w:val="4D867C85"/>
    <w:rsid w:val="4D8F6B47"/>
    <w:rsid w:val="4D99236A"/>
    <w:rsid w:val="4DA6664E"/>
    <w:rsid w:val="4DB04E83"/>
    <w:rsid w:val="4DB25222"/>
    <w:rsid w:val="4DB61435"/>
    <w:rsid w:val="4DB6381D"/>
    <w:rsid w:val="4DB732F9"/>
    <w:rsid w:val="4DC04760"/>
    <w:rsid w:val="4DC14C7F"/>
    <w:rsid w:val="4DCB0F30"/>
    <w:rsid w:val="4DD14275"/>
    <w:rsid w:val="4DD63A8A"/>
    <w:rsid w:val="4DDF134B"/>
    <w:rsid w:val="4DF82379"/>
    <w:rsid w:val="4E000105"/>
    <w:rsid w:val="4E073314"/>
    <w:rsid w:val="4E141324"/>
    <w:rsid w:val="4E1C7A36"/>
    <w:rsid w:val="4E5921C8"/>
    <w:rsid w:val="4E8A2A84"/>
    <w:rsid w:val="4E911017"/>
    <w:rsid w:val="4E9A6A77"/>
    <w:rsid w:val="4E9C3381"/>
    <w:rsid w:val="4E9F6B1E"/>
    <w:rsid w:val="4EAC3D58"/>
    <w:rsid w:val="4EAF1A6B"/>
    <w:rsid w:val="4EB46CAF"/>
    <w:rsid w:val="4EB720F5"/>
    <w:rsid w:val="4EC240BA"/>
    <w:rsid w:val="4EC474FB"/>
    <w:rsid w:val="4EC82DF3"/>
    <w:rsid w:val="4ED571E4"/>
    <w:rsid w:val="4EE62005"/>
    <w:rsid w:val="4EF44155"/>
    <w:rsid w:val="4EF709AE"/>
    <w:rsid w:val="4F0D49D3"/>
    <w:rsid w:val="4F0E6338"/>
    <w:rsid w:val="4F1D0D48"/>
    <w:rsid w:val="4F1E5B95"/>
    <w:rsid w:val="4F284043"/>
    <w:rsid w:val="4F2C19B9"/>
    <w:rsid w:val="4F2F46FB"/>
    <w:rsid w:val="4F414860"/>
    <w:rsid w:val="4F4872FA"/>
    <w:rsid w:val="4F4C2235"/>
    <w:rsid w:val="4F572324"/>
    <w:rsid w:val="4F5A4EBF"/>
    <w:rsid w:val="4F5C4722"/>
    <w:rsid w:val="4F6D122F"/>
    <w:rsid w:val="4F8A0296"/>
    <w:rsid w:val="4F8A1DFA"/>
    <w:rsid w:val="4FB01713"/>
    <w:rsid w:val="4FB46DB0"/>
    <w:rsid w:val="4FC07176"/>
    <w:rsid w:val="4FC975C9"/>
    <w:rsid w:val="4FCE7D02"/>
    <w:rsid w:val="4FD34497"/>
    <w:rsid w:val="4FF23975"/>
    <w:rsid w:val="4FF4763C"/>
    <w:rsid w:val="50096CAF"/>
    <w:rsid w:val="50111B23"/>
    <w:rsid w:val="501A5742"/>
    <w:rsid w:val="501D3492"/>
    <w:rsid w:val="502A6E5E"/>
    <w:rsid w:val="503D54B2"/>
    <w:rsid w:val="50483983"/>
    <w:rsid w:val="504E7544"/>
    <w:rsid w:val="506D3A82"/>
    <w:rsid w:val="5073598C"/>
    <w:rsid w:val="508112DE"/>
    <w:rsid w:val="50862F98"/>
    <w:rsid w:val="508825A3"/>
    <w:rsid w:val="50885E8D"/>
    <w:rsid w:val="508D58D4"/>
    <w:rsid w:val="5095136B"/>
    <w:rsid w:val="50993DAD"/>
    <w:rsid w:val="50C4213A"/>
    <w:rsid w:val="50C7646C"/>
    <w:rsid w:val="50CC731F"/>
    <w:rsid w:val="50E05F3B"/>
    <w:rsid w:val="50E56BC4"/>
    <w:rsid w:val="50EE2274"/>
    <w:rsid w:val="510A0CD0"/>
    <w:rsid w:val="51211AAA"/>
    <w:rsid w:val="51396743"/>
    <w:rsid w:val="513E3072"/>
    <w:rsid w:val="514255EB"/>
    <w:rsid w:val="51427C2A"/>
    <w:rsid w:val="514A3D5A"/>
    <w:rsid w:val="51520CAE"/>
    <w:rsid w:val="5153728A"/>
    <w:rsid w:val="51586F03"/>
    <w:rsid w:val="51645960"/>
    <w:rsid w:val="51664BE0"/>
    <w:rsid w:val="51712FB5"/>
    <w:rsid w:val="517C3C40"/>
    <w:rsid w:val="519129AA"/>
    <w:rsid w:val="51AC1CFF"/>
    <w:rsid w:val="51B45161"/>
    <w:rsid w:val="51BC6DCB"/>
    <w:rsid w:val="51C10AF3"/>
    <w:rsid w:val="51E17A10"/>
    <w:rsid w:val="51F211D4"/>
    <w:rsid w:val="52003B11"/>
    <w:rsid w:val="5202327F"/>
    <w:rsid w:val="52154E29"/>
    <w:rsid w:val="5219147D"/>
    <w:rsid w:val="521E3A0F"/>
    <w:rsid w:val="521F0980"/>
    <w:rsid w:val="522524D0"/>
    <w:rsid w:val="52342071"/>
    <w:rsid w:val="523D7EE7"/>
    <w:rsid w:val="523F786C"/>
    <w:rsid w:val="52602C26"/>
    <w:rsid w:val="52784DDC"/>
    <w:rsid w:val="52863503"/>
    <w:rsid w:val="52872FB1"/>
    <w:rsid w:val="528A11F1"/>
    <w:rsid w:val="528A24C9"/>
    <w:rsid w:val="528E6CB5"/>
    <w:rsid w:val="529076CE"/>
    <w:rsid w:val="529151B4"/>
    <w:rsid w:val="529D1FB0"/>
    <w:rsid w:val="529D44B1"/>
    <w:rsid w:val="52AB4326"/>
    <w:rsid w:val="52AC1838"/>
    <w:rsid w:val="52B35EBB"/>
    <w:rsid w:val="52BA50E6"/>
    <w:rsid w:val="52BD0FD1"/>
    <w:rsid w:val="52BD209B"/>
    <w:rsid w:val="52BF74E2"/>
    <w:rsid w:val="52BF7F39"/>
    <w:rsid w:val="52CA2884"/>
    <w:rsid w:val="52CD6993"/>
    <w:rsid w:val="52D6517C"/>
    <w:rsid w:val="52D718DD"/>
    <w:rsid w:val="52DE11E3"/>
    <w:rsid w:val="52E170D6"/>
    <w:rsid w:val="52FA0672"/>
    <w:rsid w:val="52FF3DBE"/>
    <w:rsid w:val="53057E93"/>
    <w:rsid w:val="5313436F"/>
    <w:rsid w:val="533610C6"/>
    <w:rsid w:val="5342582F"/>
    <w:rsid w:val="534671BA"/>
    <w:rsid w:val="53542179"/>
    <w:rsid w:val="535A42D8"/>
    <w:rsid w:val="535B635F"/>
    <w:rsid w:val="5362798D"/>
    <w:rsid w:val="53637838"/>
    <w:rsid w:val="53AD49D5"/>
    <w:rsid w:val="53AE0664"/>
    <w:rsid w:val="53B1388B"/>
    <w:rsid w:val="53B80053"/>
    <w:rsid w:val="53BB0527"/>
    <w:rsid w:val="53CC3E65"/>
    <w:rsid w:val="53CD1E8A"/>
    <w:rsid w:val="53DB667F"/>
    <w:rsid w:val="53E25AAA"/>
    <w:rsid w:val="53E8665C"/>
    <w:rsid w:val="53F613DC"/>
    <w:rsid w:val="53FF395E"/>
    <w:rsid w:val="53FF492A"/>
    <w:rsid w:val="54185438"/>
    <w:rsid w:val="541F6D8C"/>
    <w:rsid w:val="54396FBB"/>
    <w:rsid w:val="543C301D"/>
    <w:rsid w:val="543E1D91"/>
    <w:rsid w:val="543E21D3"/>
    <w:rsid w:val="544362F5"/>
    <w:rsid w:val="544B6ABB"/>
    <w:rsid w:val="54555506"/>
    <w:rsid w:val="5464067F"/>
    <w:rsid w:val="54725215"/>
    <w:rsid w:val="547E295A"/>
    <w:rsid w:val="548B2661"/>
    <w:rsid w:val="548D3728"/>
    <w:rsid w:val="549363D0"/>
    <w:rsid w:val="54AE6FFF"/>
    <w:rsid w:val="54B83136"/>
    <w:rsid w:val="54C94F14"/>
    <w:rsid w:val="54D64BF8"/>
    <w:rsid w:val="54D85D61"/>
    <w:rsid w:val="54E259B7"/>
    <w:rsid w:val="54E54FAD"/>
    <w:rsid w:val="54E776D2"/>
    <w:rsid w:val="54EC5FE0"/>
    <w:rsid w:val="54EF5C10"/>
    <w:rsid w:val="5504443C"/>
    <w:rsid w:val="550E39F6"/>
    <w:rsid w:val="55116814"/>
    <w:rsid w:val="552227BC"/>
    <w:rsid w:val="55301EEA"/>
    <w:rsid w:val="553D7218"/>
    <w:rsid w:val="553E12A6"/>
    <w:rsid w:val="554A191A"/>
    <w:rsid w:val="555201FC"/>
    <w:rsid w:val="555400FD"/>
    <w:rsid w:val="55821723"/>
    <w:rsid w:val="558A423C"/>
    <w:rsid w:val="558C5960"/>
    <w:rsid w:val="5598547B"/>
    <w:rsid w:val="55A64F94"/>
    <w:rsid w:val="55B33C1E"/>
    <w:rsid w:val="55B64747"/>
    <w:rsid w:val="55B74DBB"/>
    <w:rsid w:val="55BD5035"/>
    <w:rsid w:val="55D67CE1"/>
    <w:rsid w:val="55E14064"/>
    <w:rsid w:val="55EA29F5"/>
    <w:rsid w:val="55EA3E55"/>
    <w:rsid w:val="561151D2"/>
    <w:rsid w:val="56120A4E"/>
    <w:rsid w:val="5621502B"/>
    <w:rsid w:val="562E439E"/>
    <w:rsid w:val="563353B4"/>
    <w:rsid w:val="563716F7"/>
    <w:rsid w:val="56391586"/>
    <w:rsid w:val="564D2FC8"/>
    <w:rsid w:val="565D3FCF"/>
    <w:rsid w:val="56640731"/>
    <w:rsid w:val="56695D08"/>
    <w:rsid w:val="566C1BCD"/>
    <w:rsid w:val="56723DB4"/>
    <w:rsid w:val="56727FBC"/>
    <w:rsid w:val="567C5861"/>
    <w:rsid w:val="567F0DC3"/>
    <w:rsid w:val="56904D6F"/>
    <w:rsid w:val="56966FED"/>
    <w:rsid w:val="569E1CA8"/>
    <w:rsid w:val="56A874FB"/>
    <w:rsid w:val="56B2607B"/>
    <w:rsid w:val="56CB38C5"/>
    <w:rsid w:val="56DC37B4"/>
    <w:rsid w:val="5710525F"/>
    <w:rsid w:val="5713590D"/>
    <w:rsid w:val="571D460F"/>
    <w:rsid w:val="571E3588"/>
    <w:rsid w:val="5721668C"/>
    <w:rsid w:val="5722671E"/>
    <w:rsid w:val="5747411F"/>
    <w:rsid w:val="574B58D1"/>
    <w:rsid w:val="57691061"/>
    <w:rsid w:val="578852E5"/>
    <w:rsid w:val="57A56C58"/>
    <w:rsid w:val="57C1364B"/>
    <w:rsid w:val="57C770FC"/>
    <w:rsid w:val="58055D78"/>
    <w:rsid w:val="580637F9"/>
    <w:rsid w:val="58071808"/>
    <w:rsid w:val="582A1C88"/>
    <w:rsid w:val="58362B43"/>
    <w:rsid w:val="58381C5F"/>
    <w:rsid w:val="586053FE"/>
    <w:rsid w:val="586630BB"/>
    <w:rsid w:val="586659D8"/>
    <w:rsid w:val="58665C51"/>
    <w:rsid w:val="5878283D"/>
    <w:rsid w:val="58A23BA7"/>
    <w:rsid w:val="58A4063A"/>
    <w:rsid w:val="58AB3F87"/>
    <w:rsid w:val="58AF1F35"/>
    <w:rsid w:val="58D52BCD"/>
    <w:rsid w:val="58D73B8F"/>
    <w:rsid w:val="58DB29C1"/>
    <w:rsid w:val="58E2542B"/>
    <w:rsid w:val="58E97C44"/>
    <w:rsid w:val="58ED6485"/>
    <w:rsid w:val="58F27B36"/>
    <w:rsid w:val="58F32491"/>
    <w:rsid w:val="590C4285"/>
    <w:rsid w:val="590D4672"/>
    <w:rsid w:val="59254616"/>
    <w:rsid w:val="59262E27"/>
    <w:rsid w:val="592637FF"/>
    <w:rsid w:val="59271300"/>
    <w:rsid w:val="59313A4E"/>
    <w:rsid w:val="594C27FB"/>
    <w:rsid w:val="595F5444"/>
    <w:rsid w:val="596D7DCC"/>
    <w:rsid w:val="59856F3D"/>
    <w:rsid w:val="598B3E86"/>
    <w:rsid w:val="599F45CD"/>
    <w:rsid w:val="59B606C7"/>
    <w:rsid w:val="59B75DA2"/>
    <w:rsid w:val="59C206A9"/>
    <w:rsid w:val="59CD63EE"/>
    <w:rsid w:val="59D6437F"/>
    <w:rsid w:val="59DB0589"/>
    <w:rsid w:val="59DF01F8"/>
    <w:rsid w:val="59E72EA9"/>
    <w:rsid w:val="59F536F8"/>
    <w:rsid w:val="59F9042B"/>
    <w:rsid w:val="5A397A64"/>
    <w:rsid w:val="5A4064C3"/>
    <w:rsid w:val="5A5C7467"/>
    <w:rsid w:val="5A712BE1"/>
    <w:rsid w:val="5A74347D"/>
    <w:rsid w:val="5A780809"/>
    <w:rsid w:val="5A81243C"/>
    <w:rsid w:val="5A860EDA"/>
    <w:rsid w:val="5A9658BC"/>
    <w:rsid w:val="5AB06744"/>
    <w:rsid w:val="5ABB7D6D"/>
    <w:rsid w:val="5ACC2F82"/>
    <w:rsid w:val="5ADD370F"/>
    <w:rsid w:val="5AE2705E"/>
    <w:rsid w:val="5AF9604C"/>
    <w:rsid w:val="5AFA638C"/>
    <w:rsid w:val="5B0069DA"/>
    <w:rsid w:val="5B123665"/>
    <w:rsid w:val="5B205469"/>
    <w:rsid w:val="5B4848D1"/>
    <w:rsid w:val="5B686E11"/>
    <w:rsid w:val="5B865725"/>
    <w:rsid w:val="5BA348A7"/>
    <w:rsid w:val="5BA77343"/>
    <w:rsid w:val="5BB1431D"/>
    <w:rsid w:val="5BBF1BE6"/>
    <w:rsid w:val="5BC72C57"/>
    <w:rsid w:val="5BD267A6"/>
    <w:rsid w:val="5BD50D48"/>
    <w:rsid w:val="5BE267F8"/>
    <w:rsid w:val="5BF643CB"/>
    <w:rsid w:val="5BFC69B2"/>
    <w:rsid w:val="5C1C56BF"/>
    <w:rsid w:val="5C1F35AE"/>
    <w:rsid w:val="5C251B62"/>
    <w:rsid w:val="5C283650"/>
    <w:rsid w:val="5C2D1A12"/>
    <w:rsid w:val="5C37577A"/>
    <w:rsid w:val="5C495A77"/>
    <w:rsid w:val="5C532029"/>
    <w:rsid w:val="5C544BB6"/>
    <w:rsid w:val="5C5B59E2"/>
    <w:rsid w:val="5C62639E"/>
    <w:rsid w:val="5C640EFC"/>
    <w:rsid w:val="5C880D7C"/>
    <w:rsid w:val="5CA34E8C"/>
    <w:rsid w:val="5CA837ED"/>
    <w:rsid w:val="5CD15225"/>
    <w:rsid w:val="5CD84061"/>
    <w:rsid w:val="5CDA592C"/>
    <w:rsid w:val="5CFC4A9F"/>
    <w:rsid w:val="5CFD75DD"/>
    <w:rsid w:val="5D006199"/>
    <w:rsid w:val="5D3046F0"/>
    <w:rsid w:val="5D3D4820"/>
    <w:rsid w:val="5D512C64"/>
    <w:rsid w:val="5D6A44C5"/>
    <w:rsid w:val="5D6B3425"/>
    <w:rsid w:val="5D851874"/>
    <w:rsid w:val="5D904C4B"/>
    <w:rsid w:val="5D973FBF"/>
    <w:rsid w:val="5D9825E1"/>
    <w:rsid w:val="5DA80BC9"/>
    <w:rsid w:val="5DBE0CB8"/>
    <w:rsid w:val="5DC02B0A"/>
    <w:rsid w:val="5DC032C5"/>
    <w:rsid w:val="5DC7295C"/>
    <w:rsid w:val="5DD12BD3"/>
    <w:rsid w:val="5DF254FF"/>
    <w:rsid w:val="5DF7172D"/>
    <w:rsid w:val="5DF72F3B"/>
    <w:rsid w:val="5DFE5C52"/>
    <w:rsid w:val="5E0127E3"/>
    <w:rsid w:val="5E05396C"/>
    <w:rsid w:val="5E083F04"/>
    <w:rsid w:val="5E1B4309"/>
    <w:rsid w:val="5E272773"/>
    <w:rsid w:val="5E365E3B"/>
    <w:rsid w:val="5E3D13AA"/>
    <w:rsid w:val="5E3E17D6"/>
    <w:rsid w:val="5E5003CB"/>
    <w:rsid w:val="5E557732"/>
    <w:rsid w:val="5E6436D6"/>
    <w:rsid w:val="5E6F51DA"/>
    <w:rsid w:val="5E775067"/>
    <w:rsid w:val="5E7B42A2"/>
    <w:rsid w:val="5E7D2505"/>
    <w:rsid w:val="5E8D0E23"/>
    <w:rsid w:val="5E8E512B"/>
    <w:rsid w:val="5EC12561"/>
    <w:rsid w:val="5EDC21AD"/>
    <w:rsid w:val="5EDD1CB1"/>
    <w:rsid w:val="5EE75F5A"/>
    <w:rsid w:val="5EEB3882"/>
    <w:rsid w:val="5EF06C4F"/>
    <w:rsid w:val="5EF46457"/>
    <w:rsid w:val="5F0375D4"/>
    <w:rsid w:val="5F0C6580"/>
    <w:rsid w:val="5F16780F"/>
    <w:rsid w:val="5F1B3444"/>
    <w:rsid w:val="5F1C2EBF"/>
    <w:rsid w:val="5F336403"/>
    <w:rsid w:val="5F516449"/>
    <w:rsid w:val="5F551250"/>
    <w:rsid w:val="5F6A5D73"/>
    <w:rsid w:val="5F796BB3"/>
    <w:rsid w:val="5F8E69B9"/>
    <w:rsid w:val="5FA76F6D"/>
    <w:rsid w:val="5FA91EAA"/>
    <w:rsid w:val="5FBF4FA4"/>
    <w:rsid w:val="5FC262FD"/>
    <w:rsid w:val="5FC70E53"/>
    <w:rsid w:val="5FCF3FFB"/>
    <w:rsid w:val="5FF13483"/>
    <w:rsid w:val="5FF16061"/>
    <w:rsid w:val="5FF829C0"/>
    <w:rsid w:val="5FFD5B08"/>
    <w:rsid w:val="60033CEB"/>
    <w:rsid w:val="600C66D6"/>
    <w:rsid w:val="60247036"/>
    <w:rsid w:val="60266CCC"/>
    <w:rsid w:val="602F174D"/>
    <w:rsid w:val="60407876"/>
    <w:rsid w:val="6050225A"/>
    <w:rsid w:val="605F5B83"/>
    <w:rsid w:val="60607B27"/>
    <w:rsid w:val="6064643B"/>
    <w:rsid w:val="60662077"/>
    <w:rsid w:val="606F5418"/>
    <w:rsid w:val="607A0954"/>
    <w:rsid w:val="607D18D9"/>
    <w:rsid w:val="607E1C76"/>
    <w:rsid w:val="608A62B5"/>
    <w:rsid w:val="60952803"/>
    <w:rsid w:val="6096233E"/>
    <w:rsid w:val="60A0764C"/>
    <w:rsid w:val="60A31B19"/>
    <w:rsid w:val="60BA4CC6"/>
    <w:rsid w:val="60C95C81"/>
    <w:rsid w:val="60CC65F1"/>
    <w:rsid w:val="60D65B88"/>
    <w:rsid w:val="60D763BE"/>
    <w:rsid w:val="60E06E22"/>
    <w:rsid w:val="60E75013"/>
    <w:rsid w:val="60F1769A"/>
    <w:rsid w:val="610554CE"/>
    <w:rsid w:val="61056C5D"/>
    <w:rsid w:val="61191A17"/>
    <w:rsid w:val="61294E86"/>
    <w:rsid w:val="61405465"/>
    <w:rsid w:val="61422A43"/>
    <w:rsid w:val="614A75DF"/>
    <w:rsid w:val="61641A84"/>
    <w:rsid w:val="61792C36"/>
    <w:rsid w:val="6186483E"/>
    <w:rsid w:val="619D73EC"/>
    <w:rsid w:val="61A37C11"/>
    <w:rsid w:val="61AC6F95"/>
    <w:rsid w:val="61AD597C"/>
    <w:rsid w:val="61C141BC"/>
    <w:rsid w:val="61D415D7"/>
    <w:rsid w:val="61EC34E8"/>
    <w:rsid w:val="61ED0518"/>
    <w:rsid w:val="61F353E0"/>
    <w:rsid w:val="61F4095C"/>
    <w:rsid w:val="61FB2295"/>
    <w:rsid w:val="620152D8"/>
    <w:rsid w:val="620D5F53"/>
    <w:rsid w:val="62130A76"/>
    <w:rsid w:val="621A3D51"/>
    <w:rsid w:val="622D7353"/>
    <w:rsid w:val="623A0935"/>
    <w:rsid w:val="623B63B7"/>
    <w:rsid w:val="624217F0"/>
    <w:rsid w:val="624918DA"/>
    <w:rsid w:val="624C43DE"/>
    <w:rsid w:val="624D1A69"/>
    <w:rsid w:val="625045C5"/>
    <w:rsid w:val="625D6D86"/>
    <w:rsid w:val="6262068D"/>
    <w:rsid w:val="627D1D86"/>
    <w:rsid w:val="628C34B3"/>
    <w:rsid w:val="62954DDB"/>
    <w:rsid w:val="629554A8"/>
    <w:rsid w:val="629734E7"/>
    <w:rsid w:val="629D5157"/>
    <w:rsid w:val="629D727B"/>
    <w:rsid w:val="62A158AB"/>
    <w:rsid w:val="62A34F8D"/>
    <w:rsid w:val="62AE2A49"/>
    <w:rsid w:val="62BB421E"/>
    <w:rsid w:val="62C80F50"/>
    <w:rsid w:val="62CE30D2"/>
    <w:rsid w:val="62D55785"/>
    <w:rsid w:val="62FD2882"/>
    <w:rsid w:val="630B11B2"/>
    <w:rsid w:val="630F0162"/>
    <w:rsid w:val="6315759B"/>
    <w:rsid w:val="632B7977"/>
    <w:rsid w:val="633304FC"/>
    <w:rsid w:val="63362BBF"/>
    <w:rsid w:val="633D3A11"/>
    <w:rsid w:val="63436BE9"/>
    <w:rsid w:val="6349716D"/>
    <w:rsid w:val="636357BA"/>
    <w:rsid w:val="63655C88"/>
    <w:rsid w:val="636710A9"/>
    <w:rsid w:val="637860F0"/>
    <w:rsid w:val="639429A1"/>
    <w:rsid w:val="63964EB8"/>
    <w:rsid w:val="639B601A"/>
    <w:rsid w:val="63AE588C"/>
    <w:rsid w:val="63BB60E6"/>
    <w:rsid w:val="63C01CCA"/>
    <w:rsid w:val="63C666DB"/>
    <w:rsid w:val="63CA4B9D"/>
    <w:rsid w:val="63F050AD"/>
    <w:rsid w:val="63F96BCD"/>
    <w:rsid w:val="63FE731D"/>
    <w:rsid w:val="63FF4FB9"/>
    <w:rsid w:val="640B132F"/>
    <w:rsid w:val="640F0812"/>
    <w:rsid w:val="641114FE"/>
    <w:rsid w:val="64173169"/>
    <w:rsid w:val="643C30C1"/>
    <w:rsid w:val="64435A0A"/>
    <w:rsid w:val="644C7E9E"/>
    <w:rsid w:val="644E7740"/>
    <w:rsid w:val="644F443E"/>
    <w:rsid w:val="64515400"/>
    <w:rsid w:val="64537B26"/>
    <w:rsid w:val="645C7B76"/>
    <w:rsid w:val="646626AD"/>
    <w:rsid w:val="646C748B"/>
    <w:rsid w:val="647E6C76"/>
    <w:rsid w:val="64A76738"/>
    <w:rsid w:val="64BD57C6"/>
    <w:rsid w:val="64BE438D"/>
    <w:rsid w:val="64F17BAA"/>
    <w:rsid w:val="64F47866"/>
    <w:rsid w:val="64FA0E56"/>
    <w:rsid w:val="650E4BD0"/>
    <w:rsid w:val="650E5601"/>
    <w:rsid w:val="65152C45"/>
    <w:rsid w:val="651B6A03"/>
    <w:rsid w:val="651C2BCF"/>
    <w:rsid w:val="651D3456"/>
    <w:rsid w:val="653B3E96"/>
    <w:rsid w:val="653C233F"/>
    <w:rsid w:val="655E15FE"/>
    <w:rsid w:val="656B7D54"/>
    <w:rsid w:val="658B3177"/>
    <w:rsid w:val="659473B3"/>
    <w:rsid w:val="65A76E61"/>
    <w:rsid w:val="65B42280"/>
    <w:rsid w:val="65BA4D62"/>
    <w:rsid w:val="65CA30E4"/>
    <w:rsid w:val="65D95627"/>
    <w:rsid w:val="65FE2C54"/>
    <w:rsid w:val="660514E6"/>
    <w:rsid w:val="66057053"/>
    <w:rsid w:val="660C1EFA"/>
    <w:rsid w:val="66156329"/>
    <w:rsid w:val="66161F0A"/>
    <w:rsid w:val="66331364"/>
    <w:rsid w:val="66394447"/>
    <w:rsid w:val="663A5B63"/>
    <w:rsid w:val="665209E6"/>
    <w:rsid w:val="6663200A"/>
    <w:rsid w:val="66634981"/>
    <w:rsid w:val="666A4380"/>
    <w:rsid w:val="66703534"/>
    <w:rsid w:val="66775440"/>
    <w:rsid w:val="668B472D"/>
    <w:rsid w:val="669102AF"/>
    <w:rsid w:val="669A0836"/>
    <w:rsid w:val="669E3F04"/>
    <w:rsid w:val="66A71C8E"/>
    <w:rsid w:val="66B81714"/>
    <w:rsid w:val="66BA31F2"/>
    <w:rsid w:val="66BD2FB3"/>
    <w:rsid w:val="66C34279"/>
    <w:rsid w:val="66C91EB1"/>
    <w:rsid w:val="66C92494"/>
    <w:rsid w:val="66D07C3D"/>
    <w:rsid w:val="66E178C8"/>
    <w:rsid w:val="66E622FF"/>
    <w:rsid w:val="66EA6293"/>
    <w:rsid w:val="670A381C"/>
    <w:rsid w:val="671135ED"/>
    <w:rsid w:val="67190B2D"/>
    <w:rsid w:val="671D049C"/>
    <w:rsid w:val="67267E25"/>
    <w:rsid w:val="673A2FB1"/>
    <w:rsid w:val="676F45ED"/>
    <w:rsid w:val="677418DD"/>
    <w:rsid w:val="67784FD9"/>
    <w:rsid w:val="67957DFD"/>
    <w:rsid w:val="679D64E9"/>
    <w:rsid w:val="679D688A"/>
    <w:rsid w:val="67A078D0"/>
    <w:rsid w:val="67AD3970"/>
    <w:rsid w:val="67AE09A9"/>
    <w:rsid w:val="67B87FA0"/>
    <w:rsid w:val="67BA6172"/>
    <w:rsid w:val="67BC5ABE"/>
    <w:rsid w:val="67C5413C"/>
    <w:rsid w:val="67CF495C"/>
    <w:rsid w:val="67FA1D8C"/>
    <w:rsid w:val="67FA392E"/>
    <w:rsid w:val="67FA6CA5"/>
    <w:rsid w:val="68007CFE"/>
    <w:rsid w:val="68024C43"/>
    <w:rsid w:val="681B7D80"/>
    <w:rsid w:val="682F3B27"/>
    <w:rsid w:val="68344483"/>
    <w:rsid w:val="6836197D"/>
    <w:rsid w:val="6840780D"/>
    <w:rsid w:val="68483799"/>
    <w:rsid w:val="684C54EE"/>
    <w:rsid w:val="68582DDC"/>
    <w:rsid w:val="686C03C3"/>
    <w:rsid w:val="686D7EDA"/>
    <w:rsid w:val="6870345E"/>
    <w:rsid w:val="68710A65"/>
    <w:rsid w:val="687321F7"/>
    <w:rsid w:val="687C1C8D"/>
    <w:rsid w:val="6886453F"/>
    <w:rsid w:val="68943803"/>
    <w:rsid w:val="689C49E5"/>
    <w:rsid w:val="68C575B1"/>
    <w:rsid w:val="68CC42BA"/>
    <w:rsid w:val="68F142A3"/>
    <w:rsid w:val="68F22857"/>
    <w:rsid w:val="68F24FE5"/>
    <w:rsid w:val="68F82E13"/>
    <w:rsid w:val="690070BA"/>
    <w:rsid w:val="6906110C"/>
    <w:rsid w:val="691D44A4"/>
    <w:rsid w:val="6922138F"/>
    <w:rsid w:val="69344026"/>
    <w:rsid w:val="693A623A"/>
    <w:rsid w:val="69583DAB"/>
    <w:rsid w:val="695E3B8B"/>
    <w:rsid w:val="696D53CD"/>
    <w:rsid w:val="69800FE8"/>
    <w:rsid w:val="69812898"/>
    <w:rsid w:val="69945207"/>
    <w:rsid w:val="699C3CFB"/>
    <w:rsid w:val="69A63738"/>
    <w:rsid w:val="69A7712A"/>
    <w:rsid w:val="69B17D6A"/>
    <w:rsid w:val="69C2724A"/>
    <w:rsid w:val="69E15B49"/>
    <w:rsid w:val="69E63E4A"/>
    <w:rsid w:val="69E75224"/>
    <w:rsid w:val="69EA2513"/>
    <w:rsid w:val="69F101A5"/>
    <w:rsid w:val="6A062180"/>
    <w:rsid w:val="6A130CD7"/>
    <w:rsid w:val="6A2B24AF"/>
    <w:rsid w:val="6A2C4567"/>
    <w:rsid w:val="6A2F1AF1"/>
    <w:rsid w:val="6A2F218C"/>
    <w:rsid w:val="6A335DCD"/>
    <w:rsid w:val="6A37309A"/>
    <w:rsid w:val="6A391211"/>
    <w:rsid w:val="6A4815D7"/>
    <w:rsid w:val="6A601595"/>
    <w:rsid w:val="6A630562"/>
    <w:rsid w:val="6A773014"/>
    <w:rsid w:val="6A79566E"/>
    <w:rsid w:val="6A90535D"/>
    <w:rsid w:val="6A956768"/>
    <w:rsid w:val="6AA9520C"/>
    <w:rsid w:val="6AC2742E"/>
    <w:rsid w:val="6AC91EBE"/>
    <w:rsid w:val="6AD74AC4"/>
    <w:rsid w:val="6ADB729E"/>
    <w:rsid w:val="6AE45CD2"/>
    <w:rsid w:val="6AE73608"/>
    <w:rsid w:val="6AFC1413"/>
    <w:rsid w:val="6B031E39"/>
    <w:rsid w:val="6B066AFC"/>
    <w:rsid w:val="6B1D6A19"/>
    <w:rsid w:val="6B2B1F62"/>
    <w:rsid w:val="6B35653F"/>
    <w:rsid w:val="6B4346BC"/>
    <w:rsid w:val="6B516787"/>
    <w:rsid w:val="6B576F9D"/>
    <w:rsid w:val="6B826C92"/>
    <w:rsid w:val="6B8B307D"/>
    <w:rsid w:val="6B8D05BE"/>
    <w:rsid w:val="6BAE58BD"/>
    <w:rsid w:val="6BB4063D"/>
    <w:rsid w:val="6BBD11DF"/>
    <w:rsid w:val="6BFE3C22"/>
    <w:rsid w:val="6C084E6C"/>
    <w:rsid w:val="6C0F23BC"/>
    <w:rsid w:val="6C225B58"/>
    <w:rsid w:val="6C535248"/>
    <w:rsid w:val="6C585769"/>
    <w:rsid w:val="6C627FA3"/>
    <w:rsid w:val="6C7034F3"/>
    <w:rsid w:val="6C7E6DBE"/>
    <w:rsid w:val="6C8A3532"/>
    <w:rsid w:val="6C922E17"/>
    <w:rsid w:val="6C9537D9"/>
    <w:rsid w:val="6CA6353B"/>
    <w:rsid w:val="6CAC3F20"/>
    <w:rsid w:val="6CAF19C3"/>
    <w:rsid w:val="6CB329D7"/>
    <w:rsid w:val="6CBC5656"/>
    <w:rsid w:val="6CC02705"/>
    <w:rsid w:val="6CD46566"/>
    <w:rsid w:val="6CD80CE9"/>
    <w:rsid w:val="6CDC164A"/>
    <w:rsid w:val="6CE40501"/>
    <w:rsid w:val="6CE547B7"/>
    <w:rsid w:val="6CE9222B"/>
    <w:rsid w:val="6CEB5AF5"/>
    <w:rsid w:val="6CF169DC"/>
    <w:rsid w:val="6CF544D3"/>
    <w:rsid w:val="6CF87CC1"/>
    <w:rsid w:val="6D047526"/>
    <w:rsid w:val="6D275C75"/>
    <w:rsid w:val="6D325CF1"/>
    <w:rsid w:val="6D4236E7"/>
    <w:rsid w:val="6D452171"/>
    <w:rsid w:val="6D4A0354"/>
    <w:rsid w:val="6D4C1E42"/>
    <w:rsid w:val="6D564A02"/>
    <w:rsid w:val="6D6441BA"/>
    <w:rsid w:val="6D6549E5"/>
    <w:rsid w:val="6D8819DC"/>
    <w:rsid w:val="6D8D0448"/>
    <w:rsid w:val="6D91144F"/>
    <w:rsid w:val="6D9143ED"/>
    <w:rsid w:val="6DA91015"/>
    <w:rsid w:val="6DBD0D54"/>
    <w:rsid w:val="6DCD4AB5"/>
    <w:rsid w:val="6DD85044"/>
    <w:rsid w:val="6DFA203D"/>
    <w:rsid w:val="6DFD7F74"/>
    <w:rsid w:val="6E1C5191"/>
    <w:rsid w:val="6E311079"/>
    <w:rsid w:val="6E494CC8"/>
    <w:rsid w:val="6E58735F"/>
    <w:rsid w:val="6E5D7193"/>
    <w:rsid w:val="6E5F1450"/>
    <w:rsid w:val="6E72515D"/>
    <w:rsid w:val="6E735FD6"/>
    <w:rsid w:val="6E7C511A"/>
    <w:rsid w:val="6EA50F15"/>
    <w:rsid w:val="6EAC089F"/>
    <w:rsid w:val="6EBF368C"/>
    <w:rsid w:val="6EC2363D"/>
    <w:rsid w:val="6EC973B3"/>
    <w:rsid w:val="6EDB13EF"/>
    <w:rsid w:val="6EFB4562"/>
    <w:rsid w:val="6EFC4C58"/>
    <w:rsid w:val="6F103552"/>
    <w:rsid w:val="6F117A1B"/>
    <w:rsid w:val="6F1A3218"/>
    <w:rsid w:val="6F26427E"/>
    <w:rsid w:val="6F2A2C94"/>
    <w:rsid w:val="6F344D4E"/>
    <w:rsid w:val="6F403311"/>
    <w:rsid w:val="6F4E5C7A"/>
    <w:rsid w:val="6F58522F"/>
    <w:rsid w:val="6F5C6117"/>
    <w:rsid w:val="6F6A3241"/>
    <w:rsid w:val="6F720211"/>
    <w:rsid w:val="6F762732"/>
    <w:rsid w:val="6F830903"/>
    <w:rsid w:val="6F8516FC"/>
    <w:rsid w:val="6F8B248C"/>
    <w:rsid w:val="6FA85AFF"/>
    <w:rsid w:val="6FAB6491"/>
    <w:rsid w:val="6FAF3250"/>
    <w:rsid w:val="6FC62E8E"/>
    <w:rsid w:val="6FE24DD5"/>
    <w:rsid w:val="6FEA352C"/>
    <w:rsid w:val="6FEC7E1B"/>
    <w:rsid w:val="6FF50A55"/>
    <w:rsid w:val="700D084F"/>
    <w:rsid w:val="701403F0"/>
    <w:rsid w:val="7015189C"/>
    <w:rsid w:val="701554C4"/>
    <w:rsid w:val="703E0770"/>
    <w:rsid w:val="704753D2"/>
    <w:rsid w:val="70702DC6"/>
    <w:rsid w:val="70974A82"/>
    <w:rsid w:val="70AB6494"/>
    <w:rsid w:val="70AD5338"/>
    <w:rsid w:val="70AD7EE8"/>
    <w:rsid w:val="70B037E5"/>
    <w:rsid w:val="70B217E4"/>
    <w:rsid w:val="70B6575A"/>
    <w:rsid w:val="70C04A87"/>
    <w:rsid w:val="70C91E91"/>
    <w:rsid w:val="70E4235A"/>
    <w:rsid w:val="70E87E77"/>
    <w:rsid w:val="70E9517F"/>
    <w:rsid w:val="70EA0AB9"/>
    <w:rsid w:val="70EA44E4"/>
    <w:rsid w:val="70F532DE"/>
    <w:rsid w:val="70F67338"/>
    <w:rsid w:val="70F96CCA"/>
    <w:rsid w:val="70FD48EC"/>
    <w:rsid w:val="71183582"/>
    <w:rsid w:val="71211A56"/>
    <w:rsid w:val="71392015"/>
    <w:rsid w:val="71451EF0"/>
    <w:rsid w:val="715440AF"/>
    <w:rsid w:val="715823D1"/>
    <w:rsid w:val="717A4068"/>
    <w:rsid w:val="717F1642"/>
    <w:rsid w:val="717F529D"/>
    <w:rsid w:val="71817EE1"/>
    <w:rsid w:val="718523FB"/>
    <w:rsid w:val="718F6E95"/>
    <w:rsid w:val="719B1258"/>
    <w:rsid w:val="71A07442"/>
    <w:rsid w:val="71A168AA"/>
    <w:rsid w:val="71B31015"/>
    <w:rsid w:val="71BB3DAD"/>
    <w:rsid w:val="71C31355"/>
    <w:rsid w:val="71C32FE3"/>
    <w:rsid w:val="71C7557A"/>
    <w:rsid w:val="71D1303F"/>
    <w:rsid w:val="71E447A0"/>
    <w:rsid w:val="71E637C0"/>
    <w:rsid w:val="71E76B5E"/>
    <w:rsid w:val="71F045F6"/>
    <w:rsid w:val="71F32365"/>
    <w:rsid w:val="71F370EC"/>
    <w:rsid w:val="71FE69AA"/>
    <w:rsid w:val="72007D93"/>
    <w:rsid w:val="72040A1B"/>
    <w:rsid w:val="72201D45"/>
    <w:rsid w:val="72395B5A"/>
    <w:rsid w:val="723F585C"/>
    <w:rsid w:val="72463D86"/>
    <w:rsid w:val="724E71F1"/>
    <w:rsid w:val="726550D6"/>
    <w:rsid w:val="726F0F4A"/>
    <w:rsid w:val="7271179B"/>
    <w:rsid w:val="72781B43"/>
    <w:rsid w:val="727E1B5E"/>
    <w:rsid w:val="728150E3"/>
    <w:rsid w:val="72823E79"/>
    <w:rsid w:val="72945361"/>
    <w:rsid w:val="729B7226"/>
    <w:rsid w:val="72A440BF"/>
    <w:rsid w:val="72A6589A"/>
    <w:rsid w:val="72B64F42"/>
    <w:rsid w:val="72B77140"/>
    <w:rsid w:val="72C07C18"/>
    <w:rsid w:val="72C267D6"/>
    <w:rsid w:val="72C834C6"/>
    <w:rsid w:val="72D66916"/>
    <w:rsid w:val="72D67C6E"/>
    <w:rsid w:val="72E80DEB"/>
    <w:rsid w:val="72EF2CC3"/>
    <w:rsid w:val="72F64E65"/>
    <w:rsid w:val="730376C8"/>
    <w:rsid w:val="730C04AB"/>
    <w:rsid w:val="73376515"/>
    <w:rsid w:val="735579F9"/>
    <w:rsid w:val="738E28D0"/>
    <w:rsid w:val="73AE1E10"/>
    <w:rsid w:val="73B21FC0"/>
    <w:rsid w:val="73BA1051"/>
    <w:rsid w:val="73C95997"/>
    <w:rsid w:val="73C95D04"/>
    <w:rsid w:val="73D51543"/>
    <w:rsid w:val="73D7089D"/>
    <w:rsid w:val="73DF7629"/>
    <w:rsid w:val="73E47B72"/>
    <w:rsid w:val="73EE0BEC"/>
    <w:rsid w:val="73F36823"/>
    <w:rsid w:val="73F8173E"/>
    <w:rsid w:val="74113CE2"/>
    <w:rsid w:val="741C7D22"/>
    <w:rsid w:val="742326E7"/>
    <w:rsid w:val="74236068"/>
    <w:rsid w:val="742743D8"/>
    <w:rsid w:val="74535155"/>
    <w:rsid w:val="746051BF"/>
    <w:rsid w:val="74700DDD"/>
    <w:rsid w:val="74734851"/>
    <w:rsid w:val="747627EB"/>
    <w:rsid w:val="7488483A"/>
    <w:rsid w:val="749C593E"/>
    <w:rsid w:val="74A35095"/>
    <w:rsid w:val="74B77BDB"/>
    <w:rsid w:val="74C016E5"/>
    <w:rsid w:val="74D00CB5"/>
    <w:rsid w:val="74D56E90"/>
    <w:rsid w:val="74DC192B"/>
    <w:rsid w:val="74F60F44"/>
    <w:rsid w:val="74F87794"/>
    <w:rsid w:val="74FE0DC3"/>
    <w:rsid w:val="750D091A"/>
    <w:rsid w:val="75144F71"/>
    <w:rsid w:val="75146AC5"/>
    <w:rsid w:val="751A157E"/>
    <w:rsid w:val="7521546F"/>
    <w:rsid w:val="75252172"/>
    <w:rsid w:val="752D5343"/>
    <w:rsid w:val="753662DC"/>
    <w:rsid w:val="75410012"/>
    <w:rsid w:val="754B1C59"/>
    <w:rsid w:val="755A31C6"/>
    <w:rsid w:val="75603B50"/>
    <w:rsid w:val="756848D8"/>
    <w:rsid w:val="7569589C"/>
    <w:rsid w:val="756B2C35"/>
    <w:rsid w:val="757C250B"/>
    <w:rsid w:val="759052BA"/>
    <w:rsid w:val="75A4207F"/>
    <w:rsid w:val="75E57D8B"/>
    <w:rsid w:val="75F06CF6"/>
    <w:rsid w:val="75F8231C"/>
    <w:rsid w:val="761E1E84"/>
    <w:rsid w:val="76207F48"/>
    <w:rsid w:val="76272DA5"/>
    <w:rsid w:val="762F2D91"/>
    <w:rsid w:val="76501C64"/>
    <w:rsid w:val="76511EB0"/>
    <w:rsid w:val="76614304"/>
    <w:rsid w:val="76695353"/>
    <w:rsid w:val="766B62B9"/>
    <w:rsid w:val="76791AFC"/>
    <w:rsid w:val="767A42F7"/>
    <w:rsid w:val="76851A62"/>
    <w:rsid w:val="76913155"/>
    <w:rsid w:val="76981F47"/>
    <w:rsid w:val="76B45C8B"/>
    <w:rsid w:val="76C80E5C"/>
    <w:rsid w:val="76D04896"/>
    <w:rsid w:val="76D16C05"/>
    <w:rsid w:val="76EB02CA"/>
    <w:rsid w:val="76F77037"/>
    <w:rsid w:val="771048B2"/>
    <w:rsid w:val="77152684"/>
    <w:rsid w:val="77267B89"/>
    <w:rsid w:val="772D2C89"/>
    <w:rsid w:val="77383903"/>
    <w:rsid w:val="773D0362"/>
    <w:rsid w:val="774B31E3"/>
    <w:rsid w:val="775C42C8"/>
    <w:rsid w:val="77607248"/>
    <w:rsid w:val="77623A37"/>
    <w:rsid w:val="77644920"/>
    <w:rsid w:val="776E180E"/>
    <w:rsid w:val="77754396"/>
    <w:rsid w:val="77933457"/>
    <w:rsid w:val="77A07C02"/>
    <w:rsid w:val="77A10D36"/>
    <w:rsid w:val="77D21056"/>
    <w:rsid w:val="77D51C45"/>
    <w:rsid w:val="77F27449"/>
    <w:rsid w:val="78023AC0"/>
    <w:rsid w:val="780367D9"/>
    <w:rsid w:val="780478F0"/>
    <w:rsid w:val="78096FFD"/>
    <w:rsid w:val="781A018E"/>
    <w:rsid w:val="782925A8"/>
    <w:rsid w:val="78476AE2"/>
    <w:rsid w:val="784D072B"/>
    <w:rsid w:val="78510D72"/>
    <w:rsid w:val="7855734C"/>
    <w:rsid w:val="785637B0"/>
    <w:rsid w:val="785F322A"/>
    <w:rsid w:val="786C6157"/>
    <w:rsid w:val="789B3E3B"/>
    <w:rsid w:val="78A53134"/>
    <w:rsid w:val="78A5637F"/>
    <w:rsid w:val="78AC3282"/>
    <w:rsid w:val="78BF0FAC"/>
    <w:rsid w:val="78D92200"/>
    <w:rsid w:val="78E94BFC"/>
    <w:rsid w:val="78EF5D09"/>
    <w:rsid w:val="790A2862"/>
    <w:rsid w:val="79161F60"/>
    <w:rsid w:val="791D0BE2"/>
    <w:rsid w:val="79247939"/>
    <w:rsid w:val="792948BD"/>
    <w:rsid w:val="79327840"/>
    <w:rsid w:val="79466FB5"/>
    <w:rsid w:val="7987660A"/>
    <w:rsid w:val="798F2185"/>
    <w:rsid w:val="798F5521"/>
    <w:rsid w:val="79957CED"/>
    <w:rsid w:val="799C3861"/>
    <w:rsid w:val="799F28E5"/>
    <w:rsid w:val="79A62DD9"/>
    <w:rsid w:val="79C83EAF"/>
    <w:rsid w:val="79C910BF"/>
    <w:rsid w:val="79D103EF"/>
    <w:rsid w:val="79D264B9"/>
    <w:rsid w:val="79D33FDF"/>
    <w:rsid w:val="79D7762B"/>
    <w:rsid w:val="79DF5286"/>
    <w:rsid w:val="79E04E76"/>
    <w:rsid w:val="79E57ADF"/>
    <w:rsid w:val="79F23802"/>
    <w:rsid w:val="79F645F4"/>
    <w:rsid w:val="7A114772"/>
    <w:rsid w:val="7A21239A"/>
    <w:rsid w:val="7A271488"/>
    <w:rsid w:val="7A6041AB"/>
    <w:rsid w:val="7A6477B0"/>
    <w:rsid w:val="7A71080E"/>
    <w:rsid w:val="7A7E6ECC"/>
    <w:rsid w:val="7A8E221F"/>
    <w:rsid w:val="7AA82B74"/>
    <w:rsid w:val="7AB46BDC"/>
    <w:rsid w:val="7ABD6075"/>
    <w:rsid w:val="7AD30525"/>
    <w:rsid w:val="7AD949CC"/>
    <w:rsid w:val="7AD97A48"/>
    <w:rsid w:val="7AE477C8"/>
    <w:rsid w:val="7AEC3D5A"/>
    <w:rsid w:val="7AF344DB"/>
    <w:rsid w:val="7AFF2050"/>
    <w:rsid w:val="7B0978EA"/>
    <w:rsid w:val="7B16690D"/>
    <w:rsid w:val="7B2302E7"/>
    <w:rsid w:val="7B280327"/>
    <w:rsid w:val="7B5326AC"/>
    <w:rsid w:val="7B5671D8"/>
    <w:rsid w:val="7B586ECA"/>
    <w:rsid w:val="7B610C05"/>
    <w:rsid w:val="7B663242"/>
    <w:rsid w:val="7B79328B"/>
    <w:rsid w:val="7B8044BC"/>
    <w:rsid w:val="7BAE5B6A"/>
    <w:rsid w:val="7BB62939"/>
    <w:rsid w:val="7BBC5B9A"/>
    <w:rsid w:val="7BC17241"/>
    <w:rsid w:val="7BCE5BAE"/>
    <w:rsid w:val="7BDD0C54"/>
    <w:rsid w:val="7BE60D9F"/>
    <w:rsid w:val="7BE702F1"/>
    <w:rsid w:val="7BEC59DF"/>
    <w:rsid w:val="7BF70451"/>
    <w:rsid w:val="7BFC29F8"/>
    <w:rsid w:val="7C0236C5"/>
    <w:rsid w:val="7C0A1516"/>
    <w:rsid w:val="7C1107B7"/>
    <w:rsid w:val="7C16530F"/>
    <w:rsid w:val="7C167EA7"/>
    <w:rsid w:val="7C1C70DB"/>
    <w:rsid w:val="7C3073CD"/>
    <w:rsid w:val="7C37585E"/>
    <w:rsid w:val="7C4857FF"/>
    <w:rsid w:val="7C531652"/>
    <w:rsid w:val="7C6F507A"/>
    <w:rsid w:val="7C7C12BB"/>
    <w:rsid w:val="7C860CCE"/>
    <w:rsid w:val="7C9079C2"/>
    <w:rsid w:val="7C954604"/>
    <w:rsid w:val="7C9D28FD"/>
    <w:rsid w:val="7CB62913"/>
    <w:rsid w:val="7CC21101"/>
    <w:rsid w:val="7CC54046"/>
    <w:rsid w:val="7CCE2A52"/>
    <w:rsid w:val="7CD170D5"/>
    <w:rsid w:val="7CDA1639"/>
    <w:rsid w:val="7CFC4A10"/>
    <w:rsid w:val="7D00333D"/>
    <w:rsid w:val="7D066FDF"/>
    <w:rsid w:val="7D093ADB"/>
    <w:rsid w:val="7D0D0F17"/>
    <w:rsid w:val="7D124E5D"/>
    <w:rsid w:val="7D1770DF"/>
    <w:rsid w:val="7D29013F"/>
    <w:rsid w:val="7D33115F"/>
    <w:rsid w:val="7D340319"/>
    <w:rsid w:val="7D3D2FEC"/>
    <w:rsid w:val="7D4C17A4"/>
    <w:rsid w:val="7D4C4095"/>
    <w:rsid w:val="7D5972D6"/>
    <w:rsid w:val="7D5A0572"/>
    <w:rsid w:val="7D5F0FD2"/>
    <w:rsid w:val="7D607147"/>
    <w:rsid w:val="7D6442A2"/>
    <w:rsid w:val="7D6543D7"/>
    <w:rsid w:val="7D6A334E"/>
    <w:rsid w:val="7D702D7B"/>
    <w:rsid w:val="7D792BE7"/>
    <w:rsid w:val="7D793536"/>
    <w:rsid w:val="7D845ED4"/>
    <w:rsid w:val="7D8901DF"/>
    <w:rsid w:val="7D940FFD"/>
    <w:rsid w:val="7D984F1D"/>
    <w:rsid w:val="7DAF30C1"/>
    <w:rsid w:val="7DB237D9"/>
    <w:rsid w:val="7DB315B0"/>
    <w:rsid w:val="7DC62F27"/>
    <w:rsid w:val="7DC8357D"/>
    <w:rsid w:val="7DCC4D7A"/>
    <w:rsid w:val="7DD07D11"/>
    <w:rsid w:val="7DDC089F"/>
    <w:rsid w:val="7DDC688E"/>
    <w:rsid w:val="7DDF5120"/>
    <w:rsid w:val="7DE71863"/>
    <w:rsid w:val="7DE71BC3"/>
    <w:rsid w:val="7DEA124C"/>
    <w:rsid w:val="7DFC3DC0"/>
    <w:rsid w:val="7E013DC5"/>
    <w:rsid w:val="7E0C7559"/>
    <w:rsid w:val="7E126708"/>
    <w:rsid w:val="7E223400"/>
    <w:rsid w:val="7E2351DF"/>
    <w:rsid w:val="7E24052B"/>
    <w:rsid w:val="7E394DD0"/>
    <w:rsid w:val="7E44075F"/>
    <w:rsid w:val="7E487BAE"/>
    <w:rsid w:val="7E684ED0"/>
    <w:rsid w:val="7E707215"/>
    <w:rsid w:val="7E785164"/>
    <w:rsid w:val="7E790C21"/>
    <w:rsid w:val="7E807651"/>
    <w:rsid w:val="7E8473E3"/>
    <w:rsid w:val="7E8A1350"/>
    <w:rsid w:val="7E8C269F"/>
    <w:rsid w:val="7E96619B"/>
    <w:rsid w:val="7E9C6262"/>
    <w:rsid w:val="7EAA5681"/>
    <w:rsid w:val="7EB34A49"/>
    <w:rsid w:val="7EB6640A"/>
    <w:rsid w:val="7EBD6BDF"/>
    <w:rsid w:val="7EC23E83"/>
    <w:rsid w:val="7EC81822"/>
    <w:rsid w:val="7ED13AAC"/>
    <w:rsid w:val="7ED36F45"/>
    <w:rsid w:val="7EEC5522"/>
    <w:rsid w:val="7EF04FE2"/>
    <w:rsid w:val="7EF646C6"/>
    <w:rsid w:val="7EF87028"/>
    <w:rsid w:val="7EFE48FA"/>
    <w:rsid w:val="7F032DB7"/>
    <w:rsid w:val="7F1318C6"/>
    <w:rsid w:val="7F170D57"/>
    <w:rsid w:val="7F1E6AAD"/>
    <w:rsid w:val="7F4A1069"/>
    <w:rsid w:val="7F5E43E0"/>
    <w:rsid w:val="7F6804A2"/>
    <w:rsid w:val="7F6C7290"/>
    <w:rsid w:val="7F6D5BE1"/>
    <w:rsid w:val="7F6F3CF3"/>
    <w:rsid w:val="7F705C3D"/>
    <w:rsid w:val="7F7E3A57"/>
    <w:rsid w:val="7F7E3E20"/>
    <w:rsid w:val="7FB141D3"/>
    <w:rsid w:val="7FC71532"/>
    <w:rsid w:val="7FD809E2"/>
    <w:rsid w:val="7FD85C5A"/>
    <w:rsid w:val="7FDA2F2D"/>
    <w:rsid w:val="7FEA19E2"/>
    <w:rsid w:val="7FEA4494"/>
    <w:rsid w:val="7FEA4937"/>
    <w:rsid w:val="7FED0896"/>
    <w:rsid w:val="7FF554F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0" w:semiHidden="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21"/>
    <w:qFormat/>
    <w:uiPriority w:val="99"/>
    <w:pPr>
      <w:keepNext/>
      <w:adjustRightInd w:val="0"/>
      <w:snapToGrid w:val="0"/>
      <w:spacing w:beforeLines="50" w:afterLines="50" w:line="360" w:lineRule="auto"/>
      <w:jc w:val="left"/>
      <w:outlineLvl w:val="0"/>
    </w:pPr>
    <w:rPr>
      <w:b/>
      <w:kern w:val="0"/>
      <w:sz w:val="32"/>
      <w:szCs w:val="20"/>
    </w:rPr>
  </w:style>
  <w:style w:type="paragraph" w:styleId="7">
    <w:name w:val="heading 2"/>
    <w:basedOn w:val="1"/>
    <w:next w:val="1"/>
    <w:link w:val="43"/>
    <w:qFormat/>
    <w:uiPriority w:val="99"/>
    <w:pPr>
      <w:keepNext/>
      <w:keepLines/>
      <w:adjustRightInd w:val="0"/>
      <w:snapToGrid w:val="0"/>
      <w:spacing w:before="20" w:after="20" w:line="360" w:lineRule="auto"/>
      <w:outlineLvl w:val="1"/>
    </w:pPr>
    <w:rPr>
      <w:b/>
      <w:kern w:val="0"/>
      <w:sz w:val="28"/>
      <w:szCs w:val="20"/>
    </w:rPr>
  </w:style>
  <w:style w:type="paragraph" w:styleId="8">
    <w:name w:val="heading 3"/>
    <w:basedOn w:val="1"/>
    <w:next w:val="1"/>
    <w:link w:val="44"/>
    <w:qFormat/>
    <w:uiPriority w:val="99"/>
    <w:pPr>
      <w:keepNext/>
      <w:keepLines/>
      <w:adjustRightInd w:val="0"/>
      <w:snapToGrid w:val="0"/>
      <w:spacing w:before="20" w:after="20" w:line="360" w:lineRule="auto"/>
      <w:jc w:val="left"/>
      <w:outlineLvl w:val="2"/>
    </w:pPr>
    <w:rPr>
      <w:b/>
      <w:bCs/>
      <w:sz w:val="28"/>
      <w:szCs w:val="32"/>
    </w:rPr>
  </w:style>
  <w:style w:type="paragraph" w:styleId="9">
    <w:name w:val="heading 4"/>
    <w:basedOn w:val="1"/>
    <w:next w:val="1"/>
    <w:link w:val="45"/>
    <w:qFormat/>
    <w:uiPriority w:val="99"/>
    <w:pPr>
      <w:keepNext/>
      <w:keepLines/>
      <w:numPr>
        <w:ilvl w:val="3"/>
        <w:numId w:val="1"/>
      </w:numPr>
      <w:spacing w:line="360" w:lineRule="auto"/>
      <w:ind w:left="0" w:firstLine="0"/>
      <w:outlineLvl w:val="3"/>
    </w:pPr>
    <w:rPr>
      <w:rFonts w:eastAsia="黑体"/>
      <w:b/>
      <w:bCs/>
    </w:rPr>
  </w:style>
  <w:style w:type="character" w:default="1" w:styleId="35">
    <w:name w:val="Default Paragraph Font"/>
    <w:link w:val="36"/>
    <w:semiHidden/>
    <w:qFormat/>
    <w:uiPriority w:val="99"/>
  </w:style>
  <w:style w:type="table" w:default="1" w:styleId="3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112"/>
    <w:qFormat/>
    <w:uiPriority w:val="99"/>
    <w:pPr>
      <w:ind w:firstLine="420" w:firstLineChars="200"/>
    </w:pPr>
  </w:style>
  <w:style w:type="paragraph" w:styleId="3">
    <w:name w:val="Body Text Indent"/>
    <w:basedOn w:val="1"/>
    <w:next w:val="4"/>
    <w:link w:val="111"/>
    <w:qFormat/>
    <w:uiPriority w:val="99"/>
    <w:pPr>
      <w:spacing w:after="120"/>
      <w:ind w:left="420" w:leftChars="200"/>
    </w:pPr>
  </w:style>
  <w:style w:type="paragraph" w:styleId="4">
    <w:name w:val="Body Text First Indent"/>
    <w:basedOn w:val="5"/>
    <w:next w:val="1"/>
    <w:link w:val="49"/>
    <w:qFormat/>
    <w:uiPriority w:val="99"/>
    <w:pPr>
      <w:adjustRightInd w:val="0"/>
      <w:snapToGrid w:val="0"/>
      <w:spacing w:line="500" w:lineRule="exact"/>
      <w:ind w:firstLine="480" w:firstLineChars="200"/>
    </w:pPr>
    <w:rPr>
      <w:sz w:val="24"/>
      <w:szCs w:val="18"/>
    </w:rPr>
  </w:style>
  <w:style w:type="paragraph" w:styleId="5">
    <w:name w:val="Body Text"/>
    <w:basedOn w:val="1"/>
    <w:link w:val="48"/>
    <w:qFormat/>
    <w:uiPriority w:val="99"/>
    <w:pPr>
      <w:spacing w:after="120"/>
    </w:pPr>
  </w:style>
  <w:style w:type="paragraph" w:styleId="10">
    <w:name w:val="toc 7"/>
    <w:basedOn w:val="1"/>
    <w:next w:val="1"/>
    <w:qFormat/>
    <w:uiPriority w:val="99"/>
    <w:pPr>
      <w:ind w:left="2520" w:leftChars="1200"/>
    </w:pPr>
  </w:style>
  <w:style w:type="paragraph" w:styleId="11">
    <w:name w:val="Note Heading"/>
    <w:basedOn w:val="1"/>
    <w:next w:val="1"/>
    <w:link w:val="50"/>
    <w:qFormat/>
    <w:uiPriority w:val="99"/>
    <w:pPr>
      <w:jc w:val="center"/>
    </w:pPr>
    <w:rPr>
      <w:rFonts w:ascii="宋体"/>
      <w:szCs w:val="20"/>
    </w:rPr>
  </w:style>
  <w:style w:type="paragraph" w:styleId="12">
    <w:name w:val="Normal Indent"/>
    <w:basedOn w:val="1"/>
    <w:qFormat/>
    <w:uiPriority w:val="99"/>
    <w:pPr>
      <w:ind w:firstLine="420" w:firstLineChars="200"/>
    </w:pPr>
  </w:style>
  <w:style w:type="paragraph" w:styleId="13">
    <w:name w:val="Document Map"/>
    <w:basedOn w:val="1"/>
    <w:link w:val="51"/>
    <w:semiHidden/>
    <w:qFormat/>
    <w:uiPriority w:val="99"/>
    <w:pPr>
      <w:shd w:val="clear" w:color="auto" w:fill="000080"/>
    </w:pPr>
  </w:style>
  <w:style w:type="paragraph" w:styleId="14">
    <w:name w:val="annotation text"/>
    <w:basedOn w:val="1"/>
    <w:link w:val="52"/>
    <w:qFormat/>
    <w:uiPriority w:val="99"/>
    <w:pPr>
      <w:jc w:val="left"/>
    </w:pPr>
  </w:style>
  <w:style w:type="paragraph" w:styleId="15">
    <w:name w:val="Block Text"/>
    <w:basedOn w:val="1"/>
    <w:qFormat/>
    <w:uiPriority w:val="99"/>
    <w:pPr>
      <w:spacing w:line="360" w:lineRule="exact"/>
      <w:ind w:left="113" w:right="113"/>
      <w:jc w:val="center"/>
    </w:pPr>
    <w:rPr>
      <w:rFonts w:ascii="宋体" w:hAnsi="宋体"/>
      <w:color w:val="000000"/>
    </w:rPr>
  </w:style>
  <w:style w:type="paragraph" w:styleId="16">
    <w:name w:val="toc 5"/>
    <w:basedOn w:val="1"/>
    <w:next w:val="1"/>
    <w:qFormat/>
    <w:uiPriority w:val="99"/>
    <w:pPr>
      <w:ind w:left="1680" w:leftChars="800"/>
    </w:pPr>
  </w:style>
  <w:style w:type="paragraph" w:styleId="17">
    <w:name w:val="toc 3"/>
    <w:basedOn w:val="1"/>
    <w:next w:val="1"/>
    <w:semiHidden/>
    <w:qFormat/>
    <w:uiPriority w:val="99"/>
    <w:pPr>
      <w:ind w:left="840" w:leftChars="400"/>
    </w:pPr>
  </w:style>
  <w:style w:type="paragraph" w:styleId="18">
    <w:name w:val="Plain Text"/>
    <w:basedOn w:val="1"/>
    <w:link w:val="53"/>
    <w:qFormat/>
    <w:uiPriority w:val="99"/>
    <w:rPr>
      <w:rFonts w:ascii="宋体" w:hAnsi="Courier New" w:cs="Courier New"/>
      <w:kern w:val="24"/>
      <w:szCs w:val="21"/>
    </w:rPr>
  </w:style>
  <w:style w:type="paragraph" w:styleId="19">
    <w:name w:val="toc 8"/>
    <w:basedOn w:val="1"/>
    <w:next w:val="1"/>
    <w:qFormat/>
    <w:uiPriority w:val="99"/>
    <w:pPr>
      <w:ind w:left="2940" w:leftChars="1400"/>
    </w:pPr>
  </w:style>
  <w:style w:type="paragraph" w:styleId="20">
    <w:name w:val="Body Text Indent 2"/>
    <w:basedOn w:val="1"/>
    <w:link w:val="54"/>
    <w:qFormat/>
    <w:uiPriority w:val="99"/>
    <w:pPr>
      <w:spacing w:after="120" w:line="480" w:lineRule="auto"/>
      <w:ind w:left="420" w:leftChars="200"/>
    </w:pPr>
  </w:style>
  <w:style w:type="paragraph" w:styleId="21">
    <w:name w:val="Balloon Text"/>
    <w:basedOn w:val="1"/>
    <w:link w:val="55"/>
    <w:qFormat/>
    <w:uiPriority w:val="99"/>
    <w:rPr>
      <w:sz w:val="18"/>
      <w:szCs w:val="18"/>
    </w:rPr>
  </w:style>
  <w:style w:type="paragraph" w:styleId="22">
    <w:name w:val="footer"/>
    <w:basedOn w:val="1"/>
    <w:link w:val="56"/>
    <w:qFormat/>
    <w:uiPriority w:val="99"/>
    <w:pPr>
      <w:tabs>
        <w:tab w:val="center" w:pos="4153"/>
        <w:tab w:val="right" w:pos="8306"/>
      </w:tabs>
      <w:snapToGrid w:val="0"/>
      <w:jc w:val="left"/>
    </w:pPr>
    <w:rPr>
      <w:sz w:val="18"/>
      <w:szCs w:val="18"/>
    </w:rPr>
  </w:style>
  <w:style w:type="paragraph" w:styleId="23">
    <w:name w:val="header"/>
    <w:basedOn w:val="1"/>
    <w:link w:val="57"/>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style>
  <w:style w:type="paragraph" w:styleId="25">
    <w:name w:val="toc 4"/>
    <w:basedOn w:val="1"/>
    <w:next w:val="1"/>
    <w:qFormat/>
    <w:uiPriority w:val="99"/>
    <w:pPr>
      <w:ind w:left="1260" w:leftChars="600"/>
    </w:pPr>
  </w:style>
  <w:style w:type="paragraph" w:styleId="26">
    <w:name w:val="toc 6"/>
    <w:basedOn w:val="1"/>
    <w:next w:val="1"/>
    <w:qFormat/>
    <w:uiPriority w:val="99"/>
    <w:pPr>
      <w:ind w:left="2100" w:leftChars="1000"/>
    </w:pPr>
  </w:style>
  <w:style w:type="paragraph" w:styleId="27">
    <w:name w:val="Body Text Indent 3"/>
    <w:basedOn w:val="1"/>
    <w:link w:val="58"/>
    <w:qFormat/>
    <w:uiPriority w:val="99"/>
    <w:pPr>
      <w:spacing w:after="120"/>
      <w:ind w:left="420" w:leftChars="200"/>
    </w:pPr>
    <w:rPr>
      <w:sz w:val="16"/>
      <w:szCs w:val="16"/>
    </w:rPr>
  </w:style>
  <w:style w:type="paragraph" w:styleId="28">
    <w:name w:val="toc 2"/>
    <w:basedOn w:val="1"/>
    <w:next w:val="1"/>
    <w:semiHidden/>
    <w:qFormat/>
    <w:uiPriority w:val="99"/>
    <w:pPr>
      <w:ind w:left="420" w:leftChars="200"/>
    </w:pPr>
  </w:style>
  <w:style w:type="paragraph" w:styleId="29">
    <w:name w:val="toc 9"/>
    <w:basedOn w:val="1"/>
    <w:next w:val="1"/>
    <w:qFormat/>
    <w:uiPriority w:val="99"/>
    <w:pPr>
      <w:ind w:left="3360" w:leftChars="1600"/>
    </w:pPr>
  </w:style>
  <w:style w:type="paragraph" w:styleId="30">
    <w:name w:val="Body Text 2"/>
    <w:basedOn w:val="1"/>
    <w:link w:val="59"/>
    <w:qFormat/>
    <w:uiPriority w:val="99"/>
    <w:pPr>
      <w:spacing w:after="120" w:line="480" w:lineRule="auto"/>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2">
    <w:name w:val="index 1"/>
    <w:basedOn w:val="1"/>
    <w:next w:val="1"/>
    <w:qFormat/>
    <w:locked/>
    <w:uiPriority w:val="0"/>
    <w:pPr>
      <w:spacing w:line="300" w:lineRule="exact"/>
      <w:jc w:val="center"/>
    </w:pPr>
    <w:rPr>
      <w:rFonts w:ascii="Times New Roman"/>
      <w:color w:val="000000"/>
      <w:spacing w:val="10"/>
      <w:kern w:val="0"/>
    </w:rPr>
  </w:style>
  <w:style w:type="table" w:styleId="34">
    <w:name w:val="Table Grid"/>
    <w:basedOn w:val="33"/>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6">
    <w:name w:val=" Char Char Char Char Char Char Char Char Char Char Char Char Char Char Char Char Char Char Char Char Char Char Char Char Char Char Char Char Char Char Char Char Char"/>
    <w:basedOn w:val="1"/>
    <w:link w:val="35"/>
    <w:qFormat/>
    <w:uiPriority w:val="0"/>
    <w:pPr>
      <w:widowControl/>
      <w:spacing w:after="160" w:afterLines="0" w:line="240" w:lineRule="exact"/>
      <w:jc w:val="left"/>
    </w:pPr>
  </w:style>
  <w:style w:type="character" w:styleId="37">
    <w:name w:val="Strong"/>
    <w:basedOn w:val="35"/>
    <w:qFormat/>
    <w:locked/>
    <w:uiPriority w:val="0"/>
    <w:rPr>
      <w:b/>
      <w:bCs/>
    </w:rPr>
  </w:style>
  <w:style w:type="character" w:styleId="38">
    <w:name w:val="page number"/>
    <w:basedOn w:val="35"/>
    <w:qFormat/>
    <w:uiPriority w:val="99"/>
    <w:rPr>
      <w:rFonts w:cs="Times New Roman"/>
    </w:rPr>
  </w:style>
  <w:style w:type="character" w:styleId="39">
    <w:name w:val="Hyperlink"/>
    <w:basedOn w:val="35"/>
    <w:qFormat/>
    <w:uiPriority w:val="99"/>
    <w:rPr>
      <w:rFonts w:cs="Times New Roman"/>
      <w:color w:val="0000FF"/>
      <w:u w:val="single"/>
    </w:rPr>
  </w:style>
  <w:style w:type="character" w:styleId="40">
    <w:name w:val="annotation reference"/>
    <w:basedOn w:val="35"/>
    <w:qFormat/>
    <w:uiPriority w:val="99"/>
    <w:rPr>
      <w:rFonts w:cs="Times New Roman"/>
      <w:sz w:val="21"/>
    </w:rPr>
  </w:style>
  <w:style w:type="paragraph" w:customStyle="1" w:styleId="41">
    <w:name w:val="样式 正文文本缩进 + 行距: 1.5 倍行距"/>
    <w:basedOn w:val="1"/>
    <w:qFormat/>
    <w:uiPriority w:val="0"/>
    <w:pPr>
      <w:spacing w:after="120" w:line="360" w:lineRule="auto"/>
      <w:ind w:left="90" w:leftChars="32" w:firstLine="560" w:firstLineChars="200"/>
    </w:pPr>
    <w:rPr>
      <w:rFonts w:cs="宋体"/>
    </w:rPr>
  </w:style>
  <w:style w:type="character" w:customStyle="1" w:styleId="42">
    <w:name w:val="Heading 1 Char"/>
    <w:basedOn w:val="35"/>
    <w:link w:val="6"/>
    <w:qFormat/>
    <w:locked/>
    <w:uiPriority w:val="99"/>
    <w:rPr>
      <w:rFonts w:ascii="Times New Roman" w:hAnsi="Times New Roman" w:eastAsia="宋体" w:cs="Times New Roman"/>
      <w:b/>
      <w:sz w:val="32"/>
    </w:rPr>
  </w:style>
  <w:style w:type="character" w:customStyle="1" w:styleId="43">
    <w:name w:val="Heading 2 Char"/>
    <w:basedOn w:val="35"/>
    <w:link w:val="7"/>
    <w:qFormat/>
    <w:locked/>
    <w:uiPriority w:val="99"/>
    <w:rPr>
      <w:rFonts w:ascii="Times New Roman" w:hAnsi="Times New Roman" w:eastAsia="宋体" w:cs="Times New Roman"/>
      <w:b/>
      <w:sz w:val="28"/>
    </w:rPr>
  </w:style>
  <w:style w:type="character" w:customStyle="1" w:styleId="44">
    <w:name w:val="Heading 3 Char"/>
    <w:basedOn w:val="35"/>
    <w:link w:val="8"/>
    <w:semiHidden/>
    <w:qFormat/>
    <w:locked/>
    <w:uiPriority w:val="99"/>
    <w:rPr>
      <w:rFonts w:cs="Times New Roman"/>
      <w:b/>
      <w:bCs/>
      <w:sz w:val="32"/>
      <w:szCs w:val="32"/>
    </w:rPr>
  </w:style>
  <w:style w:type="character" w:customStyle="1" w:styleId="45">
    <w:name w:val="Heading 4 Char"/>
    <w:basedOn w:val="35"/>
    <w:link w:val="9"/>
    <w:semiHidden/>
    <w:qFormat/>
    <w:locked/>
    <w:uiPriority w:val="99"/>
    <w:rPr>
      <w:rFonts w:ascii="Cambria" w:hAnsi="Cambria" w:eastAsia="宋体" w:cs="Times New Roman"/>
      <w:b/>
      <w:bCs/>
      <w:sz w:val="28"/>
      <w:szCs w:val="28"/>
    </w:rPr>
  </w:style>
  <w:style w:type="character" w:customStyle="1" w:styleId="46">
    <w:name w:val="Body Text Indent Char"/>
    <w:basedOn w:val="35"/>
    <w:link w:val="3"/>
    <w:semiHidden/>
    <w:qFormat/>
    <w:locked/>
    <w:uiPriority w:val="99"/>
    <w:rPr>
      <w:rFonts w:cs="Times New Roman"/>
      <w:sz w:val="24"/>
      <w:szCs w:val="24"/>
    </w:rPr>
  </w:style>
  <w:style w:type="character" w:customStyle="1" w:styleId="47">
    <w:name w:val="Body Text First Indent 2 Char"/>
    <w:basedOn w:val="46"/>
    <w:link w:val="2"/>
    <w:semiHidden/>
    <w:qFormat/>
    <w:locked/>
    <w:uiPriority w:val="99"/>
  </w:style>
  <w:style w:type="character" w:customStyle="1" w:styleId="48">
    <w:name w:val="Body Text Char"/>
    <w:basedOn w:val="35"/>
    <w:link w:val="5"/>
    <w:semiHidden/>
    <w:qFormat/>
    <w:locked/>
    <w:uiPriority w:val="99"/>
    <w:rPr>
      <w:rFonts w:cs="Times New Roman"/>
      <w:sz w:val="24"/>
      <w:szCs w:val="24"/>
    </w:rPr>
  </w:style>
  <w:style w:type="character" w:customStyle="1" w:styleId="49">
    <w:name w:val="Body Text First Indent Char"/>
    <w:basedOn w:val="35"/>
    <w:link w:val="4"/>
    <w:qFormat/>
    <w:locked/>
    <w:uiPriority w:val="99"/>
    <w:rPr>
      <w:rFonts w:eastAsia="宋体" w:cs="Times New Roman"/>
      <w:kern w:val="2"/>
      <w:sz w:val="18"/>
      <w:szCs w:val="18"/>
      <w:lang w:val="en-US" w:eastAsia="zh-CN" w:bidi="ar-SA"/>
    </w:rPr>
  </w:style>
  <w:style w:type="character" w:customStyle="1" w:styleId="50">
    <w:name w:val="Note Heading Char"/>
    <w:basedOn w:val="35"/>
    <w:link w:val="11"/>
    <w:semiHidden/>
    <w:qFormat/>
    <w:locked/>
    <w:uiPriority w:val="99"/>
    <w:rPr>
      <w:rFonts w:cs="Times New Roman"/>
      <w:sz w:val="24"/>
      <w:szCs w:val="24"/>
    </w:rPr>
  </w:style>
  <w:style w:type="character" w:customStyle="1" w:styleId="51">
    <w:name w:val="Document Map Char"/>
    <w:basedOn w:val="35"/>
    <w:link w:val="13"/>
    <w:semiHidden/>
    <w:qFormat/>
    <w:locked/>
    <w:uiPriority w:val="99"/>
    <w:rPr>
      <w:rFonts w:cs="Times New Roman"/>
      <w:sz w:val="2"/>
    </w:rPr>
  </w:style>
  <w:style w:type="character" w:customStyle="1" w:styleId="52">
    <w:name w:val="Comment Text Char"/>
    <w:basedOn w:val="35"/>
    <w:link w:val="14"/>
    <w:semiHidden/>
    <w:qFormat/>
    <w:locked/>
    <w:uiPriority w:val="99"/>
    <w:rPr>
      <w:rFonts w:cs="Times New Roman"/>
      <w:sz w:val="24"/>
      <w:szCs w:val="24"/>
    </w:rPr>
  </w:style>
  <w:style w:type="character" w:customStyle="1" w:styleId="53">
    <w:name w:val="Plain Text Char"/>
    <w:basedOn w:val="35"/>
    <w:link w:val="18"/>
    <w:semiHidden/>
    <w:qFormat/>
    <w:locked/>
    <w:uiPriority w:val="99"/>
    <w:rPr>
      <w:rFonts w:ascii="宋体" w:hAnsi="Courier New" w:cs="Courier New"/>
      <w:sz w:val="21"/>
      <w:szCs w:val="21"/>
    </w:rPr>
  </w:style>
  <w:style w:type="character" w:customStyle="1" w:styleId="54">
    <w:name w:val="Body Text Indent 2 Char"/>
    <w:basedOn w:val="35"/>
    <w:link w:val="20"/>
    <w:semiHidden/>
    <w:qFormat/>
    <w:locked/>
    <w:uiPriority w:val="99"/>
    <w:rPr>
      <w:rFonts w:cs="Times New Roman"/>
      <w:sz w:val="24"/>
      <w:szCs w:val="24"/>
    </w:rPr>
  </w:style>
  <w:style w:type="character" w:customStyle="1" w:styleId="55">
    <w:name w:val="Balloon Text Char"/>
    <w:basedOn w:val="35"/>
    <w:link w:val="21"/>
    <w:semiHidden/>
    <w:qFormat/>
    <w:locked/>
    <w:uiPriority w:val="99"/>
    <w:rPr>
      <w:rFonts w:cs="Times New Roman"/>
      <w:sz w:val="2"/>
    </w:rPr>
  </w:style>
  <w:style w:type="character" w:customStyle="1" w:styleId="56">
    <w:name w:val="Footer Char"/>
    <w:basedOn w:val="35"/>
    <w:link w:val="22"/>
    <w:semiHidden/>
    <w:qFormat/>
    <w:locked/>
    <w:uiPriority w:val="99"/>
    <w:rPr>
      <w:rFonts w:cs="Times New Roman"/>
      <w:sz w:val="18"/>
      <w:szCs w:val="18"/>
    </w:rPr>
  </w:style>
  <w:style w:type="character" w:customStyle="1" w:styleId="57">
    <w:name w:val="Header Char"/>
    <w:basedOn w:val="35"/>
    <w:link w:val="23"/>
    <w:qFormat/>
    <w:locked/>
    <w:uiPriority w:val="99"/>
    <w:rPr>
      <w:rFonts w:eastAsia="宋体" w:cs="Times New Roman"/>
      <w:kern w:val="2"/>
      <w:sz w:val="18"/>
      <w:szCs w:val="18"/>
      <w:lang w:val="en-US" w:eastAsia="zh-CN" w:bidi="ar-SA"/>
    </w:rPr>
  </w:style>
  <w:style w:type="character" w:customStyle="1" w:styleId="58">
    <w:name w:val="Body Text Indent 3 Char"/>
    <w:basedOn w:val="35"/>
    <w:link w:val="27"/>
    <w:semiHidden/>
    <w:qFormat/>
    <w:locked/>
    <w:uiPriority w:val="99"/>
    <w:rPr>
      <w:rFonts w:cs="Times New Roman"/>
      <w:sz w:val="16"/>
      <w:szCs w:val="16"/>
    </w:rPr>
  </w:style>
  <w:style w:type="character" w:customStyle="1" w:styleId="59">
    <w:name w:val="Body Text 2 Char"/>
    <w:basedOn w:val="35"/>
    <w:link w:val="30"/>
    <w:semiHidden/>
    <w:qFormat/>
    <w:locked/>
    <w:uiPriority w:val="99"/>
    <w:rPr>
      <w:rFonts w:cs="Times New Roman"/>
      <w:sz w:val="24"/>
      <w:szCs w:val="24"/>
    </w:rPr>
  </w:style>
  <w:style w:type="character" w:customStyle="1" w:styleId="60">
    <w:name w:val="p0 Char Char"/>
    <w:basedOn w:val="35"/>
    <w:link w:val="61"/>
    <w:qFormat/>
    <w:locked/>
    <w:uiPriority w:val="99"/>
    <w:rPr>
      <w:rFonts w:cs="宋体"/>
      <w:sz w:val="21"/>
      <w:szCs w:val="21"/>
    </w:rPr>
  </w:style>
  <w:style w:type="paragraph" w:customStyle="1" w:styleId="61">
    <w:name w:val="p0"/>
    <w:basedOn w:val="1"/>
    <w:link w:val="60"/>
    <w:qFormat/>
    <w:uiPriority w:val="99"/>
    <w:pPr>
      <w:widowControl/>
    </w:pPr>
    <w:rPr>
      <w:rFonts w:cs="宋体"/>
      <w:kern w:val="0"/>
      <w:szCs w:val="21"/>
    </w:rPr>
  </w:style>
  <w:style w:type="character" w:customStyle="1" w:styleId="62">
    <w:name w:val="font41"/>
    <w:basedOn w:val="35"/>
    <w:qFormat/>
    <w:uiPriority w:val="99"/>
    <w:rPr>
      <w:rFonts w:ascii="Times New Roman" w:hAnsi="Times New Roman" w:cs="Times New Roman"/>
      <w:color w:val="000000"/>
      <w:sz w:val="21"/>
      <w:szCs w:val="21"/>
      <w:u w:val="none"/>
    </w:rPr>
  </w:style>
  <w:style w:type="character" w:customStyle="1" w:styleId="63">
    <w:name w:val="font31"/>
    <w:basedOn w:val="35"/>
    <w:qFormat/>
    <w:uiPriority w:val="99"/>
    <w:rPr>
      <w:rFonts w:ascii="Times New Roman" w:hAnsi="Times New Roman" w:cs="Times New Roman"/>
      <w:color w:val="000000"/>
      <w:sz w:val="22"/>
      <w:szCs w:val="22"/>
      <w:u w:val="none"/>
      <w:vertAlign w:val="superscript"/>
    </w:rPr>
  </w:style>
  <w:style w:type="character" w:customStyle="1" w:styleId="64">
    <w:name w:val="f_money"/>
    <w:basedOn w:val="35"/>
    <w:qFormat/>
    <w:uiPriority w:val="99"/>
    <w:rPr>
      <w:rFonts w:cs="Times New Roman"/>
    </w:rPr>
  </w:style>
  <w:style w:type="character" w:customStyle="1" w:styleId="65">
    <w:name w:val="apple-converted-space"/>
    <w:basedOn w:val="35"/>
    <w:qFormat/>
    <w:uiPriority w:val="99"/>
    <w:rPr>
      <w:rFonts w:cs="Times New Roman"/>
    </w:rPr>
  </w:style>
  <w:style w:type="character" w:customStyle="1" w:styleId="66">
    <w:name w:val="正文5号 Char"/>
    <w:qFormat/>
    <w:uiPriority w:val="99"/>
    <w:rPr>
      <w:rFonts w:ascii="仿宋_GB2312" w:eastAsia="方正仿宋简体"/>
      <w:kern w:val="2"/>
      <w:sz w:val="24"/>
      <w:lang w:val="en-US" w:eastAsia="zh-CN"/>
    </w:rPr>
  </w:style>
  <w:style w:type="character" w:customStyle="1" w:styleId="67">
    <w:name w:val="表、图标题 Char Char"/>
    <w:basedOn w:val="35"/>
    <w:link w:val="68"/>
    <w:qFormat/>
    <w:locked/>
    <w:uiPriority w:val="99"/>
    <w:rPr>
      <w:rFonts w:ascii="宋体" w:hAnsi="宋体" w:eastAsia="宋体" w:cs="Times New Roman"/>
      <w:b/>
      <w:bCs/>
      <w:snapToGrid w:val="0"/>
      <w:sz w:val="21"/>
      <w:szCs w:val="21"/>
      <w:lang w:val="en-US" w:eastAsia="zh-CN" w:bidi="ar-SA"/>
    </w:rPr>
  </w:style>
  <w:style w:type="paragraph" w:customStyle="1" w:styleId="68">
    <w:name w:val="表、图标题"/>
    <w:basedOn w:val="1"/>
    <w:link w:val="67"/>
    <w:qFormat/>
    <w:uiPriority w:val="99"/>
    <w:pPr>
      <w:adjustRightInd w:val="0"/>
      <w:snapToGrid w:val="0"/>
      <w:spacing w:line="480" w:lineRule="exact"/>
      <w:jc w:val="center"/>
    </w:pPr>
    <w:rPr>
      <w:rFonts w:ascii="宋体" w:hAnsi="宋体"/>
      <w:b/>
      <w:bCs/>
      <w:kern w:val="0"/>
      <w:sz w:val="24"/>
      <w:szCs w:val="21"/>
    </w:rPr>
  </w:style>
  <w:style w:type="character" w:customStyle="1" w:styleId="69">
    <w:name w:val="zw1"/>
    <w:basedOn w:val="35"/>
    <w:qFormat/>
    <w:uiPriority w:val="99"/>
    <w:rPr>
      <w:rFonts w:ascii="宋体" w:hAnsi="宋体" w:eastAsia="宋体" w:cs="Times New Roman"/>
      <w:kern w:val="2"/>
      <w:sz w:val="22"/>
      <w:szCs w:val="22"/>
      <w:lang w:val="en-US" w:eastAsia="zh-CN" w:bidi="ar-SA"/>
    </w:rPr>
  </w:style>
  <w:style w:type="character" w:customStyle="1" w:styleId="70">
    <w:name w:val="font11"/>
    <w:basedOn w:val="35"/>
    <w:qFormat/>
    <w:uiPriority w:val="99"/>
    <w:rPr>
      <w:rFonts w:ascii="宋体" w:hAnsi="宋体" w:eastAsia="宋体" w:cs="宋体"/>
      <w:color w:val="000000"/>
      <w:sz w:val="21"/>
      <w:szCs w:val="21"/>
      <w:u w:val="none"/>
    </w:rPr>
  </w:style>
  <w:style w:type="character" w:customStyle="1" w:styleId="71">
    <w:name w:val="content1"/>
    <w:qFormat/>
    <w:uiPriority w:val="99"/>
    <w:rPr>
      <w:sz w:val="21"/>
    </w:rPr>
  </w:style>
  <w:style w:type="character" w:customStyle="1" w:styleId="72">
    <w:name w:val="表内容 Char"/>
    <w:basedOn w:val="35"/>
    <w:link w:val="73"/>
    <w:qFormat/>
    <w:locked/>
    <w:uiPriority w:val="99"/>
    <w:rPr>
      <w:rFonts w:eastAsia="宋体" w:cs="Times New Roman"/>
      <w:snapToGrid w:val="0"/>
      <w:sz w:val="21"/>
      <w:szCs w:val="21"/>
      <w:lang w:val="en-US" w:eastAsia="zh-CN" w:bidi="ar-SA"/>
    </w:rPr>
  </w:style>
  <w:style w:type="paragraph" w:customStyle="1" w:styleId="73">
    <w:name w:val="表内容"/>
    <w:basedOn w:val="1"/>
    <w:link w:val="72"/>
    <w:qFormat/>
    <w:uiPriority w:val="99"/>
    <w:pPr>
      <w:adjustRightInd w:val="0"/>
      <w:snapToGrid w:val="0"/>
      <w:spacing w:line="240" w:lineRule="atLeast"/>
      <w:jc w:val="center"/>
    </w:pPr>
    <w:rPr>
      <w:kern w:val="0"/>
      <w:szCs w:val="21"/>
    </w:rPr>
  </w:style>
  <w:style w:type="character" w:customStyle="1" w:styleId="74">
    <w:name w:val="font21"/>
    <w:basedOn w:val="35"/>
    <w:qFormat/>
    <w:uiPriority w:val="99"/>
    <w:rPr>
      <w:rFonts w:ascii="Times New Roman" w:hAnsi="Times New Roman" w:cs="Times New Roman"/>
      <w:color w:val="000000"/>
      <w:sz w:val="27"/>
      <w:szCs w:val="27"/>
      <w:u w:val="none"/>
      <w:vertAlign w:val="superscript"/>
    </w:rPr>
  </w:style>
  <w:style w:type="character" w:customStyle="1" w:styleId="75">
    <w:name w:val="style61"/>
    <w:basedOn w:val="35"/>
    <w:qFormat/>
    <w:uiPriority w:val="99"/>
    <w:rPr>
      <w:rFonts w:cs="Times New Roman"/>
      <w:color w:val="0000FF"/>
    </w:rPr>
  </w:style>
  <w:style w:type="paragraph" w:customStyle="1" w:styleId="76">
    <w:name w:val="标题4"/>
    <w:basedOn w:val="1"/>
    <w:next w:val="1"/>
    <w:qFormat/>
    <w:uiPriority w:val="99"/>
    <w:pPr>
      <w:adjustRightInd w:val="0"/>
      <w:snapToGrid w:val="0"/>
      <w:spacing w:line="480" w:lineRule="exact"/>
      <w:ind w:firstLine="200" w:firstLineChars="200"/>
      <w:outlineLvl w:val="3"/>
    </w:pPr>
    <w:rPr>
      <w:b/>
      <w:kern w:val="0"/>
      <w:sz w:val="24"/>
    </w:rPr>
  </w:style>
  <w:style w:type="paragraph" w:customStyle="1" w:styleId="77">
    <w:name w:val="Char Char1 Char Char"/>
    <w:basedOn w:val="1"/>
    <w:qFormat/>
    <w:uiPriority w:val="99"/>
    <w:pPr>
      <w:spacing w:before="300" w:after="300" w:line="560" w:lineRule="exact"/>
    </w:pPr>
    <w:rPr>
      <w:rFonts w:ascii="Calibri" w:hAnsi="Calibri"/>
      <w:szCs w:val="22"/>
    </w:rPr>
  </w:style>
  <w:style w:type="paragraph" w:customStyle="1" w:styleId="78">
    <w:name w:val="表格"/>
    <w:basedOn w:val="1"/>
    <w:next w:val="1"/>
    <w:qFormat/>
    <w:uiPriority w:val="99"/>
    <w:pPr>
      <w:jc w:val="center"/>
    </w:pPr>
    <w:rPr>
      <w:rFonts w:ascii="宋体"/>
      <w:szCs w:val="20"/>
    </w:rPr>
  </w:style>
  <w:style w:type="paragraph" w:customStyle="1" w:styleId="79">
    <w:name w:val="表头"/>
    <w:basedOn w:val="80"/>
    <w:qFormat/>
    <w:uiPriority w:val="99"/>
    <w:pPr>
      <w:spacing w:line="500" w:lineRule="exact"/>
    </w:pPr>
    <w:rPr>
      <w:rFonts w:cs="宋体"/>
      <w:b/>
      <w:bCs/>
    </w:rPr>
  </w:style>
  <w:style w:type="paragraph" w:customStyle="1" w:styleId="80">
    <w:name w:val="表格内容"/>
    <w:basedOn w:val="1"/>
    <w:qFormat/>
    <w:uiPriority w:val="99"/>
    <w:pPr>
      <w:jc w:val="center"/>
    </w:pPr>
    <w:rPr>
      <w:szCs w:val="21"/>
    </w:rPr>
  </w:style>
  <w:style w:type="paragraph" w:customStyle="1" w:styleId="81">
    <w:name w:val="标3"/>
    <w:basedOn w:val="1"/>
    <w:qFormat/>
    <w:uiPriority w:val="99"/>
    <w:pPr>
      <w:spacing w:line="360" w:lineRule="auto"/>
      <w:outlineLvl w:val="2"/>
    </w:pPr>
    <w:rPr>
      <w:rFonts w:cs="宋体"/>
      <w:b/>
      <w:bCs/>
      <w:sz w:val="24"/>
      <w:szCs w:val="20"/>
    </w:rPr>
  </w:style>
  <w:style w:type="paragraph" w:customStyle="1" w:styleId="82">
    <w:name w:val="正文 首行缩进:  2 字符"/>
    <w:basedOn w:val="1"/>
    <w:qFormat/>
    <w:uiPriority w:val="99"/>
    <w:pPr>
      <w:ind w:firstLine="480" w:firstLineChars="200"/>
    </w:pPr>
    <w:rPr>
      <w:rFonts w:cs="宋体"/>
      <w:szCs w:val="20"/>
    </w:rPr>
  </w:style>
  <w:style w:type="paragraph" w:customStyle="1" w:styleId="83">
    <w:name w:val="小节标题"/>
    <w:basedOn w:val="1"/>
    <w:next w:val="1"/>
    <w:qFormat/>
    <w:uiPriority w:val="99"/>
    <w:pPr>
      <w:widowControl/>
      <w:spacing w:before="175" w:after="102" w:line="351" w:lineRule="atLeast"/>
    </w:pPr>
    <w:rPr>
      <w:rFonts w:eastAsia="黑体"/>
      <w:color w:val="000000"/>
      <w:kern w:val="0"/>
      <w:szCs w:val="20"/>
      <w:u w:color="000000"/>
    </w:rPr>
  </w:style>
  <w:style w:type="paragraph" w:customStyle="1" w:styleId="84">
    <w:name w:val="健牛文字"/>
    <w:basedOn w:val="1"/>
    <w:qFormat/>
    <w:uiPriority w:val="99"/>
    <w:pPr>
      <w:adjustRightInd w:val="0"/>
      <w:snapToGrid w:val="0"/>
      <w:spacing w:line="440" w:lineRule="exact"/>
      <w:ind w:firstLine="560" w:firstLineChars="200"/>
    </w:pPr>
    <w:rPr>
      <w:sz w:val="28"/>
    </w:rPr>
  </w:style>
  <w:style w:type="paragraph" w:customStyle="1" w:styleId="85">
    <w:name w:val="博泵1"/>
    <w:basedOn w:val="1"/>
    <w:qFormat/>
    <w:uiPriority w:val="99"/>
    <w:pPr>
      <w:adjustRightInd w:val="0"/>
      <w:spacing w:line="480" w:lineRule="exact"/>
      <w:ind w:firstLine="200" w:firstLineChars="200"/>
      <w:jc w:val="left"/>
      <w:textAlignment w:val="baseline"/>
    </w:pPr>
    <w:rPr>
      <w:rFonts w:hAnsi="宋体" w:cs="宋体"/>
      <w:color w:val="000000"/>
      <w:kern w:val="0"/>
      <w:sz w:val="24"/>
      <w:szCs w:val="20"/>
    </w:rPr>
  </w:style>
  <w:style w:type="paragraph" w:customStyle="1" w:styleId="86">
    <w:name w:val="表体"/>
    <w:basedOn w:val="79"/>
    <w:semiHidden/>
    <w:qFormat/>
    <w:uiPriority w:val="99"/>
    <w:pPr>
      <w:overflowPunct w:val="0"/>
      <w:spacing w:line="300" w:lineRule="atLeast"/>
      <w:textAlignment w:val="baseline"/>
    </w:pPr>
    <w:rPr>
      <w:rFonts w:cs="Times New Roman"/>
      <w:b w:val="0"/>
      <w:bCs w:val="0"/>
      <w:color w:val="000000"/>
      <w:kern w:val="24"/>
      <w:sz w:val="18"/>
      <w:szCs w:val="20"/>
    </w:rPr>
  </w:style>
  <w:style w:type="paragraph" w:customStyle="1" w:styleId="87">
    <w:name w:val="表格正文"/>
    <w:qFormat/>
    <w:uiPriority w:val="99"/>
    <w:pPr>
      <w:spacing w:before="60" w:after="60" w:line="360" w:lineRule="exact"/>
      <w:ind w:left="32"/>
      <w:jc w:val="center"/>
    </w:pPr>
    <w:rPr>
      <w:rFonts w:ascii="Arial" w:hAnsi="Arial" w:eastAsia="宋体" w:cs="Arial"/>
      <w:bCs/>
      <w:kern w:val="0"/>
      <w:sz w:val="21"/>
      <w:szCs w:val="21"/>
      <w:lang w:val="en-US" w:eastAsia="zh-CN" w:bidi="ar-SA"/>
    </w:rPr>
  </w:style>
  <w:style w:type="paragraph" w:customStyle="1" w:styleId="88">
    <w:name w:val="reader-word-layer reader-word-s1-19"/>
    <w:basedOn w:val="1"/>
    <w:qFormat/>
    <w:uiPriority w:val="99"/>
    <w:pPr>
      <w:widowControl/>
      <w:spacing w:before="100" w:beforeAutospacing="1" w:after="100" w:afterAutospacing="1"/>
      <w:jc w:val="left"/>
    </w:pPr>
    <w:rPr>
      <w:rFonts w:ascii="宋体" w:hAnsi="宋体" w:cs="宋体"/>
      <w:kern w:val="0"/>
      <w:sz w:val="24"/>
    </w:rPr>
  </w:style>
  <w:style w:type="paragraph" w:customStyle="1" w:styleId="89">
    <w:name w:val="常用正文格式"/>
    <w:basedOn w:val="1"/>
    <w:qFormat/>
    <w:uiPriority w:val="99"/>
    <w:pPr>
      <w:spacing w:line="360" w:lineRule="auto"/>
      <w:ind w:firstLine="420" w:firstLineChars="200"/>
    </w:pPr>
    <w:rPr>
      <w:rFonts w:cs="宋体"/>
      <w:sz w:val="24"/>
      <w:szCs w:val="20"/>
    </w:rPr>
  </w:style>
  <w:style w:type="paragraph" w:customStyle="1" w:styleId="90">
    <w:name w:val="标题 21"/>
    <w:basedOn w:val="1"/>
    <w:next w:val="1"/>
    <w:qFormat/>
    <w:uiPriority w:val="99"/>
    <w:pPr>
      <w:keepNext/>
      <w:keepLines/>
      <w:spacing w:beforeLines="50" w:afterLines="50" w:line="360" w:lineRule="auto"/>
      <w:outlineLvl w:val="1"/>
    </w:pPr>
    <w:rPr>
      <w:rFonts w:ascii="Cambria" w:hAnsi="Cambria"/>
      <w:b/>
      <w:bCs/>
      <w:sz w:val="32"/>
      <w:szCs w:val="32"/>
    </w:rPr>
  </w:style>
  <w:style w:type="paragraph" w:customStyle="1" w:styleId="91">
    <w:name w:val="正文正文正文 1.5 倍行距"/>
    <w:basedOn w:val="1"/>
    <w:qFormat/>
    <w:uiPriority w:val="99"/>
    <w:pPr>
      <w:spacing w:line="360" w:lineRule="auto"/>
      <w:ind w:firstLine="480" w:firstLineChars="200"/>
    </w:pPr>
    <w:rPr>
      <w:rFonts w:ascii="宋体" w:hAnsi="宋体" w:cs="宋体"/>
      <w:kern w:val="0"/>
      <w:szCs w:val="20"/>
    </w:rPr>
  </w:style>
  <w:style w:type="paragraph" w:customStyle="1" w:styleId="92">
    <w:name w:val="Char"/>
    <w:basedOn w:val="1"/>
    <w:qFormat/>
    <w:uiPriority w:val="99"/>
    <w:rPr>
      <w:rFonts w:ascii="宋体" w:hAnsi="宋体" w:cs="Courier New"/>
      <w:sz w:val="32"/>
      <w:szCs w:val="32"/>
    </w:rPr>
  </w:style>
  <w:style w:type="paragraph" w:customStyle="1" w:styleId="93">
    <w:name w:val="文本框"/>
    <w:basedOn w:val="1"/>
    <w:qFormat/>
    <w:uiPriority w:val="99"/>
    <w:pPr>
      <w:jc w:val="center"/>
    </w:pPr>
    <w:rPr>
      <w:rFonts w:eastAsia="楷体_GB2312"/>
      <w:sz w:val="24"/>
    </w:rPr>
  </w:style>
  <w:style w:type="paragraph" w:customStyle="1" w:styleId="94">
    <w:name w:val="样式 标题 4 + 宋体 行距: 1.5 倍行距"/>
    <w:basedOn w:val="9"/>
    <w:qFormat/>
    <w:uiPriority w:val="99"/>
    <w:pPr>
      <w:spacing w:beforeLines="50"/>
    </w:pPr>
    <w:rPr>
      <w:rFonts w:ascii="宋体" w:hAnsi="宋体" w:cs="宋体"/>
      <w:szCs w:val="20"/>
    </w:rPr>
  </w:style>
  <w:style w:type="paragraph" w:customStyle="1" w:styleId="95">
    <w:name w:val="简单回函地址"/>
    <w:basedOn w:val="1"/>
    <w:qFormat/>
    <w:uiPriority w:val="99"/>
    <w:pPr>
      <w:autoSpaceDE w:val="0"/>
      <w:autoSpaceDN w:val="0"/>
      <w:adjustRightInd w:val="0"/>
      <w:textAlignment w:val="baseline"/>
    </w:pPr>
    <w:rPr>
      <w:rFonts w:eastAsia="楷体_GB2312"/>
      <w:sz w:val="28"/>
      <w:szCs w:val="20"/>
    </w:rPr>
  </w:style>
  <w:style w:type="paragraph" w:customStyle="1" w:styleId="96">
    <w:name w:val="样式 正文 行距: 固定值 25 磅"/>
    <w:basedOn w:val="1"/>
    <w:qFormat/>
    <w:uiPriority w:val="99"/>
    <w:pPr>
      <w:adjustRightInd w:val="0"/>
      <w:ind w:firstLine="200" w:firstLineChars="200"/>
    </w:pPr>
    <w:rPr>
      <w:rFonts w:cs="宋体"/>
    </w:rPr>
  </w:style>
  <w:style w:type="paragraph" w:customStyle="1" w:styleId="97">
    <w:name w:val="zw"/>
    <w:basedOn w:val="1"/>
    <w:qFormat/>
    <w:uiPriority w:val="99"/>
    <w:pPr>
      <w:widowControl/>
      <w:spacing w:before="100" w:beforeAutospacing="1" w:after="100" w:afterAutospacing="1" w:line="440" w:lineRule="atLeast"/>
      <w:jc w:val="left"/>
    </w:pPr>
    <w:rPr>
      <w:rFonts w:ascii="宋体" w:hAnsi="宋体" w:cs="宋体"/>
      <w:kern w:val="0"/>
      <w:sz w:val="22"/>
      <w:szCs w:val="22"/>
    </w:rPr>
  </w:style>
  <w:style w:type="paragraph" w:customStyle="1" w:styleId="98">
    <w:name w:val="Char Char Char Char Char Char1 Char"/>
    <w:basedOn w:val="1"/>
    <w:semiHidden/>
    <w:qFormat/>
    <w:uiPriority w:val="99"/>
  </w:style>
  <w:style w:type="paragraph" w:customStyle="1" w:styleId="99">
    <w:name w:val="样式9"/>
    <w:basedOn w:val="1"/>
    <w:qFormat/>
    <w:uiPriority w:val="99"/>
    <w:pPr>
      <w:spacing w:line="360" w:lineRule="exact"/>
      <w:jc w:val="center"/>
    </w:pPr>
    <w:rPr>
      <w:color w:val="000000"/>
    </w:rPr>
  </w:style>
  <w:style w:type="paragraph" w:customStyle="1" w:styleId="100">
    <w:name w:val="列出段落1"/>
    <w:basedOn w:val="1"/>
    <w:qFormat/>
    <w:uiPriority w:val="99"/>
    <w:pPr>
      <w:ind w:firstLine="420" w:firstLineChars="200"/>
    </w:pPr>
    <w:rPr>
      <w:rFonts w:ascii="Calibri" w:hAnsi="Calibri"/>
      <w:szCs w:val="22"/>
    </w:rPr>
  </w:style>
  <w:style w:type="paragraph" w:customStyle="1" w:styleId="101">
    <w:name w:val="报告书正文"/>
    <w:basedOn w:val="1"/>
    <w:qFormat/>
    <w:uiPriority w:val="99"/>
    <w:pPr>
      <w:adjustRightInd w:val="0"/>
      <w:snapToGrid w:val="0"/>
      <w:spacing w:line="360" w:lineRule="auto"/>
      <w:ind w:firstLine="425"/>
      <w:textAlignment w:val="baseline"/>
    </w:pPr>
    <w:rPr>
      <w:kern w:val="0"/>
      <w:sz w:val="24"/>
      <w:szCs w:val="20"/>
    </w:rPr>
  </w:style>
  <w:style w:type="paragraph" w:customStyle="1" w:styleId="102">
    <w:name w:val="样式 样式 标题 4 + 宋体 行距: 1.5 倍行距 + 段前: 0.5 行"/>
    <w:basedOn w:val="94"/>
    <w:qFormat/>
    <w:uiPriority w:val="99"/>
    <w:pPr>
      <w:spacing w:beforeLines="0"/>
    </w:pPr>
  </w:style>
  <w:style w:type="paragraph" w:customStyle="1" w:styleId="103">
    <w:name w:val="无间隔1"/>
    <w:qFormat/>
    <w:uiPriority w:val="99"/>
    <w:pPr>
      <w:widowControl w:val="0"/>
      <w:jc w:val="center"/>
    </w:pPr>
    <w:rPr>
      <w:rFonts w:ascii="Calibri" w:hAnsi="Calibri" w:eastAsia="宋体" w:cs="Times New Roman"/>
      <w:kern w:val="2"/>
      <w:sz w:val="21"/>
      <w:szCs w:val="22"/>
      <w:lang w:val="en-US" w:eastAsia="zh-CN" w:bidi="ar-SA"/>
    </w:rPr>
  </w:style>
  <w:style w:type="paragraph" w:customStyle="1" w:styleId="104">
    <w:name w:val="样式 标题 2H2节标题 1.1节标题 1.1 Char1.1标题2条标题h2l22nd levelTitre..."/>
    <w:basedOn w:val="7"/>
    <w:qFormat/>
    <w:uiPriority w:val="99"/>
    <w:pPr>
      <w:spacing w:beforeLines="50"/>
      <w:ind w:left="992" w:hanging="992"/>
    </w:pPr>
    <w:rPr>
      <w:rFonts w:cs="宋体"/>
    </w:rPr>
  </w:style>
  <w:style w:type="paragraph" w:customStyle="1" w:styleId="105">
    <w:name w:val="样式1"/>
    <w:basedOn w:val="1"/>
    <w:qFormat/>
    <w:uiPriority w:val="99"/>
    <w:pPr>
      <w:snapToGrid w:val="0"/>
      <w:jc w:val="center"/>
    </w:pPr>
    <w:rPr>
      <w:rFonts w:ascii="宋体" w:hAnsi="宋体"/>
      <w:b/>
      <w:spacing w:val="-4"/>
      <w:lang w:val="en-GB"/>
    </w:rPr>
  </w:style>
  <w:style w:type="paragraph" w:customStyle="1" w:styleId="106">
    <w:name w:val="表格标题"/>
    <w:basedOn w:val="1"/>
    <w:qFormat/>
    <w:uiPriority w:val="99"/>
    <w:pPr>
      <w:tabs>
        <w:tab w:val="left" w:pos="2715"/>
        <w:tab w:val="center" w:pos="4535"/>
      </w:tabs>
      <w:jc w:val="center"/>
    </w:pPr>
    <w:rPr>
      <w:rFonts w:eastAsia="黑体"/>
      <w:b/>
    </w:rPr>
  </w:style>
  <w:style w:type="paragraph" w:customStyle="1" w:styleId="107">
    <w:name w:val="基准页眉样式"/>
    <w:basedOn w:val="5"/>
    <w:qFormat/>
    <w:uiPriority w:val="99"/>
    <w:pPr>
      <w:spacing w:after="0"/>
      <w:jc w:val="center"/>
    </w:pPr>
  </w:style>
  <w:style w:type="paragraph" w:customStyle="1" w:styleId="108">
    <w:name w:val="xl2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样式 正文 首行缩进:  2 字符 + (中文) 楷体_GB2312"/>
    <w:basedOn w:val="1"/>
    <w:qFormat/>
    <w:uiPriority w:val="99"/>
    <w:pPr>
      <w:spacing w:line="500" w:lineRule="exact"/>
      <w:ind w:firstLine="200"/>
    </w:pPr>
    <w:rPr>
      <w:rFonts w:eastAsia="楷体_GB2312"/>
    </w:rPr>
  </w:style>
  <w:style w:type="paragraph" w:customStyle="1" w:styleId="110">
    <w:name w:val="正文1"/>
    <w:basedOn w:val="1"/>
    <w:next w:val="1"/>
    <w:qFormat/>
    <w:uiPriority w:val="99"/>
    <w:pPr>
      <w:adjustRightInd w:val="0"/>
      <w:snapToGrid w:val="0"/>
      <w:spacing w:line="500" w:lineRule="atLeast"/>
      <w:ind w:firstLine="567"/>
    </w:pPr>
    <w:rPr>
      <w:sz w:val="28"/>
    </w:rPr>
  </w:style>
  <w:style w:type="character" w:customStyle="1" w:styleId="111">
    <w:name w:val="正文文本缩进 Char"/>
    <w:basedOn w:val="35"/>
    <w:link w:val="3"/>
    <w:qFormat/>
    <w:uiPriority w:val="0"/>
    <w:rPr>
      <w:kern w:val="2"/>
      <w:sz w:val="21"/>
      <w:szCs w:val="24"/>
    </w:rPr>
  </w:style>
  <w:style w:type="character" w:customStyle="1" w:styleId="112">
    <w:name w:val="正文首行缩进 2 Char"/>
    <w:basedOn w:val="111"/>
    <w:link w:val="2"/>
    <w:qFormat/>
    <w:uiPriority w:val="0"/>
    <w:rPr>
      <w:kern w:val="2"/>
      <w:sz w:val="21"/>
      <w:szCs w:val="24"/>
    </w:rPr>
  </w:style>
  <w:style w:type="paragraph" w:customStyle="1" w:styleId="113">
    <w:name w:val="Body Text Indent"/>
    <w:basedOn w:val="1"/>
    <w:qFormat/>
    <w:uiPriority w:val="0"/>
    <w:pPr>
      <w:spacing w:line="360" w:lineRule="auto"/>
      <w:ind w:firstLine="420"/>
    </w:pPr>
    <w:rPr>
      <w:sz w:val="24"/>
    </w:rPr>
  </w:style>
  <w:style w:type="paragraph" w:customStyle="1" w:styleId="114">
    <w:name w:val="li_正文"/>
    <w:basedOn w:val="1"/>
    <w:qFormat/>
    <w:uiPriority w:val="0"/>
    <w:pPr>
      <w:ind w:firstLine="200" w:firstLineChars="200"/>
      <w:jc w:val="left"/>
    </w:pPr>
    <w:rPr>
      <w:sz w:val="28"/>
      <w:szCs w:val="28"/>
    </w:rPr>
  </w:style>
  <w:style w:type="paragraph" w:customStyle="1" w:styleId="115">
    <w:name w:val="正文缩"/>
    <w:basedOn w:val="1"/>
    <w:qFormat/>
    <w:uiPriority w:val="99"/>
    <w:pPr>
      <w:adjustRightInd w:val="0"/>
      <w:snapToGrid w:val="0"/>
      <w:spacing w:line="480" w:lineRule="atLeast"/>
      <w:ind w:firstLine="671" w:firstLineChars="150"/>
    </w:pPr>
    <w:rPr>
      <w:rFonts w:ascii="宋体" w:hAnsi="Times New Roman"/>
      <w:spacing w:val="6"/>
      <w:kern w:val="0"/>
      <w:sz w:val="28"/>
      <w:szCs w:val="20"/>
    </w:rPr>
  </w:style>
  <w:style w:type="paragraph" w:customStyle="1" w:styleId="116">
    <w:name w:val="表格04"/>
    <w:basedOn w:val="1"/>
    <w:qFormat/>
    <w:uiPriority w:val="0"/>
    <w:pPr>
      <w:spacing w:line="360" w:lineRule="exact"/>
      <w:jc w:val="center"/>
    </w:pPr>
    <w:rPr>
      <w:rFonts w:cs="宋体"/>
      <w:snapToGrid w:val="0"/>
      <w:kern w:val="0"/>
      <w:sz w:val="18"/>
      <w:szCs w:val="18"/>
    </w:rPr>
  </w:style>
  <w:style w:type="paragraph" w:customStyle="1" w:styleId="117">
    <w:name w:val="。正文"/>
    <w:basedOn w:val="1"/>
    <w:qFormat/>
    <w:uiPriority w:val="0"/>
    <w:pPr>
      <w:spacing w:line="360" w:lineRule="auto"/>
      <w:ind w:firstLine="200" w:firstLineChars="200"/>
      <w:jc w:val="left"/>
    </w:pPr>
    <w:rPr>
      <w:rFonts w:ascii="宋体"/>
      <w:kern w:val="28"/>
      <w:sz w:val="28"/>
      <w:szCs w:val="20"/>
    </w:rPr>
  </w:style>
  <w:style w:type="paragraph" w:customStyle="1" w:styleId="118">
    <w:name w:val="表格文字1111"/>
    <w:basedOn w:val="1"/>
    <w:qFormat/>
    <w:uiPriority w:val="0"/>
    <w:pPr>
      <w:widowControl/>
      <w:adjustRightInd w:val="0"/>
      <w:snapToGrid w:val="0"/>
      <w:spacing w:line="240" w:lineRule="atLeast"/>
      <w:jc w:val="left"/>
    </w:pPr>
    <w:rPr>
      <w:rFonts w:cs="宋体"/>
      <w:kern w:val="0"/>
      <w:szCs w:val="28"/>
    </w:rPr>
  </w:style>
  <w:style w:type="paragraph" w:customStyle="1" w:styleId="119">
    <w:name w:val="表格标题111"/>
    <w:basedOn w:val="1"/>
    <w:qFormat/>
    <w:uiPriority w:val="0"/>
    <w:pPr>
      <w:spacing w:before="100" w:beforeLines="0" w:beforeAutospacing="1" w:after="100" w:afterLines="0" w:afterAutospacing="1"/>
      <w:ind w:firstLine="0" w:firstLineChars="0"/>
      <w:jc w:val="center"/>
    </w:pPr>
    <w:rPr>
      <w:color w:val="000000"/>
    </w:rPr>
  </w:style>
  <w:style w:type="paragraph" w:customStyle="1" w:styleId="120">
    <w:name w:val="Char Char Char Char Char Char Char Char Char Char Char Char Char Char Char1 Char Char Char Char Char Char Char"/>
    <w:basedOn w:val="1"/>
    <w:qFormat/>
    <w:uiPriority w:val="0"/>
  </w:style>
  <w:style w:type="character" w:customStyle="1" w:styleId="121">
    <w:name w:val="标题 1 Char"/>
    <w:basedOn w:val="35"/>
    <w:link w:val="6"/>
    <w:qFormat/>
    <w:locked/>
    <w:uiPriority w:val="99"/>
    <w:rPr>
      <w:rFonts w:ascii="Times New Roman" w:hAnsi="Times New Roman" w:eastAsia="宋体" w:cs="Times New Roman"/>
      <w:b/>
      <w:sz w:val="32"/>
    </w:rPr>
  </w:style>
  <w:style w:type="paragraph" w:customStyle="1" w:styleId="122">
    <w:name w:val="纯文本1"/>
    <w:basedOn w:val="1"/>
    <w:qFormat/>
    <w:uiPriority w:val="0"/>
    <w:rPr>
      <w:rFonts w:ascii="宋体" w:hAnsi="Courier New"/>
      <w:szCs w:val="20"/>
    </w:rPr>
  </w:style>
  <w:style w:type="paragraph" w:customStyle="1" w:styleId="123">
    <w:name w:val="01正文"/>
    <w:qFormat/>
    <w:uiPriority w:val="0"/>
    <w:pPr>
      <w:spacing w:line="360" w:lineRule="auto"/>
      <w:ind w:firstLine="482"/>
    </w:pPr>
    <w:rPr>
      <w:rFonts w:ascii="Times New Roman" w:hAnsi="Times New Roman" w:eastAsia="宋体" w:cs="Times New Roman"/>
      <w:sz w:val="24"/>
      <w:szCs w:val="24"/>
      <w:lang w:val="en-US" w:eastAsia="en-US" w:bidi="ar-SA"/>
    </w:rPr>
  </w:style>
  <w:style w:type="paragraph" w:styleId="124">
    <w:name w:val="List Paragraph"/>
    <w:basedOn w:val="1"/>
    <w:qFormat/>
    <w:uiPriority w:val="1"/>
    <w:pPr>
      <w:ind w:firstLine="420"/>
    </w:pPr>
  </w:style>
  <w:style w:type="paragraph" w:customStyle="1" w:styleId="125">
    <w:name w:val="一般内容"/>
    <w:basedOn w:val="1"/>
    <w:qFormat/>
    <w:uiPriority w:val="0"/>
    <w:pPr>
      <w:spacing w:line="360" w:lineRule="auto"/>
      <w:ind w:firstLine="200" w:firstLineChars="200"/>
    </w:pPr>
    <w:rPr>
      <w:rFonts w:ascii="Arial" w:hAnsi="Arial" w:cs="Arial"/>
      <w:bCs/>
      <w:sz w:val="24"/>
    </w:rPr>
  </w:style>
  <w:style w:type="paragraph" w:customStyle="1" w:styleId="126">
    <w:name w:val="0表格内容"/>
    <w:qFormat/>
    <w:uiPriority w:val="0"/>
    <w:pPr>
      <w:spacing w:line="245" w:lineRule="auto"/>
      <w:jc w:val="center"/>
    </w:pPr>
    <w:rPr>
      <w:rFonts w:ascii="Times New Roman" w:hAnsi="Times New Roman" w:eastAsia="宋体" w:cs="Times New Roman"/>
      <w:color w:val="000000"/>
      <w:kern w:val="2"/>
      <w:sz w:val="21"/>
      <w:szCs w:val="21"/>
      <w:lang w:val="en-US" w:eastAsia="zh-CN" w:bidi="ar-SA"/>
    </w:rPr>
  </w:style>
  <w:style w:type="paragraph" w:customStyle="1" w:styleId="127">
    <w:name w:val="1表头"/>
    <w:basedOn w:val="1"/>
    <w:next w:val="1"/>
    <w:qFormat/>
    <w:uiPriority w:val="0"/>
    <w:pPr>
      <w:tabs>
        <w:tab w:val="center" w:pos="4560"/>
        <w:tab w:val="right" w:pos="9120"/>
      </w:tabs>
      <w:spacing w:beforeLines="30" w:afterLines="20"/>
      <w:jc w:val="center"/>
    </w:pPr>
    <w:rPr>
      <w:rFonts w:ascii="Times New Roman" w:hAnsi="Times New Roman" w:eastAsia="黑体"/>
      <w:szCs w:val="21"/>
    </w:rPr>
  </w:style>
  <w:style w:type="paragraph" w:customStyle="1" w:styleId="128">
    <w:name w:val="EIA表首行"/>
    <w:basedOn w:val="1"/>
    <w:qFormat/>
    <w:uiPriority w:val="0"/>
    <w:pPr>
      <w:widowControl/>
      <w:ind w:left="6" w:hanging="6" w:hangingChars="3"/>
      <w:jc w:val="center"/>
    </w:pPr>
    <w:rPr>
      <w:rFonts w:ascii="Times New Roman" w:hAnsi="Times New Roman" w:eastAsia="仿宋" w:cs="Times New Roman"/>
      <w:b/>
      <w:color w:val="000000"/>
      <w:szCs w:val="21"/>
      <w:lang w:val="zh-CN"/>
    </w:rPr>
  </w:style>
  <w:style w:type="paragraph" w:customStyle="1" w:styleId="129">
    <w:name w:val="1图标题"/>
    <w:basedOn w:val="127"/>
    <w:next w:val="110"/>
    <w:qFormat/>
    <w:uiPriority w:val="0"/>
    <w:pPr>
      <w:spacing w:before="72" w:afterLines="100"/>
    </w:pPr>
    <w:rPr>
      <w:szCs w:val="24"/>
    </w:rPr>
  </w:style>
  <w:style w:type="paragraph" w:customStyle="1" w:styleId="130">
    <w:name w:val="0正文"/>
    <w:basedOn w:val="12"/>
    <w:qFormat/>
    <w:uiPriority w:val="0"/>
    <w:pPr>
      <w:adjustRightInd w:val="0"/>
      <w:snapToGrid w:val="0"/>
      <w:spacing w:line="360" w:lineRule="auto"/>
      <w:ind w:firstLine="200" w:firstLineChars="200"/>
    </w:pPr>
    <w:rPr>
      <w:rFonts w:hAnsi="PMingLiU"/>
      <w:sz w:val="24"/>
      <w:szCs w:val="22"/>
      <w:lang w:eastAsia="en-US"/>
    </w:rPr>
  </w:style>
  <w:style w:type="paragraph" w:customStyle="1" w:styleId="131">
    <w:name w:val="正文02"/>
    <w:basedOn w:val="1"/>
    <w:qFormat/>
    <w:uiPriority w:val="0"/>
    <w:pPr>
      <w:widowControl w:val="0"/>
      <w:adjustRightInd w:val="0"/>
      <w:spacing w:line="360" w:lineRule="auto"/>
      <w:ind w:firstLine="200" w:firstLineChars="200"/>
      <w:jc w:val="both"/>
    </w:pPr>
    <w:rPr>
      <w:rFonts w:ascii="Times New Roman" w:hAnsi="Times New Roman" w:cs="Times New Roman"/>
      <w:kern w:val="2"/>
      <w:sz w:val="28"/>
    </w:rPr>
  </w:style>
  <w:style w:type="table" w:customStyle="1" w:styleId="132">
    <w:name w:val="0表格"/>
    <w:basedOn w:val="33"/>
    <w:qFormat/>
    <w:uiPriority w:val="99"/>
    <w:pPr>
      <w:jc w:val="center"/>
    </w:pPr>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tcPr>
        <w:shd w:val="clear" w:color="auto" w:fill="FFFFFF"/>
      </w:tcPr>
    </w:tblStylePr>
  </w:style>
  <w:style w:type="paragraph" w:customStyle="1" w:styleId="133">
    <w:name w:val="1表格内容"/>
    <w:basedOn w:val="1"/>
    <w:qFormat/>
    <w:uiPriority w:val="0"/>
    <w:pPr>
      <w:adjustRightInd w:val="0"/>
      <w:snapToGrid w:val="0"/>
      <w:spacing w:beforeLines="20" w:afterLines="20"/>
      <w:jc w:val="center"/>
    </w:pPr>
    <w:rPr>
      <w:rFonts w:ascii="Times New Roman" w:hAnsi="Times New Roman" w:cs="Times New Roman"/>
      <w:sz w:val="21"/>
      <w:szCs w:val="21"/>
    </w:rPr>
  </w:style>
  <w:style w:type="character" w:customStyle="1" w:styleId="134">
    <w:name w:val="表格表头 Char"/>
    <w:link w:val="135"/>
    <w:qFormat/>
    <w:uiPriority w:val="0"/>
    <w:rPr>
      <w:rFonts w:ascii="Times New Roman" w:hAnsi="Times New Roman" w:eastAsia="黑体" w:cs="Times New Roman"/>
      <w:kern w:val="2"/>
      <w:sz w:val="24"/>
      <w:szCs w:val="22"/>
      <w:lang w:val="en-US" w:eastAsia="zh-CN" w:bidi="ar-SA"/>
    </w:rPr>
  </w:style>
  <w:style w:type="paragraph" w:customStyle="1" w:styleId="135">
    <w:name w:val="表格表头"/>
    <w:next w:val="1"/>
    <w:link w:val="134"/>
    <w:qFormat/>
    <w:uiPriority w:val="0"/>
    <w:pPr>
      <w:spacing w:line="360" w:lineRule="auto"/>
      <w:jc w:val="center"/>
    </w:pPr>
    <w:rPr>
      <w:rFonts w:ascii="Times New Roman" w:hAnsi="Times New Roman" w:eastAsia="黑体" w:cs="Times New Roman"/>
      <w:kern w:val="2"/>
      <w:sz w:val="24"/>
      <w:szCs w:val="22"/>
      <w:lang w:val="en-US" w:eastAsia="zh-CN" w:bidi="ar-SA"/>
    </w:rPr>
  </w:style>
  <w:style w:type="table" w:customStyle="1" w:styleId="136">
    <w:name w:val="0表格1"/>
    <w:basedOn w:val="33"/>
    <w:qFormat/>
    <w:uiPriority w:val="99"/>
    <w:pPr>
      <w:jc w:val="center"/>
    </w:pPr>
    <w:rPr>
      <w:rFonts w:ascii="Times New Roman" w:hAnsi="Times New Roman"/>
      <w:kern w:val="2"/>
      <w:sz w:val="21"/>
      <w:szCs w:val="21"/>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28" w:type="dxa"/>
        <w:right w:w="28" w:type="dxa"/>
      </w:tblCellMar>
    </w:tbl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37">
    <w:name w:val="网格型2"/>
    <w:basedOn w:val="33"/>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8">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jpe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oleObject" Target="embeddings/oleObject2.bin"/><Relationship Id="rId15" Type="http://schemas.openxmlformats.org/officeDocument/2006/relationships/image" Target="media/image5.jpeg"/><Relationship Id="rId14" Type="http://schemas.openxmlformats.org/officeDocument/2006/relationships/image" Target="media/image4.wmf"/><Relationship Id="rId13" Type="http://schemas.openxmlformats.org/officeDocument/2006/relationships/oleObject" Target="embeddings/oleObject1.bin"/><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83</Pages>
  <Words>7792</Words>
  <Characters>9086</Characters>
  <Lines>0</Lines>
  <Paragraphs>0</Paragraphs>
  <TotalTime>9</TotalTime>
  <ScaleCrop>false</ScaleCrop>
  <LinksUpToDate>false</LinksUpToDate>
  <CharactersWithSpaces>9207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2017-03-20T12:01:00Z</dcterms:created>
  <dc:creator>Lenovo User</dc:creator>
  <cp:lastModifiedBy>雪&amp;飘飘</cp:lastModifiedBy>
  <cp:lastPrinted>2019-06-05T02:45:00Z</cp:lastPrinted>
  <dcterms:modified xsi:type="dcterms:W3CDTF">2026-06-30T06:59:44Z</dcterms:modified>
  <dc:title>山东金达双鹏集团有限公司铝业分公司</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CEEF78C457C2471B8680769D6BA2DDC3</vt:lpwstr>
  </property>
  <property fmtid="{D5CDD505-2E9C-101B-9397-08002B2CF9AE}" pid="4" name="KSOTemplateDocerSaveRecord">
    <vt:lpwstr>eyJoZGlkIjoiOGM0ODdiOGRjNzUwNDljYmVlZmZhNzhlNjUzODhkZTYiLCJ1c2VySWQiOiI0MjM1ODg1MzcifQ==</vt:lpwstr>
  </property>
</Properties>
</file>