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F50D6E">
      <w:pPr>
        <w:widowControl/>
        <w:adjustRightInd w:val="0"/>
        <w:snapToGrid w:val="0"/>
        <w:spacing w:before="100" w:after="340" w:line="360" w:lineRule="auto"/>
        <w:rPr>
          <w:rFonts w:hint="default" w:ascii="Times New Roman" w:hAnsi="Times New Roman" w:cs="Times New Roman"/>
          <w:b/>
          <w:bCs/>
          <w:color w:val="FF0000"/>
          <w:kern w:val="0"/>
          <w:sz w:val="24"/>
          <w:szCs w:val="24"/>
          <w:highlight w:val="none"/>
          <w:shd w:val="clear" w:color="auto" w:fill="auto"/>
        </w:rPr>
      </w:pPr>
      <w:r>
        <w:rPr>
          <w:rFonts w:hint="default" w:ascii="Times New Roman" w:hAnsi="Times New Roman" w:eastAsia="宋体" w:cs="Times New Roman"/>
          <w:b/>
          <w:bCs/>
          <w:caps w:val="0"/>
          <w:smallCaps w:val="0"/>
          <w:color w:val="auto"/>
          <w:spacing w:val="0"/>
          <w:position w:val="0"/>
          <w:sz w:val="24"/>
          <w:szCs w:val="24"/>
        </w:rPr>
        <w:t>版本号：</w:t>
      </w:r>
      <w:r>
        <w:rPr>
          <w:rFonts w:hint="eastAsia" w:ascii="Times New Roman" w:hAnsi="Times New Roman" w:eastAsia="宋体" w:cs="Times New Roman"/>
          <w:b/>
          <w:bCs/>
          <w:caps w:val="0"/>
          <w:smallCaps w:val="0"/>
          <w:color w:val="auto"/>
          <w:spacing w:val="0"/>
          <w:position w:val="0"/>
          <w:sz w:val="24"/>
          <w:szCs w:val="24"/>
          <w:lang w:val="en-US" w:eastAsia="zh-CN"/>
        </w:rPr>
        <w:t>LXYY</w:t>
      </w:r>
      <w:r>
        <w:rPr>
          <w:rFonts w:hint="default" w:ascii="Times New Roman" w:hAnsi="Times New Roman" w:eastAsia="宋体" w:cs="Times New Roman"/>
          <w:b/>
          <w:bCs/>
          <w:caps w:val="0"/>
          <w:smallCaps w:val="0"/>
          <w:color w:val="auto"/>
          <w:spacing w:val="0"/>
          <w:position w:val="0"/>
          <w:sz w:val="24"/>
          <w:szCs w:val="24"/>
        </w:rPr>
        <w:t>-00</w:t>
      </w:r>
      <w:r>
        <w:rPr>
          <w:rFonts w:hint="eastAsia" w:cs="Times New Roman"/>
          <w:b/>
          <w:bCs/>
          <w:caps w:val="0"/>
          <w:smallCaps w:val="0"/>
          <w:color w:val="auto"/>
          <w:spacing w:val="0"/>
          <w:position w:val="0"/>
          <w:sz w:val="24"/>
          <w:szCs w:val="24"/>
          <w:lang w:val="en-US" w:eastAsia="zh-CN"/>
        </w:rPr>
        <w:t>4</w:t>
      </w:r>
      <w:r>
        <w:rPr>
          <w:rFonts w:hint="default" w:ascii="Times New Roman" w:hAnsi="Times New Roman" w:eastAsia="宋体" w:cs="Times New Roman"/>
          <w:b/>
          <w:bCs/>
          <w:caps w:val="0"/>
          <w:smallCaps w:val="0"/>
          <w:color w:val="FF0000"/>
          <w:spacing w:val="0"/>
          <w:position w:val="0"/>
          <w:sz w:val="24"/>
          <w:szCs w:val="24"/>
          <w:highlight w:val="none"/>
        </w:rPr>
        <w:t xml:space="preserve">  </w:t>
      </w:r>
    </w:p>
    <w:p w14:paraId="7F95F9DB">
      <w:pPr>
        <w:keepNext w:val="0"/>
        <w:keepLines w:val="0"/>
        <w:pageBreakBefore w:val="0"/>
        <w:widowControl/>
        <w:kinsoku/>
        <w:wordWrap/>
        <w:overflowPunct/>
        <w:topLinePunct w:val="0"/>
        <w:autoSpaceDE/>
        <w:autoSpaceDN/>
        <w:bidi w:val="0"/>
        <w:adjustRightInd w:val="0"/>
        <w:snapToGrid w:val="0"/>
        <w:spacing w:before="100" w:after="100" w:line="240" w:lineRule="auto"/>
        <w:ind w:left="0" w:leftChars="0" w:right="0" w:rightChars="0" w:firstLine="0" w:firstLineChars="0"/>
        <w:jc w:val="center"/>
        <w:textAlignment w:val="auto"/>
        <w:outlineLvl w:val="9"/>
        <w:rPr>
          <w:rFonts w:hint="default" w:ascii="Times New Roman" w:hAnsi="Times New Roman" w:cs="Times New Roman"/>
          <w:b/>
          <w:bCs/>
          <w:color w:val="FF0000"/>
          <w:spacing w:val="-20"/>
          <w:kern w:val="0"/>
          <w:sz w:val="48"/>
          <w:szCs w:val="48"/>
          <w:highlight w:val="none"/>
          <w:shd w:val="clear" w:color="auto" w:fill="auto"/>
          <w:lang w:val="en-US" w:eastAsia="zh-CN"/>
        </w:rPr>
      </w:pPr>
      <w:r>
        <w:rPr>
          <w:rFonts w:hint="default" w:ascii="Times New Roman" w:hAnsi="Times New Roman" w:cs="Times New Roman"/>
          <w:b/>
          <w:bCs/>
          <w:color w:val="FF0000"/>
          <w:spacing w:val="-20"/>
          <w:kern w:val="0"/>
          <w:sz w:val="48"/>
          <w:szCs w:val="48"/>
          <w:highlight w:val="none"/>
          <w:shd w:val="clear" w:color="auto" w:fill="auto"/>
          <w:lang w:val="en-US" w:eastAsia="zh-CN"/>
        </w:rPr>
        <w:t xml:space="preserve">  </w:t>
      </w:r>
    </w:p>
    <w:p w14:paraId="61C9C24D">
      <w:pPr>
        <w:keepNext w:val="0"/>
        <w:keepLines w:val="0"/>
        <w:pageBreakBefore w:val="0"/>
        <w:widowControl/>
        <w:kinsoku/>
        <w:wordWrap/>
        <w:overflowPunct/>
        <w:topLinePunct w:val="0"/>
        <w:autoSpaceDE/>
        <w:autoSpaceDN/>
        <w:bidi w:val="0"/>
        <w:adjustRightInd w:val="0"/>
        <w:snapToGrid w:val="0"/>
        <w:spacing w:before="100" w:after="100" w:line="240" w:lineRule="auto"/>
        <w:ind w:left="0" w:leftChars="0" w:right="0" w:rightChars="0" w:firstLine="0" w:firstLineChars="0"/>
        <w:jc w:val="center"/>
        <w:textAlignment w:val="auto"/>
        <w:outlineLvl w:val="9"/>
        <w:rPr>
          <w:rFonts w:hint="default" w:ascii="Times New Roman" w:hAnsi="Times New Roman" w:cs="Times New Roman"/>
          <w:b/>
          <w:bCs/>
          <w:color w:val="FF0000"/>
          <w:spacing w:val="-20"/>
          <w:kern w:val="0"/>
          <w:sz w:val="48"/>
          <w:szCs w:val="48"/>
          <w:highlight w:val="none"/>
          <w:shd w:val="clear" w:color="auto" w:fill="auto"/>
          <w:lang w:val="en-US" w:eastAsia="zh-CN"/>
        </w:rPr>
      </w:pPr>
    </w:p>
    <w:p w14:paraId="31C017DF">
      <w:pPr>
        <w:pStyle w:val="2"/>
        <w:rPr>
          <w:rFonts w:hint="default" w:ascii="Times New Roman" w:hAnsi="Times New Roman" w:cs="Times New Roman"/>
          <w:color w:val="FF0000"/>
          <w:highlight w:val="none"/>
          <w:lang w:val="en-US" w:eastAsia="zh-CN"/>
        </w:rPr>
      </w:pPr>
    </w:p>
    <w:p w14:paraId="3680CB84">
      <w:pPr>
        <w:rPr>
          <w:rFonts w:hint="default"/>
          <w:lang w:val="en-US" w:eastAsia="zh-CN"/>
        </w:rPr>
      </w:pPr>
    </w:p>
    <w:p w14:paraId="6F8B4A96">
      <w:pPr>
        <w:keepNext w:val="0"/>
        <w:keepLines w:val="0"/>
        <w:pageBreakBefore w:val="0"/>
        <w:widowControl/>
        <w:kinsoku/>
        <w:wordWrap/>
        <w:overflowPunct/>
        <w:topLinePunct w:val="0"/>
        <w:autoSpaceDE/>
        <w:autoSpaceDN/>
        <w:bidi w:val="0"/>
        <w:adjustRightInd w:val="0"/>
        <w:snapToGrid w:val="0"/>
        <w:spacing w:before="100" w:after="100" w:line="240" w:lineRule="auto"/>
        <w:ind w:left="0" w:leftChars="0" w:right="0" w:rightChars="0" w:firstLine="0" w:firstLineChars="0"/>
        <w:jc w:val="center"/>
        <w:textAlignment w:val="auto"/>
        <w:outlineLvl w:val="9"/>
        <w:rPr>
          <w:rFonts w:hint="default" w:ascii="Times New Roman" w:hAnsi="Times New Roman" w:eastAsia="宋体" w:cs="Times New Roman"/>
          <w:b/>
          <w:bCs/>
          <w:color w:val="auto"/>
          <w:spacing w:val="-20"/>
          <w:kern w:val="0"/>
          <w:sz w:val="72"/>
          <w:szCs w:val="72"/>
          <w:highlight w:val="none"/>
          <w:shd w:val="clear" w:color="auto" w:fill="auto"/>
          <w:lang w:eastAsia="zh-CN"/>
        </w:rPr>
      </w:pPr>
      <w:r>
        <w:rPr>
          <w:rFonts w:hint="default" w:ascii="Times New Roman" w:hAnsi="Times New Roman" w:cs="Times New Roman"/>
          <w:b/>
          <w:bCs/>
          <w:color w:val="auto"/>
          <w:spacing w:val="-20"/>
          <w:kern w:val="0"/>
          <w:sz w:val="72"/>
          <w:szCs w:val="72"/>
          <w:highlight w:val="none"/>
          <w:shd w:val="clear" w:color="auto" w:fill="auto"/>
          <w:lang w:eastAsia="zh-CN"/>
        </w:rPr>
        <w:t>山东隆信药业有限公司</w:t>
      </w:r>
    </w:p>
    <w:p w14:paraId="0089E479">
      <w:pPr>
        <w:widowControl/>
        <w:adjustRightInd w:val="0"/>
        <w:snapToGrid w:val="0"/>
        <w:spacing w:before="100" w:after="100" w:line="360" w:lineRule="auto"/>
        <w:jc w:val="center"/>
        <w:rPr>
          <w:rFonts w:hint="default" w:ascii="Times New Roman" w:hAnsi="Times New Roman" w:cs="Times New Roman"/>
          <w:b/>
          <w:bCs/>
          <w:color w:val="auto"/>
          <w:spacing w:val="-20"/>
          <w:kern w:val="0"/>
          <w:sz w:val="72"/>
          <w:szCs w:val="72"/>
          <w:highlight w:val="none"/>
          <w:shd w:val="clear" w:color="auto" w:fill="auto"/>
        </w:rPr>
      </w:pPr>
      <w:r>
        <w:rPr>
          <w:rFonts w:hint="default" w:ascii="Times New Roman" w:hAnsi="Times New Roman" w:cs="Times New Roman"/>
          <w:b/>
          <w:bCs/>
          <w:color w:val="auto"/>
          <w:spacing w:val="-20"/>
          <w:kern w:val="0"/>
          <w:sz w:val="72"/>
          <w:szCs w:val="72"/>
          <w:highlight w:val="none"/>
          <w:shd w:val="clear" w:color="auto" w:fill="auto"/>
        </w:rPr>
        <w:t>突发环境事件风险评估报告</w:t>
      </w:r>
    </w:p>
    <w:p w14:paraId="1F01CE43">
      <w:pPr>
        <w:widowControl/>
        <w:adjustRightInd w:val="0"/>
        <w:snapToGrid w:val="0"/>
        <w:spacing w:before="100" w:after="100" w:line="360" w:lineRule="auto"/>
        <w:jc w:val="center"/>
        <w:rPr>
          <w:rFonts w:hint="default" w:ascii="Times New Roman" w:hAnsi="Times New Roman" w:cs="Times New Roman"/>
          <w:color w:val="auto"/>
          <w:kern w:val="0"/>
          <w:sz w:val="36"/>
          <w:szCs w:val="36"/>
          <w:highlight w:val="none"/>
          <w:shd w:val="clear" w:color="auto" w:fill="auto"/>
        </w:rPr>
      </w:pPr>
    </w:p>
    <w:p w14:paraId="5577E524">
      <w:pPr>
        <w:widowControl/>
        <w:adjustRightInd w:val="0"/>
        <w:snapToGrid w:val="0"/>
        <w:spacing w:before="100" w:after="100" w:line="360" w:lineRule="auto"/>
        <w:jc w:val="center"/>
        <w:rPr>
          <w:rFonts w:hint="default" w:ascii="Times New Roman" w:hAnsi="Times New Roman" w:cs="Times New Roman"/>
          <w:color w:val="auto"/>
          <w:kern w:val="0"/>
          <w:sz w:val="36"/>
          <w:szCs w:val="36"/>
          <w:highlight w:val="none"/>
          <w:shd w:val="clear" w:color="auto" w:fill="auto"/>
        </w:rPr>
      </w:pPr>
    </w:p>
    <w:p w14:paraId="79EF6663">
      <w:pPr>
        <w:widowControl/>
        <w:adjustRightInd w:val="0"/>
        <w:snapToGrid w:val="0"/>
        <w:spacing w:before="100" w:after="100" w:line="360" w:lineRule="auto"/>
        <w:jc w:val="center"/>
        <w:rPr>
          <w:rFonts w:hint="default" w:ascii="Times New Roman" w:hAnsi="Times New Roman" w:cs="Times New Roman"/>
          <w:color w:val="auto"/>
          <w:kern w:val="0"/>
          <w:sz w:val="36"/>
          <w:szCs w:val="36"/>
          <w:highlight w:val="none"/>
          <w:shd w:val="clear" w:color="auto" w:fill="auto"/>
        </w:rPr>
      </w:pPr>
    </w:p>
    <w:p w14:paraId="1C77234D">
      <w:pPr>
        <w:widowControl/>
        <w:adjustRightInd w:val="0"/>
        <w:snapToGrid w:val="0"/>
        <w:spacing w:before="100" w:after="100" w:line="360" w:lineRule="auto"/>
        <w:jc w:val="center"/>
        <w:rPr>
          <w:rFonts w:hint="default" w:ascii="Times New Roman" w:hAnsi="Times New Roman" w:cs="Times New Roman"/>
          <w:color w:val="auto"/>
          <w:kern w:val="0"/>
          <w:sz w:val="36"/>
          <w:szCs w:val="36"/>
          <w:highlight w:val="none"/>
          <w:shd w:val="clear" w:color="auto" w:fill="auto"/>
        </w:rPr>
      </w:pPr>
    </w:p>
    <w:p w14:paraId="57AFCC87">
      <w:pPr>
        <w:widowControl/>
        <w:adjustRightInd w:val="0"/>
        <w:snapToGrid w:val="0"/>
        <w:spacing w:before="100" w:after="100" w:line="360" w:lineRule="auto"/>
        <w:rPr>
          <w:rFonts w:hint="default" w:ascii="Times New Roman" w:hAnsi="Times New Roman" w:cs="Times New Roman"/>
          <w:color w:val="auto"/>
          <w:kern w:val="0"/>
          <w:sz w:val="36"/>
          <w:szCs w:val="36"/>
          <w:highlight w:val="none"/>
          <w:shd w:val="clear" w:color="auto" w:fill="auto"/>
        </w:rPr>
      </w:pPr>
    </w:p>
    <w:p w14:paraId="32E6915F">
      <w:pPr>
        <w:widowControl/>
        <w:adjustRightInd w:val="0"/>
        <w:snapToGrid w:val="0"/>
        <w:spacing w:before="100" w:after="100" w:line="360" w:lineRule="auto"/>
        <w:rPr>
          <w:rFonts w:hint="default" w:ascii="Times New Roman" w:hAnsi="Times New Roman" w:cs="Times New Roman"/>
          <w:color w:val="auto"/>
          <w:kern w:val="0"/>
          <w:sz w:val="36"/>
          <w:szCs w:val="36"/>
          <w:highlight w:val="none"/>
          <w:shd w:val="clear" w:color="auto" w:fill="auto"/>
        </w:rPr>
      </w:pPr>
    </w:p>
    <w:p w14:paraId="2BB84FD5">
      <w:pPr>
        <w:widowControl/>
        <w:tabs>
          <w:tab w:val="left" w:pos="5617"/>
        </w:tabs>
        <w:adjustRightInd w:val="0"/>
        <w:snapToGrid w:val="0"/>
        <w:spacing w:before="100" w:after="100" w:line="360" w:lineRule="auto"/>
        <w:jc w:val="left"/>
        <w:rPr>
          <w:rFonts w:hint="default" w:ascii="Times New Roman" w:hAnsi="Times New Roman" w:cs="Times New Roman"/>
          <w:color w:val="auto"/>
          <w:kern w:val="0"/>
          <w:sz w:val="36"/>
          <w:szCs w:val="36"/>
          <w:highlight w:val="none"/>
          <w:shd w:val="clear" w:color="auto" w:fill="auto"/>
        </w:rPr>
      </w:pPr>
    </w:p>
    <w:p w14:paraId="619D0F34">
      <w:pPr>
        <w:widowControl/>
        <w:adjustRightInd w:val="0"/>
        <w:snapToGrid w:val="0"/>
        <w:spacing w:before="100" w:after="100" w:line="360" w:lineRule="auto"/>
        <w:jc w:val="center"/>
        <w:rPr>
          <w:rFonts w:hint="default" w:ascii="Times New Roman" w:hAnsi="Times New Roman" w:cs="Times New Roman"/>
          <w:color w:val="auto"/>
          <w:kern w:val="0"/>
          <w:sz w:val="36"/>
          <w:szCs w:val="36"/>
          <w:highlight w:val="none"/>
          <w:shd w:val="clear" w:color="auto" w:fill="auto"/>
        </w:rPr>
      </w:pPr>
    </w:p>
    <w:p w14:paraId="0673D1AA">
      <w:pPr>
        <w:widowControl/>
        <w:adjustRightInd w:val="0"/>
        <w:snapToGrid w:val="0"/>
        <w:spacing w:before="100" w:after="100" w:line="360" w:lineRule="auto"/>
        <w:jc w:val="center"/>
        <w:rPr>
          <w:rFonts w:hint="default" w:ascii="Times New Roman" w:hAnsi="Times New Roman" w:eastAsia="宋体" w:cs="Times New Roman"/>
          <w:b/>
          <w:bCs/>
          <w:color w:val="auto"/>
          <w:spacing w:val="-20"/>
          <w:kern w:val="0"/>
          <w:sz w:val="56"/>
          <w:szCs w:val="56"/>
          <w:highlight w:val="none"/>
          <w:shd w:val="clear" w:color="auto" w:fill="auto"/>
          <w:lang w:eastAsia="zh-CN"/>
        </w:rPr>
      </w:pPr>
      <w:r>
        <w:rPr>
          <w:rFonts w:hint="default" w:ascii="Times New Roman" w:hAnsi="Times New Roman" w:cs="Times New Roman"/>
          <w:b/>
          <w:bCs/>
          <w:color w:val="auto"/>
          <w:kern w:val="0"/>
          <w:sz w:val="40"/>
          <w:szCs w:val="40"/>
          <w:highlight w:val="none"/>
          <w:shd w:val="clear" w:color="auto" w:fill="auto"/>
          <w:lang w:eastAsia="zh-CN"/>
        </w:rPr>
        <w:t>山东隆信药业有限公司</w:t>
      </w:r>
    </w:p>
    <w:p w14:paraId="377CC3D5">
      <w:pPr>
        <w:widowControl/>
        <w:adjustRightInd w:val="0"/>
        <w:snapToGrid w:val="0"/>
        <w:spacing w:line="360" w:lineRule="auto"/>
        <w:jc w:val="center"/>
        <w:rPr>
          <w:rFonts w:hint="default" w:ascii="Times New Roman" w:hAnsi="Times New Roman" w:cs="Times New Roman"/>
          <w:b/>
          <w:bCs/>
          <w:color w:val="auto"/>
          <w:kern w:val="0"/>
          <w:sz w:val="40"/>
          <w:szCs w:val="40"/>
          <w:highlight w:val="none"/>
          <w:shd w:val="clear" w:color="auto" w:fill="auto"/>
        </w:rPr>
      </w:pPr>
      <w:r>
        <w:rPr>
          <w:rFonts w:hint="eastAsia" w:cs="Times New Roman"/>
          <w:b/>
          <w:bCs/>
          <w:color w:val="auto"/>
          <w:kern w:val="0"/>
          <w:sz w:val="40"/>
          <w:szCs w:val="40"/>
          <w:highlight w:val="none"/>
          <w:shd w:val="clear" w:color="auto" w:fill="auto"/>
          <w:lang w:eastAsia="zh-CN"/>
        </w:rPr>
        <w:t>二零二六</w:t>
      </w:r>
      <w:r>
        <w:rPr>
          <w:rFonts w:hint="default" w:ascii="Times New Roman" w:hAnsi="Times New Roman" w:cs="Times New Roman"/>
          <w:b/>
          <w:bCs/>
          <w:color w:val="auto"/>
          <w:kern w:val="0"/>
          <w:sz w:val="40"/>
          <w:szCs w:val="40"/>
          <w:highlight w:val="none"/>
          <w:shd w:val="clear" w:color="auto" w:fill="auto"/>
        </w:rPr>
        <w:t>年</w:t>
      </w:r>
      <w:r>
        <w:rPr>
          <w:rFonts w:hint="eastAsia" w:cs="Times New Roman"/>
          <w:b/>
          <w:bCs/>
          <w:color w:val="auto"/>
          <w:kern w:val="0"/>
          <w:sz w:val="40"/>
          <w:szCs w:val="40"/>
          <w:highlight w:val="none"/>
          <w:shd w:val="clear" w:color="auto" w:fill="auto"/>
          <w:lang w:val="en-US" w:eastAsia="zh-CN"/>
        </w:rPr>
        <w:t>四</w:t>
      </w:r>
      <w:r>
        <w:rPr>
          <w:rFonts w:hint="default" w:ascii="Times New Roman" w:hAnsi="Times New Roman" w:cs="Times New Roman"/>
          <w:b/>
          <w:bCs/>
          <w:color w:val="auto"/>
          <w:kern w:val="0"/>
          <w:sz w:val="40"/>
          <w:szCs w:val="40"/>
          <w:highlight w:val="none"/>
          <w:shd w:val="clear" w:color="auto" w:fill="auto"/>
        </w:rPr>
        <w:t>月</w:t>
      </w:r>
    </w:p>
    <w:p w14:paraId="57FB24F0">
      <w:pPr>
        <w:widowControl/>
        <w:adjustRightInd w:val="0"/>
        <w:snapToGrid w:val="0"/>
        <w:spacing w:line="360" w:lineRule="auto"/>
        <w:ind w:firstLine="3213" w:firstLineChars="800"/>
        <w:jc w:val="both"/>
        <w:rPr>
          <w:rFonts w:hint="default" w:ascii="Times New Roman" w:hAnsi="Times New Roman" w:cs="Times New Roman"/>
          <w:b/>
          <w:bCs/>
          <w:color w:val="auto"/>
          <w:kern w:val="0"/>
          <w:sz w:val="40"/>
          <w:szCs w:val="40"/>
          <w:highlight w:val="none"/>
          <w:shd w:val="clear" w:color="auto" w:fill="auto"/>
        </w:rPr>
      </w:pPr>
    </w:p>
    <w:p w14:paraId="213A45B1">
      <w:pPr>
        <w:pStyle w:val="2"/>
        <w:rPr>
          <w:rFonts w:hint="default"/>
        </w:rPr>
      </w:pPr>
    </w:p>
    <w:p w14:paraId="10499006">
      <w:pPr>
        <w:tabs>
          <w:tab w:val="left" w:pos="2955"/>
          <w:tab w:val="center" w:pos="4706"/>
        </w:tabs>
        <w:jc w:val="center"/>
        <w:rPr>
          <w:sz w:val="28"/>
          <w:szCs w:val="28"/>
        </w:rPr>
      </w:pPr>
      <w:bookmarkStart w:id="0" w:name="_Toc24751"/>
      <w:bookmarkStart w:id="1" w:name="_Toc5552"/>
      <w:r>
        <w:rPr>
          <w:rFonts w:hint="eastAsia"/>
          <w:sz w:val="28"/>
          <w:szCs w:val="28"/>
        </w:rPr>
        <w:t xml:space="preserve">目 </w:t>
      </w:r>
      <w:r>
        <w:rPr>
          <w:sz w:val="28"/>
          <w:szCs w:val="28"/>
        </w:rPr>
        <w:t xml:space="preserve"> </w:t>
      </w:r>
      <w:r>
        <w:rPr>
          <w:rFonts w:hint="eastAsia"/>
          <w:sz w:val="28"/>
          <w:szCs w:val="28"/>
        </w:rPr>
        <w:t>录</w:t>
      </w:r>
    </w:p>
    <w:p w14:paraId="3C9C980F">
      <w:pPr>
        <w:pStyle w:val="24"/>
        <w:tabs>
          <w:tab w:val="right" w:leader="dot" w:pos="9412"/>
        </w:tabs>
      </w:pPr>
      <w:r>
        <w:fldChar w:fldCharType="begin"/>
      </w:r>
      <w:r>
        <w:instrText xml:space="preserve"> TOC \o "1-2" \h \z \u </w:instrText>
      </w:r>
      <w:r>
        <w:fldChar w:fldCharType="separate"/>
      </w:r>
      <w:r>
        <w:fldChar w:fldCharType="begin"/>
      </w:r>
      <w:r>
        <w:instrText xml:space="preserve"> HYPERLINK \l _Toc7588 </w:instrText>
      </w:r>
      <w:r>
        <w:fldChar w:fldCharType="separate"/>
      </w:r>
      <w:r>
        <w:rPr>
          <w:rFonts w:hint="default" w:ascii="Times New Roman" w:hAnsi="Times New Roman" w:cs="Times New Roman"/>
          <w:highlight w:val="none"/>
        </w:rPr>
        <w:t>1 前言</w:t>
      </w:r>
      <w:r>
        <w:tab/>
      </w:r>
      <w:r>
        <w:fldChar w:fldCharType="begin"/>
      </w:r>
      <w:r>
        <w:instrText xml:space="preserve"> PAGEREF _Toc7588 \h </w:instrText>
      </w:r>
      <w:r>
        <w:fldChar w:fldCharType="separate"/>
      </w:r>
      <w:r>
        <w:t>3</w:t>
      </w:r>
      <w:r>
        <w:fldChar w:fldCharType="end"/>
      </w:r>
      <w:r>
        <w:fldChar w:fldCharType="end"/>
      </w:r>
    </w:p>
    <w:p w14:paraId="3B4C378C">
      <w:pPr>
        <w:pStyle w:val="24"/>
        <w:tabs>
          <w:tab w:val="right" w:leader="dot" w:pos="9412"/>
        </w:tabs>
      </w:pPr>
      <w:r>
        <w:rPr>
          <w:rFonts w:asciiTheme="minorHAnsi" w:eastAsiaTheme="minorHAnsi"/>
          <w:szCs w:val="20"/>
        </w:rPr>
        <w:fldChar w:fldCharType="begin"/>
      </w:r>
      <w:r>
        <w:rPr>
          <w:rFonts w:asciiTheme="minorHAnsi" w:eastAsiaTheme="minorHAnsi"/>
          <w:szCs w:val="20"/>
        </w:rPr>
        <w:instrText xml:space="preserve"> HYPERLINK \l _Toc8595 </w:instrText>
      </w:r>
      <w:r>
        <w:rPr>
          <w:rFonts w:asciiTheme="minorHAnsi" w:eastAsiaTheme="minorHAnsi"/>
          <w:szCs w:val="20"/>
        </w:rPr>
        <w:fldChar w:fldCharType="separate"/>
      </w:r>
      <w:r>
        <w:rPr>
          <w:rFonts w:hint="default" w:ascii="Times New Roman" w:hAnsi="Times New Roman" w:cs="Times New Roman"/>
          <w:highlight w:val="none"/>
        </w:rPr>
        <w:t>2 总则</w:t>
      </w:r>
      <w:r>
        <w:tab/>
      </w:r>
      <w:r>
        <w:fldChar w:fldCharType="begin"/>
      </w:r>
      <w:r>
        <w:instrText xml:space="preserve"> PAGEREF _Toc8595 \h </w:instrText>
      </w:r>
      <w:r>
        <w:fldChar w:fldCharType="separate"/>
      </w:r>
      <w:r>
        <w:t>4</w:t>
      </w:r>
      <w:r>
        <w:fldChar w:fldCharType="end"/>
      </w:r>
      <w:r>
        <w:rPr>
          <w:rFonts w:asciiTheme="minorHAnsi" w:eastAsiaTheme="minorHAnsi"/>
          <w:szCs w:val="20"/>
        </w:rPr>
        <w:fldChar w:fldCharType="end"/>
      </w:r>
    </w:p>
    <w:p w14:paraId="3BEA1556">
      <w:pPr>
        <w:pStyle w:val="28"/>
        <w:tabs>
          <w:tab w:val="right" w:leader="dot" w:pos="9412"/>
        </w:tabs>
      </w:pPr>
      <w:r>
        <w:rPr>
          <w:rFonts w:asciiTheme="minorHAnsi" w:eastAsiaTheme="minorHAnsi"/>
          <w:szCs w:val="20"/>
        </w:rPr>
        <w:fldChar w:fldCharType="begin"/>
      </w:r>
      <w:r>
        <w:rPr>
          <w:rFonts w:asciiTheme="minorHAnsi" w:eastAsiaTheme="minorHAnsi"/>
          <w:szCs w:val="20"/>
        </w:rPr>
        <w:instrText xml:space="preserve"> HYPERLINK \l _Toc7651 </w:instrText>
      </w:r>
      <w:r>
        <w:rPr>
          <w:rFonts w:asciiTheme="minorHAnsi" w:eastAsiaTheme="minorHAnsi"/>
          <w:szCs w:val="20"/>
        </w:rPr>
        <w:fldChar w:fldCharType="separate"/>
      </w:r>
      <w:r>
        <w:rPr>
          <w:rFonts w:hint="default" w:ascii="Times New Roman" w:hAnsi="Times New Roman" w:cs="Times New Roman"/>
          <w:highlight w:val="none"/>
        </w:rPr>
        <w:t>2.1 编制原则</w:t>
      </w:r>
      <w:r>
        <w:tab/>
      </w:r>
      <w:r>
        <w:fldChar w:fldCharType="begin"/>
      </w:r>
      <w:r>
        <w:instrText xml:space="preserve"> PAGEREF _Toc7651 \h </w:instrText>
      </w:r>
      <w:r>
        <w:fldChar w:fldCharType="separate"/>
      </w:r>
      <w:r>
        <w:t>4</w:t>
      </w:r>
      <w:r>
        <w:fldChar w:fldCharType="end"/>
      </w:r>
      <w:r>
        <w:rPr>
          <w:rFonts w:asciiTheme="minorHAnsi" w:eastAsiaTheme="minorHAnsi"/>
          <w:szCs w:val="20"/>
        </w:rPr>
        <w:fldChar w:fldCharType="end"/>
      </w:r>
    </w:p>
    <w:p w14:paraId="0C17EB2B">
      <w:pPr>
        <w:pStyle w:val="28"/>
        <w:tabs>
          <w:tab w:val="right" w:leader="dot" w:pos="9412"/>
        </w:tabs>
      </w:pPr>
      <w:r>
        <w:rPr>
          <w:rFonts w:asciiTheme="minorHAnsi" w:eastAsiaTheme="minorHAnsi"/>
          <w:szCs w:val="20"/>
        </w:rPr>
        <w:fldChar w:fldCharType="begin"/>
      </w:r>
      <w:r>
        <w:rPr>
          <w:rFonts w:asciiTheme="minorHAnsi" w:eastAsiaTheme="minorHAnsi"/>
          <w:szCs w:val="20"/>
        </w:rPr>
        <w:instrText xml:space="preserve"> HYPERLINK \l _Toc28295 </w:instrText>
      </w:r>
      <w:r>
        <w:rPr>
          <w:rFonts w:asciiTheme="minorHAnsi" w:eastAsiaTheme="minorHAnsi"/>
          <w:szCs w:val="20"/>
        </w:rPr>
        <w:fldChar w:fldCharType="separate"/>
      </w:r>
      <w:r>
        <w:rPr>
          <w:rFonts w:hint="default" w:ascii="Times New Roman" w:hAnsi="Times New Roman" w:cs="Times New Roman"/>
          <w:highlight w:val="none"/>
        </w:rPr>
        <w:t>2.2 编制依据</w:t>
      </w:r>
      <w:r>
        <w:tab/>
      </w:r>
      <w:r>
        <w:fldChar w:fldCharType="begin"/>
      </w:r>
      <w:r>
        <w:instrText xml:space="preserve"> PAGEREF _Toc28295 \h </w:instrText>
      </w:r>
      <w:r>
        <w:fldChar w:fldCharType="separate"/>
      </w:r>
      <w:r>
        <w:t>4</w:t>
      </w:r>
      <w:r>
        <w:fldChar w:fldCharType="end"/>
      </w:r>
      <w:r>
        <w:rPr>
          <w:rFonts w:asciiTheme="minorHAnsi" w:eastAsiaTheme="minorHAnsi"/>
          <w:szCs w:val="20"/>
        </w:rPr>
        <w:fldChar w:fldCharType="end"/>
      </w:r>
    </w:p>
    <w:p w14:paraId="7C1D3FDF">
      <w:pPr>
        <w:pStyle w:val="24"/>
        <w:tabs>
          <w:tab w:val="right" w:leader="dot" w:pos="9412"/>
        </w:tabs>
      </w:pPr>
      <w:r>
        <w:rPr>
          <w:rFonts w:asciiTheme="minorHAnsi" w:eastAsiaTheme="minorHAnsi"/>
          <w:szCs w:val="20"/>
        </w:rPr>
        <w:fldChar w:fldCharType="begin"/>
      </w:r>
      <w:r>
        <w:rPr>
          <w:rFonts w:asciiTheme="minorHAnsi" w:eastAsiaTheme="minorHAnsi"/>
          <w:szCs w:val="20"/>
        </w:rPr>
        <w:instrText xml:space="preserve"> HYPERLINK \l _Toc21007 </w:instrText>
      </w:r>
      <w:r>
        <w:rPr>
          <w:rFonts w:asciiTheme="minorHAnsi" w:eastAsiaTheme="minorHAnsi"/>
          <w:szCs w:val="20"/>
        </w:rPr>
        <w:fldChar w:fldCharType="separate"/>
      </w:r>
      <w:r>
        <w:rPr>
          <w:rFonts w:hint="default" w:ascii="Times New Roman" w:hAnsi="Times New Roman" w:cs="Times New Roman"/>
          <w:highlight w:val="none"/>
        </w:rPr>
        <w:t>3 资料准备与环境风险识别</w:t>
      </w:r>
      <w:r>
        <w:tab/>
      </w:r>
      <w:r>
        <w:fldChar w:fldCharType="begin"/>
      </w:r>
      <w:r>
        <w:instrText xml:space="preserve"> PAGEREF _Toc21007 \h </w:instrText>
      </w:r>
      <w:r>
        <w:fldChar w:fldCharType="separate"/>
      </w:r>
      <w:r>
        <w:t>6</w:t>
      </w:r>
      <w:r>
        <w:fldChar w:fldCharType="end"/>
      </w:r>
      <w:r>
        <w:rPr>
          <w:rFonts w:asciiTheme="minorHAnsi" w:eastAsiaTheme="minorHAnsi"/>
          <w:szCs w:val="20"/>
        </w:rPr>
        <w:fldChar w:fldCharType="end"/>
      </w:r>
    </w:p>
    <w:p w14:paraId="2081C1C7">
      <w:pPr>
        <w:pStyle w:val="28"/>
        <w:tabs>
          <w:tab w:val="right" w:leader="dot" w:pos="9412"/>
        </w:tabs>
      </w:pPr>
      <w:r>
        <w:rPr>
          <w:rFonts w:asciiTheme="minorHAnsi" w:eastAsiaTheme="minorHAnsi"/>
          <w:szCs w:val="20"/>
        </w:rPr>
        <w:fldChar w:fldCharType="begin"/>
      </w:r>
      <w:r>
        <w:rPr>
          <w:rFonts w:asciiTheme="minorHAnsi" w:eastAsiaTheme="minorHAnsi"/>
          <w:szCs w:val="20"/>
        </w:rPr>
        <w:instrText xml:space="preserve"> HYPERLINK \l _Toc29834 </w:instrText>
      </w:r>
      <w:r>
        <w:rPr>
          <w:rFonts w:asciiTheme="minorHAnsi" w:eastAsiaTheme="minorHAnsi"/>
          <w:szCs w:val="20"/>
        </w:rPr>
        <w:fldChar w:fldCharType="separate"/>
      </w:r>
      <w:r>
        <w:rPr>
          <w:rFonts w:hint="default" w:ascii="Times New Roman" w:hAnsi="Times New Roman" w:cs="Times New Roman"/>
          <w:highlight w:val="none"/>
        </w:rPr>
        <w:t>3.1 企业基本信息</w:t>
      </w:r>
      <w:r>
        <w:tab/>
      </w:r>
      <w:r>
        <w:fldChar w:fldCharType="begin"/>
      </w:r>
      <w:r>
        <w:instrText xml:space="preserve"> PAGEREF _Toc29834 \h </w:instrText>
      </w:r>
      <w:r>
        <w:fldChar w:fldCharType="separate"/>
      </w:r>
      <w:r>
        <w:t>6</w:t>
      </w:r>
      <w:r>
        <w:fldChar w:fldCharType="end"/>
      </w:r>
      <w:r>
        <w:rPr>
          <w:rFonts w:asciiTheme="minorHAnsi" w:eastAsiaTheme="minorHAnsi"/>
          <w:szCs w:val="20"/>
        </w:rPr>
        <w:fldChar w:fldCharType="end"/>
      </w:r>
    </w:p>
    <w:p w14:paraId="18E8516E">
      <w:pPr>
        <w:pStyle w:val="28"/>
        <w:tabs>
          <w:tab w:val="right" w:leader="dot" w:pos="9412"/>
        </w:tabs>
      </w:pPr>
      <w:r>
        <w:rPr>
          <w:rFonts w:asciiTheme="minorHAnsi" w:eastAsiaTheme="minorHAnsi"/>
          <w:szCs w:val="20"/>
        </w:rPr>
        <w:fldChar w:fldCharType="begin"/>
      </w:r>
      <w:r>
        <w:rPr>
          <w:rFonts w:asciiTheme="minorHAnsi" w:eastAsiaTheme="minorHAnsi"/>
          <w:szCs w:val="20"/>
        </w:rPr>
        <w:instrText xml:space="preserve"> HYPERLINK \l _Toc32148 </w:instrText>
      </w:r>
      <w:r>
        <w:rPr>
          <w:rFonts w:asciiTheme="minorHAnsi" w:eastAsiaTheme="minorHAnsi"/>
          <w:szCs w:val="20"/>
        </w:rPr>
        <w:fldChar w:fldCharType="separate"/>
      </w:r>
      <w:r>
        <w:rPr>
          <w:rFonts w:hint="default" w:ascii="Times New Roman" w:hAnsi="Times New Roman" w:cs="Times New Roman"/>
          <w:highlight w:val="none"/>
        </w:rPr>
        <w:t>3.2 企业周边环境风险受体情况</w:t>
      </w:r>
      <w:r>
        <w:tab/>
      </w:r>
      <w:r>
        <w:fldChar w:fldCharType="begin"/>
      </w:r>
      <w:r>
        <w:instrText xml:space="preserve"> PAGEREF _Toc32148 \h </w:instrText>
      </w:r>
      <w:r>
        <w:fldChar w:fldCharType="separate"/>
      </w:r>
      <w:r>
        <w:t>12</w:t>
      </w:r>
      <w:r>
        <w:fldChar w:fldCharType="end"/>
      </w:r>
      <w:r>
        <w:rPr>
          <w:rFonts w:asciiTheme="minorHAnsi" w:eastAsiaTheme="minorHAnsi"/>
          <w:szCs w:val="20"/>
        </w:rPr>
        <w:fldChar w:fldCharType="end"/>
      </w:r>
    </w:p>
    <w:p w14:paraId="571C1EE1">
      <w:pPr>
        <w:pStyle w:val="28"/>
        <w:tabs>
          <w:tab w:val="right" w:leader="dot" w:pos="9412"/>
        </w:tabs>
      </w:pPr>
      <w:r>
        <w:rPr>
          <w:rFonts w:asciiTheme="minorHAnsi" w:eastAsiaTheme="minorHAnsi"/>
          <w:szCs w:val="20"/>
        </w:rPr>
        <w:fldChar w:fldCharType="begin"/>
      </w:r>
      <w:r>
        <w:rPr>
          <w:rFonts w:asciiTheme="minorHAnsi" w:eastAsiaTheme="minorHAnsi"/>
          <w:szCs w:val="20"/>
        </w:rPr>
        <w:instrText xml:space="preserve"> HYPERLINK \l _Toc18937 </w:instrText>
      </w:r>
      <w:r>
        <w:rPr>
          <w:rFonts w:asciiTheme="minorHAnsi" w:eastAsiaTheme="minorHAnsi"/>
          <w:szCs w:val="20"/>
        </w:rPr>
        <w:fldChar w:fldCharType="separate"/>
      </w:r>
      <w:r>
        <w:rPr>
          <w:rFonts w:hint="default" w:ascii="Times New Roman" w:hAnsi="Times New Roman" w:cs="Times New Roman"/>
          <w:highlight w:val="none"/>
        </w:rPr>
        <w:t>3.3 涉及环境风险物质情况</w:t>
      </w:r>
      <w:r>
        <w:tab/>
      </w:r>
      <w:r>
        <w:fldChar w:fldCharType="begin"/>
      </w:r>
      <w:r>
        <w:instrText xml:space="preserve"> PAGEREF _Toc18937 \h </w:instrText>
      </w:r>
      <w:r>
        <w:fldChar w:fldCharType="separate"/>
      </w:r>
      <w:r>
        <w:t>13</w:t>
      </w:r>
      <w:r>
        <w:fldChar w:fldCharType="end"/>
      </w:r>
      <w:r>
        <w:rPr>
          <w:rFonts w:asciiTheme="minorHAnsi" w:eastAsiaTheme="minorHAnsi"/>
          <w:szCs w:val="20"/>
        </w:rPr>
        <w:fldChar w:fldCharType="end"/>
      </w:r>
    </w:p>
    <w:p w14:paraId="3FCB6647">
      <w:pPr>
        <w:pStyle w:val="28"/>
        <w:tabs>
          <w:tab w:val="right" w:leader="dot" w:pos="9412"/>
        </w:tabs>
      </w:pPr>
      <w:r>
        <w:rPr>
          <w:rFonts w:asciiTheme="minorHAnsi" w:eastAsiaTheme="minorHAnsi"/>
          <w:szCs w:val="20"/>
        </w:rPr>
        <w:fldChar w:fldCharType="begin"/>
      </w:r>
      <w:r>
        <w:rPr>
          <w:rFonts w:asciiTheme="minorHAnsi" w:eastAsiaTheme="minorHAnsi"/>
          <w:szCs w:val="20"/>
        </w:rPr>
        <w:instrText xml:space="preserve"> HYPERLINK \l _Toc17263 </w:instrText>
      </w:r>
      <w:r>
        <w:rPr>
          <w:rFonts w:asciiTheme="minorHAnsi" w:eastAsiaTheme="minorHAnsi"/>
          <w:szCs w:val="20"/>
        </w:rPr>
        <w:fldChar w:fldCharType="separate"/>
      </w:r>
      <w:r>
        <w:rPr>
          <w:rFonts w:hint="default" w:ascii="Times New Roman" w:hAnsi="Times New Roman" w:cs="Times New Roman"/>
          <w:bCs/>
          <w:szCs w:val="28"/>
          <w:highlight w:val="none"/>
        </w:rPr>
        <w:t>3.4 生产工艺及设备</w:t>
      </w:r>
      <w:r>
        <w:tab/>
      </w:r>
      <w:r>
        <w:fldChar w:fldCharType="begin"/>
      </w:r>
      <w:r>
        <w:instrText xml:space="preserve"> PAGEREF _Toc17263 \h </w:instrText>
      </w:r>
      <w:r>
        <w:fldChar w:fldCharType="separate"/>
      </w:r>
      <w:r>
        <w:t>15</w:t>
      </w:r>
      <w:r>
        <w:fldChar w:fldCharType="end"/>
      </w:r>
      <w:r>
        <w:rPr>
          <w:rFonts w:asciiTheme="minorHAnsi" w:eastAsiaTheme="minorHAnsi"/>
          <w:szCs w:val="20"/>
        </w:rPr>
        <w:fldChar w:fldCharType="end"/>
      </w:r>
    </w:p>
    <w:p w14:paraId="6F4E58BC">
      <w:pPr>
        <w:pStyle w:val="28"/>
        <w:tabs>
          <w:tab w:val="right" w:leader="dot" w:pos="9412"/>
        </w:tabs>
      </w:pPr>
      <w:r>
        <w:rPr>
          <w:rFonts w:asciiTheme="minorHAnsi" w:eastAsiaTheme="minorHAnsi"/>
          <w:szCs w:val="20"/>
        </w:rPr>
        <w:fldChar w:fldCharType="begin"/>
      </w:r>
      <w:r>
        <w:rPr>
          <w:rFonts w:asciiTheme="minorHAnsi" w:eastAsiaTheme="minorHAnsi"/>
          <w:szCs w:val="20"/>
        </w:rPr>
        <w:instrText xml:space="preserve"> HYPERLINK \l _Toc15246 </w:instrText>
      </w:r>
      <w:r>
        <w:rPr>
          <w:rFonts w:asciiTheme="minorHAnsi" w:eastAsiaTheme="minorHAnsi"/>
          <w:szCs w:val="20"/>
        </w:rPr>
        <w:fldChar w:fldCharType="separate"/>
      </w:r>
      <w:r>
        <w:rPr>
          <w:rFonts w:hint="default" w:ascii="Times New Roman" w:hAnsi="Times New Roman" w:cs="Times New Roman"/>
          <w:highlight w:val="none"/>
        </w:rPr>
        <w:t>3.5 安全生产管理</w:t>
      </w:r>
      <w:r>
        <w:tab/>
      </w:r>
      <w:r>
        <w:fldChar w:fldCharType="begin"/>
      </w:r>
      <w:r>
        <w:instrText xml:space="preserve"> PAGEREF _Toc15246 \h </w:instrText>
      </w:r>
      <w:r>
        <w:fldChar w:fldCharType="separate"/>
      </w:r>
      <w:r>
        <w:t>45</w:t>
      </w:r>
      <w:r>
        <w:fldChar w:fldCharType="end"/>
      </w:r>
      <w:r>
        <w:rPr>
          <w:rFonts w:asciiTheme="minorHAnsi" w:eastAsiaTheme="minorHAnsi"/>
          <w:szCs w:val="20"/>
        </w:rPr>
        <w:fldChar w:fldCharType="end"/>
      </w:r>
    </w:p>
    <w:p w14:paraId="7571520B">
      <w:pPr>
        <w:pStyle w:val="28"/>
        <w:tabs>
          <w:tab w:val="right" w:leader="dot" w:pos="9412"/>
        </w:tabs>
      </w:pPr>
      <w:r>
        <w:rPr>
          <w:rFonts w:asciiTheme="minorHAnsi" w:eastAsiaTheme="minorHAnsi"/>
          <w:szCs w:val="20"/>
        </w:rPr>
        <w:fldChar w:fldCharType="begin"/>
      </w:r>
      <w:r>
        <w:rPr>
          <w:rFonts w:asciiTheme="minorHAnsi" w:eastAsiaTheme="minorHAnsi"/>
          <w:szCs w:val="20"/>
        </w:rPr>
        <w:instrText xml:space="preserve"> HYPERLINK \l _Toc25695 </w:instrText>
      </w:r>
      <w:r>
        <w:rPr>
          <w:rFonts w:asciiTheme="minorHAnsi" w:eastAsiaTheme="minorHAnsi"/>
          <w:szCs w:val="20"/>
        </w:rPr>
        <w:fldChar w:fldCharType="separate"/>
      </w:r>
      <w:r>
        <w:rPr>
          <w:rFonts w:hint="default" w:ascii="Times New Roman" w:hAnsi="Times New Roman" w:cs="Times New Roman"/>
          <w:highlight w:val="none"/>
        </w:rPr>
        <w:t>3.6 现有环境风险防控与应急措施情况</w:t>
      </w:r>
      <w:r>
        <w:tab/>
      </w:r>
      <w:r>
        <w:fldChar w:fldCharType="begin"/>
      </w:r>
      <w:r>
        <w:instrText xml:space="preserve"> PAGEREF _Toc25695 \h </w:instrText>
      </w:r>
      <w:r>
        <w:fldChar w:fldCharType="separate"/>
      </w:r>
      <w:r>
        <w:t>46</w:t>
      </w:r>
      <w:r>
        <w:fldChar w:fldCharType="end"/>
      </w:r>
      <w:r>
        <w:rPr>
          <w:rFonts w:asciiTheme="minorHAnsi" w:eastAsiaTheme="minorHAnsi"/>
          <w:szCs w:val="20"/>
        </w:rPr>
        <w:fldChar w:fldCharType="end"/>
      </w:r>
    </w:p>
    <w:p w14:paraId="464B2E04">
      <w:pPr>
        <w:pStyle w:val="28"/>
        <w:tabs>
          <w:tab w:val="right" w:leader="dot" w:pos="9412"/>
        </w:tabs>
      </w:pPr>
      <w:r>
        <w:rPr>
          <w:rFonts w:asciiTheme="minorHAnsi" w:eastAsiaTheme="minorHAnsi"/>
          <w:szCs w:val="20"/>
        </w:rPr>
        <w:fldChar w:fldCharType="begin"/>
      </w:r>
      <w:r>
        <w:rPr>
          <w:rFonts w:asciiTheme="minorHAnsi" w:eastAsiaTheme="minorHAnsi"/>
          <w:szCs w:val="20"/>
        </w:rPr>
        <w:instrText xml:space="preserve"> HYPERLINK \l _Toc14923 </w:instrText>
      </w:r>
      <w:r>
        <w:rPr>
          <w:rFonts w:asciiTheme="minorHAnsi" w:eastAsiaTheme="minorHAnsi"/>
          <w:szCs w:val="20"/>
        </w:rPr>
        <w:fldChar w:fldCharType="separate"/>
      </w:r>
      <w:r>
        <w:rPr>
          <w:rFonts w:hint="default" w:ascii="Times New Roman" w:hAnsi="Times New Roman" w:cs="Times New Roman"/>
          <w:highlight w:val="none"/>
        </w:rPr>
        <w:t>3.7 现有应急物资与装备、救援队伍情况</w:t>
      </w:r>
      <w:r>
        <w:tab/>
      </w:r>
      <w:r>
        <w:fldChar w:fldCharType="begin"/>
      </w:r>
      <w:r>
        <w:instrText xml:space="preserve"> PAGEREF _Toc14923 \h </w:instrText>
      </w:r>
      <w:r>
        <w:fldChar w:fldCharType="separate"/>
      </w:r>
      <w:r>
        <w:t>51</w:t>
      </w:r>
      <w:r>
        <w:fldChar w:fldCharType="end"/>
      </w:r>
      <w:r>
        <w:rPr>
          <w:rFonts w:asciiTheme="minorHAnsi" w:eastAsiaTheme="minorHAnsi"/>
          <w:szCs w:val="20"/>
        </w:rPr>
        <w:fldChar w:fldCharType="end"/>
      </w:r>
    </w:p>
    <w:p w14:paraId="55FE2D3C">
      <w:pPr>
        <w:pStyle w:val="24"/>
        <w:tabs>
          <w:tab w:val="right" w:leader="dot" w:pos="9412"/>
        </w:tabs>
      </w:pPr>
      <w:r>
        <w:rPr>
          <w:rFonts w:asciiTheme="minorHAnsi" w:eastAsiaTheme="minorHAnsi"/>
          <w:szCs w:val="20"/>
        </w:rPr>
        <w:fldChar w:fldCharType="begin"/>
      </w:r>
      <w:r>
        <w:rPr>
          <w:rFonts w:asciiTheme="minorHAnsi" w:eastAsiaTheme="minorHAnsi"/>
          <w:szCs w:val="20"/>
        </w:rPr>
        <w:instrText xml:space="preserve"> HYPERLINK \l _Toc31641 </w:instrText>
      </w:r>
      <w:r>
        <w:rPr>
          <w:rFonts w:asciiTheme="minorHAnsi" w:eastAsiaTheme="minorHAnsi"/>
          <w:szCs w:val="20"/>
        </w:rPr>
        <w:fldChar w:fldCharType="separate"/>
      </w:r>
      <w:r>
        <w:rPr>
          <w:rFonts w:hint="default" w:ascii="Times New Roman" w:hAnsi="Times New Roman" w:cs="Times New Roman"/>
          <w:bCs/>
          <w:highlight w:val="none"/>
        </w:rPr>
        <w:t>4 突发环境事件及其后果分析</w:t>
      </w:r>
      <w:r>
        <w:tab/>
      </w:r>
      <w:r>
        <w:fldChar w:fldCharType="begin"/>
      </w:r>
      <w:r>
        <w:instrText xml:space="preserve"> PAGEREF _Toc31641 \h </w:instrText>
      </w:r>
      <w:r>
        <w:fldChar w:fldCharType="separate"/>
      </w:r>
      <w:r>
        <w:t>58</w:t>
      </w:r>
      <w:r>
        <w:fldChar w:fldCharType="end"/>
      </w:r>
      <w:r>
        <w:rPr>
          <w:rFonts w:asciiTheme="minorHAnsi" w:eastAsiaTheme="minorHAnsi"/>
          <w:szCs w:val="20"/>
        </w:rPr>
        <w:fldChar w:fldCharType="end"/>
      </w:r>
    </w:p>
    <w:p w14:paraId="67905B17">
      <w:pPr>
        <w:pStyle w:val="28"/>
        <w:tabs>
          <w:tab w:val="right" w:leader="dot" w:pos="9412"/>
        </w:tabs>
      </w:pPr>
      <w:r>
        <w:rPr>
          <w:rFonts w:asciiTheme="minorHAnsi" w:eastAsiaTheme="minorHAnsi"/>
          <w:szCs w:val="20"/>
        </w:rPr>
        <w:fldChar w:fldCharType="begin"/>
      </w:r>
      <w:r>
        <w:rPr>
          <w:rFonts w:asciiTheme="minorHAnsi" w:eastAsiaTheme="minorHAnsi"/>
          <w:szCs w:val="20"/>
        </w:rPr>
        <w:instrText xml:space="preserve"> HYPERLINK \l _Toc4585 </w:instrText>
      </w:r>
      <w:r>
        <w:rPr>
          <w:rFonts w:asciiTheme="minorHAnsi" w:eastAsiaTheme="minorHAnsi"/>
          <w:szCs w:val="20"/>
        </w:rPr>
        <w:fldChar w:fldCharType="separate"/>
      </w:r>
      <w:r>
        <w:rPr>
          <w:rFonts w:hint="default" w:ascii="Times New Roman" w:hAnsi="Times New Roman" w:cs="Times New Roman"/>
          <w:highlight w:val="none"/>
        </w:rPr>
        <w:t>4.1 突发环境事件情景分析</w:t>
      </w:r>
      <w:r>
        <w:tab/>
      </w:r>
      <w:r>
        <w:fldChar w:fldCharType="begin"/>
      </w:r>
      <w:r>
        <w:instrText xml:space="preserve"> PAGEREF _Toc4585 \h </w:instrText>
      </w:r>
      <w:r>
        <w:fldChar w:fldCharType="separate"/>
      </w:r>
      <w:r>
        <w:t>58</w:t>
      </w:r>
      <w:r>
        <w:fldChar w:fldCharType="end"/>
      </w:r>
      <w:r>
        <w:rPr>
          <w:rFonts w:asciiTheme="minorHAnsi" w:eastAsiaTheme="minorHAnsi"/>
          <w:szCs w:val="20"/>
        </w:rPr>
        <w:fldChar w:fldCharType="end"/>
      </w:r>
    </w:p>
    <w:p w14:paraId="304B09FE">
      <w:pPr>
        <w:pStyle w:val="28"/>
        <w:tabs>
          <w:tab w:val="right" w:leader="dot" w:pos="9412"/>
        </w:tabs>
      </w:pPr>
      <w:r>
        <w:rPr>
          <w:rFonts w:asciiTheme="minorHAnsi" w:eastAsiaTheme="minorHAnsi"/>
          <w:szCs w:val="20"/>
        </w:rPr>
        <w:fldChar w:fldCharType="begin"/>
      </w:r>
      <w:r>
        <w:rPr>
          <w:rFonts w:asciiTheme="minorHAnsi" w:eastAsiaTheme="minorHAnsi"/>
          <w:szCs w:val="20"/>
        </w:rPr>
        <w:instrText xml:space="preserve"> HYPERLINK \l _Toc5629 </w:instrText>
      </w:r>
      <w:r>
        <w:rPr>
          <w:rFonts w:asciiTheme="minorHAnsi" w:eastAsiaTheme="minorHAnsi"/>
          <w:szCs w:val="20"/>
        </w:rPr>
        <w:fldChar w:fldCharType="separate"/>
      </w:r>
      <w:r>
        <w:rPr>
          <w:rFonts w:hint="default" w:ascii="Times New Roman" w:hAnsi="Times New Roman" w:cs="Times New Roman"/>
          <w:highlight w:val="none"/>
        </w:rPr>
        <w:t>4.2 突发环境事件情景源强分析</w:t>
      </w:r>
      <w:r>
        <w:tab/>
      </w:r>
      <w:r>
        <w:fldChar w:fldCharType="begin"/>
      </w:r>
      <w:r>
        <w:instrText xml:space="preserve"> PAGEREF _Toc5629 \h </w:instrText>
      </w:r>
      <w:r>
        <w:fldChar w:fldCharType="separate"/>
      </w:r>
      <w:r>
        <w:t>71</w:t>
      </w:r>
      <w:r>
        <w:fldChar w:fldCharType="end"/>
      </w:r>
      <w:r>
        <w:rPr>
          <w:rFonts w:asciiTheme="minorHAnsi" w:eastAsiaTheme="minorHAnsi"/>
          <w:szCs w:val="20"/>
        </w:rPr>
        <w:fldChar w:fldCharType="end"/>
      </w:r>
    </w:p>
    <w:p w14:paraId="47D30929">
      <w:pPr>
        <w:pStyle w:val="28"/>
        <w:tabs>
          <w:tab w:val="right" w:leader="dot" w:pos="9412"/>
        </w:tabs>
      </w:pPr>
      <w:r>
        <w:rPr>
          <w:rFonts w:asciiTheme="minorHAnsi" w:eastAsiaTheme="minorHAnsi"/>
          <w:szCs w:val="20"/>
        </w:rPr>
        <w:fldChar w:fldCharType="begin"/>
      </w:r>
      <w:r>
        <w:rPr>
          <w:rFonts w:asciiTheme="minorHAnsi" w:eastAsiaTheme="minorHAnsi"/>
          <w:szCs w:val="20"/>
        </w:rPr>
        <w:instrText xml:space="preserve"> HYPERLINK \l _Toc29607 </w:instrText>
      </w:r>
      <w:r>
        <w:rPr>
          <w:rFonts w:asciiTheme="minorHAnsi" w:eastAsiaTheme="minorHAnsi"/>
          <w:szCs w:val="20"/>
        </w:rPr>
        <w:fldChar w:fldCharType="separate"/>
      </w:r>
      <w:r>
        <w:rPr>
          <w:rFonts w:hint="default" w:ascii="Times New Roman" w:hAnsi="Times New Roman" w:cs="Times New Roman"/>
          <w:highlight w:val="none"/>
        </w:rPr>
        <w:t>4.3 释放环境风险物质的扩散途径、涉及环境风险防控与应急措施、应急资源情况分析</w:t>
      </w:r>
      <w:r>
        <w:tab/>
      </w:r>
      <w:r>
        <w:fldChar w:fldCharType="begin"/>
      </w:r>
      <w:r>
        <w:instrText xml:space="preserve"> PAGEREF _Toc29607 \h </w:instrText>
      </w:r>
      <w:r>
        <w:fldChar w:fldCharType="separate"/>
      </w:r>
      <w:r>
        <w:t>99</w:t>
      </w:r>
      <w:r>
        <w:fldChar w:fldCharType="end"/>
      </w:r>
      <w:r>
        <w:rPr>
          <w:rFonts w:asciiTheme="minorHAnsi" w:eastAsiaTheme="minorHAnsi"/>
          <w:szCs w:val="20"/>
        </w:rPr>
        <w:fldChar w:fldCharType="end"/>
      </w:r>
    </w:p>
    <w:p w14:paraId="3ACB312D">
      <w:pPr>
        <w:pStyle w:val="24"/>
        <w:tabs>
          <w:tab w:val="right" w:leader="dot" w:pos="9412"/>
        </w:tabs>
      </w:pPr>
      <w:r>
        <w:rPr>
          <w:rFonts w:asciiTheme="minorHAnsi" w:eastAsiaTheme="minorHAnsi"/>
          <w:szCs w:val="20"/>
        </w:rPr>
        <w:fldChar w:fldCharType="begin"/>
      </w:r>
      <w:r>
        <w:rPr>
          <w:rFonts w:asciiTheme="minorHAnsi" w:eastAsiaTheme="minorHAnsi"/>
          <w:szCs w:val="20"/>
        </w:rPr>
        <w:instrText xml:space="preserve"> HYPERLINK \l _Toc8228 </w:instrText>
      </w:r>
      <w:r>
        <w:rPr>
          <w:rFonts w:asciiTheme="minorHAnsi" w:eastAsiaTheme="minorHAnsi"/>
          <w:szCs w:val="20"/>
        </w:rPr>
        <w:fldChar w:fldCharType="separate"/>
      </w:r>
      <w:r>
        <w:rPr>
          <w:rFonts w:hint="default" w:ascii="Times New Roman" w:hAnsi="Times New Roman" w:cs="Times New Roman"/>
          <w:highlight w:val="none"/>
        </w:rPr>
        <w:t>5 现有环境风险防控和应急措施差距分析</w:t>
      </w:r>
      <w:r>
        <w:tab/>
      </w:r>
      <w:r>
        <w:fldChar w:fldCharType="begin"/>
      </w:r>
      <w:r>
        <w:instrText xml:space="preserve"> PAGEREF _Toc8228 \h </w:instrText>
      </w:r>
      <w:r>
        <w:fldChar w:fldCharType="separate"/>
      </w:r>
      <w:r>
        <w:t>107</w:t>
      </w:r>
      <w:r>
        <w:fldChar w:fldCharType="end"/>
      </w:r>
      <w:r>
        <w:rPr>
          <w:rFonts w:asciiTheme="minorHAnsi" w:eastAsiaTheme="minorHAnsi"/>
          <w:szCs w:val="20"/>
        </w:rPr>
        <w:fldChar w:fldCharType="end"/>
      </w:r>
    </w:p>
    <w:p w14:paraId="5AEF33D1">
      <w:pPr>
        <w:pStyle w:val="28"/>
        <w:tabs>
          <w:tab w:val="right" w:leader="dot" w:pos="9412"/>
        </w:tabs>
      </w:pPr>
      <w:r>
        <w:rPr>
          <w:rFonts w:asciiTheme="minorHAnsi" w:eastAsiaTheme="minorHAnsi"/>
          <w:szCs w:val="20"/>
        </w:rPr>
        <w:fldChar w:fldCharType="begin"/>
      </w:r>
      <w:r>
        <w:rPr>
          <w:rFonts w:asciiTheme="minorHAnsi" w:eastAsiaTheme="minorHAnsi"/>
          <w:szCs w:val="20"/>
        </w:rPr>
        <w:instrText xml:space="preserve"> HYPERLINK \l _Toc173 </w:instrText>
      </w:r>
      <w:r>
        <w:rPr>
          <w:rFonts w:asciiTheme="minorHAnsi" w:eastAsiaTheme="minorHAnsi"/>
          <w:szCs w:val="20"/>
        </w:rPr>
        <w:fldChar w:fldCharType="separate"/>
      </w:r>
      <w:r>
        <w:rPr>
          <w:rFonts w:hint="default" w:ascii="Times New Roman" w:hAnsi="Times New Roman" w:cs="Times New Roman"/>
          <w:highlight w:val="none"/>
        </w:rPr>
        <w:t>5.1 环境风险管理制度</w:t>
      </w:r>
      <w:r>
        <w:tab/>
      </w:r>
      <w:r>
        <w:fldChar w:fldCharType="begin"/>
      </w:r>
      <w:r>
        <w:instrText xml:space="preserve"> PAGEREF _Toc173 \h </w:instrText>
      </w:r>
      <w:r>
        <w:fldChar w:fldCharType="separate"/>
      </w:r>
      <w:r>
        <w:t>107</w:t>
      </w:r>
      <w:r>
        <w:fldChar w:fldCharType="end"/>
      </w:r>
      <w:r>
        <w:rPr>
          <w:rFonts w:asciiTheme="minorHAnsi" w:eastAsiaTheme="minorHAnsi"/>
          <w:szCs w:val="20"/>
        </w:rPr>
        <w:fldChar w:fldCharType="end"/>
      </w:r>
    </w:p>
    <w:p w14:paraId="0A30CD8B">
      <w:pPr>
        <w:pStyle w:val="28"/>
        <w:tabs>
          <w:tab w:val="right" w:leader="dot" w:pos="9412"/>
        </w:tabs>
      </w:pPr>
      <w:r>
        <w:rPr>
          <w:rFonts w:asciiTheme="minorHAnsi" w:eastAsiaTheme="minorHAnsi"/>
          <w:szCs w:val="20"/>
        </w:rPr>
        <w:fldChar w:fldCharType="begin"/>
      </w:r>
      <w:r>
        <w:rPr>
          <w:rFonts w:asciiTheme="minorHAnsi" w:eastAsiaTheme="minorHAnsi"/>
          <w:szCs w:val="20"/>
        </w:rPr>
        <w:instrText xml:space="preserve"> HYPERLINK \l _Toc18883 </w:instrText>
      </w:r>
      <w:r>
        <w:rPr>
          <w:rFonts w:asciiTheme="minorHAnsi" w:eastAsiaTheme="minorHAnsi"/>
          <w:szCs w:val="20"/>
        </w:rPr>
        <w:fldChar w:fldCharType="separate"/>
      </w:r>
      <w:r>
        <w:rPr>
          <w:rFonts w:hint="default" w:ascii="Times New Roman" w:hAnsi="Times New Roman" w:cs="Times New Roman"/>
          <w:highlight w:val="none"/>
        </w:rPr>
        <w:t>5.2 环境风险防控与应急措施</w:t>
      </w:r>
      <w:r>
        <w:tab/>
      </w:r>
      <w:r>
        <w:fldChar w:fldCharType="begin"/>
      </w:r>
      <w:r>
        <w:instrText xml:space="preserve"> PAGEREF _Toc18883 \h </w:instrText>
      </w:r>
      <w:r>
        <w:fldChar w:fldCharType="separate"/>
      </w:r>
      <w:r>
        <w:t>108</w:t>
      </w:r>
      <w:r>
        <w:fldChar w:fldCharType="end"/>
      </w:r>
      <w:r>
        <w:rPr>
          <w:rFonts w:asciiTheme="minorHAnsi" w:eastAsiaTheme="minorHAnsi"/>
          <w:szCs w:val="20"/>
        </w:rPr>
        <w:fldChar w:fldCharType="end"/>
      </w:r>
    </w:p>
    <w:p w14:paraId="4B5361A0">
      <w:pPr>
        <w:pStyle w:val="28"/>
        <w:tabs>
          <w:tab w:val="right" w:leader="dot" w:pos="9412"/>
        </w:tabs>
      </w:pPr>
      <w:r>
        <w:rPr>
          <w:rFonts w:asciiTheme="minorHAnsi" w:eastAsiaTheme="minorHAnsi"/>
          <w:szCs w:val="20"/>
        </w:rPr>
        <w:fldChar w:fldCharType="begin"/>
      </w:r>
      <w:r>
        <w:rPr>
          <w:rFonts w:asciiTheme="minorHAnsi" w:eastAsiaTheme="minorHAnsi"/>
          <w:szCs w:val="20"/>
        </w:rPr>
        <w:instrText xml:space="preserve"> HYPERLINK \l _Toc6236 </w:instrText>
      </w:r>
      <w:r>
        <w:rPr>
          <w:rFonts w:asciiTheme="minorHAnsi" w:eastAsiaTheme="minorHAnsi"/>
          <w:szCs w:val="20"/>
        </w:rPr>
        <w:fldChar w:fldCharType="separate"/>
      </w:r>
      <w:r>
        <w:rPr>
          <w:rFonts w:hint="default" w:ascii="Times New Roman" w:hAnsi="Times New Roman" w:cs="Times New Roman"/>
          <w:highlight w:val="none"/>
        </w:rPr>
        <w:t>5.3 环境应急资源</w:t>
      </w:r>
      <w:r>
        <w:tab/>
      </w:r>
      <w:r>
        <w:fldChar w:fldCharType="begin"/>
      </w:r>
      <w:r>
        <w:instrText xml:space="preserve"> PAGEREF _Toc6236 \h </w:instrText>
      </w:r>
      <w:r>
        <w:fldChar w:fldCharType="separate"/>
      </w:r>
      <w:r>
        <w:t>110</w:t>
      </w:r>
      <w:r>
        <w:fldChar w:fldCharType="end"/>
      </w:r>
      <w:r>
        <w:rPr>
          <w:rFonts w:asciiTheme="minorHAnsi" w:eastAsiaTheme="minorHAnsi"/>
          <w:szCs w:val="20"/>
        </w:rPr>
        <w:fldChar w:fldCharType="end"/>
      </w:r>
    </w:p>
    <w:p w14:paraId="7B1DC1FE">
      <w:pPr>
        <w:pStyle w:val="28"/>
        <w:tabs>
          <w:tab w:val="right" w:leader="dot" w:pos="9412"/>
        </w:tabs>
      </w:pPr>
      <w:r>
        <w:rPr>
          <w:rFonts w:asciiTheme="minorHAnsi" w:eastAsiaTheme="minorHAnsi"/>
          <w:szCs w:val="20"/>
        </w:rPr>
        <w:fldChar w:fldCharType="begin"/>
      </w:r>
      <w:r>
        <w:rPr>
          <w:rFonts w:asciiTheme="minorHAnsi" w:eastAsiaTheme="minorHAnsi"/>
          <w:szCs w:val="20"/>
        </w:rPr>
        <w:instrText xml:space="preserve"> HYPERLINK \l _Toc12595 </w:instrText>
      </w:r>
      <w:r>
        <w:rPr>
          <w:rFonts w:asciiTheme="minorHAnsi" w:eastAsiaTheme="minorHAnsi"/>
          <w:szCs w:val="20"/>
        </w:rPr>
        <w:fldChar w:fldCharType="separate"/>
      </w:r>
      <w:r>
        <w:rPr>
          <w:rFonts w:hint="default" w:ascii="Times New Roman" w:hAnsi="Times New Roman" w:cs="Times New Roman"/>
          <w:highlight w:val="none"/>
        </w:rPr>
        <w:t>5.4 历史经验总结教训</w:t>
      </w:r>
      <w:r>
        <w:tab/>
      </w:r>
      <w:r>
        <w:fldChar w:fldCharType="begin"/>
      </w:r>
      <w:r>
        <w:instrText xml:space="preserve"> PAGEREF _Toc12595 \h </w:instrText>
      </w:r>
      <w:r>
        <w:fldChar w:fldCharType="separate"/>
      </w:r>
      <w:r>
        <w:t>110</w:t>
      </w:r>
      <w:r>
        <w:fldChar w:fldCharType="end"/>
      </w:r>
      <w:r>
        <w:rPr>
          <w:rFonts w:asciiTheme="minorHAnsi" w:eastAsiaTheme="minorHAnsi"/>
          <w:szCs w:val="20"/>
        </w:rPr>
        <w:fldChar w:fldCharType="end"/>
      </w:r>
    </w:p>
    <w:p w14:paraId="14B2FAAB">
      <w:pPr>
        <w:pStyle w:val="28"/>
        <w:tabs>
          <w:tab w:val="right" w:leader="dot" w:pos="9412"/>
        </w:tabs>
      </w:pPr>
      <w:r>
        <w:rPr>
          <w:rFonts w:asciiTheme="minorHAnsi" w:eastAsiaTheme="minorHAnsi"/>
          <w:szCs w:val="20"/>
        </w:rPr>
        <w:fldChar w:fldCharType="begin"/>
      </w:r>
      <w:r>
        <w:rPr>
          <w:rFonts w:asciiTheme="minorHAnsi" w:eastAsiaTheme="minorHAnsi"/>
          <w:szCs w:val="20"/>
        </w:rPr>
        <w:instrText xml:space="preserve"> HYPERLINK \l _Toc4670 </w:instrText>
      </w:r>
      <w:r>
        <w:rPr>
          <w:rFonts w:asciiTheme="minorHAnsi" w:eastAsiaTheme="minorHAnsi"/>
          <w:szCs w:val="20"/>
        </w:rPr>
        <w:fldChar w:fldCharType="separate"/>
      </w:r>
      <w:r>
        <w:rPr>
          <w:rFonts w:hint="default" w:ascii="Times New Roman" w:hAnsi="Times New Roman" w:cs="Times New Roman"/>
          <w:highlight w:val="none"/>
        </w:rPr>
        <w:t>5.5 需要整改的短期、中期和长期项目内容</w:t>
      </w:r>
      <w:r>
        <w:tab/>
      </w:r>
      <w:r>
        <w:fldChar w:fldCharType="begin"/>
      </w:r>
      <w:r>
        <w:instrText xml:space="preserve"> PAGEREF _Toc4670 \h </w:instrText>
      </w:r>
      <w:r>
        <w:fldChar w:fldCharType="separate"/>
      </w:r>
      <w:r>
        <w:t>111</w:t>
      </w:r>
      <w:r>
        <w:fldChar w:fldCharType="end"/>
      </w:r>
      <w:r>
        <w:rPr>
          <w:rFonts w:asciiTheme="minorHAnsi" w:eastAsiaTheme="minorHAnsi"/>
          <w:szCs w:val="20"/>
        </w:rPr>
        <w:fldChar w:fldCharType="end"/>
      </w:r>
    </w:p>
    <w:p w14:paraId="13E9FDC5">
      <w:pPr>
        <w:pStyle w:val="24"/>
        <w:tabs>
          <w:tab w:val="right" w:leader="dot" w:pos="9412"/>
        </w:tabs>
      </w:pPr>
      <w:r>
        <w:rPr>
          <w:rFonts w:asciiTheme="minorHAnsi" w:eastAsiaTheme="minorHAnsi"/>
          <w:szCs w:val="20"/>
        </w:rPr>
        <w:fldChar w:fldCharType="begin"/>
      </w:r>
      <w:r>
        <w:rPr>
          <w:rFonts w:asciiTheme="minorHAnsi" w:eastAsiaTheme="minorHAnsi"/>
          <w:szCs w:val="20"/>
        </w:rPr>
        <w:instrText xml:space="preserve"> HYPERLINK \l _Toc26 </w:instrText>
      </w:r>
      <w:r>
        <w:rPr>
          <w:rFonts w:asciiTheme="minorHAnsi" w:eastAsiaTheme="minorHAnsi"/>
          <w:szCs w:val="20"/>
        </w:rPr>
        <w:fldChar w:fldCharType="separate"/>
      </w:r>
      <w:r>
        <w:rPr>
          <w:rFonts w:hint="default" w:ascii="Times New Roman" w:hAnsi="Times New Roman" w:cs="Times New Roman"/>
          <w:highlight w:val="none"/>
        </w:rPr>
        <w:t>6 完善环境风险防控和应急措施的实施计划</w:t>
      </w:r>
      <w:r>
        <w:tab/>
      </w:r>
      <w:r>
        <w:fldChar w:fldCharType="begin"/>
      </w:r>
      <w:r>
        <w:instrText xml:space="preserve"> PAGEREF _Toc26 \h </w:instrText>
      </w:r>
      <w:r>
        <w:fldChar w:fldCharType="separate"/>
      </w:r>
      <w:r>
        <w:t>112</w:t>
      </w:r>
      <w:r>
        <w:fldChar w:fldCharType="end"/>
      </w:r>
      <w:r>
        <w:rPr>
          <w:rFonts w:asciiTheme="minorHAnsi" w:eastAsiaTheme="minorHAnsi"/>
          <w:szCs w:val="20"/>
        </w:rPr>
        <w:fldChar w:fldCharType="end"/>
      </w:r>
    </w:p>
    <w:p w14:paraId="12D30AA2">
      <w:pPr>
        <w:pStyle w:val="24"/>
        <w:tabs>
          <w:tab w:val="right" w:leader="dot" w:pos="9412"/>
        </w:tabs>
      </w:pPr>
      <w:r>
        <w:rPr>
          <w:rFonts w:asciiTheme="minorHAnsi" w:eastAsiaTheme="minorHAnsi"/>
          <w:szCs w:val="20"/>
        </w:rPr>
        <w:fldChar w:fldCharType="begin"/>
      </w:r>
      <w:r>
        <w:rPr>
          <w:rFonts w:asciiTheme="minorHAnsi" w:eastAsiaTheme="minorHAnsi"/>
          <w:szCs w:val="20"/>
        </w:rPr>
        <w:instrText xml:space="preserve"> HYPERLINK \l _Toc2176 </w:instrText>
      </w:r>
      <w:r>
        <w:rPr>
          <w:rFonts w:asciiTheme="minorHAnsi" w:eastAsiaTheme="minorHAnsi"/>
          <w:szCs w:val="20"/>
        </w:rPr>
        <w:fldChar w:fldCharType="separate"/>
      </w:r>
      <w:r>
        <w:rPr>
          <w:rFonts w:hint="default" w:ascii="Times New Roman" w:hAnsi="Times New Roman" w:cs="Times New Roman"/>
          <w:highlight w:val="none"/>
        </w:rPr>
        <w:t>7 企业突发环境事件风险等级</w:t>
      </w:r>
      <w:r>
        <w:tab/>
      </w:r>
      <w:r>
        <w:fldChar w:fldCharType="begin"/>
      </w:r>
      <w:r>
        <w:instrText xml:space="preserve"> PAGEREF _Toc2176 \h </w:instrText>
      </w:r>
      <w:r>
        <w:fldChar w:fldCharType="separate"/>
      </w:r>
      <w:r>
        <w:t>112</w:t>
      </w:r>
      <w:r>
        <w:fldChar w:fldCharType="end"/>
      </w:r>
      <w:r>
        <w:rPr>
          <w:rFonts w:asciiTheme="minorHAnsi" w:eastAsiaTheme="minorHAnsi"/>
          <w:szCs w:val="20"/>
        </w:rPr>
        <w:fldChar w:fldCharType="end"/>
      </w:r>
    </w:p>
    <w:p w14:paraId="6EE277C1">
      <w:pPr>
        <w:pStyle w:val="28"/>
        <w:tabs>
          <w:tab w:val="right" w:leader="dot" w:pos="9412"/>
        </w:tabs>
      </w:pPr>
      <w:r>
        <w:rPr>
          <w:rFonts w:asciiTheme="minorHAnsi" w:eastAsiaTheme="minorHAnsi"/>
          <w:szCs w:val="20"/>
        </w:rPr>
        <w:fldChar w:fldCharType="begin"/>
      </w:r>
      <w:r>
        <w:rPr>
          <w:rFonts w:asciiTheme="minorHAnsi" w:eastAsiaTheme="minorHAnsi"/>
          <w:szCs w:val="20"/>
        </w:rPr>
        <w:instrText xml:space="preserve"> HYPERLINK \l _Toc10895 </w:instrText>
      </w:r>
      <w:r>
        <w:rPr>
          <w:rFonts w:asciiTheme="minorHAnsi" w:eastAsiaTheme="minorHAnsi"/>
          <w:szCs w:val="20"/>
        </w:rPr>
        <w:fldChar w:fldCharType="separate"/>
      </w:r>
      <w:r>
        <w:rPr>
          <w:rFonts w:hint="default" w:ascii="Times New Roman" w:hAnsi="Times New Roman" w:cs="Times New Roman"/>
          <w:szCs w:val="30"/>
          <w:highlight w:val="none"/>
          <w:lang w:val="en-US" w:eastAsia="zh-CN"/>
        </w:rPr>
        <w:t>7.1 突发大气环境事件风险分级</w:t>
      </w:r>
      <w:r>
        <w:tab/>
      </w:r>
      <w:r>
        <w:fldChar w:fldCharType="begin"/>
      </w:r>
      <w:r>
        <w:instrText xml:space="preserve"> PAGEREF _Toc10895 \h </w:instrText>
      </w:r>
      <w:r>
        <w:fldChar w:fldCharType="separate"/>
      </w:r>
      <w:r>
        <w:t>112</w:t>
      </w:r>
      <w:r>
        <w:fldChar w:fldCharType="end"/>
      </w:r>
      <w:r>
        <w:rPr>
          <w:rFonts w:asciiTheme="minorHAnsi" w:eastAsiaTheme="minorHAnsi"/>
          <w:szCs w:val="20"/>
        </w:rPr>
        <w:fldChar w:fldCharType="end"/>
      </w:r>
    </w:p>
    <w:p w14:paraId="161C90E7">
      <w:pPr>
        <w:pStyle w:val="28"/>
        <w:tabs>
          <w:tab w:val="right" w:leader="dot" w:pos="9412"/>
        </w:tabs>
      </w:pPr>
      <w:r>
        <w:rPr>
          <w:rFonts w:asciiTheme="minorHAnsi" w:eastAsiaTheme="minorHAnsi"/>
          <w:szCs w:val="20"/>
        </w:rPr>
        <w:fldChar w:fldCharType="begin"/>
      </w:r>
      <w:r>
        <w:rPr>
          <w:rFonts w:asciiTheme="minorHAnsi" w:eastAsiaTheme="minorHAnsi"/>
          <w:szCs w:val="20"/>
        </w:rPr>
        <w:instrText xml:space="preserve"> HYPERLINK \l _Toc16144 </w:instrText>
      </w:r>
      <w:r>
        <w:rPr>
          <w:rFonts w:asciiTheme="minorHAnsi" w:eastAsiaTheme="minorHAnsi"/>
          <w:szCs w:val="20"/>
        </w:rPr>
        <w:fldChar w:fldCharType="separate"/>
      </w:r>
      <w:r>
        <w:rPr>
          <w:rFonts w:hint="default" w:ascii="Times New Roman" w:hAnsi="Times New Roman" w:cs="Times New Roman"/>
          <w:szCs w:val="30"/>
          <w:highlight w:val="none"/>
          <w:lang w:val="en-US" w:eastAsia="zh-CN"/>
        </w:rPr>
        <w:t>7.2 突发水环境事件风险分级</w:t>
      </w:r>
      <w:r>
        <w:tab/>
      </w:r>
      <w:r>
        <w:fldChar w:fldCharType="begin"/>
      </w:r>
      <w:r>
        <w:instrText xml:space="preserve"> PAGEREF _Toc16144 \h </w:instrText>
      </w:r>
      <w:r>
        <w:fldChar w:fldCharType="separate"/>
      </w:r>
      <w:r>
        <w:t>117</w:t>
      </w:r>
      <w:r>
        <w:fldChar w:fldCharType="end"/>
      </w:r>
      <w:r>
        <w:rPr>
          <w:rFonts w:asciiTheme="minorHAnsi" w:eastAsiaTheme="minorHAnsi"/>
          <w:szCs w:val="20"/>
        </w:rPr>
        <w:fldChar w:fldCharType="end"/>
      </w:r>
    </w:p>
    <w:p w14:paraId="5356972C">
      <w:pPr>
        <w:pStyle w:val="24"/>
        <w:tabs>
          <w:tab w:val="right" w:leader="dot" w:pos="9412"/>
        </w:tabs>
      </w:pPr>
      <w:r>
        <w:rPr>
          <w:rFonts w:asciiTheme="minorHAnsi" w:eastAsiaTheme="minorHAnsi"/>
          <w:szCs w:val="20"/>
        </w:rPr>
        <w:fldChar w:fldCharType="begin"/>
      </w:r>
      <w:r>
        <w:rPr>
          <w:rFonts w:asciiTheme="minorHAnsi" w:eastAsiaTheme="minorHAnsi"/>
          <w:szCs w:val="20"/>
        </w:rPr>
        <w:instrText xml:space="preserve"> HYPERLINK \l _Toc19503 </w:instrText>
      </w:r>
      <w:r>
        <w:rPr>
          <w:rFonts w:asciiTheme="minorHAnsi" w:eastAsiaTheme="minorHAnsi"/>
          <w:szCs w:val="20"/>
        </w:rPr>
        <w:fldChar w:fldCharType="separate"/>
      </w:r>
      <w:r>
        <w:rPr>
          <w:rFonts w:hint="eastAsia" w:cs="Times New Roman"/>
          <w:bCs/>
          <w:szCs w:val="32"/>
          <w:highlight w:val="none"/>
          <w:lang w:val="en-US" w:eastAsia="zh-CN"/>
        </w:rPr>
        <w:t>8 附图</w:t>
      </w:r>
      <w:r>
        <w:tab/>
      </w:r>
      <w:r>
        <w:fldChar w:fldCharType="begin"/>
      </w:r>
      <w:r>
        <w:instrText xml:space="preserve"> PAGEREF _Toc19503 \h </w:instrText>
      </w:r>
      <w:r>
        <w:fldChar w:fldCharType="separate"/>
      </w:r>
      <w:r>
        <w:t>125</w:t>
      </w:r>
      <w:r>
        <w:fldChar w:fldCharType="end"/>
      </w:r>
      <w:r>
        <w:rPr>
          <w:rFonts w:asciiTheme="minorHAnsi" w:eastAsiaTheme="minorHAnsi"/>
          <w:szCs w:val="20"/>
        </w:rPr>
        <w:fldChar w:fldCharType="end"/>
      </w:r>
    </w:p>
    <w:p w14:paraId="080AE437">
      <w:pPr>
        <w:pStyle w:val="28"/>
        <w:tabs>
          <w:tab w:val="right" w:leader="dot" w:pos="9412"/>
        </w:tabs>
      </w:pPr>
      <w:r>
        <w:rPr>
          <w:rFonts w:asciiTheme="minorHAnsi" w:eastAsiaTheme="minorHAnsi"/>
          <w:szCs w:val="20"/>
        </w:rPr>
        <w:fldChar w:fldCharType="begin"/>
      </w:r>
      <w:r>
        <w:rPr>
          <w:rFonts w:asciiTheme="minorHAnsi" w:eastAsiaTheme="minorHAnsi"/>
          <w:szCs w:val="20"/>
        </w:rPr>
        <w:instrText xml:space="preserve"> HYPERLINK \l _Toc21721 </w:instrText>
      </w:r>
      <w:r>
        <w:rPr>
          <w:rFonts w:asciiTheme="minorHAnsi" w:eastAsiaTheme="minorHAnsi"/>
          <w:szCs w:val="20"/>
        </w:rPr>
        <w:fldChar w:fldCharType="separate"/>
      </w:r>
      <w:r>
        <w:rPr>
          <w:rFonts w:hint="default" w:ascii="Times New Roman" w:hAnsi="Times New Roman" w:cs="Times New Roman"/>
          <w:bCs/>
          <w:highlight w:val="none"/>
        </w:rPr>
        <w:t>附图1 企业地理位置图</w:t>
      </w:r>
      <w:r>
        <w:tab/>
      </w:r>
      <w:r>
        <w:fldChar w:fldCharType="begin"/>
      </w:r>
      <w:r>
        <w:instrText xml:space="preserve"> PAGEREF _Toc21721 \h </w:instrText>
      </w:r>
      <w:r>
        <w:fldChar w:fldCharType="separate"/>
      </w:r>
      <w:r>
        <w:t>125</w:t>
      </w:r>
      <w:r>
        <w:fldChar w:fldCharType="end"/>
      </w:r>
      <w:r>
        <w:rPr>
          <w:rFonts w:asciiTheme="minorHAnsi" w:eastAsiaTheme="minorHAnsi"/>
          <w:szCs w:val="20"/>
        </w:rPr>
        <w:fldChar w:fldCharType="end"/>
      </w:r>
    </w:p>
    <w:p w14:paraId="4AAC72EA">
      <w:pPr>
        <w:pStyle w:val="28"/>
        <w:tabs>
          <w:tab w:val="right" w:leader="dot" w:pos="9412"/>
        </w:tabs>
      </w:pPr>
      <w:r>
        <w:rPr>
          <w:rFonts w:asciiTheme="minorHAnsi" w:eastAsiaTheme="minorHAnsi"/>
          <w:szCs w:val="20"/>
        </w:rPr>
        <w:fldChar w:fldCharType="begin"/>
      </w:r>
      <w:r>
        <w:rPr>
          <w:rFonts w:asciiTheme="minorHAnsi" w:eastAsiaTheme="minorHAnsi"/>
          <w:szCs w:val="20"/>
        </w:rPr>
        <w:instrText xml:space="preserve"> HYPERLINK \l _Toc15097 </w:instrText>
      </w:r>
      <w:r>
        <w:rPr>
          <w:rFonts w:asciiTheme="minorHAnsi" w:eastAsiaTheme="minorHAnsi"/>
          <w:szCs w:val="20"/>
        </w:rPr>
        <w:fldChar w:fldCharType="separate"/>
      </w:r>
      <w:r>
        <w:rPr>
          <w:rFonts w:hint="default" w:ascii="Times New Roman" w:hAnsi="Times New Roman" w:cs="Times New Roman"/>
          <w:bCs/>
          <w:szCs w:val="24"/>
          <w:highlight w:val="none"/>
        </w:rPr>
        <w:t>附图2  企业周边风险受体图</w:t>
      </w:r>
      <w:r>
        <w:rPr>
          <w:rFonts w:hint="default" w:ascii="Times New Roman" w:hAnsi="Times New Roman" w:cs="Times New Roman"/>
          <w:bCs/>
          <w:highlight w:val="none"/>
        </w:rPr>
        <w:t>（比例尺  1：</w:t>
      </w:r>
      <w:r>
        <w:rPr>
          <w:rFonts w:hint="default" w:ascii="Times New Roman" w:hAnsi="Times New Roman" w:cs="Times New Roman"/>
          <w:bCs/>
          <w:highlight w:val="none"/>
          <w:lang w:val="en-US" w:eastAsia="zh-CN"/>
        </w:rPr>
        <w:t>15</w:t>
      </w:r>
      <w:r>
        <w:rPr>
          <w:rFonts w:hint="default" w:ascii="Times New Roman" w:hAnsi="Times New Roman" w:cs="Times New Roman"/>
          <w:bCs/>
          <w:highlight w:val="none"/>
        </w:rPr>
        <w:t>0000）</w:t>
      </w:r>
      <w:r>
        <w:tab/>
      </w:r>
      <w:r>
        <w:fldChar w:fldCharType="begin"/>
      </w:r>
      <w:r>
        <w:instrText xml:space="preserve"> PAGEREF _Toc15097 \h </w:instrText>
      </w:r>
      <w:r>
        <w:fldChar w:fldCharType="separate"/>
      </w:r>
      <w:r>
        <w:t>126</w:t>
      </w:r>
      <w:r>
        <w:fldChar w:fldCharType="end"/>
      </w:r>
      <w:r>
        <w:rPr>
          <w:rFonts w:asciiTheme="minorHAnsi" w:eastAsiaTheme="minorHAnsi"/>
          <w:szCs w:val="20"/>
        </w:rPr>
        <w:fldChar w:fldCharType="end"/>
      </w:r>
    </w:p>
    <w:p w14:paraId="53E4F97C">
      <w:pPr>
        <w:pStyle w:val="28"/>
        <w:tabs>
          <w:tab w:val="right" w:leader="dot" w:pos="9412"/>
        </w:tabs>
      </w:pPr>
      <w:r>
        <w:rPr>
          <w:rFonts w:asciiTheme="minorHAnsi" w:eastAsiaTheme="minorHAnsi"/>
          <w:szCs w:val="20"/>
        </w:rPr>
        <w:fldChar w:fldCharType="begin"/>
      </w:r>
      <w:r>
        <w:rPr>
          <w:rFonts w:asciiTheme="minorHAnsi" w:eastAsiaTheme="minorHAnsi"/>
          <w:szCs w:val="20"/>
        </w:rPr>
        <w:instrText xml:space="preserve"> HYPERLINK \l _Toc6066 </w:instrText>
      </w:r>
      <w:r>
        <w:rPr>
          <w:rFonts w:asciiTheme="minorHAnsi" w:eastAsiaTheme="minorHAnsi"/>
          <w:szCs w:val="20"/>
        </w:rPr>
        <w:fldChar w:fldCharType="separate"/>
      </w:r>
      <w:r>
        <w:tab/>
      </w:r>
      <w:r>
        <w:fldChar w:fldCharType="begin"/>
      </w:r>
      <w:r>
        <w:instrText xml:space="preserve"> PAGEREF _Toc6066 \h </w:instrText>
      </w:r>
      <w:r>
        <w:fldChar w:fldCharType="separate"/>
      </w:r>
      <w:r>
        <w:t>126</w:t>
      </w:r>
      <w:r>
        <w:fldChar w:fldCharType="end"/>
      </w:r>
      <w:r>
        <w:rPr>
          <w:rFonts w:asciiTheme="minorHAnsi" w:eastAsiaTheme="minorHAnsi"/>
          <w:szCs w:val="20"/>
        </w:rPr>
        <w:fldChar w:fldCharType="end"/>
      </w:r>
    </w:p>
    <w:p w14:paraId="1546EC9F">
      <w:pPr>
        <w:pStyle w:val="28"/>
        <w:tabs>
          <w:tab w:val="right" w:leader="dot" w:pos="9412"/>
        </w:tabs>
      </w:pPr>
      <w:r>
        <w:rPr>
          <w:rFonts w:asciiTheme="minorHAnsi" w:eastAsiaTheme="minorHAnsi"/>
          <w:szCs w:val="20"/>
        </w:rPr>
        <w:fldChar w:fldCharType="begin"/>
      </w:r>
      <w:r>
        <w:rPr>
          <w:rFonts w:asciiTheme="minorHAnsi" w:eastAsiaTheme="minorHAnsi"/>
          <w:szCs w:val="20"/>
        </w:rPr>
        <w:instrText xml:space="preserve"> HYPERLINK \l _Toc26092 </w:instrText>
      </w:r>
      <w:r>
        <w:rPr>
          <w:rFonts w:asciiTheme="minorHAnsi" w:eastAsiaTheme="minorHAnsi"/>
          <w:szCs w:val="20"/>
        </w:rPr>
        <w:fldChar w:fldCharType="separate"/>
      </w:r>
      <w:r>
        <w:rPr>
          <w:rFonts w:hint="default" w:ascii="Times New Roman" w:hAnsi="Times New Roman" w:cs="Times New Roman"/>
          <w:bCs/>
          <w:highlight w:val="none"/>
        </w:rPr>
        <w:t>附图</w:t>
      </w:r>
      <w:r>
        <w:rPr>
          <w:rFonts w:hint="default" w:ascii="Times New Roman" w:hAnsi="Times New Roman" w:cs="Times New Roman"/>
          <w:bCs/>
          <w:highlight w:val="none"/>
          <w:lang w:val="en-US" w:eastAsia="zh-CN"/>
        </w:rPr>
        <w:t xml:space="preserve">3 </w:t>
      </w:r>
      <w:r>
        <w:rPr>
          <w:rFonts w:hint="default" w:ascii="Times New Roman" w:hAnsi="Times New Roman" w:cs="Times New Roman"/>
          <w:bCs/>
          <w:highlight w:val="none"/>
          <w:lang w:eastAsia="zh-CN"/>
        </w:rPr>
        <w:t>厂区平面图</w:t>
      </w:r>
      <w:r>
        <w:tab/>
      </w:r>
      <w:r>
        <w:fldChar w:fldCharType="begin"/>
      </w:r>
      <w:r>
        <w:instrText xml:space="preserve"> PAGEREF _Toc26092 \h </w:instrText>
      </w:r>
      <w:r>
        <w:fldChar w:fldCharType="separate"/>
      </w:r>
      <w:r>
        <w:t>127</w:t>
      </w:r>
      <w:r>
        <w:fldChar w:fldCharType="end"/>
      </w:r>
      <w:r>
        <w:rPr>
          <w:rFonts w:asciiTheme="minorHAnsi" w:eastAsiaTheme="minorHAnsi"/>
          <w:szCs w:val="20"/>
        </w:rPr>
        <w:fldChar w:fldCharType="end"/>
      </w:r>
    </w:p>
    <w:p w14:paraId="7BB01406">
      <w:pPr>
        <w:pStyle w:val="28"/>
        <w:tabs>
          <w:tab w:val="right" w:leader="dot" w:pos="9412"/>
        </w:tabs>
      </w:pPr>
      <w:r>
        <w:rPr>
          <w:rFonts w:asciiTheme="minorHAnsi" w:eastAsiaTheme="minorHAnsi"/>
          <w:szCs w:val="20"/>
        </w:rPr>
        <w:fldChar w:fldCharType="begin"/>
      </w:r>
      <w:r>
        <w:rPr>
          <w:rFonts w:asciiTheme="minorHAnsi" w:eastAsiaTheme="minorHAnsi"/>
          <w:szCs w:val="20"/>
        </w:rPr>
        <w:instrText xml:space="preserve"> HYPERLINK \l _Toc22782 </w:instrText>
      </w:r>
      <w:r>
        <w:rPr>
          <w:rFonts w:asciiTheme="minorHAnsi" w:eastAsiaTheme="minorHAnsi"/>
          <w:szCs w:val="20"/>
        </w:rPr>
        <w:fldChar w:fldCharType="separate"/>
      </w:r>
      <w:r>
        <w:rPr>
          <w:rFonts w:hint="default" w:ascii="Times New Roman" w:hAnsi="Times New Roman" w:cs="Times New Roman"/>
          <w:bCs/>
          <w:highlight w:val="none"/>
        </w:rPr>
        <w:t>附图</w:t>
      </w:r>
      <w:r>
        <w:rPr>
          <w:rFonts w:hint="eastAsia" w:ascii="Times New Roman" w:hAnsi="Times New Roman" w:cs="Times New Roman"/>
          <w:bCs/>
          <w:highlight w:val="none"/>
          <w:lang w:val="en-US" w:eastAsia="zh-CN"/>
        </w:rPr>
        <w:t>4</w:t>
      </w:r>
      <w:r>
        <w:rPr>
          <w:rFonts w:hint="default" w:ascii="Times New Roman" w:hAnsi="Times New Roman" w:cs="Times New Roman"/>
          <w:bCs/>
          <w:highlight w:val="none"/>
        </w:rPr>
        <w:t xml:space="preserve"> </w:t>
      </w:r>
      <w:r>
        <w:rPr>
          <w:rFonts w:hint="default" w:ascii="Times New Roman" w:hAnsi="Times New Roman" w:cs="Times New Roman"/>
          <w:bCs/>
          <w:highlight w:val="none"/>
          <w:lang w:eastAsia="zh-CN"/>
        </w:rPr>
        <w:t>应急逃生路线</w:t>
      </w:r>
      <w:r>
        <w:rPr>
          <w:rFonts w:hint="eastAsia" w:cs="Times New Roman"/>
          <w:bCs/>
          <w:highlight w:val="none"/>
          <w:lang w:eastAsia="zh-CN"/>
        </w:rPr>
        <w:t>、应急物资柜</w:t>
      </w:r>
      <w:r>
        <w:tab/>
      </w:r>
      <w:r>
        <w:fldChar w:fldCharType="begin"/>
      </w:r>
      <w:r>
        <w:instrText xml:space="preserve"> PAGEREF _Toc22782 \h </w:instrText>
      </w:r>
      <w:r>
        <w:fldChar w:fldCharType="separate"/>
      </w:r>
      <w:r>
        <w:t>128</w:t>
      </w:r>
      <w:r>
        <w:fldChar w:fldCharType="end"/>
      </w:r>
      <w:r>
        <w:rPr>
          <w:rFonts w:asciiTheme="minorHAnsi" w:eastAsiaTheme="minorHAnsi"/>
          <w:szCs w:val="20"/>
        </w:rPr>
        <w:fldChar w:fldCharType="end"/>
      </w:r>
    </w:p>
    <w:p w14:paraId="0A4CEAA5">
      <w:pPr>
        <w:pStyle w:val="28"/>
        <w:tabs>
          <w:tab w:val="right" w:leader="dot" w:pos="9412"/>
        </w:tabs>
      </w:pPr>
      <w:r>
        <w:rPr>
          <w:rFonts w:asciiTheme="minorHAnsi" w:eastAsiaTheme="minorHAnsi"/>
          <w:szCs w:val="20"/>
        </w:rPr>
        <w:fldChar w:fldCharType="begin"/>
      </w:r>
      <w:r>
        <w:rPr>
          <w:rFonts w:asciiTheme="minorHAnsi" w:eastAsiaTheme="minorHAnsi"/>
          <w:szCs w:val="20"/>
        </w:rPr>
        <w:instrText xml:space="preserve"> HYPERLINK \l _Toc1470 </w:instrText>
      </w:r>
      <w:r>
        <w:rPr>
          <w:rFonts w:asciiTheme="minorHAnsi" w:eastAsiaTheme="minorHAnsi"/>
          <w:szCs w:val="20"/>
        </w:rPr>
        <w:fldChar w:fldCharType="separate"/>
      </w:r>
      <w:r>
        <w:rPr>
          <w:rFonts w:hint="eastAsia" w:ascii="Times New Roman" w:hAnsi="Times New Roman" w:eastAsia="宋体" w:cs="Times New Roman"/>
          <w:bCs/>
          <w:highlight w:val="none"/>
          <w:lang w:eastAsia="zh-CN"/>
        </w:rPr>
        <w:t>附图</w:t>
      </w:r>
      <w:r>
        <w:rPr>
          <w:rFonts w:hint="eastAsia" w:ascii="Times New Roman" w:hAnsi="Times New Roman" w:eastAsia="宋体" w:cs="Times New Roman"/>
          <w:bCs/>
          <w:highlight w:val="none"/>
          <w:lang w:val="en-US" w:eastAsia="zh-CN"/>
        </w:rPr>
        <w:t>5 应急检测协议</w:t>
      </w:r>
      <w:r>
        <w:tab/>
      </w:r>
      <w:r>
        <w:fldChar w:fldCharType="begin"/>
      </w:r>
      <w:r>
        <w:instrText xml:space="preserve"> PAGEREF _Toc1470 \h </w:instrText>
      </w:r>
      <w:r>
        <w:fldChar w:fldCharType="separate"/>
      </w:r>
      <w:r>
        <w:t>129</w:t>
      </w:r>
      <w:r>
        <w:fldChar w:fldCharType="end"/>
      </w:r>
      <w:r>
        <w:rPr>
          <w:rFonts w:asciiTheme="minorHAnsi" w:eastAsiaTheme="minorHAnsi"/>
          <w:szCs w:val="20"/>
        </w:rPr>
        <w:fldChar w:fldCharType="end"/>
      </w:r>
    </w:p>
    <w:p w14:paraId="5127BC4F">
      <w:pPr>
        <w:pStyle w:val="28"/>
        <w:tabs>
          <w:tab w:val="right" w:leader="dot" w:pos="9412"/>
        </w:tabs>
      </w:pPr>
      <w:r>
        <w:rPr>
          <w:rFonts w:asciiTheme="minorHAnsi" w:eastAsiaTheme="minorHAnsi"/>
          <w:szCs w:val="20"/>
        </w:rPr>
        <w:fldChar w:fldCharType="begin"/>
      </w:r>
      <w:r>
        <w:rPr>
          <w:rFonts w:asciiTheme="minorHAnsi" w:eastAsiaTheme="minorHAnsi"/>
          <w:szCs w:val="20"/>
        </w:rPr>
        <w:instrText xml:space="preserve"> HYPERLINK \l _Toc20492 </w:instrText>
      </w:r>
      <w:r>
        <w:rPr>
          <w:rFonts w:asciiTheme="minorHAnsi" w:eastAsiaTheme="minorHAnsi"/>
          <w:szCs w:val="20"/>
        </w:rPr>
        <w:fldChar w:fldCharType="separate"/>
      </w:r>
      <w:r>
        <w:rPr>
          <w:rFonts w:hint="eastAsia"/>
          <w:bCs w:val="0"/>
          <w:lang w:eastAsia="zh-CN"/>
        </w:rPr>
        <w:t>附件</w:t>
      </w:r>
      <w:r>
        <w:rPr>
          <w:rFonts w:hint="eastAsia"/>
          <w:bCs w:val="0"/>
          <w:lang w:val="en-US" w:eastAsia="zh-CN"/>
        </w:rPr>
        <w:t>6应急互救协议</w:t>
      </w:r>
      <w:r>
        <w:tab/>
      </w:r>
      <w:r>
        <w:fldChar w:fldCharType="begin"/>
      </w:r>
      <w:r>
        <w:instrText xml:space="preserve"> PAGEREF _Toc20492 \h </w:instrText>
      </w:r>
      <w:r>
        <w:fldChar w:fldCharType="separate"/>
      </w:r>
      <w:r>
        <w:t>130</w:t>
      </w:r>
      <w:r>
        <w:fldChar w:fldCharType="end"/>
      </w:r>
      <w:r>
        <w:rPr>
          <w:rFonts w:asciiTheme="minorHAnsi" w:eastAsiaTheme="minorHAnsi"/>
          <w:szCs w:val="20"/>
        </w:rPr>
        <w:fldChar w:fldCharType="end"/>
      </w:r>
    </w:p>
    <w:p w14:paraId="3F9B89B3">
      <w:pPr>
        <w:pStyle w:val="28"/>
        <w:tabs>
          <w:tab w:val="right" w:leader="dot" w:pos="9412"/>
        </w:tabs>
      </w:pPr>
      <w:r>
        <w:rPr>
          <w:rFonts w:asciiTheme="minorHAnsi" w:eastAsiaTheme="minorHAnsi"/>
          <w:szCs w:val="20"/>
        </w:rPr>
        <w:fldChar w:fldCharType="begin"/>
      </w:r>
      <w:r>
        <w:rPr>
          <w:rFonts w:asciiTheme="minorHAnsi" w:eastAsiaTheme="minorHAnsi"/>
          <w:szCs w:val="20"/>
        </w:rPr>
        <w:instrText xml:space="preserve"> HYPERLINK \l _Toc6182 </w:instrText>
      </w:r>
      <w:r>
        <w:rPr>
          <w:rFonts w:asciiTheme="minorHAnsi" w:eastAsiaTheme="minorHAnsi"/>
          <w:szCs w:val="20"/>
        </w:rPr>
        <w:fldChar w:fldCharType="separate"/>
      </w:r>
      <w:r>
        <w:rPr>
          <w:rFonts w:hint="eastAsia" w:eastAsia="宋体"/>
          <w:bCs w:val="0"/>
          <w:lang w:val="en-US" w:eastAsia="zh-CN"/>
        </w:rPr>
        <w:t>附图7 互救单位应急物资</w:t>
      </w:r>
      <w:r>
        <w:tab/>
      </w:r>
      <w:r>
        <w:fldChar w:fldCharType="begin"/>
      </w:r>
      <w:r>
        <w:instrText xml:space="preserve"> PAGEREF _Toc6182 \h </w:instrText>
      </w:r>
      <w:r>
        <w:fldChar w:fldCharType="separate"/>
      </w:r>
      <w:r>
        <w:t>131</w:t>
      </w:r>
      <w:r>
        <w:fldChar w:fldCharType="end"/>
      </w:r>
      <w:r>
        <w:rPr>
          <w:rFonts w:asciiTheme="minorHAnsi" w:eastAsiaTheme="minorHAnsi"/>
          <w:szCs w:val="20"/>
        </w:rPr>
        <w:fldChar w:fldCharType="end"/>
      </w:r>
    </w:p>
    <w:p w14:paraId="18E3F6AC">
      <w:pPr>
        <w:pStyle w:val="2"/>
        <w:ind w:left="0" w:leftChars="0" w:firstLine="420" w:firstLineChars="200"/>
        <w:rPr>
          <w:rFonts w:hint="default" w:ascii="Times New Roman" w:hAnsi="Times New Roman" w:eastAsia="宋体" w:cs="Times New Roman"/>
          <w:color w:val="auto"/>
          <w:highlight w:val="none"/>
          <w:lang w:val="en-US" w:eastAsia="zh-CN"/>
        </w:rPr>
      </w:pPr>
      <w:r>
        <w:rPr>
          <w:rFonts w:asciiTheme="minorHAnsi" w:eastAsiaTheme="minorHAnsi"/>
          <w:szCs w:val="20"/>
        </w:rPr>
        <w:fldChar w:fldCharType="end"/>
      </w:r>
    </w:p>
    <w:p w14:paraId="67C1AA2E">
      <w:pPr>
        <w:pStyle w:val="2"/>
        <w:ind w:left="0" w:leftChars="0" w:firstLine="0" w:firstLineChars="0"/>
        <w:rPr>
          <w:rFonts w:hint="default" w:ascii="Times New Roman" w:hAnsi="Times New Roman" w:cs="Times New Roman"/>
          <w:color w:val="auto"/>
          <w:highlight w:val="none"/>
        </w:rPr>
        <w:sectPr>
          <w:headerReference r:id="rId3" w:type="default"/>
          <w:pgSz w:w="11906" w:h="16838"/>
          <w:pgMar w:top="1417" w:right="1247" w:bottom="1417" w:left="1247" w:header="850" w:footer="992" w:gutter="0"/>
          <w:pgBorders>
            <w:top w:val="none" w:sz="0" w:space="0"/>
            <w:left w:val="none" w:sz="0" w:space="0"/>
            <w:bottom w:val="none" w:sz="0" w:space="0"/>
            <w:right w:val="none" w:sz="0" w:space="0"/>
          </w:pgBorders>
          <w:pgNumType w:start="1"/>
          <w:cols w:space="720" w:num="1"/>
          <w:titlePg/>
          <w:rtlGutter w:val="0"/>
          <w:docGrid w:type="lines" w:linePitch="312" w:charSpace="0"/>
        </w:sectPr>
      </w:pPr>
    </w:p>
    <w:p w14:paraId="1A7184E4">
      <w:pPr>
        <w:pStyle w:val="6"/>
        <w:spacing w:beforeLines="0" w:afterLines="0"/>
        <w:rPr>
          <w:rFonts w:hint="default" w:ascii="Times New Roman" w:hAnsi="Times New Roman" w:cs="Times New Roman"/>
          <w:color w:val="auto"/>
          <w:highlight w:val="none"/>
        </w:rPr>
      </w:pPr>
      <w:bookmarkStart w:id="2" w:name="_Toc7588"/>
      <w:bookmarkStart w:id="3" w:name="_Toc12079"/>
      <w:r>
        <w:rPr>
          <w:rFonts w:hint="default" w:ascii="Times New Roman" w:hAnsi="Times New Roman" w:cs="Times New Roman"/>
          <w:color w:val="auto"/>
          <w:highlight w:val="none"/>
        </w:rPr>
        <w:t>1 前言</w:t>
      </w:r>
      <w:bookmarkEnd w:id="0"/>
      <w:bookmarkEnd w:id="1"/>
      <w:bookmarkEnd w:id="2"/>
      <w:bookmarkEnd w:id="3"/>
    </w:p>
    <w:p w14:paraId="1E6D7D69">
      <w:pPr>
        <w:adjustRightInd w:val="0"/>
        <w:snapToGrid w:val="0"/>
        <w:spacing w:line="360" w:lineRule="auto"/>
        <w:ind w:firstLine="486" w:firstLineChars="200"/>
        <w:rPr>
          <w:sz w:val="24"/>
          <w:szCs w:val="24"/>
        </w:rPr>
      </w:pPr>
      <w:bookmarkStart w:id="4" w:name="_Toc18134"/>
      <w:bookmarkStart w:id="5" w:name="_Toc18946"/>
      <w:bookmarkStart w:id="6" w:name="_Toc17988"/>
      <w:r>
        <w:rPr>
          <w:rFonts w:hint="eastAsia"/>
          <w:sz w:val="24"/>
          <w:szCs w:val="24"/>
        </w:rPr>
        <w:t>当前，我国已进入突发环境事件多发期和矛盾凸显期，环境问题已成为威胁人类健康、公共安全和社会稳定的重要因素之一国务院高度重视环境风险与管理。</w:t>
      </w:r>
    </w:p>
    <w:p w14:paraId="287CADE0">
      <w:pPr>
        <w:adjustRightInd w:val="0"/>
        <w:snapToGrid w:val="0"/>
        <w:spacing w:line="360" w:lineRule="auto"/>
        <w:ind w:firstLine="486" w:firstLineChars="200"/>
        <w:rPr>
          <w:rFonts w:hint="eastAsia" w:eastAsia="宋体"/>
          <w:sz w:val="24"/>
          <w:szCs w:val="24"/>
          <w:lang w:eastAsia="zh-CN"/>
        </w:rPr>
      </w:pPr>
      <w:r>
        <w:rPr>
          <w:rFonts w:hint="eastAsia"/>
          <w:sz w:val="24"/>
          <w:szCs w:val="24"/>
        </w:rPr>
        <w:t>2018年5月19日，习近平总书记在全国生态环境保护大会上强调，“要加快构建生态文明体系，加快建立健全以生态价值观念为准则的生态文化体系，以产业生态化和生态产业化为主体的生态经济体系，以改善生态环境质量为核心的目标责任体系，以治理体系和治理能力现代化为保障的生态文明制度体系，以生态系统良性循环和环境风险有效防控为重点的生态安全体系。要通过加快构建生态文明体系，确保到2035年，生态环境质量实现根本好转，美丽中国目标基本实现。到本世纪中叶，物质文明、政治文明、精神文明、社会文明、生态文明全面提升，绿色发展方式和生活方式全面形成，人与自然和谐共生，生态环境领域国家治理体系和治理能力现代化全面实现，建成美丽中国。”</w:t>
      </w:r>
    </w:p>
    <w:p w14:paraId="7D0AC45E">
      <w:pPr>
        <w:adjustRightInd w:val="0"/>
        <w:snapToGrid w:val="0"/>
        <w:spacing w:line="360" w:lineRule="auto"/>
        <w:ind w:firstLine="486" w:firstLineChars="200"/>
        <w:rPr>
          <w:rFonts w:hint="eastAsia"/>
          <w:sz w:val="24"/>
          <w:szCs w:val="24"/>
        </w:rPr>
      </w:pPr>
      <w:r>
        <w:rPr>
          <w:rFonts w:hint="eastAsia"/>
          <w:sz w:val="24"/>
          <w:szCs w:val="24"/>
        </w:rPr>
        <w:t>2</w:t>
      </w:r>
      <w:r>
        <w:rPr>
          <w:sz w:val="24"/>
          <w:szCs w:val="24"/>
        </w:rPr>
        <w:t>020</w:t>
      </w:r>
      <w:r>
        <w:rPr>
          <w:rFonts w:hint="eastAsia"/>
          <w:sz w:val="24"/>
          <w:szCs w:val="24"/>
        </w:rPr>
        <w:t>年9月《国家环境保护“十四五”规划基本思路》提出：1、坚持人与自然和谐共生，以资源环境承载能力为基础，以自然规律为准则，以可持续发展、人与自然和谐为目标，树立践行绿水青山就是金山银山的理念，建设生态文明。2、推进绿色发展方式和生活方式，从源头抓起，形成内生动力机制，坚定不移走绿色低碳循环发展之路，加快构建绿色循环低碳发展产业体系。3、着力全面提升城乡环境质量，改善城乡人居环境，满足人民日益增长的优美生态环境需要。4、实行最严格的生态环境保护制度，坚持保护和修复并重，建立市场化、多元化生态补偿机制，统筹山水林田湖草系统治理，加强地下水的监测、监控及污染防治。</w:t>
      </w:r>
    </w:p>
    <w:p w14:paraId="5593845E">
      <w:pPr>
        <w:adjustRightInd w:val="0"/>
        <w:snapToGrid w:val="0"/>
        <w:spacing w:line="360" w:lineRule="auto"/>
        <w:ind w:firstLine="486" w:firstLineChars="200"/>
        <w:rPr>
          <w:rFonts w:hint="eastAsia"/>
          <w:sz w:val="24"/>
          <w:szCs w:val="24"/>
          <w:lang w:val="en-US" w:eastAsia="zh-CN"/>
        </w:rPr>
      </w:pPr>
      <w:r>
        <w:rPr>
          <w:rFonts w:hint="eastAsia"/>
          <w:sz w:val="24"/>
          <w:szCs w:val="24"/>
          <w:lang w:val="en-US" w:eastAsia="zh-CN"/>
        </w:rPr>
        <w:t>2026年3月《国家环境保护“十五五”规划基本思路》提出规划的核心目标与战略导向，1、核心目标：美丽中国建设取得新的重大进展‌。这是“十五五”规划为生态文明建设设定的阶段性目标，具体内涵包括‌绿色生产生活方式基本形成、碳达峰目标如期实现、新型能源体系初步建成、主要污染物排放总量持续减少、生态系统多样性稳定性持续性不断提升‌。2、价值取向：坚持环保为民‌。规划强调从关心人民群众生存和健康的高度推进生态文明建设，以满足人民日益增长的优美生态环境需要为重要目标。3、战略牵引：以碳达峰碳中和为牵引‌。规划将“双碳”目标作为推动经济社会发展全面绿色转型的战略抓手，协同推进降碳、减污、扩绿、增长。‌‌‌</w:t>
      </w:r>
    </w:p>
    <w:p w14:paraId="5E6FD600">
      <w:pPr>
        <w:adjustRightInd w:val="0"/>
        <w:snapToGrid w:val="0"/>
        <w:spacing w:line="360" w:lineRule="auto"/>
        <w:ind w:firstLine="426" w:firstLineChars="200"/>
        <w:rPr>
          <w:lang w:eastAsia="zh-CN"/>
        </w:rPr>
      </w:pPr>
      <w:r>
        <w:rPr>
          <w:rFonts w:hint="eastAsia" w:hAnsi="宋体"/>
          <w:lang w:eastAsia="zh-CN"/>
        </w:rPr>
        <w:t>为贯彻落实环境风险防控任务，保障人民群众的身体健康和环境安全，规范企业突发环境事件风险评估行为，为企业提高环境风险防控能力提供切实指导，为环保部门根据企业环境风险等级实施分级差别化管理提供技术支持，原</w:t>
      </w:r>
      <w:r>
        <w:rPr>
          <w:rFonts w:hint="eastAsia"/>
          <w:lang w:eastAsia="zh-CN"/>
        </w:rPr>
        <w:t>环保部于2014年4月3日出台了《关于印发&lt;企业突发环境事件风险评估指南（试行）&gt;的通知》（环办[2014]34号），于</w:t>
      </w:r>
      <w:r>
        <w:rPr>
          <w:lang w:eastAsia="zh-CN"/>
        </w:rPr>
        <w:t>2018年</w:t>
      </w:r>
      <w:r>
        <w:rPr>
          <w:rFonts w:hint="eastAsia"/>
          <w:lang w:eastAsia="zh-CN"/>
        </w:rPr>
        <w:t>2</w:t>
      </w:r>
      <w:r>
        <w:rPr>
          <w:lang w:eastAsia="zh-CN"/>
        </w:rPr>
        <w:t>月</w:t>
      </w:r>
      <w:r>
        <w:rPr>
          <w:rFonts w:hint="eastAsia"/>
          <w:lang w:eastAsia="zh-CN"/>
        </w:rPr>
        <w:t>5</w:t>
      </w:r>
      <w:r>
        <w:rPr>
          <w:lang w:eastAsia="zh-CN"/>
        </w:rPr>
        <w:t>日出台了《企业突发环境事件风险分级方法》（HJ 941-2018）</w:t>
      </w:r>
      <w:r>
        <w:rPr>
          <w:rFonts w:hint="eastAsia" w:hAnsi="宋体"/>
          <w:lang w:eastAsia="zh-CN"/>
        </w:rPr>
        <w:t>。</w:t>
      </w:r>
    </w:p>
    <w:p w14:paraId="3CACACF6">
      <w:pPr>
        <w:pStyle w:val="126"/>
        <w:rPr>
          <w:rFonts w:hint="default" w:ascii="Times New Roman" w:hAnsi="Times New Roman" w:cs="Times New Roman"/>
          <w:color w:val="auto"/>
          <w:highlight w:val="none"/>
        </w:rPr>
      </w:pPr>
      <w:r>
        <w:rPr>
          <w:lang w:eastAsia="zh-CN" w:bidi="en-US"/>
        </w:rPr>
        <w:t>淄博绿能新能源有限公司</w:t>
      </w:r>
      <w:r>
        <w:rPr>
          <w:lang w:eastAsia="zh-CN"/>
        </w:rPr>
        <w:t>为配合开展环境安全达标建设工作的要求，积极采取自查自纠方式，编制《</w:t>
      </w:r>
      <w:r>
        <w:rPr>
          <w:lang w:eastAsia="zh-CN" w:bidi="en-US"/>
        </w:rPr>
        <w:t>淄博绿能新能源有限公司</w:t>
      </w:r>
      <w:r>
        <w:rPr>
          <w:lang w:eastAsia="zh-CN"/>
        </w:rPr>
        <w:t>突发环境事件风险评估报告》。通过开展突发环境事件风险评估，可以掌握自身环境风险状况，明确环境风险防控措施，为后期企业环境风险监管奠定基础，最终达到大幅度降低突发环境事件发生的目标。同时有利于生态环境部门加强对重点环境风险企业的针对性监督管理，提高管理效率，降低管理成本，并作为实施突发环境事件应急救援的规范性文件。</w:t>
      </w:r>
    </w:p>
    <w:p w14:paraId="0AE614B9">
      <w:pPr>
        <w:pStyle w:val="6"/>
        <w:spacing w:beforeLines="0" w:afterLines="0"/>
        <w:rPr>
          <w:rFonts w:hint="default" w:ascii="Times New Roman" w:hAnsi="Times New Roman" w:cs="Times New Roman"/>
          <w:color w:val="auto"/>
          <w:highlight w:val="none"/>
        </w:rPr>
      </w:pPr>
      <w:bookmarkStart w:id="7" w:name="_Toc8595"/>
      <w:r>
        <w:rPr>
          <w:rFonts w:hint="default" w:ascii="Times New Roman" w:hAnsi="Times New Roman" w:cs="Times New Roman"/>
          <w:color w:val="auto"/>
          <w:highlight w:val="none"/>
        </w:rPr>
        <w:t>2 总则</w:t>
      </w:r>
      <w:bookmarkEnd w:id="4"/>
      <w:bookmarkEnd w:id="5"/>
      <w:bookmarkEnd w:id="6"/>
      <w:bookmarkEnd w:id="7"/>
    </w:p>
    <w:p w14:paraId="4C748E3F">
      <w:pPr>
        <w:pStyle w:val="7"/>
        <w:spacing w:before="0" w:after="0"/>
        <w:rPr>
          <w:rFonts w:hint="default" w:ascii="Times New Roman" w:hAnsi="Times New Roman" w:cs="Times New Roman"/>
          <w:color w:val="auto"/>
          <w:highlight w:val="none"/>
        </w:rPr>
      </w:pPr>
      <w:bookmarkStart w:id="8" w:name="_Toc7651"/>
      <w:bookmarkStart w:id="9" w:name="_Toc11223"/>
      <w:bookmarkStart w:id="10" w:name="_Toc13044"/>
      <w:bookmarkStart w:id="11" w:name="_Toc9782"/>
      <w:r>
        <w:rPr>
          <w:rFonts w:hint="default" w:ascii="Times New Roman" w:hAnsi="Times New Roman" w:cs="Times New Roman"/>
          <w:color w:val="auto"/>
          <w:highlight w:val="none"/>
        </w:rPr>
        <w:t>2.1 编制原则</w:t>
      </w:r>
      <w:bookmarkEnd w:id="8"/>
      <w:bookmarkEnd w:id="9"/>
      <w:bookmarkEnd w:id="10"/>
      <w:bookmarkEnd w:id="11"/>
    </w:p>
    <w:p w14:paraId="32F052C0">
      <w:pPr>
        <w:pStyle w:val="126"/>
        <w:rPr>
          <w:lang w:eastAsia="zh-CN"/>
        </w:rPr>
      </w:pPr>
      <w:r>
        <w:rPr>
          <w:lang w:eastAsia="zh-CN"/>
        </w:rPr>
        <w:t>按照“以人为本”的宗旨，合理保障人民群众的身体健康和环境安全，严格规范企业突发环境事件风险评估行为，提高突发环境事件防控能力，全面落实企业环境风险防控主体，并遵循以下原则开展环境风险评估工作：</w:t>
      </w:r>
    </w:p>
    <w:p w14:paraId="3470C749">
      <w:pPr>
        <w:pStyle w:val="126"/>
        <w:rPr>
          <w:rFonts w:hint="default" w:ascii="Times New Roman" w:hAnsi="Times New Roman" w:cs="Times New Roman"/>
          <w:color w:val="auto"/>
          <w:sz w:val="24"/>
          <w:highlight w:val="none"/>
        </w:rPr>
      </w:pPr>
      <w:r>
        <w:rPr>
          <w:lang w:eastAsia="zh-CN"/>
        </w:rPr>
        <w:t>环境风险评估编制应体现科学性、规范性、客观性和真实性的原则。环境风险评估过程中应贯彻执行我国环保相关的法律法规、标准、政策，分析企业自身环境风险状况，明确环境风险防控措施。</w:t>
      </w:r>
    </w:p>
    <w:p w14:paraId="75AFF4B0">
      <w:pPr>
        <w:pStyle w:val="7"/>
        <w:spacing w:before="0" w:after="0"/>
        <w:rPr>
          <w:rFonts w:hint="default" w:ascii="Times New Roman" w:hAnsi="Times New Roman" w:cs="Times New Roman"/>
          <w:color w:val="auto"/>
          <w:highlight w:val="none"/>
        </w:rPr>
      </w:pPr>
      <w:bookmarkStart w:id="12" w:name="_Toc28295"/>
      <w:bookmarkStart w:id="13" w:name="_Toc25"/>
      <w:bookmarkStart w:id="14" w:name="_Toc22940"/>
      <w:bookmarkStart w:id="15" w:name="_Toc17982"/>
      <w:r>
        <w:rPr>
          <w:rFonts w:hint="default" w:ascii="Times New Roman" w:hAnsi="Times New Roman" w:cs="Times New Roman"/>
          <w:color w:val="auto"/>
          <w:highlight w:val="none"/>
        </w:rPr>
        <w:t>2.2 编制依据</w:t>
      </w:r>
      <w:bookmarkEnd w:id="12"/>
      <w:bookmarkEnd w:id="13"/>
      <w:bookmarkEnd w:id="14"/>
      <w:bookmarkEnd w:id="15"/>
    </w:p>
    <w:p w14:paraId="57141C8A">
      <w:pPr>
        <w:spacing w:before="0" w:after="0"/>
        <w:outlineLvl w:val="9"/>
        <w:rPr>
          <w:rFonts w:hint="default" w:ascii="Times New Roman" w:hAnsi="Times New Roman" w:cs="Times New Roman"/>
          <w:b/>
          <w:bCs/>
          <w:color w:val="auto"/>
          <w:sz w:val="24"/>
          <w:szCs w:val="32"/>
          <w:highlight w:val="none"/>
        </w:rPr>
      </w:pPr>
      <w:bookmarkStart w:id="16" w:name="_Toc23696"/>
      <w:r>
        <w:rPr>
          <w:rFonts w:hint="default" w:ascii="Times New Roman" w:hAnsi="Times New Roman" w:cs="Times New Roman"/>
          <w:b/>
          <w:bCs/>
          <w:color w:val="auto"/>
          <w:sz w:val="24"/>
          <w:szCs w:val="32"/>
          <w:highlight w:val="none"/>
        </w:rPr>
        <w:t>2.2.1 法律法规、规章、指导性文件</w:t>
      </w:r>
      <w:bookmarkEnd w:id="16"/>
    </w:p>
    <w:p w14:paraId="215D5834">
      <w:pPr>
        <w:pStyle w:val="126"/>
        <w:rPr>
          <w:color w:val="000000" w:themeColor="text1"/>
          <w:lang w:eastAsia="zh-CN"/>
          <w14:textFill>
            <w14:solidFill>
              <w14:schemeClr w14:val="tx1"/>
            </w14:solidFill>
          </w14:textFill>
        </w:rPr>
      </w:pPr>
      <w:bookmarkStart w:id="17" w:name="_Hlk102722636"/>
      <w:bookmarkStart w:id="18" w:name="_Hlk73484969"/>
      <w:bookmarkStart w:id="19" w:name="_Toc17130"/>
      <w:bookmarkStart w:id="20" w:name="_Toc401654903"/>
      <w:r>
        <w:rPr>
          <w:color w:val="000000" w:themeColor="text1"/>
          <w:lang w:eastAsia="zh-CN"/>
          <w14:textFill>
            <w14:solidFill>
              <w14:schemeClr w14:val="tx1"/>
            </w14:solidFill>
          </w14:textFill>
        </w:rPr>
        <w:t>此次《环境风险评估报告》的编制工作，严格按照国家、省、市各级政府下达的相关法律、法规、标准、规范和其他相关政策、文件以及公司的实际情况进行。</w:t>
      </w:r>
    </w:p>
    <w:bookmarkEnd w:id="17"/>
    <w:bookmarkEnd w:id="18"/>
    <w:p w14:paraId="6FE8C8D7">
      <w:pPr>
        <w:overflowPunct w:val="0"/>
        <w:spacing w:line="360" w:lineRule="auto"/>
        <w:ind w:firstLine="426" w:firstLineChars="200"/>
      </w:pPr>
      <w:bookmarkStart w:id="21" w:name="2.3.1_法律法规与标准规范"/>
      <w:bookmarkEnd w:id="21"/>
      <w:r>
        <w:rPr>
          <w:rFonts w:hint="eastAsia"/>
        </w:rPr>
        <w:t>1）《中华人民共和国环境保护法》（2014年</w:t>
      </w:r>
      <w:r>
        <w:t>4月24日</w:t>
      </w:r>
      <w:r>
        <w:rPr>
          <w:rFonts w:hint="eastAsia"/>
        </w:rPr>
        <w:t>修订版）</w:t>
      </w:r>
    </w:p>
    <w:p w14:paraId="2072EDD3">
      <w:pPr>
        <w:overflowPunct w:val="0"/>
        <w:spacing w:line="360" w:lineRule="auto"/>
        <w:ind w:firstLine="426" w:firstLineChars="200"/>
      </w:pPr>
      <w:r>
        <w:rPr>
          <w:rFonts w:hint="eastAsia"/>
        </w:rPr>
        <w:t>2）《中华人民共和国固体废物污染环境防治法》（</w:t>
      </w:r>
      <w:r>
        <w:t>2020年4月29日</w:t>
      </w:r>
      <w:r>
        <w:rPr>
          <w:rFonts w:hint="eastAsia"/>
        </w:rPr>
        <w:t>修订）</w:t>
      </w:r>
    </w:p>
    <w:p w14:paraId="24D80FF3">
      <w:pPr>
        <w:overflowPunct w:val="0"/>
        <w:spacing w:line="360" w:lineRule="auto"/>
        <w:ind w:firstLine="426" w:firstLineChars="200"/>
      </w:pPr>
      <w:r>
        <w:rPr>
          <w:rFonts w:hint="eastAsia"/>
        </w:rPr>
        <w:t>3）《中华人民共和国大气污染防治法》（</w:t>
      </w:r>
      <w:r>
        <w:t>2018年10月26日</w:t>
      </w:r>
      <w:r>
        <w:rPr>
          <w:rFonts w:hint="eastAsia"/>
        </w:rPr>
        <w:t>修订）</w:t>
      </w:r>
    </w:p>
    <w:p w14:paraId="28F28BA8">
      <w:pPr>
        <w:overflowPunct w:val="0"/>
        <w:spacing w:line="360" w:lineRule="auto"/>
        <w:ind w:firstLine="426" w:firstLineChars="200"/>
        <w:rPr>
          <w:rFonts w:hint="eastAsia"/>
        </w:rPr>
      </w:pPr>
      <w:r>
        <w:rPr>
          <w:rFonts w:hint="eastAsia"/>
        </w:rPr>
        <w:t>4）《中华人民共和国突发事件应对法》</w:t>
      </w:r>
      <w:r>
        <w:rPr>
          <w:rFonts w:hint="eastAsia" w:ascii="Times New Roman" w:hAnsi="Times New Roman" w:eastAsia="宋体" w:cs="Times New Roman"/>
          <w:color w:val="0D0D0D"/>
          <w:sz w:val="21"/>
          <w:szCs w:val="21"/>
          <w:lang w:val="en-US" w:eastAsia="zh-CN"/>
        </w:rPr>
        <w:t>2024年6月28日修订</w:t>
      </w:r>
    </w:p>
    <w:p w14:paraId="1CCF031B">
      <w:pPr>
        <w:overflowPunct w:val="0"/>
        <w:spacing w:line="360" w:lineRule="auto"/>
        <w:ind w:firstLine="426" w:firstLineChars="200"/>
      </w:pPr>
      <w:r>
        <w:rPr>
          <w:rFonts w:hint="eastAsia" w:ascii="Times New Roman" w:hAnsi="Times New Roman" w:eastAsia="宋体" w:cs="Times New Roman"/>
          <w:lang w:val="en-US" w:eastAsia="zh-CN"/>
        </w:rPr>
        <w:t>5）</w:t>
      </w:r>
      <w:r>
        <w:rPr>
          <w:rFonts w:hint="eastAsia" w:ascii="Times New Roman" w:hAnsi="Times New Roman" w:eastAsia="宋体" w:cs="Times New Roman"/>
          <w:color w:val="0D0D0D"/>
          <w:sz w:val="24"/>
          <w:szCs w:val="24"/>
        </w:rPr>
        <w:t>《突发事件应急预案管理办法》的通知（国办发〔2024〕5号）</w:t>
      </w:r>
    </w:p>
    <w:p w14:paraId="541FB40C">
      <w:pPr>
        <w:overflowPunct w:val="0"/>
        <w:spacing w:line="360" w:lineRule="auto"/>
        <w:ind w:firstLine="426" w:firstLineChars="200"/>
      </w:pPr>
      <w:r>
        <w:rPr>
          <w:rFonts w:hint="eastAsia"/>
          <w:lang w:val="en-US" w:eastAsia="zh-CN"/>
        </w:rPr>
        <w:t>6</w:t>
      </w:r>
      <w:r>
        <w:rPr>
          <w:rFonts w:hint="eastAsia"/>
        </w:rPr>
        <w:t>）《中华人民共和国安全生产法》（20</w:t>
      </w:r>
      <w:r>
        <w:t>21</w:t>
      </w:r>
      <w:r>
        <w:rPr>
          <w:rFonts w:hint="eastAsia"/>
        </w:rPr>
        <w:t>年</w:t>
      </w:r>
      <w:r>
        <w:t>6</w:t>
      </w:r>
      <w:r>
        <w:rPr>
          <w:rFonts w:hint="eastAsia"/>
        </w:rPr>
        <w:t>月1</w:t>
      </w:r>
      <w:r>
        <w:t>0</w:t>
      </w:r>
      <w:r>
        <w:rPr>
          <w:rFonts w:hint="eastAsia"/>
        </w:rPr>
        <w:t>日修订版）</w:t>
      </w:r>
    </w:p>
    <w:p w14:paraId="7EBC8681">
      <w:pPr>
        <w:overflowPunct w:val="0"/>
        <w:spacing w:line="360" w:lineRule="auto"/>
        <w:ind w:firstLine="426" w:firstLineChars="200"/>
      </w:pPr>
      <w:r>
        <w:rPr>
          <w:rFonts w:hint="eastAsia"/>
          <w:lang w:val="en-US" w:eastAsia="zh-CN"/>
        </w:rPr>
        <w:t>7</w:t>
      </w:r>
      <w:r>
        <w:rPr>
          <w:rFonts w:hint="eastAsia"/>
        </w:rPr>
        <w:t>）《中华人民共和国水污染防治法》（2017年6月27日修订版）</w:t>
      </w:r>
    </w:p>
    <w:p w14:paraId="4CA3C584">
      <w:pPr>
        <w:overflowPunct w:val="0"/>
        <w:spacing w:line="360" w:lineRule="auto"/>
        <w:ind w:firstLine="426" w:firstLineChars="200"/>
      </w:pPr>
      <w:r>
        <w:rPr>
          <w:rFonts w:hint="eastAsia"/>
          <w:lang w:val="en-US" w:eastAsia="zh-CN"/>
        </w:rPr>
        <w:t>8</w:t>
      </w:r>
      <w:r>
        <w:rPr>
          <w:rFonts w:hint="eastAsia"/>
        </w:rPr>
        <w:t>）《中华人民共和国消防法》（2</w:t>
      </w:r>
      <w:r>
        <w:t>021</w:t>
      </w:r>
      <w:r>
        <w:rPr>
          <w:rFonts w:hint="eastAsia"/>
        </w:rPr>
        <w:t>年</w:t>
      </w:r>
      <w:r>
        <w:t>4</w:t>
      </w:r>
      <w:r>
        <w:rPr>
          <w:rFonts w:hint="eastAsia"/>
        </w:rPr>
        <w:t>月2</w:t>
      </w:r>
      <w:r>
        <w:t>9</w:t>
      </w:r>
      <w:r>
        <w:rPr>
          <w:rFonts w:hint="eastAsia"/>
        </w:rPr>
        <w:t>日修订版）</w:t>
      </w:r>
    </w:p>
    <w:p w14:paraId="127DBEDC">
      <w:pPr>
        <w:overflowPunct w:val="0"/>
        <w:spacing w:line="360" w:lineRule="auto"/>
        <w:ind w:firstLine="426" w:firstLineChars="200"/>
      </w:pPr>
      <w:r>
        <w:rPr>
          <w:rFonts w:hint="eastAsia"/>
          <w:lang w:val="en-US" w:eastAsia="zh-CN"/>
        </w:rPr>
        <w:t>9</w:t>
      </w:r>
      <w:r>
        <w:rPr>
          <w:rFonts w:hint="eastAsia"/>
        </w:rPr>
        <w:t>）《中华人民共和国土壤污染防治法》（</w:t>
      </w:r>
      <w:r>
        <w:t>2019年1月1日起施行</w:t>
      </w:r>
      <w:r>
        <w:rPr>
          <w:rFonts w:hint="eastAsia"/>
        </w:rPr>
        <w:t>）</w:t>
      </w:r>
    </w:p>
    <w:p w14:paraId="39F7DB71">
      <w:pPr>
        <w:overflowPunct w:val="0"/>
        <w:spacing w:line="360" w:lineRule="auto"/>
        <w:ind w:firstLine="426" w:firstLineChars="200"/>
      </w:pPr>
      <w:r>
        <w:rPr>
          <w:rFonts w:hint="eastAsia"/>
          <w:lang w:val="en-US" w:eastAsia="zh-CN"/>
        </w:rPr>
        <w:t>10</w:t>
      </w:r>
      <w:r>
        <w:rPr>
          <w:rFonts w:hint="eastAsia"/>
        </w:rPr>
        <w:t>）《中华人民共和国环境影响评价法》（</w:t>
      </w:r>
      <w:r>
        <w:t>2018年12月29</w:t>
      </w:r>
      <w:r>
        <w:rPr>
          <w:rFonts w:hint="eastAsia"/>
        </w:rPr>
        <w:t>修订版）</w:t>
      </w:r>
    </w:p>
    <w:p w14:paraId="402ADDBD">
      <w:pPr>
        <w:tabs>
          <w:tab w:val="center" w:pos="4775"/>
        </w:tabs>
        <w:overflowPunct w:val="0"/>
        <w:spacing w:line="360" w:lineRule="auto"/>
        <w:ind w:firstLine="426" w:firstLineChars="200"/>
      </w:pPr>
      <w:r>
        <w:rPr>
          <w:rFonts w:hint="eastAsia"/>
        </w:rPr>
        <w:t>1</w:t>
      </w:r>
      <w:r>
        <w:rPr>
          <w:rFonts w:hint="eastAsia"/>
          <w:lang w:val="en-US" w:eastAsia="zh-CN"/>
        </w:rPr>
        <w:t>0</w:t>
      </w:r>
      <w:r>
        <w:rPr>
          <w:rFonts w:hint="eastAsia"/>
        </w:rPr>
        <w:t>）</w:t>
      </w:r>
      <w:bookmarkStart w:id="22" w:name="_Hlk96527943"/>
      <w:r>
        <w:rPr>
          <w:rFonts w:hint="eastAsia"/>
        </w:rPr>
        <w:t>《国家突发环境事件应急预案》（国办函</w:t>
      </w:r>
      <w:r>
        <w:t>[2014]119号</w:t>
      </w:r>
      <w:r>
        <w:rPr>
          <w:rFonts w:hint="eastAsia"/>
        </w:rPr>
        <w:t>）</w:t>
      </w:r>
    </w:p>
    <w:bookmarkEnd w:id="22"/>
    <w:p w14:paraId="5C98D3B1">
      <w:pPr>
        <w:overflowPunct w:val="0"/>
        <w:spacing w:line="360" w:lineRule="auto"/>
        <w:ind w:firstLine="426" w:firstLineChars="200"/>
      </w:pPr>
      <w:r>
        <w:rPr>
          <w:rFonts w:hint="eastAsia"/>
        </w:rPr>
        <w:t>1</w:t>
      </w:r>
      <w:r>
        <w:rPr>
          <w:rFonts w:hint="eastAsia"/>
          <w:lang w:val="en-US" w:eastAsia="zh-CN"/>
        </w:rPr>
        <w:t>1</w:t>
      </w:r>
      <w:r>
        <w:rPr>
          <w:rFonts w:hint="eastAsia"/>
        </w:rPr>
        <w:t>）《山东省环境保护条例》（</w:t>
      </w:r>
      <w:r>
        <w:t>2019年1月1日起施行</w:t>
      </w:r>
      <w:r>
        <w:rPr>
          <w:rFonts w:hint="eastAsia"/>
        </w:rPr>
        <w:t>）</w:t>
      </w:r>
    </w:p>
    <w:p w14:paraId="5E9A48AC">
      <w:pPr>
        <w:overflowPunct w:val="0"/>
        <w:spacing w:line="360" w:lineRule="auto"/>
        <w:ind w:firstLine="426" w:firstLineChars="200"/>
      </w:pPr>
      <w:r>
        <w:rPr>
          <w:rFonts w:hint="eastAsia"/>
        </w:rPr>
        <w:t>1</w:t>
      </w:r>
      <w:r>
        <w:rPr>
          <w:rFonts w:hint="eastAsia"/>
          <w:lang w:val="en-US" w:eastAsia="zh-CN"/>
        </w:rPr>
        <w:t>2</w:t>
      </w:r>
      <w:r>
        <w:rPr>
          <w:rFonts w:hint="eastAsia"/>
        </w:rPr>
        <w:t>）《山东省水污染防治条例》（</w:t>
      </w:r>
      <w:r>
        <w:t>2018年12月1日起施行</w:t>
      </w:r>
      <w:r>
        <w:rPr>
          <w:rFonts w:hint="eastAsia"/>
        </w:rPr>
        <w:t>）</w:t>
      </w:r>
    </w:p>
    <w:p w14:paraId="751BEFC2">
      <w:pPr>
        <w:overflowPunct w:val="0"/>
        <w:spacing w:line="360" w:lineRule="auto"/>
        <w:ind w:firstLine="426" w:firstLineChars="200"/>
      </w:pPr>
      <w:r>
        <w:rPr>
          <w:rFonts w:hint="eastAsia"/>
        </w:rPr>
        <w:t>1</w:t>
      </w:r>
      <w:r>
        <w:rPr>
          <w:rFonts w:hint="eastAsia"/>
          <w:lang w:val="en-US" w:eastAsia="zh-CN"/>
        </w:rPr>
        <w:t>3</w:t>
      </w:r>
      <w:r>
        <w:rPr>
          <w:rFonts w:hint="eastAsia"/>
        </w:rPr>
        <w:t>）《山东省环境保护厅突发环境事件应急预案》（鲁环字〔</w:t>
      </w:r>
      <w:r>
        <w:t>2021〕266号</w:t>
      </w:r>
      <w:r>
        <w:rPr>
          <w:rFonts w:hint="eastAsia"/>
        </w:rPr>
        <w:t>）</w:t>
      </w:r>
    </w:p>
    <w:p w14:paraId="5EB76484">
      <w:pPr>
        <w:overflowPunct w:val="0"/>
        <w:spacing w:line="360" w:lineRule="auto"/>
        <w:ind w:firstLine="426" w:firstLineChars="200"/>
      </w:pPr>
      <w:r>
        <w:rPr>
          <w:rFonts w:hint="eastAsia"/>
        </w:rPr>
        <w:t>1</w:t>
      </w:r>
      <w:r>
        <w:rPr>
          <w:rFonts w:hint="eastAsia"/>
          <w:lang w:val="en-US" w:eastAsia="zh-CN"/>
        </w:rPr>
        <w:t>4</w:t>
      </w:r>
      <w:r>
        <w:rPr>
          <w:rFonts w:hint="eastAsia"/>
        </w:rPr>
        <w:t>）</w:t>
      </w:r>
      <w:r>
        <w:t>《山东省突发环境事件应急预案》</w:t>
      </w:r>
      <w:r>
        <w:rPr>
          <w:rFonts w:hint="eastAsia"/>
        </w:rPr>
        <w:t>（</w:t>
      </w:r>
      <w:r>
        <w:t>鲁政办字〔2020〕50号</w:t>
      </w:r>
      <w:r>
        <w:rPr>
          <w:rFonts w:hint="eastAsia"/>
        </w:rPr>
        <w:t>）</w:t>
      </w:r>
    </w:p>
    <w:p w14:paraId="699D7078">
      <w:pPr>
        <w:overflowPunct w:val="0"/>
        <w:spacing w:line="360" w:lineRule="auto"/>
        <w:ind w:firstLine="426" w:firstLineChars="200"/>
      </w:pPr>
      <w:r>
        <w:rPr>
          <w:rFonts w:hint="eastAsia"/>
        </w:rPr>
        <w:t>1</w:t>
      </w:r>
      <w:r>
        <w:rPr>
          <w:rFonts w:hint="eastAsia"/>
          <w:lang w:val="en-US" w:eastAsia="zh-CN"/>
        </w:rPr>
        <w:t>5</w:t>
      </w:r>
      <w:r>
        <w:rPr>
          <w:rFonts w:hint="eastAsia"/>
        </w:rPr>
        <w:t>）</w:t>
      </w:r>
      <w:r>
        <w:t>《山东省突发事件总体应急预案》</w:t>
      </w:r>
      <w:r>
        <w:rPr>
          <w:rFonts w:hint="eastAsia"/>
        </w:rPr>
        <w:t>（鲁政发〔</w:t>
      </w:r>
      <w:r>
        <w:t>2021〕14号</w:t>
      </w:r>
      <w:r>
        <w:rPr>
          <w:rFonts w:hint="eastAsia"/>
        </w:rPr>
        <w:t>）</w:t>
      </w:r>
    </w:p>
    <w:p w14:paraId="7FC2D1E0">
      <w:pPr>
        <w:overflowPunct w:val="0"/>
        <w:spacing w:line="360" w:lineRule="auto"/>
        <w:ind w:firstLine="426" w:firstLineChars="200"/>
      </w:pPr>
      <w:r>
        <w:rPr>
          <w:rFonts w:hint="eastAsia"/>
        </w:rPr>
        <w:t>1</w:t>
      </w:r>
      <w:r>
        <w:rPr>
          <w:rFonts w:hint="eastAsia"/>
          <w:lang w:val="en-US" w:eastAsia="zh-CN"/>
        </w:rPr>
        <w:t>6</w:t>
      </w:r>
      <w:r>
        <w:rPr>
          <w:rFonts w:hint="eastAsia"/>
        </w:rPr>
        <w:t>）《山东省突发事件应急预案管理办法》（鲁政办发</w:t>
      </w:r>
      <w:r>
        <w:t>[2009]56 号）</w:t>
      </w:r>
    </w:p>
    <w:p w14:paraId="0941A51B">
      <w:pPr>
        <w:overflowPunct w:val="0"/>
        <w:spacing w:line="360" w:lineRule="auto"/>
        <w:ind w:firstLine="426" w:firstLineChars="200"/>
      </w:pPr>
      <w:r>
        <w:rPr>
          <w:rFonts w:hint="eastAsia"/>
        </w:rPr>
        <w:t>1</w:t>
      </w:r>
      <w:r>
        <w:rPr>
          <w:rFonts w:hint="eastAsia"/>
          <w:lang w:val="en-US" w:eastAsia="zh-CN"/>
        </w:rPr>
        <w:t>7</w:t>
      </w:r>
      <w:r>
        <w:rPr>
          <w:rFonts w:hint="eastAsia"/>
        </w:rPr>
        <w:t>）《山东省安全生产条例》（</w:t>
      </w:r>
      <w:r>
        <w:t>2022年3月1日起施行</w:t>
      </w:r>
      <w:r>
        <w:rPr>
          <w:rFonts w:hint="eastAsia"/>
        </w:rPr>
        <w:t>）</w:t>
      </w:r>
    </w:p>
    <w:p w14:paraId="6E2D8831">
      <w:pPr>
        <w:pStyle w:val="126"/>
        <w:ind w:left="482" w:firstLine="0"/>
        <w:rPr>
          <w:lang w:eastAsia="zh-CN"/>
        </w:rPr>
      </w:pPr>
      <w:r>
        <w:rPr>
          <w:rFonts w:hint="eastAsia" w:ascii="宋体" w:hAnsi="宋体" w:cs="宋体"/>
          <w:lang w:val="en-US" w:eastAsia="zh-CN"/>
        </w:rPr>
        <w:t>18</w:t>
      </w:r>
      <w:r>
        <w:rPr>
          <w:rFonts w:hint="eastAsia" w:ascii="宋体" w:hAnsi="宋体" w:cs="宋体"/>
          <w:lang w:eastAsia="zh-CN"/>
        </w:rPr>
        <w:t>）《山东省生产安全事故应急</w:t>
      </w:r>
      <w:r>
        <w:rPr>
          <w:rFonts w:hint="eastAsia"/>
          <w:lang w:eastAsia="zh-CN"/>
        </w:rPr>
        <w:t>办法》（省政府令第</w:t>
      </w:r>
      <w:r>
        <w:rPr>
          <w:lang w:eastAsia="zh-CN"/>
        </w:rPr>
        <w:t>341号</w:t>
      </w:r>
      <w:r>
        <w:rPr>
          <w:rFonts w:hint="eastAsia"/>
          <w:lang w:eastAsia="zh-CN"/>
        </w:rPr>
        <w:t>，</w:t>
      </w:r>
      <w:r>
        <w:rPr>
          <w:lang w:eastAsia="zh-CN"/>
        </w:rPr>
        <w:t>2021年4月1日起施行</w:t>
      </w:r>
      <w:r>
        <w:rPr>
          <w:rFonts w:hint="eastAsia"/>
          <w:lang w:eastAsia="zh-CN"/>
        </w:rPr>
        <w:t>）</w:t>
      </w:r>
    </w:p>
    <w:p w14:paraId="155FE49C">
      <w:pPr>
        <w:overflowPunct w:val="0"/>
        <w:spacing w:line="360" w:lineRule="auto"/>
        <w:ind w:firstLine="426" w:firstLineChars="200"/>
      </w:pPr>
      <w:r>
        <w:rPr>
          <w:rFonts w:hint="eastAsia"/>
          <w:lang w:val="en-US" w:eastAsia="zh-CN"/>
        </w:rPr>
        <w:t>19</w:t>
      </w:r>
      <w:r>
        <w:rPr>
          <w:rFonts w:hint="eastAsia"/>
        </w:rPr>
        <w:t>）《淄博市突发环境事件应急预案》（淄政办字〔20</w:t>
      </w:r>
      <w:r>
        <w:t>20</w:t>
      </w:r>
      <w:r>
        <w:rPr>
          <w:rFonts w:hint="eastAsia"/>
        </w:rPr>
        <w:t>〕</w:t>
      </w:r>
      <w:r>
        <w:t>99</w:t>
      </w:r>
      <w:r>
        <w:rPr>
          <w:rFonts w:hint="eastAsia"/>
        </w:rPr>
        <w:t>号）</w:t>
      </w:r>
    </w:p>
    <w:p w14:paraId="6056DA51">
      <w:pPr>
        <w:overflowPunct w:val="0"/>
        <w:spacing w:line="360" w:lineRule="auto"/>
        <w:ind w:firstLine="426" w:firstLineChars="200"/>
      </w:pPr>
      <w:r>
        <w:t>2</w:t>
      </w:r>
      <w:r>
        <w:rPr>
          <w:rFonts w:hint="eastAsia"/>
          <w:lang w:val="en-US" w:eastAsia="zh-CN"/>
        </w:rPr>
        <w:t>0</w:t>
      </w:r>
      <w:r>
        <w:rPr>
          <w:rFonts w:hint="eastAsia"/>
        </w:rPr>
        <w:t>）《临淄区突发环境事件应急预案》（临政办字〔</w:t>
      </w:r>
      <w:r>
        <w:t>2020〕48号</w:t>
      </w:r>
      <w:r>
        <w:rPr>
          <w:rFonts w:hint="eastAsia"/>
        </w:rPr>
        <w:t>）</w:t>
      </w:r>
    </w:p>
    <w:p w14:paraId="4FFDE3B2">
      <w:pPr>
        <w:overflowPunct w:val="0"/>
        <w:spacing w:line="360" w:lineRule="auto"/>
        <w:ind w:firstLine="426" w:firstLineChars="200"/>
        <w:rPr>
          <w:rFonts w:hint="eastAsia" w:ascii="Times New Roman" w:hAnsi="Times New Roman" w:eastAsia="宋体" w:cs="Times New Roman"/>
        </w:rPr>
      </w:pPr>
      <w:r>
        <w:rPr>
          <w:rFonts w:hint="eastAsia" w:ascii="Times New Roman" w:hAnsi="Times New Roman" w:eastAsia="宋体" w:cs="Times New Roman"/>
          <w:lang w:val="en-US" w:eastAsia="zh-CN"/>
        </w:rPr>
        <w:t>21）</w:t>
      </w:r>
      <w:r>
        <w:rPr>
          <w:rFonts w:hint="eastAsia" w:ascii="Times New Roman" w:hAnsi="Times New Roman" w:eastAsia="宋体" w:cs="Times New Roman"/>
        </w:rPr>
        <w:t>《淄博市生态环境局临淄分局突发环境事件应急预案》</w:t>
      </w:r>
    </w:p>
    <w:p w14:paraId="7EB726DF">
      <w:pPr>
        <w:overflowPunct w:val="0"/>
        <w:spacing w:line="360" w:lineRule="auto"/>
        <w:ind w:firstLine="426" w:firstLineChars="200"/>
      </w:pPr>
      <w:r>
        <w:t>2</w:t>
      </w:r>
      <w:bookmarkStart w:id="23" w:name="_Hlk96347101"/>
      <w:r>
        <w:rPr>
          <w:rFonts w:hint="eastAsia"/>
          <w:lang w:val="en-US" w:eastAsia="zh-CN"/>
        </w:rPr>
        <w:t>2</w:t>
      </w:r>
      <w:r>
        <w:rPr>
          <w:rFonts w:hint="eastAsia"/>
          <w:lang w:eastAsia="zh-CN"/>
        </w:rPr>
        <w:t>）</w:t>
      </w:r>
      <w:r>
        <w:rPr>
          <w:rFonts w:hint="eastAsia"/>
          <w:lang w:val="en-US" w:eastAsia="zh-CN"/>
        </w:rPr>
        <w:t xml:space="preserve"> </w:t>
      </w:r>
      <w:r>
        <w:rPr>
          <w:rFonts w:hint="eastAsia"/>
        </w:rPr>
        <w:t>《</w:t>
      </w:r>
      <w:r>
        <w:t>关于进一步加强环境影响评价管理防范环境风险的通知</w:t>
      </w:r>
      <w:r>
        <w:rPr>
          <w:rFonts w:hint="eastAsia"/>
        </w:rPr>
        <w:t>》</w:t>
      </w:r>
      <w:bookmarkEnd w:id="23"/>
      <w:r>
        <w:rPr>
          <w:rFonts w:hint="eastAsia"/>
        </w:rPr>
        <w:t>（环发〔2012〕77号）</w:t>
      </w:r>
    </w:p>
    <w:p w14:paraId="42652CBC">
      <w:pPr>
        <w:overflowPunct w:val="0"/>
        <w:spacing w:line="360" w:lineRule="auto"/>
        <w:ind w:firstLine="426" w:firstLineChars="200"/>
        <w:jc w:val="both"/>
      </w:pPr>
      <w:r>
        <w:t>2</w:t>
      </w:r>
      <w:r>
        <w:rPr>
          <w:rFonts w:hint="eastAsia"/>
          <w:lang w:val="en-US" w:eastAsia="zh-CN"/>
        </w:rPr>
        <w:t>3</w:t>
      </w:r>
      <w:r>
        <w:rPr>
          <w:rFonts w:hint="eastAsia"/>
        </w:rPr>
        <w:t>）《关于进一步做好突发环境事件应急预案备案管理工作的通知》（淄环发〔</w:t>
      </w:r>
      <w:r>
        <w:t>2020〕100号）</w:t>
      </w:r>
    </w:p>
    <w:p w14:paraId="0ADF68B0">
      <w:pPr>
        <w:overflowPunct w:val="0"/>
        <w:spacing w:line="360" w:lineRule="auto"/>
        <w:ind w:firstLine="426" w:firstLineChars="200"/>
        <w:jc w:val="both"/>
      </w:pPr>
      <w:r>
        <w:rPr>
          <w:rFonts w:hint="eastAsia"/>
        </w:rPr>
        <w:t>2</w:t>
      </w:r>
      <w:r>
        <w:rPr>
          <w:rFonts w:hint="eastAsia"/>
          <w:lang w:val="en-US" w:eastAsia="zh-CN"/>
        </w:rPr>
        <w:t>4</w:t>
      </w:r>
      <w:r>
        <w:rPr>
          <w:rFonts w:hint="eastAsia"/>
        </w:rPr>
        <w:t>）《企事业单位环境信息公开办法》（环境保护部令</w:t>
      </w:r>
      <w:r>
        <w:t>2014年第31号）</w:t>
      </w:r>
    </w:p>
    <w:p w14:paraId="6BD43723">
      <w:pPr>
        <w:overflowPunct w:val="0"/>
        <w:spacing w:line="360" w:lineRule="auto"/>
        <w:ind w:firstLine="426" w:firstLineChars="200"/>
        <w:jc w:val="both"/>
      </w:pPr>
      <w:r>
        <w:rPr>
          <w:rFonts w:hint="eastAsia"/>
        </w:rPr>
        <w:t>2</w:t>
      </w:r>
      <w:r>
        <w:rPr>
          <w:rFonts w:hint="eastAsia"/>
          <w:lang w:val="en-US" w:eastAsia="zh-CN"/>
        </w:rPr>
        <w:t>5</w:t>
      </w:r>
      <w:r>
        <w:t>)</w:t>
      </w:r>
      <w:r>
        <w:rPr>
          <w:rFonts w:hint="eastAsia"/>
        </w:rPr>
        <w:t xml:space="preserve"> 《突发环境事件应急预案管理暂行办法》（环发〔</w:t>
      </w:r>
      <w:r>
        <w:t>2010〕113号）</w:t>
      </w:r>
    </w:p>
    <w:p w14:paraId="78E37F5B">
      <w:pPr>
        <w:pStyle w:val="2"/>
        <w:ind w:left="0" w:leftChars="0" w:firstLine="426" w:firstLineChars="200"/>
      </w:pPr>
      <w:r>
        <w:rPr>
          <w:rFonts w:hint="eastAsia"/>
          <w:lang w:val="en-US" w:eastAsia="zh-CN"/>
        </w:rPr>
        <w:t>26）《关于印发</w:t>
      </w:r>
      <w:r>
        <w:rPr>
          <w:rFonts w:hint="default"/>
          <w:lang w:val="en-US" w:eastAsia="zh-CN"/>
        </w:rPr>
        <w:t xml:space="preserve">&lt;2019 </w:t>
      </w:r>
      <w:r>
        <w:rPr>
          <w:rFonts w:hint="eastAsia"/>
          <w:lang w:val="en-US" w:eastAsia="zh-CN"/>
        </w:rPr>
        <w:t>年全国大气污染防治工作要点</w:t>
      </w:r>
      <w:r>
        <w:rPr>
          <w:rFonts w:hint="default"/>
          <w:lang w:val="en-US" w:eastAsia="zh-CN"/>
        </w:rPr>
        <w:t>&gt;</w:t>
      </w:r>
      <w:r>
        <w:rPr>
          <w:rFonts w:hint="eastAsia"/>
          <w:lang w:val="en-US" w:eastAsia="zh-CN"/>
        </w:rPr>
        <w:t>的通知》（环办大气</w:t>
      </w:r>
      <w:r>
        <w:rPr>
          <w:rFonts w:hint="default"/>
          <w:lang w:val="en-US" w:eastAsia="zh-CN"/>
        </w:rPr>
        <w:t xml:space="preserve">[2019]16 </w:t>
      </w:r>
    </w:p>
    <w:p w14:paraId="2059A3F4">
      <w:pPr>
        <w:pStyle w:val="2"/>
      </w:pPr>
      <w:r>
        <w:rPr>
          <w:rFonts w:hint="eastAsia"/>
          <w:lang w:val="en-US" w:eastAsia="zh-CN"/>
        </w:rPr>
        <w:t xml:space="preserve">号）； </w:t>
      </w:r>
    </w:p>
    <w:p w14:paraId="3F2D006C">
      <w:pPr>
        <w:pStyle w:val="2"/>
        <w:ind w:left="0" w:leftChars="0" w:firstLine="426" w:firstLineChars="200"/>
      </w:pPr>
      <w:r>
        <w:rPr>
          <w:rFonts w:hint="default"/>
          <w:lang w:val="en-US" w:eastAsia="zh-CN"/>
        </w:rPr>
        <w:t>2</w:t>
      </w:r>
      <w:r>
        <w:rPr>
          <w:rFonts w:hint="eastAsia"/>
          <w:lang w:val="en-US" w:eastAsia="zh-CN"/>
        </w:rPr>
        <w:t>7</w:t>
      </w:r>
      <w:r>
        <w:rPr>
          <w:rFonts w:hint="default"/>
          <w:lang w:val="en-US" w:eastAsia="zh-CN"/>
        </w:rPr>
        <w:t xml:space="preserve">) </w:t>
      </w:r>
      <w:r>
        <w:rPr>
          <w:rFonts w:hint="eastAsia"/>
          <w:lang w:val="en-US" w:eastAsia="zh-CN"/>
        </w:rPr>
        <w:t>《关于印发地下水污染防治实施方案的通知》（环土壤</w:t>
      </w:r>
      <w:r>
        <w:rPr>
          <w:rFonts w:hint="default"/>
          <w:lang w:val="en-US" w:eastAsia="zh-CN"/>
        </w:rPr>
        <w:t xml:space="preserve">[2019]25 </w:t>
      </w:r>
      <w:r>
        <w:rPr>
          <w:rFonts w:hint="eastAsia"/>
          <w:lang w:val="en-US" w:eastAsia="zh-CN"/>
        </w:rPr>
        <w:t xml:space="preserve">号）； </w:t>
      </w:r>
    </w:p>
    <w:p w14:paraId="17BEB3D6">
      <w:pPr>
        <w:pStyle w:val="2"/>
        <w:ind w:left="0" w:leftChars="0" w:firstLine="426" w:firstLineChars="200"/>
      </w:pPr>
      <w:r>
        <w:rPr>
          <w:rFonts w:hint="default"/>
          <w:lang w:val="en-US" w:eastAsia="zh-CN"/>
        </w:rPr>
        <w:t>2</w:t>
      </w:r>
      <w:r>
        <w:rPr>
          <w:rFonts w:hint="eastAsia"/>
          <w:lang w:val="en-US" w:eastAsia="zh-CN"/>
        </w:rPr>
        <w:t>8</w:t>
      </w:r>
      <w:r>
        <w:rPr>
          <w:rFonts w:hint="default"/>
          <w:lang w:val="en-US" w:eastAsia="zh-CN"/>
        </w:rPr>
        <w:t xml:space="preserve">) </w:t>
      </w:r>
      <w:r>
        <w:rPr>
          <w:rFonts w:hint="eastAsia"/>
          <w:lang w:val="en-US" w:eastAsia="zh-CN"/>
        </w:rPr>
        <w:t>《关于印发</w:t>
      </w:r>
      <w:r>
        <w:rPr>
          <w:rFonts w:hint="default"/>
          <w:lang w:val="en-US" w:eastAsia="zh-CN"/>
        </w:rPr>
        <w:t>&lt;</w:t>
      </w:r>
      <w:r>
        <w:rPr>
          <w:rFonts w:hint="eastAsia"/>
          <w:lang w:val="en-US" w:eastAsia="zh-CN"/>
        </w:rPr>
        <w:t>重点行业挥发性有机污染物综合治理方案</w:t>
      </w:r>
      <w:r>
        <w:rPr>
          <w:rFonts w:hint="default"/>
          <w:lang w:val="en-US" w:eastAsia="zh-CN"/>
        </w:rPr>
        <w:t>&gt;</w:t>
      </w:r>
      <w:r>
        <w:rPr>
          <w:rFonts w:hint="eastAsia"/>
          <w:lang w:val="en-US" w:eastAsia="zh-CN"/>
        </w:rPr>
        <w:t xml:space="preserve">的通知》（环大气 </w:t>
      </w:r>
    </w:p>
    <w:p w14:paraId="6BCE854A">
      <w:pPr>
        <w:pStyle w:val="2"/>
        <w:ind w:left="0" w:leftChars="0" w:firstLine="0" w:firstLineChars="0"/>
        <w:rPr>
          <w:rFonts w:hint="eastAsia"/>
          <w:lang w:val="en-US" w:eastAsia="zh-CN"/>
        </w:rPr>
      </w:pPr>
      <w:r>
        <w:rPr>
          <w:rFonts w:hint="default"/>
          <w:lang w:val="en-US" w:eastAsia="zh-CN"/>
        </w:rPr>
        <w:t xml:space="preserve">[2019]53 </w:t>
      </w:r>
      <w:r>
        <w:rPr>
          <w:rFonts w:hint="eastAsia"/>
          <w:lang w:val="en-US" w:eastAsia="zh-CN"/>
        </w:rPr>
        <w:t>号）；</w:t>
      </w:r>
    </w:p>
    <w:p w14:paraId="2101DDF4">
      <w:pPr>
        <w:ind w:firstLine="486" w:firstLineChars="200"/>
      </w:pPr>
      <w:r>
        <w:rPr>
          <w:rFonts w:hint="eastAsia" w:ascii="Times New Roman" w:hAnsi="Times New Roman" w:eastAsia="宋体" w:cs="Times New Roman"/>
          <w:kern w:val="2"/>
          <w:sz w:val="24"/>
          <w:szCs w:val="24"/>
          <w:lang w:val="en-US" w:eastAsia="zh-CN" w:bidi="ar-SA"/>
        </w:rPr>
        <w:t>29）</w:t>
      </w:r>
      <w:r>
        <w:rPr>
          <w:rFonts w:hint="eastAsia"/>
          <w:lang w:val="en-US" w:eastAsia="zh-CN"/>
        </w:rPr>
        <w:t>《关于规范市级建设项目主要污染物排放总量确认的通知》（淄环函</w:t>
      </w:r>
      <w:r>
        <w:rPr>
          <w:rFonts w:hint="default"/>
          <w:lang w:val="en-US" w:eastAsia="zh-CN"/>
        </w:rPr>
        <w:t xml:space="preserve">[2019]10 </w:t>
      </w:r>
    </w:p>
    <w:p w14:paraId="4B2ACA1D">
      <w:pPr>
        <w:rPr>
          <w:rFonts w:hint="eastAsia"/>
          <w:lang w:val="en-US" w:eastAsia="zh-CN"/>
        </w:rPr>
      </w:pPr>
      <w:r>
        <w:rPr>
          <w:rFonts w:hint="eastAsia"/>
          <w:lang w:val="en-US" w:eastAsia="zh-CN"/>
        </w:rPr>
        <w:t>号）；</w:t>
      </w:r>
    </w:p>
    <w:p w14:paraId="33F3ECD5">
      <w:pPr>
        <w:pStyle w:val="2"/>
        <w:ind w:left="0" w:leftChars="0" w:firstLine="426" w:firstLineChars="200"/>
      </w:pPr>
      <w:r>
        <w:rPr>
          <w:rFonts w:hint="eastAsia"/>
          <w:lang w:val="en-US" w:eastAsia="zh-CN"/>
        </w:rPr>
        <w:t xml:space="preserve">30）《关于明确全市重点行业大气污染物排放限值有关执行要求的通知》（鲁环发 </w:t>
      </w:r>
    </w:p>
    <w:p w14:paraId="5FE777BF">
      <w:pPr>
        <w:pStyle w:val="2"/>
        <w:ind w:left="0" w:leftChars="0" w:firstLine="0" w:firstLineChars="0"/>
      </w:pPr>
      <w:r>
        <w:rPr>
          <w:rFonts w:hint="default"/>
          <w:lang w:val="en-US" w:eastAsia="zh-CN"/>
        </w:rPr>
        <w:t xml:space="preserve">[2019]100 </w:t>
      </w:r>
      <w:r>
        <w:rPr>
          <w:rFonts w:hint="eastAsia"/>
          <w:lang w:val="en-US" w:eastAsia="zh-CN"/>
        </w:rPr>
        <w:t>号）（</w:t>
      </w:r>
      <w:r>
        <w:rPr>
          <w:rFonts w:hint="default"/>
          <w:lang w:val="en-US" w:eastAsia="zh-CN"/>
        </w:rPr>
        <w:t>2019.8.16</w:t>
      </w:r>
      <w:r>
        <w:rPr>
          <w:rFonts w:hint="eastAsia"/>
          <w:lang w:val="en-US" w:eastAsia="zh-CN"/>
        </w:rPr>
        <w:t>）；</w:t>
      </w:r>
    </w:p>
    <w:p w14:paraId="4861A32D">
      <w:pPr>
        <w:spacing w:before="0" w:after="0"/>
        <w:outlineLvl w:val="9"/>
        <w:rPr>
          <w:rFonts w:hint="default" w:ascii="Times New Roman" w:hAnsi="Times New Roman" w:cs="Times New Roman"/>
          <w:b/>
          <w:bCs/>
          <w:color w:val="auto"/>
          <w:sz w:val="24"/>
          <w:szCs w:val="32"/>
          <w:highlight w:val="none"/>
        </w:rPr>
      </w:pPr>
      <w:r>
        <w:rPr>
          <w:rFonts w:hint="default" w:ascii="Times New Roman" w:hAnsi="Times New Roman" w:cs="Times New Roman"/>
          <w:b/>
          <w:bCs/>
          <w:color w:val="auto"/>
          <w:sz w:val="24"/>
          <w:szCs w:val="32"/>
          <w:highlight w:val="none"/>
        </w:rPr>
        <w:t xml:space="preserve">2.2.2 </w:t>
      </w:r>
      <w:r>
        <w:rPr>
          <w:rFonts w:hint="eastAsia" w:cs="Times New Roman"/>
          <w:b/>
          <w:bCs/>
          <w:color w:val="auto"/>
          <w:sz w:val="24"/>
          <w:szCs w:val="32"/>
          <w:highlight w:val="none"/>
          <w:lang w:eastAsia="zh-CN"/>
        </w:rPr>
        <w:t>技术指南、</w:t>
      </w:r>
      <w:r>
        <w:rPr>
          <w:rFonts w:hint="default" w:ascii="Times New Roman" w:hAnsi="Times New Roman" w:cs="Times New Roman"/>
          <w:b/>
          <w:bCs/>
          <w:color w:val="auto"/>
          <w:sz w:val="24"/>
          <w:szCs w:val="32"/>
          <w:highlight w:val="none"/>
        </w:rPr>
        <w:t>标准技术规范</w:t>
      </w:r>
      <w:bookmarkEnd w:id="19"/>
      <w:bookmarkEnd w:id="20"/>
    </w:p>
    <w:p w14:paraId="6BA291CE">
      <w:pPr>
        <w:overflowPunct w:val="0"/>
        <w:spacing w:line="360" w:lineRule="auto"/>
        <w:ind w:firstLine="426" w:firstLineChars="200"/>
      </w:pPr>
      <w:bookmarkStart w:id="24" w:name="_Toc24041"/>
      <w:bookmarkStart w:id="25" w:name="_Toc12462"/>
      <w:bookmarkStart w:id="26" w:name="_Toc15446"/>
      <w:r>
        <w:rPr>
          <w:rFonts w:hint="eastAsia"/>
        </w:rPr>
        <w:t>1）《地表水环境质量标准》（GB 3838-2002）</w:t>
      </w:r>
    </w:p>
    <w:p w14:paraId="572460F0">
      <w:pPr>
        <w:overflowPunct w:val="0"/>
        <w:spacing w:line="360" w:lineRule="auto"/>
        <w:ind w:firstLine="426" w:firstLineChars="200"/>
      </w:pPr>
      <w:r>
        <w:rPr>
          <w:rFonts w:hint="eastAsia"/>
        </w:rPr>
        <w:t>2）《地下水质量标准》（GB/T 14848-</w:t>
      </w:r>
      <w:r>
        <w:t>2017</w:t>
      </w:r>
      <w:r>
        <w:rPr>
          <w:rFonts w:hint="eastAsia"/>
        </w:rPr>
        <w:t>）</w:t>
      </w:r>
    </w:p>
    <w:p w14:paraId="6858523D">
      <w:pPr>
        <w:overflowPunct w:val="0"/>
        <w:spacing w:line="360" w:lineRule="auto"/>
        <w:ind w:firstLine="426" w:firstLineChars="200"/>
      </w:pPr>
      <w:r>
        <w:rPr>
          <w:rFonts w:hint="eastAsia"/>
        </w:rPr>
        <w:t>3）</w:t>
      </w:r>
      <w:r>
        <w:t>《环境空气质量标准》（GB 3095-20</w:t>
      </w:r>
      <w:r>
        <w:rPr>
          <w:rFonts w:hint="eastAsia"/>
          <w:lang w:val="en-US" w:eastAsia="zh-CN"/>
        </w:rPr>
        <w:t>26</w:t>
      </w:r>
      <w:r>
        <w:t>）</w:t>
      </w:r>
    </w:p>
    <w:p w14:paraId="505DA77E">
      <w:pPr>
        <w:overflowPunct w:val="0"/>
        <w:spacing w:line="360" w:lineRule="auto"/>
        <w:ind w:firstLine="426" w:firstLineChars="200"/>
      </w:pPr>
      <w:r>
        <w:t>4）《声环境质量标准》（GB3096-2018）</w:t>
      </w:r>
    </w:p>
    <w:p w14:paraId="170262A4">
      <w:pPr>
        <w:overflowPunct w:val="0"/>
        <w:spacing w:line="360" w:lineRule="auto"/>
        <w:ind w:firstLine="426" w:firstLineChars="200"/>
      </w:pPr>
      <w:r>
        <w:t>5）《土壤环境质量标准》（GB36600-2018）</w:t>
      </w:r>
    </w:p>
    <w:p w14:paraId="5942B7D3">
      <w:pPr>
        <w:overflowPunct w:val="0"/>
        <w:spacing w:line="360" w:lineRule="auto"/>
        <w:ind w:firstLine="426" w:firstLineChars="200"/>
      </w:pPr>
      <w:r>
        <w:t>6</w:t>
      </w:r>
      <w:r>
        <w:rPr>
          <w:rFonts w:hint="eastAsia"/>
        </w:rPr>
        <w:t>）《大气污染物综合排放标准》（GB 16297-1996）</w:t>
      </w:r>
    </w:p>
    <w:p w14:paraId="49443B0B">
      <w:pPr>
        <w:overflowPunct w:val="0"/>
        <w:spacing w:line="360" w:lineRule="auto"/>
        <w:ind w:firstLine="426" w:firstLineChars="200"/>
      </w:pPr>
      <w:r>
        <w:t>7</w:t>
      </w:r>
      <w:r>
        <w:rPr>
          <w:rFonts w:hint="eastAsia"/>
        </w:rPr>
        <w:t>）《恶臭污染物排放标准》（GB 14554-93）</w:t>
      </w:r>
    </w:p>
    <w:p w14:paraId="7C2C1167">
      <w:pPr>
        <w:overflowPunct w:val="0"/>
        <w:spacing w:line="360" w:lineRule="auto"/>
        <w:ind w:firstLine="426" w:firstLineChars="200"/>
      </w:pPr>
      <w:r>
        <w:rPr>
          <w:rFonts w:hint="eastAsia"/>
          <w:lang w:val="en-US" w:eastAsia="zh-CN"/>
        </w:rPr>
        <w:t>8</w:t>
      </w:r>
      <w:r>
        <w:rPr>
          <w:rFonts w:hint="eastAsia"/>
        </w:rPr>
        <w:t>）《工作场所有害因素职业接触限值》（GBZ2</w:t>
      </w:r>
      <w:r>
        <w:t>.1-2007，</w:t>
      </w:r>
      <w:r>
        <w:rPr>
          <w:rFonts w:hint="eastAsia"/>
        </w:rPr>
        <w:t>GBZ2.2-2007）</w:t>
      </w:r>
    </w:p>
    <w:p w14:paraId="7CB91093">
      <w:pPr>
        <w:overflowPunct w:val="0"/>
        <w:spacing w:line="360" w:lineRule="auto"/>
        <w:ind w:firstLine="426" w:firstLineChars="200"/>
      </w:pPr>
      <w:r>
        <w:rPr>
          <w:rFonts w:hint="eastAsia"/>
          <w:lang w:val="en-US" w:eastAsia="zh-CN"/>
        </w:rPr>
        <w:t>9</w:t>
      </w:r>
      <w:r>
        <w:rPr>
          <w:rFonts w:hint="eastAsia"/>
        </w:rPr>
        <w:t>）《危险化学品目录》（</w:t>
      </w:r>
      <w:r>
        <w:rPr>
          <w:rFonts w:hint="eastAsia"/>
          <w:lang w:val="en-US" w:eastAsia="zh-CN"/>
        </w:rPr>
        <w:t>2021</w:t>
      </w:r>
      <w:r>
        <w:rPr>
          <w:rFonts w:hint="eastAsia"/>
        </w:rPr>
        <w:t>年版）</w:t>
      </w:r>
    </w:p>
    <w:p w14:paraId="3A45BCAD">
      <w:pPr>
        <w:overflowPunct w:val="0"/>
        <w:spacing w:line="360" w:lineRule="auto"/>
        <w:ind w:firstLine="426" w:firstLineChars="200"/>
      </w:pPr>
      <w:r>
        <w:rPr>
          <w:rFonts w:hint="eastAsia"/>
        </w:rPr>
        <w:t>1</w:t>
      </w:r>
      <w:r>
        <w:rPr>
          <w:rFonts w:hint="eastAsia"/>
          <w:lang w:val="en-US" w:eastAsia="zh-CN"/>
        </w:rPr>
        <w:t>0</w:t>
      </w:r>
      <w:r>
        <w:rPr>
          <w:rFonts w:hint="eastAsia"/>
        </w:rPr>
        <w:t>）《突发环境事件应急监测技术规范》（</w:t>
      </w:r>
      <w:r>
        <w:t>HJ 589-2021，2022年3月1日起实施）</w:t>
      </w:r>
    </w:p>
    <w:p w14:paraId="68F48E11">
      <w:pPr>
        <w:overflowPunct w:val="0"/>
        <w:spacing w:line="360" w:lineRule="auto"/>
        <w:ind w:firstLine="426" w:firstLineChars="200"/>
      </w:pPr>
      <w:r>
        <w:rPr>
          <w:rFonts w:hint="eastAsia"/>
        </w:rPr>
        <w:t>1</w:t>
      </w:r>
      <w:r>
        <w:rPr>
          <w:rFonts w:hint="eastAsia"/>
          <w:lang w:val="en-US" w:eastAsia="zh-CN"/>
        </w:rPr>
        <w:t>1</w:t>
      </w:r>
      <w:r>
        <w:rPr>
          <w:rFonts w:hint="eastAsia"/>
        </w:rPr>
        <w:t>）</w:t>
      </w:r>
      <w:r>
        <w:t>《危险化学品重大危险源辩识》（GB 18218-2018</w:t>
      </w:r>
      <w:r>
        <w:rPr>
          <w:rFonts w:hint="eastAsia"/>
        </w:rPr>
        <w:t>，</w:t>
      </w:r>
      <w:r>
        <w:rPr>
          <w:bCs/>
        </w:rPr>
        <w:t>2019年3月1日实施</w:t>
      </w:r>
      <w:r>
        <w:t>）</w:t>
      </w:r>
    </w:p>
    <w:p w14:paraId="369B5001">
      <w:pPr>
        <w:overflowPunct w:val="0"/>
        <w:spacing w:line="360" w:lineRule="auto"/>
        <w:ind w:firstLine="426" w:firstLineChars="200"/>
      </w:pPr>
      <w:r>
        <w:rPr>
          <w:rFonts w:hint="eastAsia"/>
        </w:rPr>
        <w:t>1</w:t>
      </w:r>
      <w:r>
        <w:rPr>
          <w:rFonts w:hint="eastAsia"/>
          <w:lang w:val="en-US" w:eastAsia="zh-CN"/>
        </w:rPr>
        <w:t>2</w:t>
      </w:r>
      <w:r>
        <w:rPr>
          <w:rFonts w:hint="eastAsia"/>
        </w:rPr>
        <w:t>）《石油化工企业设计防火标准》（GB50160-20</w:t>
      </w:r>
      <w:r>
        <w:t>18</w:t>
      </w:r>
      <w:r>
        <w:rPr>
          <w:rFonts w:hint="eastAsia"/>
        </w:rPr>
        <w:t>）</w:t>
      </w:r>
    </w:p>
    <w:p w14:paraId="1D4E0C5D">
      <w:pPr>
        <w:overflowPunct w:val="0"/>
        <w:spacing w:line="360" w:lineRule="auto"/>
        <w:ind w:firstLine="426" w:firstLineChars="200"/>
      </w:pPr>
      <w:r>
        <w:rPr>
          <w:rFonts w:hint="eastAsia"/>
        </w:rPr>
        <w:t>1</w:t>
      </w:r>
      <w:r>
        <w:rPr>
          <w:rFonts w:hint="eastAsia"/>
          <w:lang w:val="en-US" w:eastAsia="zh-CN"/>
        </w:rPr>
        <w:t>3</w:t>
      </w:r>
      <w:r>
        <w:rPr>
          <w:rFonts w:hint="eastAsia"/>
        </w:rPr>
        <w:t>）《建设项目环境风险评价技术导则》（</w:t>
      </w:r>
      <w:r>
        <w:t>HJ 169-2018</w:t>
      </w:r>
      <w:r>
        <w:rPr>
          <w:rFonts w:hint="eastAsia"/>
        </w:rPr>
        <w:t>）</w:t>
      </w:r>
    </w:p>
    <w:p w14:paraId="31DC20B9">
      <w:pPr>
        <w:overflowPunct w:val="0"/>
        <w:spacing w:line="360" w:lineRule="auto"/>
        <w:ind w:firstLine="426" w:firstLineChars="200"/>
      </w:pPr>
      <w:r>
        <w:rPr>
          <w:rFonts w:hint="eastAsia"/>
        </w:rPr>
        <w:t>1</w:t>
      </w:r>
      <w:r>
        <w:rPr>
          <w:rFonts w:hint="eastAsia"/>
          <w:lang w:val="en-US" w:eastAsia="zh-CN"/>
        </w:rPr>
        <w:t>4</w:t>
      </w:r>
      <w:r>
        <w:t>）《环境风险评价技术导则》（征求意见稿）</w:t>
      </w:r>
      <w:r>
        <w:rPr>
          <w:rFonts w:hint="eastAsia"/>
        </w:rPr>
        <w:t>（环办环评函[2017]832号）</w:t>
      </w:r>
    </w:p>
    <w:p w14:paraId="48AE2267">
      <w:pPr>
        <w:overflowPunct w:val="0"/>
        <w:spacing w:line="360" w:lineRule="auto"/>
        <w:ind w:firstLine="426" w:firstLineChars="200"/>
      </w:pPr>
      <w:r>
        <w:rPr>
          <w:rFonts w:hint="eastAsia"/>
        </w:rPr>
        <w:t>1</w:t>
      </w:r>
      <w:r>
        <w:rPr>
          <w:rFonts w:hint="eastAsia"/>
          <w:lang w:val="en-US" w:eastAsia="zh-CN"/>
        </w:rPr>
        <w:t>5</w:t>
      </w:r>
      <w:r>
        <w:rPr>
          <w:rFonts w:hint="eastAsia"/>
        </w:rPr>
        <w:t>）《石油化工企业环境应急预案编制指南》（</w:t>
      </w:r>
      <w:r>
        <w:t>环办[2010]第10号</w:t>
      </w:r>
      <w:r>
        <w:rPr>
          <w:rFonts w:hint="eastAsia"/>
        </w:rPr>
        <w:t>）</w:t>
      </w:r>
    </w:p>
    <w:p w14:paraId="56665980">
      <w:pPr>
        <w:overflowPunct w:val="0"/>
        <w:spacing w:line="360" w:lineRule="auto"/>
        <w:ind w:firstLine="426" w:firstLineChars="200"/>
      </w:pPr>
      <w:r>
        <w:rPr>
          <w:rFonts w:hint="eastAsia"/>
          <w:lang w:val="en-US" w:eastAsia="zh-CN"/>
        </w:rPr>
        <w:t>16</w:t>
      </w:r>
      <w:r>
        <w:t>）</w:t>
      </w:r>
      <w:r>
        <w:rPr>
          <w:rFonts w:hint="eastAsia"/>
        </w:rPr>
        <w:t>《化工建设项目环境保护工程设计标准》（</w:t>
      </w:r>
      <w:r>
        <w:t>GB/T50483-2019）</w:t>
      </w:r>
    </w:p>
    <w:p w14:paraId="16440310">
      <w:pPr>
        <w:overflowPunct w:val="0"/>
        <w:spacing w:line="360" w:lineRule="auto"/>
        <w:ind w:firstLine="426" w:firstLineChars="200"/>
      </w:pPr>
      <w:r>
        <w:rPr>
          <w:rFonts w:hint="eastAsia"/>
          <w:lang w:val="en-US" w:eastAsia="zh-CN"/>
        </w:rPr>
        <w:t>17</w:t>
      </w:r>
      <w:r>
        <w:t>）《</w:t>
      </w:r>
      <w:r>
        <w:rPr>
          <w:rFonts w:hint="eastAsia"/>
        </w:rPr>
        <w:t>生产经营单位安全生产事故应急预案编制导则</w:t>
      </w:r>
      <w:r>
        <w:t>》</w:t>
      </w:r>
      <w:r>
        <w:rPr>
          <w:rFonts w:hint="eastAsia"/>
        </w:rPr>
        <w:t>（</w:t>
      </w:r>
      <w:r>
        <w:t>GB/T 29639-2020</w:t>
      </w:r>
      <w:r>
        <w:rPr>
          <w:rFonts w:hint="eastAsia"/>
        </w:rPr>
        <w:t>，</w:t>
      </w:r>
      <w:r>
        <w:t>2021年4月1日实施）</w:t>
      </w:r>
    </w:p>
    <w:p w14:paraId="5BEB3C0B">
      <w:pPr>
        <w:overflowPunct w:val="0"/>
        <w:spacing w:line="360" w:lineRule="auto"/>
        <w:ind w:firstLine="426" w:firstLineChars="200"/>
      </w:pPr>
      <w:r>
        <w:rPr>
          <w:rFonts w:hint="eastAsia"/>
          <w:lang w:val="en-US" w:eastAsia="zh-CN"/>
        </w:rPr>
        <w:t>18</w:t>
      </w:r>
      <w:r>
        <w:t>）《危险化学品储罐环境污染事故应急预案编制导则》</w:t>
      </w:r>
    </w:p>
    <w:p w14:paraId="54320070">
      <w:pPr>
        <w:overflowPunct w:val="0"/>
        <w:spacing w:line="360" w:lineRule="auto"/>
        <w:ind w:firstLine="426" w:firstLineChars="200"/>
      </w:pPr>
      <w:r>
        <w:rPr>
          <w:rFonts w:hint="eastAsia"/>
          <w:lang w:val="en-US" w:eastAsia="zh-CN"/>
        </w:rPr>
        <w:t>19</w:t>
      </w:r>
      <w:r>
        <w:t>）</w:t>
      </w:r>
      <w:r>
        <w:rPr>
          <w:rFonts w:hint="eastAsia"/>
        </w:rPr>
        <w:t>《储罐区防火堤设计规范》（GB50351-2014）</w:t>
      </w:r>
    </w:p>
    <w:p w14:paraId="3B3B3E98">
      <w:pPr>
        <w:overflowPunct w:val="0"/>
        <w:spacing w:line="360" w:lineRule="auto"/>
        <w:ind w:firstLine="426" w:firstLineChars="200"/>
      </w:pPr>
      <w:r>
        <w:rPr>
          <w:rFonts w:hint="eastAsia"/>
        </w:rPr>
        <w:t>2</w:t>
      </w:r>
      <w:r>
        <w:rPr>
          <w:rFonts w:hint="eastAsia"/>
          <w:lang w:val="en-US" w:eastAsia="zh-CN"/>
        </w:rPr>
        <w:t>0</w:t>
      </w:r>
      <w:r>
        <w:t>）《事故状态下水体污染的预防与控制技术要求》（</w:t>
      </w:r>
      <w:bookmarkStart w:id="27" w:name="_Hlk96528269"/>
      <w:r>
        <w:t>Q/SY1190-20</w:t>
      </w:r>
      <w:bookmarkEnd w:id="27"/>
      <w:r>
        <w:rPr>
          <w:rFonts w:hint="eastAsia"/>
          <w:lang w:val="en-US" w:eastAsia="zh-CN"/>
        </w:rPr>
        <w:t>13</w:t>
      </w:r>
      <w:r>
        <w:t>）</w:t>
      </w:r>
    </w:p>
    <w:p w14:paraId="64006BB7">
      <w:pPr>
        <w:overflowPunct w:val="0"/>
        <w:spacing w:line="360" w:lineRule="auto"/>
        <w:ind w:firstLine="426" w:firstLineChars="200"/>
      </w:pPr>
      <w:r>
        <w:rPr>
          <w:rFonts w:hint="eastAsia"/>
        </w:rPr>
        <w:t>2</w:t>
      </w:r>
      <w:r>
        <w:rPr>
          <w:rFonts w:hint="eastAsia"/>
          <w:lang w:val="en-US" w:eastAsia="zh-CN"/>
        </w:rPr>
        <w:t>1</w:t>
      </w:r>
      <w:r>
        <w:rPr>
          <w:rFonts w:hint="eastAsia"/>
        </w:rPr>
        <w:t>）《环境风险应急响应手册》国家环境保护总局</w:t>
      </w:r>
    </w:p>
    <w:p w14:paraId="656A096A">
      <w:pPr>
        <w:overflowPunct w:val="0"/>
        <w:spacing w:line="360" w:lineRule="auto"/>
        <w:ind w:firstLine="426" w:firstLineChars="200"/>
      </w:pPr>
      <w:r>
        <w:rPr>
          <w:rFonts w:hint="eastAsia"/>
        </w:rPr>
        <w:t>2</w:t>
      </w:r>
      <w:r>
        <w:rPr>
          <w:rFonts w:hint="eastAsia"/>
          <w:lang w:val="en-US" w:eastAsia="zh-CN"/>
        </w:rPr>
        <w:t>2</w:t>
      </w:r>
      <w:r>
        <w:rPr>
          <w:rFonts w:hint="eastAsia"/>
        </w:rPr>
        <w:t>）《国家危险废物名录（</w:t>
      </w:r>
      <w:r>
        <w:t>2021版）》（生态环境部令 第15号，2021年1月1日实施）</w:t>
      </w:r>
    </w:p>
    <w:p w14:paraId="69CDE7DD">
      <w:pPr>
        <w:overflowPunct w:val="0"/>
        <w:spacing w:line="360" w:lineRule="auto"/>
        <w:ind w:firstLine="426" w:firstLineChars="200"/>
      </w:pPr>
      <w:r>
        <w:rPr>
          <w:rFonts w:hint="eastAsia"/>
        </w:rPr>
        <w:t>2</w:t>
      </w:r>
      <w:r>
        <w:rPr>
          <w:rFonts w:hint="eastAsia"/>
          <w:lang w:val="en-US" w:eastAsia="zh-CN"/>
        </w:rPr>
        <w:t>3</w:t>
      </w:r>
      <w:r>
        <w:rPr>
          <w:rFonts w:hint="eastAsia"/>
        </w:rPr>
        <w:t>）《企业突发环境事件风险评估指南》（环办</w:t>
      </w:r>
      <w:r>
        <w:t>[2014]34号</w:t>
      </w:r>
      <w:r>
        <w:rPr>
          <w:rFonts w:hint="eastAsia"/>
        </w:rPr>
        <w:t>）</w:t>
      </w:r>
    </w:p>
    <w:p w14:paraId="1F8E4AC3">
      <w:pPr>
        <w:keepNext w:val="0"/>
        <w:keepLines w:val="0"/>
        <w:pageBreakBefore w:val="0"/>
        <w:widowControl w:val="0"/>
        <w:kinsoku/>
        <w:wordWrap/>
        <w:overflowPunct/>
        <w:topLinePunct w:val="0"/>
        <w:autoSpaceDE/>
        <w:autoSpaceDN/>
        <w:bidi w:val="0"/>
        <w:adjustRightInd w:val="0"/>
        <w:snapToGrid w:val="0"/>
        <w:spacing w:before="0" w:beforeLines="0" w:after="0" w:line="360" w:lineRule="auto"/>
        <w:ind w:firstLine="486" w:firstLineChars="200"/>
        <w:jc w:val="left"/>
        <w:textAlignment w:val="auto"/>
        <w:outlineLvl w:val="9"/>
        <w:rPr>
          <w:rFonts w:hint="eastAsia" w:ascii="Times New Roman" w:hAnsi="Times New Roman" w:eastAsia="宋体" w:cs="Times New Roman"/>
          <w:b w:val="0"/>
          <w:bCs w:val="0"/>
          <w:spacing w:val="0"/>
          <w:kern w:val="2"/>
          <w:sz w:val="24"/>
          <w:szCs w:val="24"/>
          <w:lang w:val="en-US" w:eastAsia="zh-CN" w:bidi="ar-SA"/>
        </w:rPr>
      </w:pPr>
      <w:r>
        <w:rPr>
          <w:rFonts w:hint="eastAsia" w:ascii="Times New Roman" w:hAnsi="Times New Roman" w:eastAsia="宋体" w:cs="Times New Roman"/>
          <w:b w:val="0"/>
          <w:bCs w:val="0"/>
          <w:spacing w:val="0"/>
          <w:kern w:val="2"/>
          <w:sz w:val="24"/>
          <w:szCs w:val="24"/>
          <w:lang w:val="en-US" w:eastAsia="zh-CN" w:bidi="ar-SA"/>
        </w:rPr>
        <w:t>24）《山东省突发环境事件应急预案评估导则（试行）》</w:t>
      </w:r>
    </w:p>
    <w:p w14:paraId="7D5BB75B">
      <w:pPr>
        <w:overflowPunct w:val="0"/>
        <w:spacing w:line="360" w:lineRule="auto"/>
        <w:ind w:firstLine="426" w:firstLineChars="200"/>
        <w:outlineLvl w:val="9"/>
        <w:rPr>
          <w:rFonts w:hint="eastAsia" w:ascii="Times New Roman" w:hAnsi="Times New Roman" w:eastAsia="宋体" w:cs="Times New Roman"/>
        </w:rPr>
      </w:pPr>
      <w:r>
        <w:rPr>
          <w:rFonts w:hint="eastAsia" w:ascii="Times New Roman" w:hAnsi="Times New Roman" w:eastAsia="宋体" w:cs="Times New Roman"/>
          <w:lang w:val="en-US" w:eastAsia="zh-CN"/>
        </w:rPr>
        <w:t xml:space="preserve">25）《山东省生态环境厅关于印发山东省建设项目主要大气污染物排放总量替代指 </w:t>
      </w:r>
    </w:p>
    <w:p w14:paraId="19EC3898">
      <w:pPr>
        <w:overflowPunct w:val="0"/>
        <w:spacing w:line="360" w:lineRule="auto"/>
        <w:outlineLvl w:val="9"/>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标核算及管理办法的通知》（鲁环发</w:t>
      </w:r>
      <w:r>
        <w:rPr>
          <w:rFonts w:hint="default" w:ascii="Times New Roman" w:hAnsi="Times New Roman" w:eastAsia="宋体" w:cs="Times New Roman"/>
          <w:lang w:val="en-US" w:eastAsia="zh-CN"/>
        </w:rPr>
        <w:t xml:space="preserve">[2019]132 </w:t>
      </w:r>
      <w:r>
        <w:rPr>
          <w:rFonts w:hint="eastAsia" w:ascii="Times New Roman" w:hAnsi="Times New Roman" w:eastAsia="宋体" w:cs="Times New Roman"/>
          <w:lang w:val="en-US" w:eastAsia="zh-CN"/>
        </w:rPr>
        <w:t>号）</w:t>
      </w:r>
    </w:p>
    <w:p w14:paraId="5B6584B1">
      <w:pPr>
        <w:overflowPunct w:val="0"/>
        <w:spacing w:line="360" w:lineRule="auto"/>
        <w:ind w:firstLine="426" w:firstLineChars="200"/>
        <w:outlineLvl w:val="9"/>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 xml:space="preserve">26）《山东省环保厅关于进一步加强化工企业环境安全管理工作的通知》（鲁环办函 </w:t>
      </w:r>
    </w:p>
    <w:p w14:paraId="0A9AF539">
      <w:pPr>
        <w:overflowPunct w:val="0"/>
        <w:spacing w:line="360" w:lineRule="auto"/>
        <w:outlineLvl w:val="9"/>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[2015]149 号）</w:t>
      </w:r>
    </w:p>
    <w:p w14:paraId="5D76603D">
      <w:pPr>
        <w:pStyle w:val="6"/>
        <w:spacing w:beforeLines="0" w:afterLines="0"/>
        <w:rPr>
          <w:rFonts w:hint="default" w:ascii="Times New Roman" w:hAnsi="Times New Roman" w:cs="Times New Roman"/>
          <w:color w:val="auto"/>
          <w:highlight w:val="none"/>
        </w:rPr>
      </w:pPr>
      <w:bookmarkStart w:id="28" w:name="_Toc21007"/>
      <w:r>
        <w:rPr>
          <w:rFonts w:hint="default" w:ascii="Times New Roman" w:hAnsi="Times New Roman" w:cs="Times New Roman"/>
          <w:color w:val="auto"/>
          <w:highlight w:val="none"/>
        </w:rPr>
        <w:t>3 资料准备与环境风险识别</w:t>
      </w:r>
      <w:bookmarkEnd w:id="24"/>
      <w:bookmarkEnd w:id="25"/>
      <w:bookmarkEnd w:id="26"/>
      <w:bookmarkEnd w:id="28"/>
    </w:p>
    <w:p w14:paraId="16642F25">
      <w:pPr>
        <w:pStyle w:val="7"/>
        <w:spacing w:before="0" w:after="0"/>
        <w:rPr>
          <w:rFonts w:hint="default" w:ascii="Times New Roman" w:hAnsi="Times New Roman" w:cs="Times New Roman"/>
          <w:color w:val="auto"/>
          <w:highlight w:val="none"/>
        </w:rPr>
      </w:pPr>
      <w:bookmarkStart w:id="29" w:name="_Toc29834"/>
      <w:bookmarkStart w:id="30" w:name="_Toc8346"/>
      <w:bookmarkStart w:id="31" w:name="_Toc28940"/>
      <w:bookmarkStart w:id="32" w:name="_Toc8824"/>
      <w:r>
        <w:rPr>
          <w:rFonts w:hint="default" w:ascii="Times New Roman" w:hAnsi="Times New Roman" w:cs="Times New Roman"/>
          <w:color w:val="auto"/>
          <w:highlight w:val="none"/>
        </w:rPr>
        <w:t>3.1 企业基本信息</w:t>
      </w:r>
      <w:bookmarkEnd w:id="29"/>
      <w:bookmarkEnd w:id="30"/>
      <w:bookmarkEnd w:id="31"/>
      <w:bookmarkEnd w:id="32"/>
    </w:p>
    <w:p w14:paraId="2AC1B9EC">
      <w:pPr>
        <w:spacing w:before="0" w:after="0"/>
        <w:outlineLvl w:val="9"/>
        <w:rPr>
          <w:rFonts w:hint="default" w:ascii="Times New Roman" w:hAnsi="Times New Roman" w:cs="Times New Roman"/>
          <w:b/>
          <w:bCs/>
          <w:color w:val="auto"/>
          <w:sz w:val="24"/>
          <w:szCs w:val="32"/>
          <w:highlight w:val="none"/>
        </w:rPr>
      </w:pPr>
      <w:r>
        <w:rPr>
          <w:rFonts w:hint="default" w:ascii="Times New Roman" w:hAnsi="Times New Roman" w:cs="Times New Roman"/>
          <w:b/>
          <w:bCs/>
          <w:color w:val="auto"/>
          <w:sz w:val="24"/>
          <w:szCs w:val="32"/>
          <w:highlight w:val="none"/>
        </w:rPr>
        <w:t>3.1.1 公司概况</w:t>
      </w:r>
    </w:p>
    <w:p w14:paraId="27CEE26F">
      <w:pPr>
        <w:pStyle w:val="128"/>
        <w:keepNext w:val="0"/>
        <w:keepLines w:val="0"/>
        <w:pageBreakBefore w:val="0"/>
        <w:widowControl w:val="0"/>
        <w:kinsoku/>
        <w:wordWrap/>
        <w:overflowPunct/>
        <w:topLinePunct w:val="0"/>
        <w:autoSpaceDE/>
        <w:autoSpaceDN/>
        <w:bidi w:val="0"/>
        <w:textAlignment w:val="auto"/>
        <w:rPr>
          <w:rFonts w:hint="default" w:ascii="Times New Roman" w:hAnsi="Times New Roman" w:eastAsia="宋体" w:cs="Times New Roman"/>
          <w:b w:val="0"/>
          <w:bCs w:val="0"/>
          <w:color w:val="auto"/>
          <w:sz w:val="24"/>
          <w:highlight w:val="none"/>
          <w:lang w:eastAsia="zh-CN"/>
        </w:rPr>
      </w:pPr>
      <w:r>
        <w:rPr>
          <w:rFonts w:hint="default" w:ascii="Times New Roman" w:hAnsi="Times New Roman" w:cs="Times New Roman"/>
          <w:b w:val="0"/>
          <w:bCs w:val="0"/>
          <w:color w:val="auto"/>
          <w:sz w:val="24"/>
          <w:lang w:eastAsia="zh-CN"/>
        </w:rPr>
        <w:t>山东隆信药业有限公司</w:t>
      </w:r>
      <w:r>
        <w:rPr>
          <w:rFonts w:hint="default" w:ascii="Times New Roman" w:hAnsi="Times New Roman" w:cs="Times New Roman"/>
          <w:b w:val="0"/>
          <w:bCs w:val="0"/>
          <w:color w:val="auto"/>
          <w:sz w:val="24"/>
        </w:rPr>
        <w:t>成立于2005年6月14日，系山东隆信</w:t>
      </w:r>
      <w:r>
        <w:rPr>
          <w:rFonts w:hint="eastAsia" w:ascii="Times New Roman" w:hAnsi="Times New Roman" w:cs="Times New Roman"/>
          <w:b w:val="0"/>
          <w:bCs w:val="0"/>
          <w:color w:val="auto"/>
          <w:sz w:val="24"/>
          <w:lang w:eastAsia="zh-CN"/>
        </w:rPr>
        <w:t>控股</w:t>
      </w:r>
      <w:r>
        <w:rPr>
          <w:rFonts w:hint="default" w:ascii="Times New Roman" w:hAnsi="Times New Roman" w:cs="Times New Roman"/>
          <w:b w:val="0"/>
          <w:bCs w:val="0"/>
          <w:color w:val="auto"/>
          <w:sz w:val="24"/>
        </w:rPr>
        <w:t>集团有限公司子公司，厂址位于淄博市临淄区乙烯路299号齐鲁化学工业区内。公司系民营股份制企业，占地面积</w:t>
      </w:r>
      <w:r>
        <w:rPr>
          <w:rFonts w:hint="eastAsia" w:ascii="Times New Roman" w:hAnsi="Times New Roman" w:cs="Times New Roman"/>
          <w:b w:val="0"/>
          <w:bCs w:val="0"/>
          <w:color w:val="auto"/>
          <w:sz w:val="24"/>
          <w:lang w:val="en-US" w:eastAsia="zh-CN"/>
        </w:rPr>
        <w:t>9800</w:t>
      </w:r>
      <w:r>
        <w:t xml:space="preserve"> m</w:t>
      </w:r>
      <w:r>
        <w:rPr>
          <w:vertAlign w:val="superscript"/>
        </w:rPr>
        <w:t>2</w:t>
      </w:r>
      <w:r>
        <w:rPr>
          <w:rFonts w:hint="default" w:ascii="Times New Roman" w:hAnsi="Times New Roman" w:cs="Times New Roman"/>
          <w:b w:val="0"/>
          <w:bCs w:val="0"/>
          <w:color w:val="auto"/>
          <w:sz w:val="24"/>
        </w:rPr>
        <w:t>，注册资金2500</w:t>
      </w:r>
      <w:r>
        <w:rPr>
          <w:rFonts w:hint="default" w:ascii="Times New Roman" w:hAnsi="Times New Roman" w:cs="Times New Roman"/>
          <w:b w:val="0"/>
          <w:bCs w:val="0"/>
          <w:color w:val="auto"/>
          <w:sz w:val="24"/>
          <w:lang w:val="en-US" w:eastAsia="zh-CN"/>
        </w:rPr>
        <w:t>0</w:t>
      </w:r>
      <w:r>
        <w:rPr>
          <w:rFonts w:hint="default" w:ascii="Times New Roman" w:hAnsi="Times New Roman" w:cs="Times New Roman"/>
          <w:b w:val="0"/>
          <w:bCs w:val="0"/>
          <w:color w:val="auto"/>
          <w:sz w:val="24"/>
        </w:rPr>
        <w:t>万元，员工2</w:t>
      </w:r>
      <w:r>
        <w:rPr>
          <w:rFonts w:hint="eastAsia"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sz w:val="24"/>
        </w:rPr>
        <w:t>0人，主要从事水杨酸及水杨酸</w:t>
      </w:r>
      <w:r>
        <w:rPr>
          <w:rFonts w:hint="default" w:ascii="Times New Roman" w:hAnsi="Times New Roman" w:cs="Times New Roman"/>
          <w:b w:val="0"/>
          <w:bCs w:val="0"/>
          <w:color w:val="auto"/>
          <w:sz w:val="24"/>
          <w:highlight w:val="none"/>
        </w:rPr>
        <w:t>系列产品的生产和销售</w:t>
      </w:r>
      <w:r>
        <w:rPr>
          <w:rFonts w:hint="default" w:ascii="Times New Roman" w:hAnsi="Times New Roman" w:cs="Times New Roman"/>
          <w:b w:val="0"/>
          <w:bCs w:val="0"/>
          <w:color w:val="auto"/>
          <w:sz w:val="24"/>
          <w:highlight w:val="none"/>
          <w:lang w:eastAsia="zh-CN"/>
        </w:rPr>
        <w:t>。厂区内现有水杨酸系列产品生产项目[包括一</w:t>
      </w:r>
      <w:r>
        <w:rPr>
          <w:rFonts w:hint="default" w:ascii="Times New Roman" w:hAnsi="Times New Roman" w:eastAsia="宋体" w:cs="Times New Roman"/>
          <w:b w:val="0"/>
          <w:bCs w:val="0"/>
          <w:color w:val="auto"/>
          <w:sz w:val="24"/>
          <w:highlight w:val="none"/>
          <w:lang w:eastAsia="zh-CN"/>
        </w:rPr>
        <w:t>套20000t/a水杨酸生产装置、一套5000t/a水杨酸钠及5000t/a精制水杨酸装置]、5000吨/年苯乙醇项目改建20000吨/年水杨酸甲酯项目[包括一套30000t/a水杨酸生产装置和一套20000t/a水杨酸甲酯生产装置]</w:t>
      </w:r>
      <w:r>
        <w:rPr>
          <w:rFonts w:hint="eastAsia" w:ascii="Times New Roman" w:hAnsi="Times New Roman" w:eastAsia="宋体" w:cs="Times New Roman"/>
          <w:b w:val="0"/>
          <w:bCs w:val="0"/>
          <w:color w:val="auto"/>
          <w:sz w:val="24"/>
          <w:highlight w:val="none"/>
          <w:lang w:eastAsia="zh-CN"/>
        </w:rPr>
        <w:t>，</w:t>
      </w:r>
      <w:r>
        <w:rPr>
          <w:rFonts w:hint="eastAsia" w:ascii="Times New Roman" w:hAnsi="Times New Roman" w:eastAsia="宋体" w:cs="Times New Roman"/>
          <w:b w:val="0"/>
          <w:bCs w:val="0"/>
          <w:color w:val="auto"/>
          <w:sz w:val="24"/>
          <w:highlight w:val="none"/>
          <w:lang w:val="en-US" w:eastAsia="zh-CN"/>
        </w:rPr>
        <w:t>2021年</w:t>
      </w:r>
      <w:r>
        <w:rPr>
          <w:rFonts w:hint="default" w:ascii="Times New Roman" w:hAnsi="Times New Roman" w:eastAsia="宋体" w:cs="Times New Roman"/>
          <w:b w:val="0"/>
          <w:bCs w:val="0"/>
          <w:color w:val="auto"/>
          <w:sz w:val="24"/>
          <w:highlight w:val="none"/>
          <w:lang w:val="en-US" w:eastAsia="zh-CN"/>
        </w:rPr>
        <w:t>改扩建项目</w:t>
      </w:r>
      <w:r>
        <w:rPr>
          <w:rFonts w:hint="default" w:ascii="Times New Roman" w:hAnsi="Times New Roman" w:cs="Times New Roman"/>
          <w:b w:val="0"/>
          <w:bCs w:val="0"/>
          <w:color w:val="auto"/>
          <w:sz w:val="24"/>
          <w:highlight w:val="none"/>
          <w:lang w:eastAsia="zh-CN"/>
        </w:rPr>
        <w:t>5万吨水杨酸完整产业链及国家级研发中试基地项目</w:t>
      </w:r>
      <w:r>
        <w:rPr>
          <w:rFonts w:hint="eastAsia" w:ascii="Times New Roman" w:hAnsi="Times New Roman" w:cs="Times New Roman"/>
          <w:b w:val="0"/>
          <w:bCs w:val="0"/>
          <w:color w:val="auto"/>
          <w:sz w:val="24"/>
          <w:highlight w:val="none"/>
          <w:lang w:eastAsia="zh-CN"/>
        </w:rPr>
        <w:t>，</w:t>
      </w:r>
      <w:r>
        <w:rPr>
          <w:rFonts w:hint="default" w:ascii="Times New Roman" w:hAnsi="Times New Roman" w:eastAsia="宋体" w:cs="Times New Roman"/>
          <w:b w:val="0"/>
          <w:bCs w:val="0"/>
          <w:color w:val="auto"/>
          <w:sz w:val="24"/>
          <w:highlight w:val="none"/>
          <w:lang w:val="en-US" w:eastAsia="zh-CN"/>
        </w:rPr>
        <w:t>主要建设内容包括：①改造现有水杨酸钠车间，拆除并更 换部分设备，水杨酸钠产能由现有 3000t/a 增加到 5000t/a、精制水杨酸产能由现有 3000t/a 增加到 5000t/a；②拆除现有磺基水杨酸车间，新建 1#综合车间、2#生产车间，其中 1# 综合车间安装现有部分磺基水杨酸设备并增加 1 台磺化釜，磺基水杨酸产能由现有 3000t/a 增加到 6000t/a，2#生产车间新建 5-氯水杨酸生产装置、氯硝柳胺生产装置、氯硝柳胺乙醇胺盐生产装置、水杨酸酰胺生产装置，年产 5-氯水杨酸 3000 吨、氯硝柳胺 5000 吨、氯硝柳胺乙醇胺盐 5000 吨、水杨酸酰胺 6000 吨。</w:t>
      </w:r>
    </w:p>
    <w:p w14:paraId="17972047">
      <w:pPr>
        <w:adjustRightInd w:val="0"/>
        <w:snapToGrid w:val="0"/>
        <w:spacing w:line="360" w:lineRule="auto"/>
        <w:jc w:val="center"/>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表3.1-1  公司基本情况一览表</w:t>
      </w:r>
    </w:p>
    <w:tbl>
      <w:tblPr>
        <w:tblStyle w:val="33"/>
        <w:tblW w:w="5000" w:type="pct"/>
        <w:jc w:val="center"/>
        <w:tblLayout w:type="autofit"/>
        <w:tblCellMar>
          <w:top w:w="0" w:type="dxa"/>
          <w:left w:w="108" w:type="dxa"/>
          <w:bottom w:w="0" w:type="dxa"/>
          <w:right w:w="108" w:type="dxa"/>
        </w:tblCellMar>
      </w:tblPr>
      <w:tblGrid>
        <w:gridCol w:w="1382"/>
        <w:gridCol w:w="3971"/>
        <w:gridCol w:w="1700"/>
        <w:gridCol w:w="2575"/>
      </w:tblGrid>
      <w:tr w14:paraId="3C243D82">
        <w:tblPrEx>
          <w:tblCellMar>
            <w:top w:w="0" w:type="dxa"/>
            <w:left w:w="108" w:type="dxa"/>
            <w:bottom w:w="0" w:type="dxa"/>
            <w:right w:w="108" w:type="dxa"/>
          </w:tblCellMar>
        </w:tblPrEx>
        <w:trPr>
          <w:trHeight w:val="397" w:hRule="atLeast"/>
          <w:jc w:val="center"/>
        </w:trPr>
        <w:tc>
          <w:tcPr>
            <w:tcW w:w="718" w:type="pct"/>
            <w:tcBorders>
              <w:top w:val="single" w:color="000000" w:sz="4" w:space="0"/>
              <w:left w:val="single" w:color="000000" w:sz="4" w:space="0"/>
              <w:bottom w:val="single" w:color="000000" w:sz="6" w:space="0"/>
              <w:right w:val="single" w:color="000000" w:sz="6" w:space="0"/>
            </w:tcBorders>
            <w:noWrap w:val="0"/>
            <w:vAlign w:val="center"/>
          </w:tcPr>
          <w:p w14:paraId="70649E3C">
            <w:pPr>
              <w:pStyle w:val="127"/>
              <w:keepNext w:val="0"/>
              <w:keepLines w:val="0"/>
              <w:widowControl/>
              <w:suppressLineNumbers w:val="0"/>
              <w:spacing w:before="0" w:beforeAutospacing="0" w:after="0" w:afterAutospacing="0"/>
              <w:ind w:left="0" w:right="0"/>
              <w:rPr>
                <w:rFonts w:hint="default"/>
                <w:color w:val="000000"/>
              </w:rPr>
            </w:pPr>
            <w:bookmarkStart w:id="33" w:name="_Hlk97726517"/>
            <w:r>
              <w:rPr>
                <w:rFonts w:hint="default"/>
                <w:color w:val="000000"/>
              </w:rPr>
              <w:t>单位名称</w:t>
            </w:r>
          </w:p>
        </w:tc>
        <w:tc>
          <w:tcPr>
            <w:tcW w:w="4282" w:type="pct"/>
            <w:gridSpan w:val="3"/>
            <w:tcBorders>
              <w:top w:val="single" w:color="000000" w:sz="4" w:space="0"/>
              <w:left w:val="single" w:color="000000" w:sz="6" w:space="0"/>
              <w:bottom w:val="single" w:color="000000" w:sz="6" w:space="0"/>
              <w:right w:val="single" w:color="000000" w:sz="4" w:space="0"/>
            </w:tcBorders>
            <w:noWrap w:val="0"/>
            <w:vAlign w:val="center"/>
          </w:tcPr>
          <w:p w14:paraId="677E6F46">
            <w:pPr>
              <w:pStyle w:val="127"/>
              <w:keepNext w:val="0"/>
              <w:keepLines w:val="0"/>
              <w:widowControl/>
              <w:suppressLineNumbers w:val="0"/>
              <w:spacing w:before="0" w:beforeAutospacing="0" w:after="0" w:afterAutospacing="0"/>
              <w:ind w:left="0" w:right="0"/>
              <w:rPr>
                <w:rFonts w:hint="default"/>
                <w:color w:val="000000"/>
              </w:rPr>
            </w:pPr>
            <w:r>
              <w:rPr>
                <w:rFonts w:hint="eastAsia"/>
                <w:color w:val="000000"/>
                <w:lang w:eastAsia="zh-CN"/>
              </w:rPr>
              <w:t>山东隆信药业有限公司</w:t>
            </w:r>
          </w:p>
          <w:p w14:paraId="4CF268AA">
            <w:pPr>
              <w:pStyle w:val="127"/>
              <w:keepNext w:val="0"/>
              <w:keepLines w:val="0"/>
              <w:widowControl/>
              <w:suppressLineNumbers w:val="0"/>
              <w:spacing w:before="0" w:beforeAutospacing="0" w:after="0" w:afterAutospacing="0"/>
              <w:ind w:left="0" w:right="0"/>
              <w:rPr>
                <w:rFonts w:hint="default"/>
                <w:color w:val="000000"/>
              </w:rPr>
            </w:pPr>
          </w:p>
        </w:tc>
      </w:tr>
      <w:tr w14:paraId="4E5C8717">
        <w:tblPrEx>
          <w:tblCellMar>
            <w:top w:w="0" w:type="dxa"/>
            <w:left w:w="108" w:type="dxa"/>
            <w:bottom w:w="0" w:type="dxa"/>
            <w:right w:w="108" w:type="dxa"/>
          </w:tblCellMar>
        </w:tblPrEx>
        <w:trPr>
          <w:trHeight w:val="454" w:hRule="atLeast"/>
          <w:jc w:val="center"/>
        </w:trPr>
        <w:tc>
          <w:tcPr>
            <w:tcW w:w="718" w:type="pct"/>
            <w:tcBorders>
              <w:top w:val="single" w:color="000000" w:sz="6" w:space="0"/>
              <w:left w:val="single" w:color="000000" w:sz="4" w:space="0"/>
              <w:bottom w:val="single" w:color="000000" w:sz="6" w:space="0"/>
              <w:right w:val="single" w:color="000000" w:sz="6" w:space="0"/>
            </w:tcBorders>
            <w:noWrap w:val="0"/>
            <w:vAlign w:val="center"/>
          </w:tcPr>
          <w:p w14:paraId="16FFA35B">
            <w:pPr>
              <w:pStyle w:val="127"/>
              <w:keepNext w:val="0"/>
              <w:keepLines w:val="0"/>
              <w:widowControl/>
              <w:suppressLineNumbers w:val="0"/>
              <w:spacing w:before="0" w:beforeAutospacing="0" w:after="0" w:afterAutospacing="0"/>
              <w:ind w:left="0" w:right="0"/>
              <w:rPr>
                <w:rFonts w:hint="default"/>
                <w:color w:val="000000"/>
              </w:rPr>
            </w:pPr>
            <w:r>
              <w:rPr>
                <w:rFonts w:hint="default"/>
                <w:color w:val="000000"/>
              </w:rPr>
              <w:t>单位地址</w:t>
            </w:r>
          </w:p>
        </w:tc>
        <w:tc>
          <w:tcPr>
            <w:tcW w:w="2062" w:type="pct"/>
            <w:tcBorders>
              <w:top w:val="single" w:color="000000" w:sz="6" w:space="0"/>
              <w:left w:val="single" w:color="000000" w:sz="6" w:space="0"/>
              <w:bottom w:val="single" w:color="000000" w:sz="6" w:space="0"/>
              <w:right w:val="single" w:color="000000" w:sz="6" w:space="0"/>
            </w:tcBorders>
            <w:noWrap w:val="0"/>
            <w:vAlign w:val="center"/>
          </w:tcPr>
          <w:p w14:paraId="3C92E9B9">
            <w:pPr>
              <w:pStyle w:val="127"/>
              <w:keepNext w:val="0"/>
              <w:keepLines w:val="0"/>
              <w:widowControl/>
              <w:suppressLineNumbers w:val="0"/>
              <w:spacing w:before="0" w:beforeAutospacing="0" w:after="0" w:afterAutospacing="0"/>
              <w:ind w:left="0" w:right="0"/>
              <w:rPr>
                <w:rFonts w:hint="default" w:eastAsia="宋体"/>
                <w:color w:val="000000"/>
                <w:lang w:val="en-US" w:eastAsia="zh-CN"/>
              </w:rPr>
            </w:pPr>
            <w:r>
              <w:rPr>
                <w:rFonts w:hint="eastAsia"/>
                <w:color w:val="000000"/>
              </w:rPr>
              <w:t>淄博市临淄区</w:t>
            </w:r>
            <w:r>
              <w:rPr>
                <w:rFonts w:hint="eastAsia"/>
                <w:color w:val="000000"/>
                <w:lang w:eastAsia="zh-CN"/>
              </w:rPr>
              <w:t>乙烯路</w:t>
            </w:r>
            <w:r>
              <w:rPr>
                <w:rFonts w:hint="eastAsia"/>
                <w:color w:val="000000"/>
                <w:lang w:val="en-US" w:eastAsia="zh-CN"/>
              </w:rPr>
              <w:t>299号</w:t>
            </w:r>
          </w:p>
        </w:tc>
        <w:tc>
          <w:tcPr>
            <w:tcW w:w="883" w:type="pct"/>
            <w:tcBorders>
              <w:top w:val="single" w:color="000000" w:sz="6" w:space="0"/>
              <w:left w:val="single" w:color="000000" w:sz="6" w:space="0"/>
              <w:bottom w:val="single" w:color="000000" w:sz="6" w:space="0"/>
              <w:right w:val="single" w:color="000000" w:sz="6" w:space="0"/>
            </w:tcBorders>
            <w:noWrap w:val="0"/>
            <w:vAlign w:val="center"/>
          </w:tcPr>
          <w:p w14:paraId="63980CF8">
            <w:pPr>
              <w:pStyle w:val="127"/>
              <w:keepNext w:val="0"/>
              <w:keepLines w:val="0"/>
              <w:widowControl/>
              <w:suppressLineNumbers w:val="0"/>
              <w:spacing w:before="0" w:beforeAutospacing="0" w:after="0" w:afterAutospacing="0"/>
              <w:ind w:left="0" w:right="0"/>
              <w:rPr>
                <w:rFonts w:hint="default"/>
                <w:color w:val="000000"/>
              </w:rPr>
            </w:pPr>
            <w:r>
              <w:rPr>
                <w:rFonts w:hint="default"/>
                <w:color w:val="000000"/>
              </w:rPr>
              <w:t>所 在 区</w:t>
            </w:r>
          </w:p>
        </w:tc>
        <w:tc>
          <w:tcPr>
            <w:tcW w:w="1337" w:type="pct"/>
            <w:tcBorders>
              <w:top w:val="single" w:color="000000" w:sz="6" w:space="0"/>
              <w:left w:val="single" w:color="000000" w:sz="6" w:space="0"/>
              <w:bottom w:val="single" w:color="000000" w:sz="6" w:space="0"/>
              <w:right w:val="single" w:color="000000" w:sz="4" w:space="0"/>
            </w:tcBorders>
            <w:noWrap w:val="0"/>
            <w:vAlign w:val="center"/>
          </w:tcPr>
          <w:p w14:paraId="3300852F">
            <w:pPr>
              <w:pStyle w:val="127"/>
              <w:keepNext w:val="0"/>
              <w:keepLines w:val="0"/>
              <w:widowControl/>
              <w:suppressLineNumbers w:val="0"/>
              <w:spacing w:before="0" w:beforeAutospacing="0" w:after="0" w:afterAutospacing="0"/>
              <w:ind w:left="0" w:right="0"/>
              <w:rPr>
                <w:rFonts w:hint="default"/>
                <w:color w:val="000000"/>
              </w:rPr>
            </w:pPr>
            <w:r>
              <w:rPr>
                <w:rFonts w:hint="default"/>
                <w:color w:val="000000"/>
              </w:rPr>
              <w:t>临淄区</w:t>
            </w:r>
          </w:p>
        </w:tc>
      </w:tr>
      <w:tr w14:paraId="3DA2907A">
        <w:tblPrEx>
          <w:tblCellMar>
            <w:top w:w="0" w:type="dxa"/>
            <w:left w:w="108" w:type="dxa"/>
            <w:bottom w:w="0" w:type="dxa"/>
            <w:right w:w="108" w:type="dxa"/>
          </w:tblCellMar>
        </w:tblPrEx>
        <w:trPr>
          <w:trHeight w:val="454" w:hRule="atLeast"/>
          <w:jc w:val="center"/>
        </w:trPr>
        <w:tc>
          <w:tcPr>
            <w:tcW w:w="718" w:type="pct"/>
            <w:tcBorders>
              <w:top w:val="single" w:color="000000" w:sz="6" w:space="0"/>
              <w:left w:val="single" w:color="000000" w:sz="4" w:space="0"/>
              <w:bottom w:val="single" w:color="000000" w:sz="6" w:space="0"/>
              <w:right w:val="single" w:color="000000" w:sz="6" w:space="0"/>
            </w:tcBorders>
            <w:noWrap w:val="0"/>
            <w:vAlign w:val="center"/>
          </w:tcPr>
          <w:p w14:paraId="5E8D32FE">
            <w:pPr>
              <w:pStyle w:val="127"/>
              <w:keepNext w:val="0"/>
              <w:keepLines w:val="0"/>
              <w:widowControl/>
              <w:suppressLineNumbers w:val="0"/>
              <w:spacing w:before="0" w:beforeAutospacing="0" w:after="0" w:afterAutospacing="0"/>
              <w:ind w:left="0" w:right="0"/>
              <w:rPr>
                <w:rFonts w:hint="default"/>
                <w:color w:val="000000"/>
              </w:rPr>
            </w:pPr>
            <w:r>
              <w:rPr>
                <w:rFonts w:hint="default"/>
                <w:color w:val="000000"/>
              </w:rPr>
              <w:t>企业性质</w:t>
            </w:r>
          </w:p>
        </w:tc>
        <w:tc>
          <w:tcPr>
            <w:tcW w:w="2062" w:type="pct"/>
            <w:tcBorders>
              <w:top w:val="single" w:color="000000" w:sz="6" w:space="0"/>
              <w:left w:val="single" w:color="000000" w:sz="6" w:space="0"/>
              <w:bottom w:val="single" w:color="000000" w:sz="6" w:space="0"/>
              <w:right w:val="single" w:color="000000" w:sz="6" w:space="0"/>
            </w:tcBorders>
            <w:noWrap w:val="0"/>
            <w:vAlign w:val="center"/>
          </w:tcPr>
          <w:p w14:paraId="69B6AE8B">
            <w:pPr>
              <w:pStyle w:val="127"/>
              <w:keepNext w:val="0"/>
              <w:keepLines w:val="0"/>
              <w:widowControl/>
              <w:suppressLineNumbers w:val="0"/>
              <w:spacing w:before="0" w:beforeAutospacing="0" w:after="0" w:afterAutospacing="0"/>
              <w:ind w:left="0" w:right="0"/>
              <w:rPr>
                <w:rFonts w:hint="default"/>
                <w:color w:val="000000"/>
              </w:rPr>
            </w:pPr>
            <w:r>
              <w:rPr>
                <w:rFonts w:hint="default"/>
                <w:color w:val="000000"/>
              </w:rPr>
              <w:t>有限责任公司</w:t>
            </w:r>
          </w:p>
        </w:tc>
        <w:tc>
          <w:tcPr>
            <w:tcW w:w="883" w:type="pct"/>
            <w:tcBorders>
              <w:top w:val="single" w:color="000000" w:sz="6" w:space="0"/>
              <w:left w:val="single" w:color="000000" w:sz="6" w:space="0"/>
              <w:bottom w:val="single" w:color="000000" w:sz="6" w:space="0"/>
              <w:right w:val="single" w:color="000000" w:sz="6" w:space="0"/>
            </w:tcBorders>
            <w:noWrap w:val="0"/>
            <w:vAlign w:val="center"/>
          </w:tcPr>
          <w:p w14:paraId="1274C59C">
            <w:pPr>
              <w:pStyle w:val="127"/>
              <w:keepNext w:val="0"/>
              <w:keepLines w:val="0"/>
              <w:widowControl/>
              <w:suppressLineNumbers w:val="0"/>
              <w:spacing w:before="0" w:beforeAutospacing="0" w:after="0" w:afterAutospacing="0"/>
              <w:ind w:left="0" w:right="0"/>
              <w:rPr>
                <w:rFonts w:hint="default"/>
                <w:color w:val="000000"/>
              </w:rPr>
            </w:pPr>
            <w:r>
              <w:rPr>
                <w:rFonts w:hint="default"/>
                <w:color w:val="000000"/>
              </w:rPr>
              <w:t>所在街道（镇）</w:t>
            </w:r>
          </w:p>
        </w:tc>
        <w:tc>
          <w:tcPr>
            <w:tcW w:w="1337" w:type="pct"/>
            <w:tcBorders>
              <w:top w:val="single" w:color="000000" w:sz="6" w:space="0"/>
              <w:left w:val="single" w:color="000000" w:sz="6" w:space="0"/>
              <w:bottom w:val="single" w:color="000000" w:sz="6" w:space="0"/>
              <w:right w:val="single" w:color="000000" w:sz="4" w:space="0"/>
            </w:tcBorders>
            <w:noWrap w:val="0"/>
            <w:vAlign w:val="center"/>
          </w:tcPr>
          <w:p w14:paraId="317F821D">
            <w:pPr>
              <w:pStyle w:val="127"/>
              <w:keepNext w:val="0"/>
              <w:keepLines w:val="0"/>
              <w:widowControl/>
              <w:suppressLineNumbers w:val="0"/>
              <w:spacing w:before="0" w:beforeAutospacing="0" w:after="0" w:afterAutospacing="0"/>
              <w:ind w:left="0" w:right="0"/>
              <w:rPr>
                <w:rFonts w:hint="eastAsia" w:eastAsia="宋体"/>
                <w:color w:val="000000"/>
                <w:lang w:eastAsia="zh-CN"/>
              </w:rPr>
            </w:pPr>
            <w:r>
              <w:rPr>
                <w:rFonts w:hint="eastAsia"/>
                <w:color w:val="000000"/>
                <w:lang w:eastAsia="zh-CN"/>
              </w:rPr>
              <w:t>辛店街道</w:t>
            </w:r>
          </w:p>
        </w:tc>
      </w:tr>
      <w:tr w14:paraId="39941358">
        <w:tblPrEx>
          <w:tblCellMar>
            <w:top w:w="0" w:type="dxa"/>
            <w:left w:w="108" w:type="dxa"/>
            <w:bottom w:w="0" w:type="dxa"/>
            <w:right w:w="108" w:type="dxa"/>
          </w:tblCellMar>
        </w:tblPrEx>
        <w:trPr>
          <w:trHeight w:val="454" w:hRule="atLeast"/>
          <w:jc w:val="center"/>
        </w:trPr>
        <w:tc>
          <w:tcPr>
            <w:tcW w:w="718" w:type="pct"/>
            <w:tcBorders>
              <w:top w:val="single" w:color="000000" w:sz="6" w:space="0"/>
              <w:left w:val="single" w:color="000000" w:sz="4" w:space="0"/>
              <w:bottom w:val="single" w:color="000000" w:sz="6" w:space="0"/>
              <w:right w:val="single" w:color="000000" w:sz="6" w:space="0"/>
            </w:tcBorders>
            <w:noWrap w:val="0"/>
            <w:vAlign w:val="center"/>
          </w:tcPr>
          <w:p w14:paraId="04BF348F">
            <w:pPr>
              <w:pStyle w:val="127"/>
              <w:keepNext w:val="0"/>
              <w:keepLines w:val="0"/>
              <w:widowControl/>
              <w:suppressLineNumbers w:val="0"/>
              <w:spacing w:before="0" w:beforeAutospacing="0" w:after="0" w:afterAutospacing="0"/>
              <w:ind w:left="0" w:right="0"/>
              <w:rPr>
                <w:rFonts w:hint="default"/>
                <w:color w:val="000000"/>
              </w:rPr>
            </w:pPr>
            <w:r>
              <w:rPr>
                <w:rFonts w:hint="default"/>
                <w:color w:val="000000"/>
              </w:rPr>
              <w:t>法人代表</w:t>
            </w:r>
          </w:p>
        </w:tc>
        <w:tc>
          <w:tcPr>
            <w:tcW w:w="2062" w:type="pct"/>
            <w:tcBorders>
              <w:top w:val="single" w:color="000000" w:sz="6" w:space="0"/>
              <w:left w:val="single" w:color="000000" w:sz="6" w:space="0"/>
              <w:bottom w:val="single" w:color="000000" w:sz="6" w:space="0"/>
              <w:right w:val="single" w:color="000000" w:sz="6" w:space="0"/>
            </w:tcBorders>
            <w:noWrap w:val="0"/>
            <w:vAlign w:val="center"/>
          </w:tcPr>
          <w:p w14:paraId="22F914F7">
            <w:pPr>
              <w:pStyle w:val="127"/>
              <w:keepNext w:val="0"/>
              <w:keepLines w:val="0"/>
              <w:widowControl/>
              <w:suppressLineNumbers w:val="0"/>
              <w:spacing w:before="0" w:beforeAutospacing="0" w:after="0" w:afterAutospacing="0"/>
              <w:ind w:left="0" w:right="0"/>
              <w:jc w:val="center"/>
              <w:rPr>
                <w:rFonts w:hint="default" w:eastAsia="宋体"/>
                <w:color w:val="000000"/>
                <w:lang w:val="en-US" w:eastAsia="zh-CN"/>
              </w:rPr>
            </w:pPr>
            <w:r>
              <w:rPr>
                <w:rFonts w:hint="eastAsia"/>
                <w:color w:val="000000"/>
                <w:lang w:val="en-US" w:eastAsia="zh-CN"/>
              </w:rPr>
              <w:t>韩志华</w:t>
            </w:r>
          </w:p>
        </w:tc>
        <w:tc>
          <w:tcPr>
            <w:tcW w:w="883" w:type="pct"/>
            <w:tcBorders>
              <w:top w:val="single" w:color="000000" w:sz="6" w:space="0"/>
              <w:left w:val="single" w:color="000000" w:sz="6" w:space="0"/>
              <w:bottom w:val="single" w:color="000000" w:sz="6" w:space="0"/>
              <w:right w:val="single" w:color="000000" w:sz="6" w:space="0"/>
            </w:tcBorders>
            <w:noWrap w:val="0"/>
            <w:vAlign w:val="center"/>
          </w:tcPr>
          <w:p w14:paraId="4FFF63A3">
            <w:pPr>
              <w:pStyle w:val="127"/>
              <w:keepNext w:val="0"/>
              <w:keepLines w:val="0"/>
              <w:widowControl/>
              <w:suppressLineNumbers w:val="0"/>
              <w:spacing w:before="0" w:beforeAutospacing="0" w:after="0" w:afterAutospacing="0"/>
              <w:ind w:left="0" w:right="0"/>
              <w:rPr>
                <w:rFonts w:hint="default"/>
                <w:color w:val="000000"/>
              </w:rPr>
            </w:pPr>
            <w:r>
              <w:rPr>
                <w:rFonts w:hint="eastAsia"/>
              </w:rPr>
              <w:t>职工人数</w:t>
            </w:r>
          </w:p>
        </w:tc>
        <w:tc>
          <w:tcPr>
            <w:tcW w:w="1337" w:type="pct"/>
            <w:tcBorders>
              <w:top w:val="single" w:color="000000" w:sz="6" w:space="0"/>
              <w:left w:val="single" w:color="000000" w:sz="6" w:space="0"/>
              <w:bottom w:val="single" w:color="000000" w:sz="6" w:space="0"/>
              <w:right w:val="single" w:color="000000" w:sz="4" w:space="0"/>
            </w:tcBorders>
            <w:noWrap w:val="0"/>
            <w:vAlign w:val="center"/>
          </w:tcPr>
          <w:p w14:paraId="550E7A6B">
            <w:pPr>
              <w:pStyle w:val="127"/>
              <w:keepNext w:val="0"/>
              <w:keepLines w:val="0"/>
              <w:widowControl/>
              <w:suppressLineNumbers w:val="0"/>
              <w:spacing w:before="0" w:beforeAutospacing="0" w:after="0" w:afterAutospacing="0"/>
              <w:ind w:left="0" w:right="0"/>
              <w:rPr>
                <w:rFonts w:hint="default"/>
                <w:color w:val="000000"/>
              </w:rPr>
            </w:pPr>
            <w:r>
              <w:rPr>
                <w:rFonts w:hint="eastAsia"/>
                <w:lang w:val="en-US" w:eastAsia="zh-CN"/>
              </w:rPr>
              <w:t>242</w:t>
            </w:r>
            <w:r>
              <w:rPr>
                <w:rFonts w:hint="default"/>
              </w:rPr>
              <w:t>人</w:t>
            </w:r>
          </w:p>
        </w:tc>
      </w:tr>
      <w:tr w14:paraId="5D3F1D77">
        <w:tblPrEx>
          <w:tblCellMar>
            <w:top w:w="0" w:type="dxa"/>
            <w:left w:w="108" w:type="dxa"/>
            <w:bottom w:w="0" w:type="dxa"/>
            <w:right w:w="108" w:type="dxa"/>
          </w:tblCellMar>
        </w:tblPrEx>
        <w:trPr>
          <w:trHeight w:val="454" w:hRule="atLeast"/>
          <w:jc w:val="center"/>
        </w:trPr>
        <w:tc>
          <w:tcPr>
            <w:tcW w:w="718" w:type="pct"/>
            <w:tcBorders>
              <w:top w:val="single" w:color="000000" w:sz="6" w:space="0"/>
              <w:left w:val="single" w:color="000000" w:sz="4" w:space="0"/>
              <w:bottom w:val="single" w:color="000000" w:sz="6" w:space="0"/>
              <w:right w:val="single" w:color="000000" w:sz="6" w:space="0"/>
            </w:tcBorders>
            <w:noWrap w:val="0"/>
            <w:vAlign w:val="center"/>
          </w:tcPr>
          <w:p w14:paraId="79F4DBC4">
            <w:pPr>
              <w:pStyle w:val="127"/>
              <w:keepNext w:val="0"/>
              <w:keepLines w:val="0"/>
              <w:widowControl/>
              <w:suppressLineNumbers w:val="0"/>
              <w:spacing w:before="0" w:beforeAutospacing="0" w:after="0" w:afterAutospacing="0"/>
              <w:ind w:left="0" w:right="0"/>
              <w:rPr>
                <w:rFonts w:hint="default"/>
                <w:color w:val="000000"/>
              </w:rPr>
            </w:pPr>
            <w:r>
              <w:rPr>
                <w:rFonts w:hint="default"/>
                <w:color w:val="000000"/>
              </w:rPr>
              <w:t>组织代码</w:t>
            </w:r>
          </w:p>
        </w:tc>
        <w:tc>
          <w:tcPr>
            <w:tcW w:w="2062" w:type="pct"/>
            <w:tcBorders>
              <w:top w:val="single" w:color="000000" w:sz="6" w:space="0"/>
              <w:left w:val="single" w:color="000000" w:sz="6" w:space="0"/>
              <w:bottom w:val="single" w:color="000000" w:sz="6" w:space="0"/>
              <w:right w:val="single" w:color="000000" w:sz="6" w:space="0"/>
            </w:tcBorders>
            <w:noWrap w:val="0"/>
            <w:vAlign w:val="center"/>
          </w:tcPr>
          <w:p w14:paraId="3A45088B">
            <w:pPr>
              <w:pStyle w:val="127"/>
              <w:keepNext w:val="0"/>
              <w:keepLines w:val="0"/>
              <w:widowControl/>
              <w:suppressLineNumbers w:val="0"/>
              <w:spacing w:before="0" w:beforeAutospacing="0" w:after="0" w:afterAutospacing="0"/>
              <w:ind w:left="0" w:right="0"/>
              <w:rPr>
                <w:rFonts w:hint="default" w:eastAsia="宋体"/>
                <w:color w:val="000000"/>
                <w:lang w:val="en-US" w:eastAsia="zh-CN"/>
              </w:rPr>
            </w:pPr>
            <w:r>
              <w:rPr>
                <w:rFonts w:hint="eastAsia"/>
                <w:color w:val="000000"/>
                <w:lang w:val="en-US" w:eastAsia="zh-CN"/>
              </w:rPr>
              <w:t>91370305776347140J</w:t>
            </w:r>
          </w:p>
        </w:tc>
        <w:tc>
          <w:tcPr>
            <w:tcW w:w="883" w:type="pct"/>
            <w:tcBorders>
              <w:top w:val="single" w:color="000000" w:sz="6" w:space="0"/>
              <w:left w:val="single" w:color="000000" w:sz="6" w:space="0"/>
              <w:bottom w:val="single" w:color="000000" w:sz="6" w:space="0"/>
              <w:right w:val="single" w:color="000000" w:sz="6" w:space="0"/>
            </w:tcBorders>
            <w:noWrap w:val="0"/>
            <w:vAlign w:val="center"/>
          </w:tcPr>
          <w:p w14:paraId="694BC37F">
            <w:pPr>
              <w:pStyle w:val="127"/>
              <w:keepNext w:val="0"/>
              <w:keepLines w:val="0"/>
              <w:widowControl/>
              <w:suppressLineNumbers w:val="0"/>
              <w:spacing w:before="0" w:beforeAutospacing="0" w:after="0" w:afterAutospacing="0"/>
              <w:ind w:left="0" w:right="0"/>
              <w:rPr>
                <w:rFonts w:hint="default"/>
                <w:color w:val="000000"/>
              </w:rPr>
            </w:pPr>
            <w:r>
              <w:rPr>
                <w:rFonts w:hint="eastAsia"/>
              </w:rPr>
              <w:t>占地面积</w:t>
            </w:r>
          </w:p>
        </w:tc>
        <w:tc>
          <w:tcPr>
            <w:tcW w:w="1337" w:type="pct"/>
            <w:tcBorders>
              <w:top w:val="single" w:color="000000" w:sz="6" w:space="0"/>
              <w:left w:val="single" w:color="000000" w:sz="6" w:space="0"/>
              <w:bottom w:val="single" w:color="000000" w:sz="6" w:space="0"/>
              <w:right w:val="single" w:color="000000" w:sz="4" w:space="0"/>
            </w:tcBorders>
            <w:noWrap w:val="0"/>
            <w:vAlign w:val="center"/>
          </w:tcPr>
          <w:p w14:paraId="58AABD5D">
            <w:pPr>
              <w:pStyle w:val="127"/>
              <w:keepNext w:val="0"/>
              <w:keepLines w:val="0"/>
              <w:widowControl/>
              <w:suppressLineNumbers w:val="0"/>
              <w:spacing w:before="0" w:beforeAutospacing="0" w:after="0" w:afterAutospacing="0"/>
              <w:ind w:left="0" w:right="0"/>
              <w:rPr>
                <w:rFonts w:hint="default"/>
                <w:color w:val="000000"/>
              </w:rPr>
            </w:pPr>
            <w:r>
              <w:rPr>
                <w:rFonts w:hint="eastAsia"/>
                <w:lang w:val="en-US" w:eastAsia="zh-CN"/>
              </w:rPr>
              <w:t>9800</w:t>
            </w:r>
            <w:r>
              <w:rPr>
                <w:rFonts w:hint="default"/>
              </w:rPr>
              <w:t xml:space="preserve"> m</w:t>
            </w:r>
            <w:r>
              <w:rPr>
                <w:rFonts w:hint="default"/>
                <w:vertAlign w:val="superscript"/>
              </w:rPr>
              <w:t>2</w:t>
            </w:r>
          </w:p>
        </w:tc>
      </w:tr>
      <w:tr w14:paraId="2B220C1D">
        <w:tblPrEx>
          <w:tblCellMar>
            <w:top w:w="0" w:type="dxa"/>
            <w:left w:w="108" w:type="dxa"/>
            <w:bottom w:w="0" w:type="dxa"/>
            <w:right w:w="108" w:type="dxa"/>
          </w:tblCellMar>
        </w:tblPrEx>
        <w:trPr>
          <w:trHeight w:val="454" w:hRule="atLeast"/>
          <w:jc w:val="center"/>
        </w:trPr>
        <w:tc>
          <w:tcPr>
            <w:tcW w:w="718" w:type="pct"/>
            <w:tcBorders>
              <w:top w:val="single" w:color="000000" w:sz="6" w:space="0"/>
              <w:left w:val="single" w:color="000000" w:sz="4" w:space="0"/>
              <w:bottom w:val="single" w:color="000000" w:sz="6" w:space="0"/>
              <w:right w:val="single" w:color="000000" w:sz="6" w:space="0"/>
            </w:tcBorders>
            <w:noWrap w:val="0"/>
            <w:vAlign w:val="center"/>
          </w:tcPr>
          <w:p w14:paraId="2FF6469D">
            <w:pPr>
              <w:pStyle w:val="127"/>
              <w:keepNext w:val="0"/>
              <w:keepLines w:val="0"/>
              <w:widowControl/>
              <w:suppressLineNumbers w:val="0"/>
              <w:spacing w:before="0" w:beforeAutospacing="0" w:after="0" w:afterAutospacing="0"/>
              <w:ind w:left="0" w:right="0"/>
              <w:rPr>
                <w:rFonts w:hint="default"/>
                <w:color w:val="000000"/>
              </w:rPr>
            </w:pPr>
            <w:r>
              <w:rPr>
                <w:rFonts w:hint="default"/>
                <w:color w:val="000000"/>
              </w:rPr>
              <w:t>联系电话</w:t>
            </w:r>
          </w:p>
        </w:tc>
        <w:tc>
          <w:tcPr>
            <w:tcW w:w="2062" w:type="pct"/>
            <w:tcBorders>
              <w:top w:val="single" w:color="000000" w:sz="6" w:space="0"/>
              <w:left w:val="single" w:color="000000" w:sz="6" w:space="0"/>
              <w:bottom w:val="single" w:color="000000" w:sz="6" w:space="0"/>
              <w:right w:val="single" w:color="000000" w:sz="6" w:space="0"/>
            </w:tcBorders>
            <w:noWrap w:val="0"/>
            <w:vAlign w:val="center"/>
          </w:tcPr>
          <w:p w14:paraId="52C3A792">
            <w:pPr>
              <w:pStyle w:val="127"/>
              <w:keepNext w:val="0"/>
              <w:keepLines w:val="0"/>
              <w:widowControl/>
              <w:suppressLineNumbers w:val="0"/>
              <w:spacing w:before="0" w:beforeAutospacing="0" w:after="0" w:afterAutospacing="0"/>
              <w:ind w:left="0" w:right="0"/>
              <w:rPr>
                <w:rFonts w:hint="eastAsia" w:eastAsia="宋体"/>
                <w:color w:val="000000"/>
                <w:lang w:val="en-US" w:eastAsia="zh-CN"/>
              </w:rPr>
            </w:pPr>
            <w:r>
              <w:rPr>
                <w:rFonts w:hint="eastAsia"/>
                <w:color w:val="000000"/>
                <w:lang w:eastAsia="zh-CN"/>
              </w:rPr>
              <w:t>0533-7199909</w:t>
            </w:r>
          </w:p>
        </w:tc>
        <w:tc>
          <w:tcPr>
            <w:tcW w:w="883" w:type="pct"/>
            <w:tcBorders>
              <w:top w:val="single" w:color="000000" w:sz="6" w:space="0"/>
              <w:left w:val="single" w:color="000000" w:sz="6" w:space="0"/>
              <w:bottom w:val="single" w:color="000000" w:sz="6" w:space="0"/>
              <w:right w:val="single" w:color="000000" w:sz="6" w:space="0"/>
            </w:tcBorders>
            <w:noWrap w:val="0"/>
            <w:vAlign w:val="center"/>
          </w:tcPr>
          <w:p w14:paraId="66DA6E15">
            <w:pPr>
              <w:pStyle w:val="127"/>
              <w:keepNext w:val="0"/>
              <w:keepLines w:val="0"/>
              <w:widowControl/>
              <w:suppressLineNumbers w:val="0"/>
              <w:spacing w:before="0" w:beforeAutospacing="0" w:after="0" w:afterAutospacing="0"/>
              <w:ind w:left="0" w:right="0"/>
              <w:rPr>
                <w:rFonts w:hint="default"/>
                <w:color w:val="000000"/>
              </w:rPr>
            </w:pPr>
            <w:r>
              <w:rPr>
                <w:rFonts w:hint="eastAsia"/>
              </w:rPr>
              <w:t>所属行业</w:t>
            </w:r>
          </w:p>
        </w:tc>
        <w:tc>
          <w:tcPr>
            <w:tcW w:w="1337" w:type="pct"/>
            <w:tcBorders>
              <w:top w:val="single" w:color="000000" w:sz="6" w:space="0"/>
              <w:left w:val="single" w:color="000000" w:sz="6" w:space="0"/>
              <w:bottom w:val="single" w:color="000000" w:sz="6" w:space="0"/>
              <w:right w:val="single" w:color="000000" w:sz="4" w:space="0"/>
            </w:tcBorders>
            <w:noWrap w:val="0"/>
            <w:vAlign w:val="center"/>
          </w:tcPr>
          <w:p w14:paraId="474C426C">
            <w:pPr>
              <w:pStyle w:val="127"/>
              <w:keepNext w:val="0"/>
              <w:keepLines w:val="0"/>
              <w:widowControl/>
              <w:suppressLineNumbers w:val="0"/>
              <w:spacing w:before="0" w:beforeAutospacing="0" w:after="0" w:afterAutospacing="0"/>
              <w:ind w:left="0" w:right="0"/>
              <w:rPr>
                <w:rFonts w:hint="eastAsia" w:eastAsia="宋体"/>
                <w:color w:val="000000"/>
                <w:vertAlign w:val="superscript"/>
                <w:lang w:eastAsia="zh-CN"/>
              </w:rPr>
            </w:pPr>
            <w:r>
              <w:rPr>
                <w:rFonts w:hint="eastAsia"/>
                <w:lang w:eastAsia="zh-CN"/>
              </w:rPr>
              <w:t>化学药品原料药制造</w:t>
            </w:r>
          </w:p>
        </w:tc>
      </w:tr>
      <w:tr w14:paraId="61B591AA">
        <w:tblPrEx>
          <w:tblCellMar>
            <w:top w:w="0" w:type="dxa"/>
            <w:left w:w="108" w:type="dxa"/>
            <w:bottom w:w="0" w:type="dxa"/>
            <w:right w:w="108" w:type="dxa"/>
          </w:tblCellMar>
        </w:tblPrEx>
        <w:trPr>
          <w:trHeight w:val="454" w:hRule="atLeast"/>
          <w:jc w:val="center"/>
        </w:trPr>
        <w:tc>
          <w:tcPr>
            <w:tcW w:w="718" w:type="pct"/>
            <w:tcBorders>
              <w:top w:val="single" w:color="000000" w:sz="6" w:space="0"/>
              <w:left w:val="single" w:color="000000" w:sz="4" w:space="0"/>
              <w:bottom w:val="single" w:color="000000" w:sz="6" w:space="0"/>
              <w:right w:val="single" w:color="000000" w:sz="6" w:space="0"/>
            </w:tcBorders>
            <w:noWrap w:val="0"/>
            <w:vAlign w:val="center"/>
          </w:tcPr>
          <w:p w14:paraId="54BB5412">
            <w:pPr>
              <w:pStyle w:val="127"/>
              <w:keepNext w:val="0"/>
              <w:keepLines w:val="0"/>
              <w:widowControl/>
              <w:suppressLineNumbers w:val="0"/>
              <w:spacing w:before="0" w:beforeAutospacing="0" w:after="0" w:afterAutospacing="0"/>
              <w:ind w:left="0" w:right="0"/>
              <w:rPr>
                <w:rFonts w:hint="default"/>
                <w:color w:val="000000"/>
              </w:rPr>
            </w:pPr>
            <w:r>
              <w:rPr>
                <w:rFonts w:hint="eastAsia"/>
              </w:rPr>
              <w:t>主要原料</w:t>
            </w:r>
          </w:p>
        </w:tc>
        <w:tc>
          <w:tcPr>
            <w:tcW w:w="2062" w:type="pct"/>
            <w:tcBorders>
              <w:top w:val="single" w:color="000000" w:sz="6" w:space="0"/>
              <w:left w:val="single" w:color="000000" w:sz="6" w:space="0"/>
              <w:bottom w:val="single" w:color="000000" w:sz="6" w:space="0"/>
              <w:right w:val="single" w:color="000000" w:sz="6" w:space="0"/>
            </w:tcBorders>
            <w:noWrap w:val="0"/>
            <w:vAlign w:val="center"/>
          </w:tcPr>
          <w:p w14:paraId="6A96DDBD">
            <w:pPr>
              <w:pStyle w:val="127"/>
              <w:keepNext w:val="0"/>
              <w:keepLines w:val="0"/>
              <w:widowControl/>
              <w:suppressLineNumbers w:val="0"/>
              <w:tabs>
                <w:tab w:val="center" w:pos="1867"/>
                <w:tab w:val="right" w:pos="3614"/>
              </w:tabs>
              <w:spacing w:before="0" w:beforeAutospacing="0" w:after="0" w:afterAutospacing="0"/>
              <w:ind w:left="0" w:right="0"/>
              <w:jc w:val="left"/>
              <w:rPr>
                <w:rFonts w:hint="default" w:eastAsia="宋体"/>
                <w:color w:val="000000"/>
                <w:lang w:val="en-US" w:eastAsia="zh-CN"/>
              </w:rPr>
            </w:pPr>
            <w:r>
              <w:rPr>
                <w:rFonts w:hint="eastAsia"/>
                <w:color w:val="000000"/>
                <w:lang w:val="en-US" w:eastAsia="zh-CN"/>
              </w:rPr>
              <w:tab/>
            </w:r>
            <w:r>
              <w:rPr>
                <w:rFonts w:hint="eastAsia"/>
                <w:color w:val="000000"/>
                <w:lang w:val="en-US" w:eastAsia="zh-CN"/>
              </w:rPr>
              <w:t>苯酚、硫酸、甲醇</w:t>
            </w:r>
          </w:p>
        </w:tc>
        <w:tc>
          <w:tcPr>
            <w:tcW w:w="883" w:type="pct"/>
            <w:tcBorders>
              <w:top w:val="single" w:color="000000" w:sz="6" w:space="0"/>
              <w:left w:val="single" w:color="000000" w:sz="6" w:space="0"/>
              <w:bottom w:val="single" w:color="000000" w:sz="6" w:space="0"/>
              <w:right w:val="single" w:color="000000" w:sz="6" w:space="0"/>
            </w:tcBorders>
            <w:noWrap w:val="0"/>
            <w:vAlign w:val="center"/>
          </w:tcPr>
          <w:p w14:paraId="7703363A">
            <w:pPr>
              <w:pStyle w:val="127"/>
              <w:keepNext w:val="0"/>
              <w:keepLines w:val="0"/>
              <w:widowControl/>
              <w:suppressLineNumbers w:val="0"/>
              <w:spacing w:before="0" w:beforeAutospacing="0" w:after="0" w:afterAutospacing="0"/>
              <w:ind w:left="0" w:right="0"/>
              <w:rPr>
                <w:rFonts w:hint="default"/>
                <w:color w:val="000000"/>
              </w:rPr>
            </w:pPr>
            <w:r>
              <w:rPr>
                <w:rFonts w:hint="eastAsia"/>
              </w:rPr>
              <w:t>经度坐标</w:t>
            </w:r>
          </w:p>
        </w:tc>
        <w:tc>
          <w:tcPr>
            <w:tcW w:w="1337" w:type="pct"/>
            <w:tcBorders>
              <w:top w:val="single" w:color="000000" w:sz="6" w:space="0"/>
              <w:left w:val="single" w:color="000000" w:sz="6" w:space="0"/>
              <w:bottom w:val="single" w:color="000000" w:sz="6" w:space="0"/>
              <w:right w:val="single" w:color="000000" w:sz="4" w:space="0"/>
            </w:tcBorders>
            <w:noWrap w:val="0"/>
            <w:vAlign w:val="center"/>
          </w:tcPr>
          <w:p w14:paraId="0A858B60">
            <w:pPr>
              <w:pStyle w:val="127"/>
              <w:keepNext w:val="0"/>
              <w:keepLines w:val="0"/>
              <w:widowControl/>
              <w:suppressLineNumbers w:val="0"/>
              <w:spacing w:before="0" w:beforeAutospacing="0" w:after="0" w:afterAutospacing="0"/>
              <w:ind w:left="0" w:right="0"/>
              <w:rPr>
                <w:rFonts w:hint="default"/>
                <w:color w:val="000000"/>
                <w:vertAlign w:val="superscript"/>
              </w:rPr>
            </w:pPr>
            <w:r>
              <w:rPr>
                <w:rFonts w:hint="default"/>
              </w:rPr>
              <w:t>118°</w:t>
            </w:r>
            <w:r>
              <w:rPr>
                <w:rFonts w:hint="eastAsia"/>
                <w:lang w:val="en-US" w:eastAsia="zh-CN"/>
              </w:rPr>
              <w:t>13</w:t>
            </w:r>
            <w:r>
              <w:rPr>
                <w:rFonts w:hint="default"/>
              </w:rPr>
              <w:t>′</w:t>
            </w:r>
            <w:r>
              <w:rPr>
                <w:rFonts w:hint="eastAsia"/>
                <w:lang w:val="en-US" w:eastAsia="zh-CN"/>
              </w:rPr>
              <w:t>8.40</w:t>
            </w:r>
            <w:r>
              <w:rPr>
                <w:rFonts w:hint="default"/>
              </w:rPr>
              <w:t>″</w:t>
            </w:r>
          </w:p>
        </w:tc>
      </w:tr>
      <w:tr w14:paraId="2D50BDF6">
        <w:tblPrEx>
          <w:tblCellMar>
            <w:top w:w="0" w:type="dxa"/>
            <w:left w:w="108" w:type="dxa"/>
            <w:bottom w:w="0" w:type="dxa"/>
            <w:right w:w="108" w:type="dxa"/>
          </w:tblCellMar>
        </w:tblPrEx>
        <w:trPr>
          <w:trHeight w:val="454" w:hRule="atLeast"/>
          <w:jc w:val="center"/>
        </w:trPr>
        <w:tc>
          <w:tcPr>
            <w:tcW w:w="718" w:type="pct"/>
            <w:tcBorders>
              <w:top w:val="single" w:color="000000" w:sz="6" w:space="0"/>
              <w:left w:val="single" w:color="000000" w:sz="4" w:space="0"/>
              <w:bottom w:val="single" w:color="000000" w:sz="6" w:space="0"/>
              <w:right w:val="single" w:color="000000" w:sz="6" w:space="0"/>
            </w:tcBorders>
            <w:noWrap w:val="0"/>
            <w:vAlign w:val="center"/>
          </w:tcPr>
          <w:p w14:paraId="2068C8D1">
            <w:pPr>
              <w:pStyle w:val="127"/>
              <w:keepNext w:val="0"/>
              <w:keepLines w:val="0"/>
              <w:widowControl/>
              <w:suppressLineNumbers w:val="0"/>
              <w:spacing w:before="0" w:beforeAutospacing="0" w:after="0" w:afterAutospacing="0"/>
              <w:ind w:left="0" w:right="0"/>
              <w:rPr>
                <w:rFonts w:hint="default"/>
                <w:color w:val="000000"/>
              </w:rPr>
            </w:pPr>
            <w:r>
              <w:rPr>
                <w:rFonts w:hint="eastAsia"/>
              </w:rPr>
              <w:t>联</w:t>
            </w:r>
            <w:r>
              <w:rPr>
                <w:rFonts w:hint="default"/>
              </w:rPr>
              <w:t xml:space="preserve"> 系 人</w:t>
            </w:r>
          </w:p>
        </w:tc>
        <w:tc>
          <w:tcPr>
            <w:tcW w:w="2062" w:type="pct"/>
            <w:tcBorders>
              <w:top w:val="single" w:color="000000" w:sz="6" w:space="0"/>
              <w:left w:val="single" w:color="000000" w:sz="6" w:space="0"/>
              <w:bottom w:val="single" w:color="000000" w:sz="6" w:space="0"/>
              <w:right w:val="single" w:color="000000" w:sz="6" w:space="0"/>
            </w:tcBorders>
            <w:noWrap w:val="0"/>
            <w:vAlign w:val="center"/>
          </w:tcPr>
          <w:p w14:paraId="3DD5D640">
            <w:pPr>
              <w:pStyle w:val="127"/>
              <w:keepNext w:val="0"/>
              <w:keepLines w:val="0"/>
              <w:widowControl/>
              <w:suppressLineNumbers w:val="0"/>
              <w:spacing w:before="0" w:beforeAutospacing="0" w:after="0" w:afterAutospacing="0"/>
              <w:ind w:left="0" w:right="0"/>
              <w:rPr>
                <w:rFonts w:hint="eastAsia" w:eastAsia="宋体"/>
                <w:color w:val="000000"/>
                <w:lang w:eastAsia="zh-CN"/>
              </w:rPr>
            </w:pPr>
            <w:r>
              <w:rPr>
                <w:rFonts w:hint="eastAsia"/>
                <w:color w:val="000000"/>
                <w:lang w:eastAsia="zh-CN"/>
              </w:rPr>
              <w:t>王鹏超</w:t>
            </w:r>
          </w:p>
        </w:tc>
        <w:tc>
          <w:tcPr>
            <w:tcW w:w="883" w:type="pct"/>
            <w:tcBorders>
              <w:top w:val="single" w:color="000000" w:sz="6" w:space="0"/>
              <w:left w:val="single" w:color="000000" w:sz="6" w:space="0"/>
              <w:bottom w:val="single" w:color="000000" w:sz="6" w:space="0"/>
              <w:right w:val="single" w:color="000000" w:sz="6" w:space="0"/>
            </w:tcBorders>
            <w:noWrap w:val="0"/>
            <w:vAlign w:val="center"/>
          </w:tcPr>
          <w:p w14:paraId="64AB45FA">
            <w:pPr>
              <w:pStyle w:val="127"/>
              <w:keepNext w:val="0"/>
              <w:keepLines w:val="0"/>
              <w:widowControl/>
              <w:suppressLineNumbers w:val="0"/>
              <w:spacing w:before="0" w:beforeAutospacing="0" w:after="0" w:afterAutospacing="0"/>
              <w:ind w:left="0" w:right="0"/>
              <w:rPr>
                <w:rFonts w:hint="default"/>
                <w:color w:val="000000"/>
              </w:rPr>
            </w:pPr>
            <w:r>
              <w:rPr>
                <w:rFonts w:hint="eastAsia"/>
              </w:rPr>
              <w:t>纬度坐标</w:t>
            </w:r>
          </w:p>
        </w:tc>
        <w:tc>
          <w:tcPr>
            <w:tcW w:w="1337" w:type="pct"/>
            <w:tcBorders>
              <w:top w:val="single" w:color="000000" w:sz="6" w:space="0"/>
              <w:left w:val="single" w:color="000000" w:sz="6" w:space="0"/>
              <w:bottom w:val="single" w:color="000000" w:sz="6" w:space="0"/>
              <w:right w:val="single" w:color="000000" w:sz="4" w:space="0"/>
            </w:tcBorders>
            <w:noWrap w:val="0"/>
            <w:vAlign w:val="center"/>
          </w:tcPr>
          <w:p w14:paraId="4E6F001F">
            <w:pPr>
              <w:pStyle w:val="127"/>
              <w:keepNext w:val="0"/>
              <w:keepLines w:val="0"/>
              <w:widowControl/>
              <w:suppressLineNumbers w:val="0"/>
              <w:spacing w:before="0" w:beforeAutospacing="0" w:after="0" w:afterAutospacing="0"/>
              <w:ind w:left="0" w:right="0"/>
              <w:rPr>
                <w:rFonts w:hint="default"/>
                <w:color w:val="000000"/>
              </w:rPr>
            </w:pPr>
            <w:r>
              <w:rPr>
                <w:rFonts w:hint="default"/>
              </w:rPr>
              <w:t>36°</w:t>
            </w:r>
            <w:r>
              <w:rPr>
                <w:rFonts w:hint="eastAsia"/>
                <w:lang w:val="en-US" w:eastAsia="zh-CN"/>
              </w:rPr>
              <w:t>46</w:t>
            </w:r>
            <w:r>
              <w:rPr>
                <w:rFonts w:hint="default"/>
              </w:rPr>
              <w:t>′</w:t>
            </w:r>
            <w:r>
              <w:rPr>
                <w:rFonts w:hint="eastAsia"/>
                <w:lang w:val="en-US" w:eastAsia="zh-CN"/>
              </w:rPr>
              <w:t>55.85</w:t>
            </w:r>
            <w:r>
              <w:rPr>
                <w:rFonts w:hint="default"/>
              </w:rPr>
              <w:t>″</w:t>
            </w:r>
          </w:p>
        </w:tc>
      </w:tr>
      <w:tr w14:paraId="28D849DE">
        <w:tblPrEx>
          <w:tblCellMar>
            <w:top w:w="0" w:type="dxa"/>
            <w:left w:w="108" w:type="dxa"/>
            <w:bottom w:w="0" w:type="dxa"/>
            <w:right w:w="108" w:type="dxa"/>
          </w:tblCellMar>
        </w:tblPrEx>
        <w:trPr>
          <w:trHeight w:val="454" w:hRule="atLeast"/>
          <w:jc w:val="center"/>
        </w:trPr>
        <w:tc>
          <w:tcPr>
            <w:tcW w:w="718" w:type="pct"/>
            <w:tcBorders>
              <w:top w:val="single" w:color="000000" w:sz="6" w:space="0"/>
              <w:left w:val="single" w:color="000000" w:sz="4" w:space="0"/>
              <w:bottom w:val="single" w:color="000000" w:sz="6" w:space="0"/>
              <w:right w:val="single" w:color="000000" w:sz="6" w:space="0"/>
            </w:tcBorders>
            <w:noWrap w:val="0"/>
            <w:vAlign w:val="center"/>
          </w:tcPr>
          <w:p w14:paraId="700E2CC5">
            <w:pPr>
              <w:pStyle w:val="127"/>
              <w:keepNext w:val="0"/>
              <w:keepLines w:val="0"/>
              <w:widowControl/>
              <w:suppressLineNumbers w:val="0"/>
              <w:spacing w:before="0" w:beforeAutospacing="0" w:after="0" w:afterAutospacing="0"/>
              <w:ind w:left="0" w:right="0"/>
              <w:rPr>
                <w:rFonts w:hint="default"/>
                <w:color w:val="000000"/>
              </w:rPr>
            </w:pPr>
            <w:r>
              <w:rPr>
                <w:rFonts w:hint="eastAsia"/>
              </w:rPr>
              <w:t>联系电话</w:t>
            </w:r>
          </w:p>
        </w:tc>
        <w:tc>
          <w:tcPr>
            <w:tcW w:w="2062" w:type="pct"/>
            <w:tcBorders>
              <w:top w:val="single" w:color="000000" w:sz="6" w:space="0"/>
              <w:left w:val="single" w:color="000000" w:sz="6" w:space="0"/>
              <w:bottom w:val="single" w:color="000000" w:sz="6" w:space="0"/>
              <w:right w:val="single" w:color="000000" w:sz="6" w:space="0"/>
            </w:tcBorders>
            <w:noWrap w:val="0"/>
            <w:vAlign w:val="center"/>
          </w:tcPr>
          <w:p w14:paraId="7A3F292C">
            <w:pPr>
              <w:pStyle w:val="127"/>
              <w:keepNext w:val="0"/>
              <w:keepLines w:val="0"/>
              <w:widowControl/>
              <w:suppressLineNumbers w:val="0"/>
              <w:spacing w:before="0" w:beforeAutospacing="0" w:after="0" w:afterAutospacing="0"/>
              <w:ind w:left="0" w:right="0"/>
              <w:rPr>
                <w:rFonts w:hint="default" w:eastAsia="宋体"/>
                <w:color w:val="000000"/>
                <w:lang w:val="en-US" w:eastAsia="zh-CN"/>
              </w:rPr>
            </w:pPr>
            <w:r>
              <w:rPr>
                <w:rFonts w:hint="eastAsia"/>
                <w:color w:val="000000"/>
                <w:lang w:val="en-US" w:eastAsia="zh-CN"/>
              </w:rPr>
              <w:t>18653326898</w:t>
            </w:r>
          </w:p>
        </w:tc>
        <w:tc>
          <w:tcPr>
            <w:tcW w:w="883" w:type="pct"/>
            <w:tcBorders>
              <w:top w:val="single" w:color="000000" w:sz="6" w:space="0"/>
              <w:left w:val="single" w:color="000000" w:sz="6" w:space="0"/>
              <w:bottom w:val="single" w:color="000000" w:sz="6" w:space="0"/>
              <w:right w:val="single" w:color="000000" w:sz="6" w:space="0"/>
            </w:tcBorders>
            <w:noWrap w:val="0"/>
            <w:vAlign w:val="center"/>
          </w:tcPr>
          <w:p w14:paraId="35376452">
            <w:pPr>
              <w:pStyle w:val="127"/>
              <w:keepNext w:val="0"/>
              <w:keepLines w:val="0"/>
              <w:widowControl/>
              <w:suppressLineNumbers w:val="0"/>
              <w:spacing w:before="0" w:beforeAutospacing="0" w:after="0" w:afterAutospacing="0"/>
              <w:ind w:left="0" w:right="0"/>
              <w:rPr>
                <w:rFonts w:hint="default"/>
                <w:color w:val="000000"/>
              </w:rPr>
            </w:pPr>
            <w:r>
              <w:rPr>
                <w:rFonts w:hint="eastAsia"/>
              </w:rPr>
              <w:t>历史事故</w:t>
            </w:r>
          </w:p>
        </w:tc>
        <w:tc>
          <w:tcPr>
            <w:tcW w:w="1337" w:type="pct"/>
            <w:tcBorders>
              <w:top w:val="single" w:color="000000" w:sz="6" w:space="0"/>
              <w:left w:val="single" w:color="000000" w:sz="6" w:space="0"/>
              <w:bottom w:val="single" w:color="000000" w:sz="6" w:space="0"/>
              <w:right w:val="single" w:color="000000" w:sz="4" w:space="0"/>
            </w:tcBorders>
            <w:noWrap w:val="0"/>
            <w:vAlign w:val="center"/>
          </w:tcPr>
          <w:p w14:paraId="35C6099E">
            <w:pPr>
              <w:pStyle w:val="127"/>
              <w:keepNext w:val="0"/>
              <w:keepLines w:val="0"/>
              <w:widowControl/>
              <w:suppressLineNumbers w:val="0"/>
              <w:spacing w:before="0" w:beforeAutospacing="0" w:after="0" w:afterAutospacing="0"/>
              <w:ind w:left="0" w:right="0"/>
              <w:rPr>
                <w:rFonts w:hint="default"/>
                <w:color w:val="000000"/>
              </w:rPr>
            </w:pPr>
            <w:r>
              <w:rPr>
                <w:rFonts w:hint="default"/>
              </w:rPr>
              <w:t>无</w:t>
            </w:r>
          </w:p>
        </w:tc>
      </w:tr>
      <w:bookmarkEnd w:id="33"/>
    </w:tbl>
    <w:p w14:paraId="235ACA55">
      <w:pPr>
        <w:pStyle w:val="128"/>
        <w:keepNext w:val="0"/>
        <w:keepLines w:val="0"/>
        <w:pageBreakBefore w:val="0"/>
        <w:widowControl w:val="0"/>
        <w:kinsoku/>
        <w:wordWrap/>
        <w:overflowPunct/>
        <w:topLinePunct w:val="0"/>
        <w:autoSpaceDE/>
        <w:autoSpaceDN/>
        <w:bidi w:val="0"/>
        <w:textAlignment w:val="auto"/>
        <w:rPr>
          <w:rFonts w:hint="eastAsia"/>
          <w:color w:val="auto"/>
          <w:lang w:val="en-US" w:eastAsia="zh-CN"/>
        </w:rPr>
      </w:pPr>
      <w:r>
        <w:rPr>
          <w:rFonts w:hint="eastAsia"/>
          <w:color w:val="auto"/>
          <w:lang w:val="en-US" w:eastAsia="zh-CN"/>
        </w:rPr>
        <w:t>公司三级安全标准化于2022年11月11日由《淄博市应急管理局关于公布淄博市三级安全标准化危险化学品企业名单的通知（第七十六批）》（淄应急函[2022]34号）进行公布，证书编号为AQB370305WHⅢ2022000048，有效期至2025年11月10日。</w:t>
      </w:r>
    </w:p>
    <w:p w14:paraId="062767E0">
      <w:pPr>
        <w:pStyle w:val="128"/>
        <w:keepNext w:val="0"/>
        <w:keepLines w:val="0"/>
        <w:pageBreakBefore w:val="0"/>
        <w:widowControl w:val="0"/>
        <w:kinsoku/>
        <w:wordWrap/>
        <w:overflowPunct/>
        <w:topLinePunct w:val="0"/>
        <w:autoSpaceDE/>
        <w:autoSpaceDN/>
        <w:bidi w:val="0"/>
        <w:textAlignment w:val="auto"/>
        <w:rPr>
          <w:rFonts w:hint="eastAsia"/>
          <w:color w:val="auto"/>
          <w:lang w:val="en-US" w:eastAsia="zh-CN"/>
        </w:rPr>
      </w:pPr>
      <w:r>
        <w:rPr>
          <w:rFonts w:hint="eastAsia"/>
          <w:color w:val="auto"/>
          <w:lang w:val="en-US" w:eastAsia="zh-CN"/>
        </w:rPr>
        <w:t>该公司已建立双重预防体系，下发了《风险分级管控管理制度》和《事故隐患排查治理制度》，建立了作业活动清单、设备设施清单、风险分级管控清单、隐患排查治理清单，目前公司双重预防体系运行正常。</w:t>
      </w:r>
    </w:p>
    <w:p w14:paraId="20BEB7C1">
      <w:pPr>
        <w:pStyle w:val="128"/>
        <w:keepNext w:val="0"/>
        <w:keepLines w:val="0"/>
        <w:pageBreakBefore w:val="0"/>
        <w:widowControl w:val="0"/>
        <w:kinsoku/>
        <w:wordWrap/>
        <w:overflowPunct/>
        <w:topLinePunct w:val="0"/>
        <w:autoSpaceDE/>
        <w:autoSpaceDN/>
        <w:bidi w:val="0"/>
        <w:textAlignment w:val="auto"/>
        <w:rPr>
          <w:rFonts w:hint="eastAsia"/>
          <w:color w:val="auto"/>
          <w:lang w:val="en-US" w:eastAsia="zh-CN"/>
        </w:rPr>
      </w:pPr>
      <w:r>
        <w:rPr>
          <w:rFonts w:hint="eastAsia"/>
          <w:color w:val="auto"/>
          <w:lang w:val="en-US" w:eastAsia="zh-CN"/>
        </w:rPr>
        <w:t>公司与淄博元齐生物有限公司、山东隆盛和助剂有限公司在同一厂区内。厂区北面为乙烯路，路北为齐鲁石化储运厂；南面为乙烯南路；东面为齐鲁石化变电站和淄博源丰达工贸有限公司；西面为齐鲁石化公司管廊。</w:t>
      </w:r>
    </w:p>
    <w:p w14:paraId="5DCE30A0">
      <w:pPr>
        <w:pageBreakBefore w:val="0"/>
        <w:widowControl w:val="0"/>
        <w:kinsoku/>
        <w:wordWrap/>
        <w:overflowPunct/>
        <w:topLinePunct w:val="0"/>
        <w:autoSpaceDE/>
        <w:autoSpaceDN/>
        <w:bidi w:val="0"/>
        <w:spacing w:before="0" w:after="0" w:line="360" w:lineRule="auto"/>
        <w:textAlignment w:val="auto"/>
        <w:outlineLvl w:val="9"/>
        <w:rPr>
          <w:rFonts w:hint="default" w:ascii="Times New Roman" w:hAnsi="Times New Roman" w:cs="Times New Roman"/>
          <w:b/>
          <w:bCs/>
          <w:color w:val="auto"/>
          <w:sz w:val="24"/>
          <w:szCs w:val="32"/>
          <w:highlight w:val="none"/>
        </w:rPr>
      </w:pPr>
      <w:r>
        <w:rPr>
          <w:rFonts w:hint="default" w:ascii="Times New Roman" w:hAnsi="Times New Roman" w:cs="Times New Roman"/>
          <w:b/>
          <w:bCs/>
          <w:color w:val="auto"/>
          <w:sz w:val="24"/>
          <w:szCs w:val="32"/>
          <w:highlight w:val="none"/>
        </w:rPr>
        <w:t>3.1.2 企业所在地自然环境概况</w:t>
      </w:r>
    </w:p>
    <w:p w14:paraId="47E0A45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24"/>
          <w:lang w:val="en-US" w:eastAsia="zh-CN"/>
        </w:rPr>
      </w:pPr>
      <w:r>
        <w:rPr>
          <w:rFonts w:hint="eastAsia"/>
          <w:sz w:val="24"/>
          <w:szCs w:val="24"/>
          <w:lang w:val="en-US" w:eastAsia="zh-CN"/>
        </w:rPr>
        <w:t>1、</w:t>
      </w:r>
      <w:r>
        <w:rPr>
          <w:rFonts w:hint="default"/>
          <w:sz w:val="24"/>
          <w:szCs w:val="24"/>
          <w:lang w:val="en-US" w:eastAsia="zh-CN"/>
        </w:rPr>
        <w:t>地理位置</w:t>
      </w:r>
    </w:p>
    <w:p w14:paraId="7CE14D89">
      <w:pPr>
        <w:keepNext w:val="0"/>
        <w:keepLines w:val="0"/>
        <w:pageBreakBefore w:val="0"/>
        <w:widowControl w:val="0"/>
        <w:kinsoku/>
        <w:wordWrap/>
        <w:overflowPunct/>
        <w:topLinePunct w:val="0"/>
        <w:autoSpaceDE/>
        <w:autoSpaceDN/>
        <w:bidi w:val="0"/>
        <w:adjustRightInd/>
        <w:snapToGrid/>
        <w:spacing w:line="360" w:lineRule="auto"/>
        <w:ind w:firstLine="486" w:firstLineChars="200"/>
        <w:textAlignment w:val="auto"/>
        <w:rPr>
          <w:rFonts w:hint="default"/>
          <w:sz w:val="24"/>
          <w:szCs w:val="24"/>
          <w:lang w:val="en-US" w:eastAsia="zh-CN"/>
        </w:rPr>
      </w:pPr>
      <w:r>
        <w:rPr>
          <w:rFonts w:hint="default"/>
          <w:sz w:val="24"/>
          <w:szCs w:val="24"/>
          <w:lang w:val="en-US" w:eastAsia="zh-CN"/>
        </w:rPr>
        <w:t>淄博市位于山东省中部鲁中山地与鲁北平原的交接地带，东邻潍坊市，东北与东营相连，北接滨州市，南靠临沂市，西与济南、莱芜两市接壤。东北部距离渤海湾约50公里。市域范围介于北纬35°55′22″～37°17′14″、东经117°32′15″～118°31′00″南北狭长的地域之间，东西最大横距离87km，南北最大纵距151km，总面积5964.4km2，是中国重要的工业基地和历史文化名城，著名的“陶瓷之都”、“石化之城”。</w:t>
      </w:r>
    </w:p>
    <w:p w14:paraId="68FBA45A">
      <w:pPr>
        <w:keepNext w:val="0"/>
        <w:keepLines w:val="0"/>
        <w:pageBreakBefore w:val="0"/>
        <w:widowControl w:val="0"/>
        <w:kinsoku/>
        <w:wordWrap/>
        <w:overflowPunct/>
        <w:topLinePunct w:val="0"/>
        <w:autoSpaceDE/>
        <w:autoSpaceDN/>
        <w:bidi w:val="0"/>
        <w:adjustRightInd/>
        <w:snapToGrid/>
        <w:spacing w:line="360" w:lineRule="auto"/>
        <w:ind w:firstLine="486" w:firstLineChars="200"/>
        <w:textAlignment w:val="auto"/>
        <w:rPr>
          <w:rFonts w:hint="default"/>
          <w:sz w:val="24"/>
          <w:szCs w:val="24"/>
          <w:lang w:val="en-US" w:eastAsia="zh-CN"/>
        </w:rPr>
      </w:pPr>
      <w:r>
        <w:rPr>
          <w:rFonts w:hint="default"/>
          <w:sz w:val="24"/>
          <w:szCs w:val="24"/>
          <w:lang w:val="en-US" w:eastAsia="zh-CN"/>
        </w:rPr>
        <w:t>临淄区位于淄博市东北部，东经118°08′～118°30′，北纬36°39′～37°37′。东临青州市，北与厂饶县、博兴县接壤，西与张店区、桓台县相邻，南与淄川区、青州市连接，地理适中，交通发达，是沟通中原地区和山东半岛的咽喉要道。项目位于齐鲁化学工业区乙烯路299号</w:t>
      </w:r>
      <w:r>
        <w:rPr>
          <w:rFonts w:hint="eastAsia"/>
          <w:sz w:val="24"/>
          <w:szCs w:val="24"/>
          <w:lang w:val="en-US" w:eastAsia="zh-CN"/>
        </w:rPr>
        <w:t>。</w:t>
      </w:r>
    </w:p>
    <w:p w14:paraId="0110AA1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24"/>
          <w:lang w:val="en-US" w:eastAsia="zh-CN"/>
        </w:rPr>
      </w:pPr>
      <w:bookmarkStart w:id="34" w:name="_Toc462200021"/>
      <w:bookmarkStart w:id="35" w:name="_Toc463584687"/>
      <w:bookmarkStart w:id="36" w:name="_Toc245261083"/>
      <w:bookmarkStart w:id="37" w:name="_Toc247420431"/>
      <w:bookmarkStart w:id="38" w:name="_Toc247625204"/>
      <w:r>
        <w:rPr>
          <w:rFonts w:hint="eastAsia"/>
          <w:sz w:val="24"/>
          <w:szCs w:val="24"/>
          <w:lang w:val="en-US" w:eastAsia="zh-CN"/>
        </w:rPr>
        <w:t>2、</w:t>
      </w:r>
      <w:r>
        <w:rPr>
          <w:rFonts w:hint="default"/>
          <w:sz w:val="24"/>
          <w:szCs w:val="24"/>
          <w:lang w:val="en-US" w:eastAsia="zh-CN"/>
        </w:rPr>
        <w:t>地形地貌</w:t>
      </w:r>
    </w:p>
    <w:p w14:paraId="0E1D82AC">
      <w:pPr>
        <w:keepNext w:val="0"/>
        <w:keepLines w:val="0"/>
        <w:pageBreakBefore w:val="0"/>
        <w:widowControl w:val="0"/>
        <w:kinsoku/>
        <w:wordWrap/>
        <w:overflowPunct/>
        <w:topLinePunct w:val="0"/>
        <w:autoSpaceDE/>
        <w:autoSpaceDN/>
        <w:bidi w:val="0"/>
        <w:adjustRightInd/>
        <w:snapToGrid/>
        <w:spacing w:line="360" w:lineRule="auto"/>
        <w:ind w:firstLine="486" w:firstLineChars="200"/>
        <w:textAlignment w:val="auto"/>
        <w:rPr>
          <w:rFonts w:hint="default"/>
          <w:sz w:val="24"/>
          <w:szCs w:val="24"/>
          <w:lang w:val="en-US" w:eastAsia="zh-CN"/>
        </w:rPr>
      </w:pPr>
      <w:r>
        <w:rPr>
          <w:rFonts w:hint="default"/>
          <w:sz w:val="24"/>
          <w:szCs w:val="24"/>
          <w:lang w:val="en-US" w:eastAsia="zh-CN"/>
        </w:rPr>
        <w:t>淄博市地处华北地台鲁西台北斜鲁中隆断区的北缘，为一向斜构造，称“淄博向斜”。构造特征是褶皱平缓舒展而不甚发育，除较高一级的“淄博向斜”外，其它系与“淄博向斜”相伴生的次级小型褶皱；区内断层构造较为发育，尤以张性正断层为主，纵横切割。岩浆岩石分布面广，并具有多期活动的特点。主要有金岭闪长岩杂岩体、昆仑辉长岩体等。地势南高北低，南部及东西两翼山峦起伏跌宕，中部低陷向北倾伏，南北落差千余米。以胶济铁路为界，以南大部分为山区、丘陵，岩溶地貌发达；以北大部分为山前冲积平原和黄泛平原，土地平坦肥沃。北部有黄河、小清河流经，发源于淄博的河流有沂河、淄河、孝妇河等。全市山区、丘陵、平原面积分别占全市总面积的42%、29.9%和28.1%。</w:t>
      </w:r>
    </w:p>
    <w:p w14:paraId="2AF6517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24"/>
          <w:lang w:val="en-US" w:eastAsia="zh-CN"/>
        </w:rPr>
      </w:pPr>
      <w:r>
        <w:rPr>
          <w:rFonts w:hint="default"/>
          <w:sz w:val="24"/>
          <w:szCs w:val="24"/>
          <w:lang w:val="en-US" w:eastAsia="zh-CN"/>
        </w:rPr>
        <w:t>临淄区在大地构造单元上隶属华北地台区的鲁西断块之鲁中南隆起区的北缘，地层属鲁西地层分区。该区地势由南向北逐渐变缓，西南部为连绵起伏的低山丘陵，东北部为冲积平原，地势西南高、东北低，由西南向东北倾斜。</w:t>
      </w:r>
    </w:p>
    <w:p w14:paraId="0F143EFC">
      <w:pPr>
        <w:keepNext w:val="0"/>
        <w:keepLines w:val="0"/>
        <w:pageBreakBefore w:val="0"/>
        <w:widowControl w:val="0"/>
        <w:kinsoku/>
        <w:wordWrap/>
        <w:overflowPunct/>
        <w:topLinePunct w:val="0"/>
        <w:autoSpaceDE/>
        <w:autoSpaceDN/>
        <w:bidi w:val="0"/>
        <w:adjustRightInd/>
        <w:snapToGrid/>
        <w:spacing w:line="360" w:lineRule="auto"/>
        <w:ind w:firstLine="486" w:firstLineChars="200"/>
        <w:textAlignment w:val="auto"/>
        <w:rPr>
          <w:rFonts w:hint="default"/>
          <w:sz w:val="24"/>
          <w:szCs w:val="24"/>
          <w:lang w:val="en-US" w:eastAsia="zh-CN"/>
        </w:rPr>
      </w:pPr>
      <w:r>
        <w:rPr>
          <w:rFonts w:hint="default"/>
          <w:sz w:val="24"/>
          <w:szCs w:val="24"/>
          <w:lang w:val="en-US" w:eastAsia="zh-CN"/>
        </w:rPr>
        <w:t>项目厂址所在齐鲁化学工业区位于平原与丘陵的交接地段，厂址以南为低山丘陵，成东西向分布，丘陵向北展开，南高北低。区内有多条冲沟纵贯其间，广泛分布第四系覆盖层，东厚西薄，西侧有部分基岩裸露。其地貌按成因类型分为构造剥蚀地貌与剥蚀堆积地貌。</w:t>
      </w:r>
    </w:p>
    <w:p w14:paraId="6CDF3BDE">
      <w:pPr>
        <w:keepNext w:val="0"/>
        <w:keepLines w:val="0"/>
        <w:pageBreakBefore w:val="0"/>
        <w:widowControl w:val="0"/>
        <w:kinsoku/>
        <w:wordWrap/>
        <w:overflowPunct/>
        <w:topLinePunct w:val="0"/>
        <w:autoSpaceDE/>
        <w:autoSpaceDN/>
        <w:bidi w:val="0"/>
        <w:adjustRightInd/>
        <w:snapToGrid/>
        <w:spacing w:line="360" w:lineRule="auto"/>
        <w:ind w:firstLine="486" w:firstLineChars="200"/>
        <w:textAlignment w:val="auto"/>
        <w:rPr>
          <w:rFonts w:hint="default"/>
          <w:sz w:val="24"/>
          <w:szCs w:val="24"/>
          <w:lang w:val="en-US" w:eastAsia="zh-CN"/>
        </w:rPr>
      </w:pPr>
      <w:r>
        <w:rPr>
          <w:rFonts w:hint="default"/>
          <w:sz w:val="24"/>
          <w:szCs w:val="24"/>
          <w:lang w:val="en-US" w:eastAsia="zh-CN"/>
        </w:rPr>
        <w:t>区域各岩性层分布及厚度变化相对较稳定，上部砂质粘土厚度9.3～10.5m，粘土厚度3.2～3.5m；中部砂质粘土和粘土厚度变薄，厚度分别为4～5m 和1.5～2.5m；底部粘土胶结碎石层厚度多小于1m，一般0.4～0.7m。碎石成份为石灰岩，棱角、次棱角状，属坡洪积物。</w:t>
      </w:r>
    </w:p>
    <w:bookmarkEnd w:id="34"/>
    <w:bookmarkEnd w:id="35"/>
    <w:p w14:paraId="0AB39F1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24"/>
          <w:lang w:val="en-US" w:eastAsia="zh-CN"/>
        </w:rPr>
      </w:pPr>
      <w:r>
        <w:rPr>
          <w:rFonts w:hint="eastAsia"/>
          <w:sz w:val="24"/>
          <w:szCs w:val="24"/>
          <w:lang w:val="en-US" w:eastAsia="zh-CN"/>
        </w:rPr>
        <w:t>3、</w:t>
      </w:r>
      <w:r>
        <w:rPr>
          <w:rFonts w:hint="default"/>
          <w:sz w:val="24"/>
          <w:szCs w:val="24"/>
          <w:lang w:val="en-US" w:eastAsia="zh-CN"/>
        </w:rPr>
        <w:t>气候气象</w:t>
      </w:r>
    </w:p>
    <w:p w14:paraId="336032B5">
      <w:pPr>
        <w:keepNext w:val="0"/>
        <w:keepLines w:val="0"/>
        <w:pageBreakBefore w:val="0"/>
        <w:widowControl w:val="0"/>
        <w:kinsoku/>
        <w:wordWrap/>
        <w:overflowPunct/>
        <w:topLinePunct w:val="0"/>
        <w:autoSpaceDE/>
        <w:autoSpaceDN/>
        <w:bidi w:val="0"/>
        <w:adjustRightInd/>
        <w:snapToGrid/>
        <w:spacing w:line="360" w:lineRule="auto"/>
        <w:ind w:firstLine="486" w:firstLineChars="200"/>
        <w:textAlignment w:val="auto"/>
        <w:rPr>
          <w:rFonts w:hint="default"/>
          <w:sz w:val="24"/>
          <w:szCs w:val="24"/>
          <w:lang w:val="en-US" w:eastAsia="zh-CN"/>
        </w:rPr>
      </w:pPr>
      <w:r>
        <w:rPr>
          <w:rFonts w:hint="default"/>
          <w:sz w:val="24"/>
          <w:szCs w:val="24"/>
          <w:lang w:val="en-US" w:eastAsia="zh-CN"/>
        </w:rPr>
        <w:t>临淄位于山东省的中部，属暖温带季风大陆性气候。冬季寒冷、雨雪稀少；春季回暖快，多风，雨水较少；夏季雨热同季、降水集中；秋季日照充足、多晴好天气。</w:t>
      </w:r>
    </w:p>
    <w:p w14:paraId="01A89093">
      <w:pPr>
        <w:keepNext w:val="0"/>
        <w:keepLines w:val="0"/>
        <w:pageBreakBefore w:val="0"/>
        <w:widowControl w:val="0"/>
        <w:kinsoku/>
        <w:wordWrap/>
        <w:overflowPunct/>
        <w:topLinePunct w:val="0"/>
        <w:autoSpaceDE/>
        <w:autoSpaceDN/>
        <w:bidi w:val="0"/>
        <w:adjustRightInd/>
        <w:snapToGrid/>
        <w:spacing w:line="360" w:lineRule="auto"/>
        <w:ind w:firstLine="486" w:firstLineChars="200"/>
        <w:textAlignment w:val="auto"/>
        <w:outlineLvl w:val="9"/>
        <w:rPr>
          <w:rFonts w:hint="eastAsia" w:ascii="宋体" w:hAnsi="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临淄区近五年年均气温为13.7℃，年均降雨量697.7mm，全年平均主导风向为ESE，蒸发量1618.0mm，相对湿度63%，平均风速2.02m/s。</w:t>
      </w:r>
      <w:r>
        <w:rPr>
          <w:rFonts w:hint="eastAsia" w:ascii="宋体" w:hAnsi="宋体" w:cs="宋体"/>
          <w:color w:val="000000" w:themeColor="text1"/>
          <w:sz w:val="24"/>
          <w:szCs w:val="24"/>
          <w:lang w:val="en-US" w:eastAsia="zh-CN"/>
          <w14:textFill>
            <w14:solidFill>
              <w14:schemeClr w14:val="tx1"/>
            </w14:solidFill>
          </w14:textFill>
        </w:rPr>
        <w:t>近年偶发短时强降雨，无持续干旱或洪涝。</w:t>
      </w:r>
    </w:p>
    <w:p w14:paraId="4C364CB3">
      <w:pPr>
        <w:keepNext w:val="0"/>
        <w:keepLines w:val="0"/>
        <w:pageBreakBefore w:val="0"/>
        <w:widowControl w:val="0"/>
        <w:kinsoku/>
        <w:wordWrap/>
        <w:overflowPunct/>
        <w:topLinePunct w:val="0"/>
        <w:autoSpaceDE/>
        <w:autoSpaceDN/>
        <w:bidi w:val="0"/>
        <w:adjustRightInd/>
        <w:snapToGrid/>
        <w:spacing w:line="360" w:lineRule="auto"/>
        <w:ind w:firstLine="486" w:firstLineChars="200"/>
        <w:textAlignment w:val="auto"/>
        <w:outlineLvl w:val="9"/>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历史上极端天气和自然灾害包括：1992年的极端最低气温-23℃，2017年曾出现过40.9℃的高温，2022年7月发布高温橙色预警，随后出现雷阵雨和大雨，局部伴有7-9级雷雨阵风。2023年12月普降大雪并伴有大风降温。</w:t>
      </w:r>
    </w:p>
    <w:p w14:paraId="05898842">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淄博市年风向玫瑰图如下：</w:t>
      </w:r>
    </w:p>
    <w:p w14:paraId="3B78E271">
      <w:pPr>
        <w:pStyle w:val="2"/>
        <w:rPr>
          <w:rFonts w:hint="eastAsia"/>
          <w:lang w:val="en-US" w:eastAsia="zh-CN"/>
        </w:rPr>
      </w:pPr>
      <w:r>
        <w:rPr>
          <w:rFonts w:hint="eastAsia"/>
          <w:lang w:val="en-US" w:eastAsia="zh-CN"/>
        </w:rPr>
        <w:drawing>
          <wp:anchor distT="0" distB="0" distL="114300" distR="114300" simplePos="0" relativeHeight="251671552" behindDoc="0" locked="0" layoutInCell="1" allowOverlap="1">
            <wp:simplePos x="0" y="0"/>
            <wp:positionH relativeFrom="column">
              <wp:posOffset>1301750</wp:posOffset>
            </wp:positionH>
            <wp:positionV relativeFrom="paragraph">
              <wp:posOffset>242570</wp:posOffset>
            </wp:positionV>
            <wp:extent cx="3377565" cy="2028825"/>
            <wp:effectExtent l="0" t="0" r="13335" b="9525"/>
            <wp:wrapSquare wrapText="bothSides"/>
            <wp:docPr id="1" name="图片 1" descr="cda1cbc1cece61966f6de886808acc9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da1cbc1cece61966f6de886808acc9d"/>
                    <pic:cNvPicPr>
                      <a:picLocks noChangeAspect="1"/>
                    </pic:cNvPicPr>
                  </pic:nvPicPr>
                  <pic:blipFill>
                    <a:blip r:embed="rId11"/>
                    <a:srcRect l="9719" r="18322" b="13732"/>
                    <a:stretch>
                      <a:fillRect/>
                    </a:stretch>
                  </pic:blipFill>
                  <pic:spPr>
                    <a:xfrm>
                      <a:off x="0" y="0"/>
                      <a:ext cx="3377565" cy="2028825"/>
                    </a:xfrm>
                    <a:prstGeom prst="rect">
                      <a:avLst/>
                    </a:prstGeom>
                  </pic:spPr>
                </pic:pic>
              </a:graphicData>
            </a:graphic>
          </wp:anchor>
        </w:drawing>
      </w:r>
    </w:p>
    <w:p w14:paraId="2CB2AE7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lang w:val="en-US" w:eastAsia="zh-CN"/>
        </w:rPr>
      </w:pPr>
    </w:p>
    <w:p w14:paraId="1C95669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lang w:val="en-US" w:eastAsia="zh-CN"/>
        </w:rPr>
      </w:pPr>
    </w:p>
    <w:p w14:paraId="646B5AA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lang w:val="en-US" w:eastAsia="zh-CN"/>
        </w:rPr>
      </w:pPr>
    </w:p>
    <w:p w14:paraId="7296000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lang w:val="en-US" w:eastAsia="zh-CN"/>
        </w:rPr>
      </w:pPr>
    </w:p>
    <w:p w14:paraId="46161AB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lang w:val="en-US" w:eastAsia="zh-CN"/>
        </w:rPr>
      </w:pPr>
    </w:p>
    <w:p w14:paraId="3B08746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lang w:val="en-US" w:eastAsia="zh-CN"/>
        </w:rPr>
      </w:pPr>
    </w:p>
    <w:p w14:paraId="220B8F8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lang w:val="en-US" w:eastAsia="zh-CN"/>
        </w:rPr>
      </w:pPr>
    </w:p>
    <w:p w14:paraId="2168233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lang w:val="en-US" w:eastAsia="zh-CN"/>
        </w:rPr>
      </w:pPr>
    </w:p>
    <w:p w14:paraId="53E308D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24"/>
          <w:lang w:val="en-US" w:eastAsia="zh-CN"/>
        </w:rPr>
      </w:pPr>
      <w:r>
        <w:rPr>
          <w:rFonts w:hint="eastAsia"/>
          <w:sz w:val="24"/>
          <w:szCs w:val="24"/>
          <w:lang w:val="en-US" w:eastAsia="zh-CN"/>
        </w:rPr>
        <w:t>4、</w:t>
      </w:r>
      <w:r>
        <w:rPr>
          <w:rFonts w:hint="default"/>
          <w:sz w:val="24"/>
          <w:szCs w:val="24"/>
          <w:lang w:val="en-US" w:eastAsia="zh-CN"/>
        </w:rPr>
        <w:t>地表水</w:t>
      </w:r>
    </w:p>
    <w:p w14:paraId="2B114BF5">
      <w:pPr>
        <w:keepNext w:val="0"/>
        <w:keepLines w:val="0"/>
        <w:pageBreakBefore w:val="0"/>
        <w:widowControl w:val="0"/>
        <w:kinsoku/>
        <w:wordWrap/>
        <w:overflowPunct/>
        <w:topLinePunct w:val="0"/>
        <w:autoSpaceDE/>
        <w:autoSpaceDN/>
        <w:bidi w:val="0"/>
        <w:adjustRightInd/>
        <w:snapToGrid/>
        <w:spacing w:line="360" w:lineRule="auto"/>
        <w:ind w:firstLine="486" w:firstLineChars="200"/>
        <w:textAlignment w:val="auto"/>
        <w:rPr>
          <w:rFonts w:hint="default"/>
          <w:sz w:val="24"/>
          <w:szCs w:val="24"/>
          <w:lang w:val="en-US" w:eastAsia="zh-CN"/>
        </w:rPr>
      </w:pPr>
      <w:r>
        <w:rPr>
          <w:rFonts w:hint="default"/>
          <w:sz w:val="24"/>
          <w:szCs w:val="24"/>
          <w:lang w:val="en-US" w:eastAsia="zh-CN"/>
        </w:rPr>
        <w:t>临淄区境内河流属小清河水系，主要有淄河、乌河，另外还有其它小河沟。河流流向受地貌控制，多呈南北向。</w:t>
      </w:r>
    </w:p>
    <w:p w14:paraId="598910CA">
      <w:pPr>
        <w:keepNext w:val="0"/>
        <w:keepLines w:val="0"/>
        <w:pageBreakBefore w:val="0"/>
        <w:widowControl w:val="0"/>
        <w:kinsoku/>
        <w:wordWrap/>
        <w:overflowPunct/>
        <w:topLinePunct w:val="0"/>
        <w:autoSpaceDE/>
        <w:autoSpaceDN/>
        <w:bidi w:val="0"/>
        <w:adjustRightInd/>
        <w:snapToGrid/>
        <w:spacing w:line="360" w:lineRule="auto"/>
        <w:ind w:firstLine="486" w:firstLineChars="200"/>
        <w:textAlignment w:val="auto"/>
        <w:rPr>
          <w:rFonts w:hint="default"/>
          <w:sz w:val="24"/>
          <w:szCs w:val="24"/>
          <w:lang w:val="en-US" w:eastAsia="zh-CN"/>
        </w:rPr>
      </w:pPr>
      <w:r>
        <w:rPr>
          <w:rFonts w:hint="default"/>
          <w:sz w:val="24"/>
          <w:szCs w:val="24"/>
          <w:lang w:val="en-US" w:eastAsia="zh-CN"/>
        </w:rPr>
        <w:t>淄河发源分为东西二支：东支发源于鲁山主峰北麓的池上镇境内；西支发源于鲁山西麓、莱芜市常庄乡碌主山东麓，下庄乡境内。该河系沿淄博断裂带发育而成。流经淄博市博山区、淄川区、临淄区，在临淄区白兔丘村北约1.5km 处入广饶县，并于该县北堤村北入小清河，全长178.7km，流域面积1397km2，河宽上游段在20～300m 之间，中、下游段在300～1500m 间，深约2～7m。出境断面以上多年平均径流量为2.18 亿m3，白兔丘站实测多年平均径流量为1.08 亿m3，两者之差主要是河渗漏所致，故素有“淄河十八漏”之说。淄河为季节性河流，雨季多为山洪暴发，洪水突起，来势汹汹，平时多为干涸。</w:t>
      </w:r>
    </w:p>
    <w:p w14:paraId="5870C7DE">
      <w:pPr>
        <w:keepNext w:val="0"/>
        <w:keepLines w:val="0"/>
        <w:pageBreakBefore w:val="0"/>
        <w:widowControl w:val="0"/>
        <w:kinsoku/>
        <w:wordWrap/>
        <w:overflowPunct/>
        <w:topLinePunct w:val="0"/>
        <w:autoSpaceDE/>
        <w:autoSpaceDN/>
        <w:bidi w:val="0"/>
        <w:adjustRightInd/>
        <w:snapToGrid/>
        <w:spacing w:line="360" w:lineRule="auto"/>
        <w:ind w:firstLine="486" w:firstLineChars="200"/>
        <w:textAlignment w:val="auto"/>
        <w:rPr>
          <w:rFonts w:hint="default"/>
          <w:sz w:val="24"/>
          <w:szCs w:val="24"/>
          <w:lang w:val="en-US" w:eastAsia="zh-CN"/>
        </w:rPr>
      </w:pPr>
      <w:r>
        <w:rPr>
          <w:rFonts w:hint="default"/>
          <w:sz w:val="24"/>
          <w:szCs w:val="24"/>
          <w:lang w:val="en-US" w:eastAsia="zh-CN"/>
        </w:rPr>
        <w:t>乌河发源于临淄区大武镇南部山丘地带，流经该区路山镇，在六天务村西入桓台县，再经桓台县侯庄、索镇、耿桥、起凤等镇，在夏庄村北入小清河入博兴县。河长52.5km，河宽20～50m，河槽深2～3m，乌河属泉水河，目前已无水体，最大洪水流量82.9m3/s。流域面积为462.5km2。</w:t>
      </w:r>
    </w:p>
    <w:p w14:paraId="555BEC25">
      <w:pPr>
        <w:keepNext w:val="0"/>
        <w:keepLines w:val="0"/>
        <w:pageBreakBefore w:val="0"/>
        <w:widowControl w:val="0"/>
        <w:kinsoku/>
        <w:wordWrap/>
        <w:overflowPunct/>
        <w:topLinePunct w:val="0"/>
        <w:autoSpaceDE/>
        <w:autoSpaceDN/>
        <w:bidi w:val="0"/>
        <w:adjustRightInd/>
        <w:snapToGrid/>
        <w:spacing w:line="360" w:lineRule="auto"/>
        <w:ind w:firstLine="486" w:firstLineChars="200"/>
        <w:textAlignment w:val="auto"/>
        <w:rPr>
          <w:rFonts w:hint="default"/>
          <w:sz w:val="24"/>
          <w:szCs w:val="24"/>
          <w:lang w:val="en-US" w:eastAsia="zh-CN"/>
        </w:rPr>
      </w:pPr>
      <w:r>
        <w:rPr>
          <w:rFonts w:hint="default"/>
          <w:sz w:val="24"/>
          <w:szCs w:val="24"/>
          <w:lang w:val="en-US" w:eastAsia="zh-CN"/>
        </w:rPr>
        <w:t>运粮河东起齐都镇古城村，西至朱台镇宋桥村西与乌河相连，全长8.8 公里，流域面积80 余平方公里，系古齐国人工开挖的运粮漕河，故名运粮河。</w:t>
      </w:r>
    </w:p>
    <w:p w14:paraId="3E4E85C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24"/>
          <w:lang w:val="en-US" w:eastAsia="zh-CN"/>
        </w:rPr>
      </w:pPr>
      <w:r>
        <w:rPr>
          <w:rFonts w:hint="eastAsia"/>
          <w:sz w:val="24"/>
          <w:szCs w:val="24"/>
          <w:lang w:val="en-US" w:eastAsia="zh-CN"/>
        </w:rPr>
        <w:t>5、</w:t>
      </w:r>
      <w:r>
        <w:rPr>
          <w:rFonts w:hint="default"/>
          <w:sz w:val="24"/>
          <w:szCs w:val="24"/>
          <w:lang w:val="en-US" w:eastAsia="zh-CN"/>
        </w:rPr>
        <w:t>地下水</w:t>
      </w:r>
    </w:p>
    <w:p w14:paraId="04E0F61D">
      <w:pPr>
        <w:keepNext w:val="0"/>
        <w:keepLines w:val="0"/>
        <w:pageBreakBefore w:val="0"/>
        <w:widowControl w:val="0"/>
        <w:kinsoku/>
        <w:wordWrap/>
        <w:overflowPunct/>
        <w:topLinePunct w:val="0"/>
        <w:autoSpaceDE/>
        <w:autoSpaceDN/>
        <w:bidi w:val="0"/>
        <w:adjustRightInd/>
        <w:snapToGrid/>
        <w:spacing w:line="360" w:lineRule="auto"/>
        <w:ind w:firstLine="486" w:firstLineChars="200"/>
        <w:textAlignment w:val="auto"/>
        <w:rPr>
          <w:rFonts w:hint="default"/>
          <w:sz w:val="24"/>
          <w:szCs w:val="24"/>
          <w:lang w:val="en-US" w:eastAsia="zh-CN"/>
        </w:rPr>
      </w:pPr>
      <w:r>
        <w:rPr>
          <w:rFonts w:hint="default"/>
          <w:sz w:val="24"/>
          <w:szCs w:val="24"/>
          <w:lang w:val="en-US" w:eastAsia="zh-CN"/>
        </w:rPr>
        <w:t>根据淄环发[2019]46 号《关于印发淄博市饮用水源保护区划分方案的通知》，目前淄博市主要集中式饮用水水源地18 处，其中地表水3 处，其余为地下水型水源地。本项目不位于淄博市供水水源地保护范围内。距离项目厂区最近的水源地为东北侧永流饮用水水源保护区。本项目与永流水源地最近取水井（5#坐标：E118°19′57.0″；N36°49′14.9″）距离约10.8km。</w:t>
      </w:r>
    </w:p>
    <w:p w14:paraId="7F456D4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24"/>
          <w:lang w:val="en-US" w:eastAsia="zh-CN"/>
        </w:rPr>
      </w:pPr>
      <w:r>
        <w:rPr>
          <w:rFonts w:hint="eastAsia"/>
          <w:sz w:val="24"/>
          <w:szCs w:val="24"/>
          <w:lang w:val="en-US" w:eastAsia="zh-CN"/>
        </w:rPr>
        <w:t>6、</w:t>
      </w:r>
      <w:r>
        <w:rPr>
          <w:rFonts w:hint="default"/>
          <w:sz w:val="24"/>
          <w:szCs w:val="24"/>
          <w:lang w:val="en-US" w:eastAsia="zh-CN"/>
        </w:rPr>
        <w:t>地质及水文地质</w:t>
      </w:r>
    </w:p>
    <w:p w14:paraId="74FAEE69">
      <w:pPr>
        <w:keepNext w:val="0"/>
        <w:keepLines w:val="0"/>
        <w:pageBreakBefore w:val="0"/>
        <w:widowControl w:val="0"/>
        <w:kinsoku/>
        <w:wordWrap/>
        <w:overflowPunct/>
        <w:topLinePunct w:val="0"/>
        <w:autoSpaceDE/>
        <w:autoSpaceDN/>
        <w:bidi w:val="0"/>
        <w:adjustRightInd/>
        <w:snapToGrid/>
        <w:spacing w:line="360" w:lineRule="auto"/>
        <w:ind w:firstLine="486" w:firstLineChars="200"/>
        <w:textAlignment w:val="auto"/>
        <w:rPr>
          <w:rFonts w:hint="default"/>
          <w:sz w:val="24"/>
          <w:szCs w:val="24"/>
          <w:lang w:val="en-US" w:eastAsia="zh-CN"/>
        </w:rPr>
      </w:pPr>
      <w:r>
        <w:rPr>
          <w:rFonts w:hint="default"/>
          <w:sz w:val="24"/>
          <w:szCs w:val="24"/>
          <w:lang w:val="en-US" w:eastAsia="zh-CN"/>
        </w:rPr>
        <w:t>临淄区广泛分布奥陶系石灰岩，大气降水部分成地表径流汇于淄河，由淄河渗漏转化为地下水，地表径流在向北运动过程中，由于北部有东西向断裂及煤系地层阻隔聚集成富水地带。</w:t>
      </w:r>
    </w:p>
    <w:p w14:paraId="18B267F7">
      <w:pPr>
        <w:keepNext w:val="0"/>
        <w:keepLines w:val="0"/>
        <w:pageBreakBefore w:val="0"/>
        <w:widowControl w:val="0"/>
        <w:kinsoku/>
        <w:wordWrap/>
        <w:overflowPunct/>
        <w:topLinePunct w:val="0"/>
        <w:autoSpaceDE/>
        <w:autoSpaceDN/>
        <w:bidi w:val="0"/>
        <w:adjustRightInd/>
        <w:snapToGrid/>
        <w:spacing w:line="360" w:lineRule="auto"/>
        <w:ind w:firstLine="486" w:firstLineChars="200"/>
        <w:textAlignment w:val="auto"/>
        <w:rPr>
          <w:rFonts w:hint="default"/>
          <w:sz w:val="24"/>
          <w:szCs w:val="24"/>
          <w:lang w:val="en-US" w:eastAsia="zh-CN"/>
        </w:rPr>
      </w:pPr>
      <w:r>
        <w:rPr>
          <w:rFonts w:hint="default"/>
          <w:sz w:val="24"/>
          <w:szCs w:val="24"/>
          <w:lang w:val="en-US" w:eastAsia="zh-CN"/>
        </w:rPr>
        <w:t>区域含水层主要为第四系松散孔隙含水岩组和奥陶碳酸盐岩裂隙岩溶含水岩组。第四系松散孔隙含水岩组水位埋深为55~90m，含水层厚度在30~80m之间，含水岩层为卵砾石层及含泥砂卵石层，补给来源为区域南部的径流补给、降水下渗等，地下水流向由南向北；奥陶碳酸盐岩裂隙岩溶含水岩组地下水由南部降水补给，向北部径流，含水层岩性主要为灰岩。</w:t>
      </w:r>
    </w:p>
    <w:p w14:paraId="09435CEC">
      <w:pPr>
        <w:keepNext w:val="0"/>
        <w:keepLines w:val="0"/>
        <w:pageBreakBefore w:val="0"/>
        <w:widowControl w:val="0"/>
        <w:kinsoku/>
        <w:wordWrap/>
        <w:overflowPunct/>
        <w:topLinePunct w:val="0"/>
        <w:autoSpaceDE/>
        <w:autoSpaceDN/>
        <w:bidi w:val="0"/>
        <w:adjustRightInd/>
        <w:snapToGrid/>
        <w:spacing w:line="360" w:lineRule="auto"/>
        <w:ind w:firstLine="486" w:firstLineChars="200"/>
        <w:textAlignment w:val="auto"/>
        <w:rPr>
          <w:rFonts w:hint="default"/>
          <w:sz w:val="24"/>
          <w:szCs w:val="24"/>
          <w:lang w:val="en-US" w:eastAsia="zh-CN"/>
        </w:rPr>
      </w:pPr>
      <w:r>
        <w:rPr>
          <w:rFonts w:hint="default"/>
          <w:sz w:val="24"/>
          <w:szCs w:val="24"/>
          <w:lang w:val="en-US" w:eastAsia="zh-CN"/>
        </w:rPr>
        <w:t>区域范围内地下水富集，形成淄博一个重要的大武富水区，大武富水区是我国北方特大型富水区，主要含水层为灰岩水，其补给以大气降水为主，淄河河床的渗漏为辅；其排泄以人工开采为主，径流排泄为辅。本项目位于大武富水区范围内。</w:t>
      </w:r>
    </w:p>
    <w:p w14:paraId="2856312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24"/>
          <w:lang w:val="en-US" w:eastAsia="zh-CN"/>
        </w:rPr>
      </w:pPr>
      <w:r>
        <w:rPr>
          <w:rFonts w:hint="eastAsia"/>
          <w:sz w:val="24"/>
          <w:szCs w:val="24"/>
          <w:lang w:val="en-US" w:eastAsia="zh-CN"/>
        </w:rPr>
        <w:t>7、</w:t>
      </w:r>
      <w:r>
        <w:rPr>
          <w:rFonts w:hint="default"/>
          <w:sz w:val="24"/>
          <w:szCs w:val="24"/>
          <w:lang w:val="en-US" w:eastAsia="zh-CN"/>
        </w:rPr>
        <w:t>植被</w:t>
      </w:r>
    </w:p>
    <w:p w14:paraId="69296ED8">
      <w:pPr>
        <w:keepNext w:val="0"/>
        <w:keepLines w:val="0"/>
        <w:pageBreakBefore w:val="0"/>
        <w:widowControl w:val="0"/>
        <w:kinsoku/>
        <w:wordWrap/>
        <w:overflowPunct/>
        <w:topLinePunct w:val="0"/>
        <w:autoSpaceDE/>
        <w:autoSpaceDN/>
        <w:bidi w:val="0"/>
        <w:adjustRightInd/>
        <w:snapToGrid/>
        <w:spacing w:line="360" w:lineRule="auto"/>
        <w:ind w:firstLine="486" w:firstLineChars="200"/>
        <w:textAlignment w:val="auto"/>
        <w:rPr>
          <w:rFonts w:hint="default" w:ascii="Times New Roman" w:hAnsi="Times New Roman" w:eastAsia="宋体" w:cs="Times New Roman"/>
          <w:bCs/>
          <w:caps w:val="0"/>
          <w:smallCaps w:val="0"/>
          <w:color w:val="auto"/>
          <w:spacing w:val="0"/>
          <w:position w:val="0"/>
          <w:sz w:val="24"/>
          <w:szCs w:val="24"/>
        </w:rPr>
      </w:pPr>
      <w:r>
        <w:rPr>
          <w:rFonts w:hint="default"/>
          <w:sz w:val="24"/>
          <w:szCs w:val="24"/>
          <w:lang w:val="en-US" w:eastAsia="zh-CN"/>
        </w:rPr>
        <w:t>临淄属华北落叶林区，原始植被已无，现多系人工植被，很少自然植被。自然植被多分布在境内南部的低山丘陵和崖边，沟坡及平原的河滩；人工植被主要分布在低山岭被、近山阶地和沟、渠、河道两旁及庭院四周。</w:t>
      </w:r>
      <w:bookmarkEnd w:id="36"/>
      <w:bookmarkEnd w:id="37"/>
      <w:bookmarkEnd w:id="38"/>
    </w:p>
    <w:p w14:paraId="0E1A1558">
      <w:pPr>
        <w:keepNext w:val="0"/>
        <w:keepLines w:val="0"/>
        <w:pageBreakBefore w:val="0"/>
        <w:widowControl w:val="0"/>
        <w:kinsoku/>
        <w:wordWrap/>
        <w:overflowPunct/>
        <w:topLinePunct w:val="0"/>
        <w:autoSpaceDE/>
        <w:autoSpaceDN/>
        <w:bidi w:val="0"/>
        <w:spacing w:before="0" w:after="0" w:line="360" w:lineRule="auto"/>
        <w:textAlignment w:val="auto"/>
        <w:outlineLvl w:val="9"/>
        <w:rPr>
          <w:rFonts w:hint="default" w:ascii="Times New Roman" w:hAnsi="Times New Roman" w:cs="Times New Roman"/>
          <w:b/>
          <w:bCs/>
          <w:color w:val="auto"/>
          <w:sz w:val="24"/>
          <w:szCs w:val="32"/>
          <w:highlight w:val="none"/>
        </w:rPr>
      </w:pPr>
      <w:r>
        <w:rPr>
          <w:rFonts w:hint="default" w:ascii="Times New Roman" w:hAnsi="Times New Roman" w:cs="Times New Roman"/>
          <w:b/>
          <w:bCs/>
          <w:color w:val="auto"/>
          <w:sz w:val="24"/>
          <w:szCs w:val="32"/>
          <w:highlight w:val="none"/>
        </w:rPr>
        <w:t>3.1.3 环境功能区划和环境质量现状</w:t>
      </w:r>
    </w:p>
    <w:p w14:paraId="6888C385">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cs="Times New Roman"/>
          <w:color w:val="auto"/>
          <w:sz w:val="24"/>
          <w:highlight w:val="none"/>
        </w:rPr>
      </w:pPr>
      <w:r>
        <w:rPr>
          <w:rFonts w:hint="default" w:ascii="Times New Roman" w:hAnsi="Times New Roman" w:cs="Times New Roman"/>
          <w:b/>
          <w:bCs/>
          <w:color w:val="auto"/>
          <w:sz w:val="24"/>
          <w:highlight w:val="none"/>
        </w:rPr>
        <w:t>3.1.3.1 环境功能区划</w:t>
      </w:r>
    </w:p>
    <w:p w14:paraId="4D4851C3">
      <w:pPr>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根据当地环境规划，该区域属于《环境空气质量标准》（GB3095-2012）二级标准适用区；区域噪声执行《声环境质量标准》（GB3096-2008）的2类标准；地表水执行《地表水环境质量标准》（GB3838-2002）中的Ⅱ类标准；地下水环境执行《地下水质量标准》（</w:t>
      </w:r>
      <w:r>
        <w:rPr>
          <w:rFonts w:hint="default" w:ascii="Times New Roman" w:hAnsi="Times New Roman" w:cs="Times New Roman"/>
          <w:color w:val="auto"/>
          <w:sz w:val="24"/>
          <w:highlight w:val="none"/>
          <w:lang w:eastAsia="zh-CN"/>
        </w:rPr>
        <w:t>GB/T14848-2017</w:t>
      </w:r>
      <w:r>
        <w:rPr>
          <w:rFonts w:hint="default" w:ascii="Times New Roman" w:hAnsi="Times New Roman" w:cs="Times New Roman"/>
          <w:color w:val="auto"/>
          <w:sz w:val="24"/>
          <w:highlight w:val="none"/>
        </w:rPr>
        <w:t>）Ⅲ类标准。</w:t>
      </w:r>
    </w:p>
    <w:p w14:paraId="2B5C7BC5">
      <w:pPr>
        <w:adjustRightInd w:val="0"/>
        <w:snapToGrid w:val="0"/>
        <w:spacing w:line="360" w:lineRule="auto"/>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3.1.3.2 环境质量现状</w:t>
      </w:r>
    </w:p>
    <w:p w14:paraId="776F32A0">
      <w:pPr>
        <w:keepNext w:val="0"/>
        <w:keepLines w:val="0"/>
        <w:pageBreakBefore w:val="0"/>
        <w:widowControl w:val="0"/>
        <w:kinsoku/>
        <w:wordWrap/>
        <w:overflowPunct/>
        <w:topLinePunct w:val="0"/>
        <w:autoSpaceDE/>
        <w:autoSpaceDN/>
        <w:bidi w:val="0"/>
        <w:adjustRightInd/>
        <w:snapToGrid/>
        <w:spacing w:line="360" w:lineRule="auto"/>
        <w:ind w:firstLine="486" w:firstLineChars="200"/>
        <w:textAlignment w:val="auto"/>
        <w:outlineLvl w:val="9"/>
        <w:rPr>
          <w:rFonts w:hint="eastAsia" w:ascii="宋体" w:hAnsi="宋体" w:eastAsia="宋体" w:cs="宋体"/>
          <w:color w:val="000000" w:themeColor="text1"/>
          <w:sz w:val="24"/>
          <w:szCs w:val="24"/>
          <w14:textFill>
            <w14:solidFill>
              <w14:schemeClr w14:val="tx1"/>
            </w14:solidFill>
          </w14:textFill>
        </w:rPr>
      </w:pPr>
      <w:bookmarkStart w:id="39" w:name="_Toc18572"/>
      <w:bookmarkStart w:id="40" w:name="_Toc3288"/>
      <w:bookmarkStart w:id="41" w:name="_Toc10598"/>
      <w:r>
        <w:rPr>
          <w:rFonts w:hint="eastAsia" w:ascii="宋体" w:hAnsi="宋体" w:eastAsia="宋体" w:cs="宋体"/>
          <w:color w:val="000000" w:themeColor="text1"/>
          <w:sz w:val="24"/>
          <w:szCs w:val="24"/>
          <w14:textFill>
            <w14:solidFill>
              <w14:schemeClr w14:val="tx1"/>
            </w14:solidFill>
          </w14:textFill>
        </w:rPr>
        <w:t>1、环境空气质量现状</w:t>
      </w:r>
    </w:p>
    <w:p w14:paraId="741F7FB9">
      <w:pPr>
        <w:pageBreakBefore w:val="0"/>
        <w:kinsoku/>
        <w:wordWrap/>
        <w:overflowPunct/>
        <w:topLinePunct w:val="0"/>
        <w:autoSpaceDE/>
        <w:autoSpaceDN/>
        <w:bidi w:val="0"/>
        <w:adjustRightInd/>
        <w:snapToGrid w:val="0"/>
        <w:spacing w:line="360" w:lineRule="auto"/>
        <w:ind w:firstLine="486" w:firstLineChars="200"/>
        <w:textAlignment w:val="auto"/>
        <w:outlineLvl w:val="9"/>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根据</w:t>
      </w:r>
      <w:r>
        <w:rPr>
          <w:rFonts w:hint="eastAsia" w:ascii="宋体" w:hAnsi="宋体" w:cs="宋体"/>
          <w:color w:val="000000" w:themeColor="text1"/>
          <w:sz w:val="24"/>
          <w:szCs w:val="24"/>
          <w:lang w:eastAsia="zh-CN"/>
          <w14:textFill>
            <w14:solidFill>
              <w14:schemeClr w14:val="tx1"/>
            </w14:solidFill>
          </w14:textFill>
        </w:rPr>
        <w:t>《淄博市</w:t>
      </w:r>
      <w:r>
        <w:rPr>
          <w:rFonts w:hint="eastAsia" w:ascii="宋体" w:hAnsi="宋体" w:cs="宋体"/>
          <w:color w:val="000000" w:themeColor="text1"/>
          <w:sz w:val="24"/>
          <w:szCs w:val="24"/>
          <w:lang w:val="en-US" w:eastAsia="zh-CN"/>
          <w14:textFill>
            <w14:solidFill>
              <w14:schemeClr w14:val="tx1"/>
            </w14:solidFill>
          </w14:textFill>
        </w:rPr>
        <w:t>2026年国民经济</w:t>
      </w:r>
      <w:r>
        <w:rPr>
          <w:rFonts w:hint="eastAsia" w:ascii="宋体" w:hAnsi="宋体" w:cs="宋体"/>
          <w:color w:val="000000" w:themeColor="text1"/>
          <w:sz w:val="28"/>
          <w:szCs w:val="28"/>
          <w:lang w:val="en-US" w:eastAsia="zh-CN"/>
          <w14:textFill>
            <w14:solidFill>
              <w14:schemeClr w14:val="tx1"/>
            </w14:solidFill>
          </w14:textFill>
        </w:rPr>
        <w:t>和社会发展计划》，2026年全年空气质量优良天数达278天，同比增加40天</w:t>
      </w:r>
      <w:r>
        <w:rPr>
          <w:rFonts w:hint="eastAsia" w:ascii="宋体" w:hAnsi="宋体" w:eastAsia="宋体" w:cs="宋体"/>
          <w:color w:val="000000" w:themeColor="text1"/>
          <w:sz w:val="28"/>
          <w:szCs w:val="28"/>
          <w14:textFill>
            <w14:solidFill>
              <w14:schemeClr w14:val="tx1"/>
            </w14:solidFill>
          </w14:textFill>
        </w:rPr>
        <w:t>。</w:t>
      </w:r>
    </w:p>
    <w:p w14:paraId="396CF508">
      <w:pPr>
        <w:pageBreakBefore w:val="0"/>
        <w:kinsoku/>
        <w:wordWrap/>
        <w:overflowPunct/>
        <w:topLinePunct w:val="0"/>
        <w:autoSpaceDE/>
        <w:autoSpaceDN/>
        <w:bidi w:val="0"/>
        <w:adjustRightInd/>
        <w:snapToGrid w:val="0"/>
        <w:spacing w:line="360" w:lineRule="auto"/>
        <w:ind w:firstLine="486" w:firstLineChars="200"/>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颗粒物浓度保持低位</w:t>
      </w:r>
      <w:r>
        <w:rPr>
          <w:rFonts w:hint="eastAsia" w:ascii="宋体" w:hAnsi="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2024年全年PM2.5平均浓度为40微克/立方米，PM10为69微克/立方米，同比均有改善。2026年4月PM2.5均值为32.2微克/立方米，PM10为61微克/立方米，同比分别下降13.0%和持平。</w:t>
      </w:r>
    </w:p>
    <w:p w14:paraId="6EB80D2F">
      <w:pPr>
        <w:pageBreakBefore w:val="0"/>
        <w:kinsoku/>
        <w:wordWrap/>
        <w:overflowPunct/>
        <w:topLinePunct w:val="0"/>
        <w:autoSpaceDE/>
        <w:autoSpaceDN/>
        <w:bidi w:val="0"/>
        <w:adjustRightInd/>
        <w:snapToGrid w:val="0"/>
        <w:spacing w:line="360" w:lineRule="auto"/>
        <w:ind w:firstLine="486" w:firstLineChars="200"/>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‌臭氧（O3）‌：夏季臭氧污染仍是防控重点。2024年</w:t>
      </w:r>
      <w:r>
        <w:rPr>
          <w:rFonts w:hint="eastAsia" w:ascii="宋体" w:hAnsi="宋体" w:eastAsia="宋体" w:cs="宋体"/>
          <w:color w:val="000000" w:themeColor="text1"/>
          <w:sz w:val="24"/>
          <w:szCs w:val="24"/>
          <w:lang w:val="en-US" w:eastAsia="zh-CN"/>
          <w14:textFill>
            <w14:solidFill>
              <w14:schemeClr w14:val="tx1"/>
            </w14:solidFill>
          </w14:textFill>
        </w:rPr>
        <w:t>7</w:t>
      </w:r>
      <w:r>
        <w:rPr>
          <w:rFonts w:hint="eastAsia" w:ascii="宋体" w:hAnsi="宋体" w:eastAsia="宋体" w:cs="宋体"/>
          <w:color w:val="000000" w:themeColor="text1"/>
          <w:sz w:val="24"/>
          <w:szCs w:val="24"/>
          <w14:textFill>
            <w14:solidFill>
              <w14:schemeClr w14:val="tx1"/>
            </w14:solidFill>
          </w14:textFill>
        </w:rPr>
        <w:t>月全市臭氧均值为</w:t>
      </w:r>
      <w:r>
        <w:rPr>
          <w:rFonts w:hint="eastAsia" w:ascii="宋体" w:hAnsi="宋体" w:eastAsia="宋体" w:cs="宋体"/>
          <w:color w:val="000000" w:themeColor="text1"/>
          <w:sz w:val="24"/>
          <w:szCs w:val="24"/>
          <w:lang w:val="en-US" w:eastAsia="zh-CN"/>
          <w14:textFill>
            <w14:solidFill>
              <w14:schemeClr w14:val="tx1"/>
            </w14:solidFill>
          </w14:textFill>
        </w:rPr>
        <w:t>194</w:t>
      </w:r>
      <w:r>
        <w:rPr>
          <w:rFonts w:hint="eastAsia" w:ascii="宋体" w:hAnsi="宋体" w:eastAsia="宋体" w:cs="宋体"/>
          <w:color w:val="000000" w:themeColor="text1"/>
          <w:sz w:val="24"/>
          <w:szCs w:val="24"/>
          <w14:textFill>
            <w14:solidFill>
              <w14:schemeClr w14:val="tx1"/>
            </w14:solidFill>
          </w14:textFill>
        </w:rPr>
        <w:t>微克/立方米，</w:t>
      </w:r>
      <w:r>
        <w:rPr>
          <w:rFonts w:hint="eastAsia" w:ascii="宋体" w:hAnsi="宋体" w:eastAsia="宋体" w:cs="宋体"/>
          <w:color w:val="000000" w:themeColor="text1"/>
          <w:sz w:val="24"/>
          <w:szCs w:val="24"/>
          <w:lang w:val="en-US" w:eastAsia="zh-CN"/>
          <w14:textFill>
            <w14:solidFill>
              <w14:schemeClr w14:val="tx1"/>
            </w14:solidFill>
          </w14:textFill>
        </w:rPr>
        <w:t>2024年8月201</w:t>
      </w:r>
      <w:r>
        <w:rPr>
          <w:rFonts w:hint="eastAsia" w:ascii="宋体" w:hAnsi="宋体" w:eastAsia="宋体" w:cs="宋体"/>
          <w:color w:val="000000" w:themeColor="text1"/>
          <w:sz w:val="24"/>
          <w:szCs w:val="24"/>
          <w14:textFill>
            <w14:solidFill>
              <w14:schemeClr w14:val="tx1"/>
            </w14:solidFill>
          </w14:textFill>
        </w:rPr>
        <w:t>为</w:t>
      </w:r>
      <w:r>
        <w:rPr>
          <w:rFonts w:hint="eastAsia" w:ascii="宋体" w:hAnsi="宋体" w:eastAsia="宋体" w:cs="宋体"/>
          <w:color w:val="000000" w:themeColor="text1"/>
          <w:sz w:val="24"/>
          <w:szCs w:val="24"/>
          <w:lang w:val="en-US" w:eastAsia="zh-CN"/>
          <w14:textFill>
            <w14:solidFill>
              <w14:schemeClr w14:val="tx1"/>
            </w14:solidFill>
          </w14:textFill>
        </w:rPr>
        <w:t>194</w:t>
      </w:r>
      <w:r>
        <w:rPr>
          <w:rFonts w:hint="eastAsia" w:ascii="宋体" w:hAnsi="宋体" w:eastAsia="宋体" w:cs="宋体"/>
          <w:color w:val="000000" w:themeColor="text1"/>
          <w:sz w:val="24"/>
          <w:szCs w:val="24"/>
          <w14:textFill>
            <w14:solidFill>
              <w14:schemeClr w14:val="tx1"/>
            </w14:solidFill>
          </w14:textFill>
        </w:rPr>
        <w:t>微克/立方米，部分区县臭氧浓度较高</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如高青县（208µg/m3）、周村区（204µg/m3）、高新区（204µg/m3）。</w:t>
      </w:r>
    </w:p>
    <w:p w14:paraId="3D09DA20">
      <w:pPr>
        <w:pageBreakBefore w:val="0"/>
        <w:kinsoku/>
        <w:wordWrap/>
        <w:overflowPunct/>
        <w:topLinePunct w:val="0"/>
        <w:autoSpaceDE/>
        <w:autoSpaceDN/>
        <w:bidi w:val="0"/>
        <w:adjustRightInd/>
        <w:snapToGrid w:val="0"/>
        <w:spacing w:line="360" w:lineRule="auto"/>
        <w:ind w:firstLine="486" w:firstLineChars="200"/>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‌二氧化硫（SO2）与二氧化氮（NO2）‌：浓度维持在较低水平。2024年全年SO2为13微克/立方米，NO2为33微克/立方米。</w:t>
      </w:r>
    </w:p>
    <w:p w14:paraId="37F741B4">
      <w:pPr>
        <w:pageBreakBefore w:val="0"/>
        <w:kinsoku/>
        <w:wordWrap/>
        <w:overflowPunct/>
        <w:topLinePunct w:val="0"/>
        <w:autoSpaceDE/>
        <w:autoSpaceDN/>
        <w:bidi w:val="0"/>
        <w:adjustRightInd/>
        <w:spacing w:line="360" w:lineRule="auto"/>
        <w:ind w:firstLine="486" w:firstLineChars="200"/>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2024年12月临淄区PM10为93微克/立方米，CO为1.8毫克/立方米，在市内排名靠后。‌‌</w:t>
      </w:r>
    </w:p>
    <w:p w14:paraId="0B6D3649">
      <w:pPr>
        <w:pageBreakBefore w:val="0"/>
        <w:kinsoku/>
        <w:wordWrap/>
        <w:overflowPunct/>
        <w:topLinePunct w:val="0"/>
        <w:autoSpaceDE/>
        <w:autoSpaceDN/>
        <w:bidi w:val="0"/>
        <w:adjustRightInd/>
        <w:spacing w:line="360" w:lineRule="auto"/>
        <w:ind w:firstLine="486" w:firstLineChars="200"/>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2、地表水环境质量现状</w:t>
      </w:r>
    </w:p>
    <w:p w14:paraId="14F958F3">
      <w:pPr>
        <w:pageBreakBefore w:val="0"/>
        <w:kinsoku/>
        <w:wordWrap/>
        <w:overflowPunct/>
        <w:topLinePunct w:val="0"/>
        <w:autoSpaceDE/>
        <w:autoSpaceDN/>
        <w:bidi w:val="0"/>
        <w:adjustRightInd/>
        <w:spacing w:line="360" w:lineRule="auto"/>
        <w:ind w:firstLine="470" w:firstLineChars="200"/>
        <w:textAlignment w:val="auto"/>
        <w:outlineLvl w:val="9"/>
        <w:rPr>
          <w:rFonts w:hint="eastAsia" w:ascii="宋体" w:hAnsi="宋体" w:eastAsia="宋体" w:cs="宋体"/>
          <w:color w:val="000000" w:themeColor="text1"/>
          <w:spacing w:val="-4"/>
          <w:sz w:val="24"/>
          <w:szCs w:val="24"/>
          <w:lang w:eastAsia="zh-CN"/>
          <w14:textFill>
            <w14:solidFill>
              <w14:schemeClr w14:val="tx1"/>
            </w14:solidFill>
          </w14:textFill>
        </w:rPr>
      </w:pPr>
      <w:r>
        <w:rPr>
          <w:rFonts w:hint="eastAsia" w:ascii="宋体" w:hAnsi="宋体" w:eastAsia="宋体" w:cs="宋体"/>
          <w:color w:val="000000" w:themeColor="text1"/>
          <w:spacing w:val="-4"/>
          <w:sz w:val="24"/>
          <w:szCs w:val="24"/>
          <w14:textFill>
            <w14:solidFill>
              <w14:schemeClr w14:val="tx1"/>
            </w14:solidFill>
          </w14:textFill>
        </w:rPr>
        <w:t>厂区</w:t>
      </w:r>
      <w:r>
        <w:rPr>
          <w:rFonts w:hint="eastAsia" w:ascii="宋体" w:hAnsi="宋体" w:cs="宋体"/>
          <w:color w:val="000000" w:themeColor="text1"/>
          <w:spacing w:val="-4"/>
          <w:sz w:val="24"/>
          <w:szCs w:val="24"/>
          <w:lang w:eastAsia="zh-CN"/>
          <w14:textFill>
            <w14:solidFill>
              <w14:schemeClr w14:val="tx1"/>
            </w14:solidFill>
          </w14:textFill>
        </w:rPr>
        <w:t>临近乌河，乌河在桓台县“乌河入预备河处”东沙断面，根据临淄区地表水环境质量现状调查报告显示，</w:t>
      </w:r>
      <w:r>
        <w:rPr>
          <w:rFonts w:hint="eastAsia" w:ascii="宋体" w:hAnsi="宋体" w:cs="宋体"/>
          <w:color w:val="000000" w:themeColor="text1"/>
          <w:spacing w:val="-4"/>
          <w:sz w:val="24"/>
          <w:szCs w:val="24"/>
          <w:lang w:val="en-US" w:eastAsia="zh-CN"/>
          <w14:textFill>
            <w14:solidFill>
              <w14:schemeClr w14:val="tx1"/>
            </w14:solidFill>
          </w14:textFill>
        </w:rPr>
        <w:t>COD、氨氮、总磷浓度较往年同期有所下降。</w:t>
      </w:r>
      <w:r>
        <w:rPr>
          <w:rFonts w:hint="eastAsia" w:ascii="宋体" w:hAnsi="宋体" w:cs="宋体"/>
          <w:color w:val="000000" w:themeColor="text1"/>
          <w:spacing w:val="-4"/>
          <w:sz w:val="24"/>
          <w:szCs w:val="24"/>
          <w:lang w:eastAsia="zh-CN"/>
          <w14:textFill>
            <w14:solidFill>
              <w14:schemeClr w14:val="tx1"/>
            </w14:solidFill>
          </w14:textFill>
        </w:rPr>
        <w:t>乌河临淄段各断面水质基本稳定在</w:t>
      </w:r>
      <w:r>
        <w:rPr>
          <w:rFonts w:hint="eastAsia" w:ascii="宋体" w:hAnsi="宋体" w:eastAsia="宋体" w:cs="宋体"/>
          <w:color w:val="000000" w:themeColor="text1"/>
          <w:spacing w:val="-4"/>
          <w:sz w:val="24"/>
          <w:szCs w:val="24"/>
          <w14:textFill>
            <w14:solidFill>
              <w14:schemeClr w14:val="tx1"/>
            </w14:solidFill>
          </w14:textFill>
        </w:rPr>
        <w:t>《地表水环境质量标准》</w:t>
      </w:r>
      <w:r>
        <w:rPr>
          <w:rFonts w:hint="eastAsia" w:ascii="宋体" w:hAnsi="宋体" w:eastAsia="宋体" w:cs="宋体"/>
          <w:color w:val="000000" w:themeColor="text1"/>
          <w:sz w:val="24"/>
          <w:szCs w:val="24"/>
          <w14:textFill>
            <w14:solidFill>
              <w14:schemeClr w14:val="tx1"/>
            </w14:solidFill>
          </w14:textFill>
        </w:rPr>
        <w:t>Ⅲ类</w:t>
      </w:r>
      <w:r>
        <w:rPr>
          <w:rFonts w:hint="eastAsia" w:ascii="宋体" w:hAnsi="宋体" w:cs="宋体"/>
          <w:color w:val="000000" w:themeColor="text1"/>
          <w:sz w:val="24"/>
          <w:szCs w:val="24"/>
          <w:lang w:eastAsia="zh-CN"/>
          <w14:textFill>
            <w14:solidFill>
              <w14:schemeClr w14:val="tx1"/>
            </w14:solidFill>
          </w14:textFill>
        </w:rPr>
        <w:t>至</w:t>
      </w:r>
      <w:r>
        <w:rPr>
          <w:rFonts w:hint="eastAsia" w:ascii="宋体" w:hAnsi="宋体" w:eastAsia="宋体" w:cs="宋体"/>
          <w:color w:val="000000" w:themeColor="text1"/>
          <w:sz w:val="24"/>
          <w:szCs w:val="24"/>
          <w:lang w:eastAsia="zh-CN"/>
          <w14:textFill>
            <w14:solidFill>
              <w14:schemeClr w14:val="tx1"/>
            </w14:solidFill>
          </w14:textFill>
        </w:rPr>
        <w:t>Ⅳ</w:t>
      </w:r>
      <w:r>
        <w:rPr>
          <w:rFonts w:hint="eastAsia" w:ascii="宋体" w:hAnsi="宋体" w:cs="宋体"/>
          <w:color w:val="000000" w:themeColor="text1"/>
          <w:sz w:val="24"/>
          <w:szCs w:val="24"/>
          <w:lang w:eastAsia="zh-CN"/>
          <w14:textFill>
            <w14:solidFill>
              <w14:schemeClr w14:val="tx1"/>
            </w14:solidFill>
          </w14:textFill>
        </w:rPr>
        <w:t>类标准之间。</w:t>
      </w:r>
    </w:p>
    <w:p w14:paraId="57D85F12">
      <w:pPr>
        <w:pageBreakBefore w:val="0"/>
        <w:kinsoku/>
        <w:wordWrap/>
        <w:overflowPunct/>
        <w:topLinePunct w:val="0"/>
        <w:autoSpaceDE/>
        <w:autoSpaceDN/>
        <w:bidi w:val="0"/>
        <w:adjustRightInd/>
        <w:spacing w:line="360" w:lineRule="auto"/>
        <w:ind w:firstLine="486" w:firstLineChars="200"/>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3、地下水环境质量现状</w:t>
      </w:r>
    </w:p>
    <w:p w14:paraId="73B567DA">
      <w:pPr>
        <w:pageBreakBefore w:val="0"/>
        <w:kinsoku/>
        <w:wordWrap/>
        <w:overflowPunct/>
        <w:topLinePunct w:val="0"/>
        <w:autoSpaceDE/>
        <w:autoSpaceDN/>
        <w:bidi w:val="0"/>
        <w:adjustRightInd/>
        <w:spacing w:line="360" w:lineRule="auto"/>
        <w:ind w:firstLine="486" w:firstLineChars="200"/>
        <w:textAlignment w:val="auto"/>
        <w:outlineLvl w:val="9"/>
        <w:rPr>
          <w:rFonts w:hint="eastAsia" w:ascii="宋体" w:hAnsi="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2026年2月淄博市监测的15个县级地下水水源中含临淄部分（刘征水源地），水质均达</w:t>
      </w:r>
      <w:r>
        <w:rPr>
          <w:rFonts w:hint="eastAsia" w:ascii="宋体" w:hAnsi="宋体" w:eastAsia="宋体" w:cs="宋体"/>
          <w:color w:val="000000" w:themeColor="text1"/>
          <w:sz w:val="24"/>
          <w:szCs w:val="24"/>
          <w14:textFill>
            <w14:solidFill>
              <w14:schemeClr w14:val="tx1"/>
            </w14:solidFill>
          </w14:textFill>
        </w:rPr>
        <w:t>Ⅲ类</w:t>
      </w:r>
      <w:r>
        <w:rPr>
          <w:rFonts w:hint="eastAsia" w:ascii="宋体" w:hAnsi="宋体" w:cs="宋体"/>
          <w:color w:val="000000" w:themeColor="text1"/>
          <w:sz w:val="24"/>
          <w:szCs w:val="24"/>
          <w:lang w:eastAsia="zh-CN"/>
          <w14:textFill>
            <w14:solidFill>
              <w14:schemeClr w14:val="tx1"/>
            </w14:solidFill>
          </w14:textFill>
        </w:rPr>
        <w:t>标准。齐鲁化学工业园区正推进</w:t>
      </w:r>
      <w:r>
        <w:rPr>
          <w:rFonts w:hint="eastAsia" w:ascii="宋体" w:hAnsi="宋体" w:cs="宋体"/>
          <w:color w:val="000000" w:themeColor="text1"/>
          <w:sz w:val="24"/>
          <w:szCs w:val="24"/>
          <w:lang w:val="en-US" w:eastAsia="zh-CN"/>
          <w14:textFill>
            <w14:solidFill>
              <w14:schemeClr w14:val="tx1"/>
            </w14:solidFill>
          </w14:textFill>
        </w:rPr>
        <w:t>2025-2026年地下水环境详细调查，尚未公开完整评估结果。</w:t>
      </w:r>
    </w:p>
    <w:p w14:paraId="157E9E4D">
      <w:pPr>
        <w:pageBreakBefore w:val="0"/>
        <w:kinsoku/>
        <w:wordWrap/>
        <w:overflowPunct/>
        <w:topLinePunct w:val="0"/>
        <w:autoSpaceDE/>
        <w:autoSpaceDN/>
        <w:bidi w:val="0"/>
        <w:adjustRightInd/>
        <w:spacing w:line="360" w:lineRule="auto"/>
        <w:ind w:firstLine="486" w:firstLineChars="200"/>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4、土壤环境质量现状</w:t>
      </w:r>
    </w:p>
    <w:p w14:paraId="0E81E0E8">
      <w:pPr>
        <w:pageBreakBefore w:val="0"/>
        <w:kinsoku/>
        <w:wordWrap/>
        <w:overflowPunct/>
        <w:topLinePunct w:val="0"/>
        <w:autoSpaceDE/>
        <w:autoSpaceDN/>
        <w:bidi w:val="0"/>
        <w:adjustRightInd/>
        <w:spacing w:line="360" w:lineRule="auto"/>
        <w:ind w:firstLine="486" w:firstLineChars="200"/>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厂区所在区域土壤环境质量可满足《土壤环境质量 建设用地土壤污染风险管控标准》（GB36600-2018）筛选值第二类用地要求。</w:t>
      </w:r>
    </w:p>
    <w:p w14:paraId="10684815">
      <w:pPr>
        <w:pStyle w:val="7"/>
        <w:spacing w:before="0" w:after="0"/>
        <w:rPr>
          <w:rFonts w:hint="default" w:ascii="Times New Roman" w:hAnsi="Times New Roman" w:cs="Times New Roman"/>
          <w:color w:val="auto"/>
          <w:highlight w:val="none"/>
        </w:rPr>
      </w:pPr>
      <w:bookmarkStart w:id="42" w:name="_Toc32148"/>
      <w:r>
        <w:rPr>
          <w:rFonts w:hint="default" w:ascii="Times New Roman" w:hAnsi="Times New Roman" w:cs="Times New Roman"/>
          <w:color w:val="auto"/>
          <w:highlight w:val="none"/>
        </w:rPr>
        <w:t>3.2 企业周边环境风险受体情况</w:t>
      </w:r>
      <w:bookmarkEnd w:id="39"/>
      <w:bookmarkEnd w:id="40"/>
      <w:bookmarkEnd w:id="41"/>
      <w:bookmarkEnd w:id="42"/>
    </w:p>
    <w:p w14:paraId="3D41AED9">
      <w:pPr>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环境风险受体分为大气环境风险受体、土壤环境风险受体和水环境风险受体。其中，大气环境风险受体主要包括居住、医疗卫生、文化教育、科研、行政办公、重要基础设施、企业等主要功能区域内的人群、保护单位、植被等，按人口数量进行指标量化；土壤环境风险受体主要为企业周边的基本农田保护区、居住商用地等区域；水环境风险受体主要包括饮用水水源保护区、自来水厂取水口、自然保护区、重要湿地、特殊生态系统、水产养殖区、鱼虾产卵场、天然渔场等区域，可按其脆弱性和敏感性进行级别划分。</w:t>
      </w:r>
      <w:bookmarkStart w:id="43" w:name="_Toc4404"/>
      <w:bookmarkStart w:id="44" w:name="_Toc9323"/>
      <w:bookmarkStart w:id="45" w:name="_Toc426701427"/>
    </w:p>
    <w:p w14:paraId="68FA1E74">
      <w:pPr>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通过现场勘查，</w:t>
      </w:r>
      <w:r>
        <w:rPr>
          <w:rFonts w:hint="default" w:ascii="Times New Roman" w:hAnsi="Times New Roman" w:cs="Times New Roman"/>
          <w:color w:val="auto"/>
          <w:sz w:val="24"/>
          <w:highlight w:val="none"/>
          <w:lang w:eastAsia="zh-CN"/>
        </w:rPr>
        <w:t>山东隆信药业有限公司</w:t>
      </w:r>
      <w:r>
        <w:rPr>
          <w:rFonts w:hint="default" w:ascii="Times New Roman" w:hAnsi="Times New Roman" w:cs="Times New Roman"/>
          <w:color w:val="auto"/>
          <w:sz w:val="24"/>
          <w:highlight w:val="none"/>
        </w:rPr>
        <w:t>主要周边风险受体详见表3.2-1。</w:t>
      </w:r>
    </w:p>
    <w:p w14:paraId="026503A5">
      <w:pPr>
        <w:adjustRightInd w:val="0"/>
        <w:snapToGrid w:val="0"/>
        <w:spacing w:line="360" w:lineRule="auto"/>
        <w:jc w:val="center"/>
        <w:rPr>
          <w:rFonts w:hint="default" w:ascii="Times New Roman" w:hAnsi="Times New Roman" w:cs="Times New Roman"/>
          <w:b/>
          <w:bCs/>
          <w:color w:val="auto"/>
          <w:sz w:val="24"/>
          <w:highlight w:val="none"/>
          <w:lang w:val="nl-BE"/>
        </w:rPr>
      </w:pPr>
      <w:r>
        <w:rPr>
          <w:rFonts w:hint="default" w:ascii="Times New Roman" w:hAnsi="Times New Roman" w:cs="Times New Roman"/>
          <w:b/>
          <w:bCs/>
          <w:color w:val="auto"/>
          <w:sz w:val="24"/>
          <w:highlight w:val="none"/>
          <w:lang w:val="nl-BE"/>
        </w:rPr>
        <w:t>表3</w:t>
      </w:r>
      <w:r>
        <w:rPr>
          <w:rFonts w:hint="default" w:ascii="Times New Roman" w:hAnsi="Times New Roman" w:cs="Times New Roman"/>
          <w:b/>
          <w:bCs/>
          <w:color w:val="auto"/>
          <w:sz w:val="24"/>
          <w:highlight w:val="none"/>
        </w:rPr>
        <w:t>.</w:t>
      </w:r>
      <w:r>
        <w:rPr>
          <w:rFonts w:hint="default" w:ascii="Times New Roman" w:hAnsi="Times New Roman" w:cs="Times New Roman"/>
          <w:b/>
          <w:bCs/>
          <w:color w:val="auto"/>
          <w:sz w:val="24"/>
          <w:highlight w:val="none"/>
          <w:lang w:val="nl-BE"/>
        </w:rPr>
        <w:t>2-</w:t>
      </w:r>
      <w:r>
        <w:rPr>
          <w:rFonts w:hint="default" w:ascii="Times New Roman" w:hAnsi="Times New Roman" w:cs="Times New Roman"/>
          <w:b/>
          <w:bCs/>
          <w:color w:val="auto"/>
          <w:sz w:val="24"/>
          <w:highlight w:val="none"/>
        </w:rPr>
        <w:t xml:space="preserve">1 </w:t>
      </w:r>
      <w:r>
        <w:rPr>
          <w:rFonts w:hint="default" w:ascii="Times New Roman" w:hAnsi="Times New Roman" w:cs="Times New Roman"/>
          <w:b/>
          <w:bCs/>
          <w:color w:val="auto"/>
          <w:sz w:val="24"/>
          <w:highlight w:val="none"/>
          <w:lang w:val="nl-BE"/>
        </w:rPr>
        <w:t>周边风险受体一览表</w:t>
      </w:r>
    </w:p>
    <w:tbl>
      <w:tblPr>
        <w:tblStyle w:val="3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6"/>
        <w:gridCol w:w="3104"/>
        <w:gridCol w:w="1129"/>
        <w:gridCol w:w="1267"/>
        <w:gridCol w:w="1028"/>
        <w:gridCol w:w="2594"/>
      </w:tblGrid>
      <w:tr w14:paraId="29CF0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5531E7CD">
            <w:pPr>
              <w:keepNext w:val="0"/>
              <w:keepLines w:val="0"/>
              <w:suppressLineNumbers w:val="0"/>
              <w:spacing w:before="60" w:beforeAutospacing="0" w:after="0" w:afterAutospacing="0"/>
              <w:ind w:left="0" w:right="0"/>
              <w:jc w:val="center"/>
              <w:rPr>
                <w:rFonts w:hint="default" w:ascii="Times New Roman" w:hAnsi="Times New Roman" w:eastAsia="宋体" w:cs="Times New Roman"/>
                <w:b/>
                <w:bCs/>
                <w:caps w:val="0"/>
                <w:smallCaps w:val="0"/>
                <w:color w:val="auto"/>
                <w:spacing w:val="0"/>
                <w:position w:val="0"/>
                <w:sz w:val="21"/>
                <w:szCs w:val="21"/>
              </w:rPr>
            </w:pPr>
            <w:r>
              <w:rPr>
                <w:rFonts w:hint="default" w:ascii="Times New Roman" w:hAnsi="Times New Roman" w:eastAsia="宋体" w:cs="Times New Roman"/>
                <w:b/>
                <w:bCs/>
                <w:caps w:val="0"/>
                <w:smallCaps w:val="0"/>
                <w:color w:val="auto"/>
                <w:spacing w:val="0"/>
                <w:position w:val="0"/>
                <w:sz w:val="21"/>
                <w:szCs w:val="21"/>
              </w:rPr>
              <w:t>序号</w:t>
            </w:r>
          </w:p>
        </w:tc>
        <w:tc>
          <w:tcPr>
            <w:tcW w:w="1612" w:type="pct"/>
            <w:noWrap w:val="0"/>
            <w:vAlign w:val="center"/>
          </w:tcPr>
          <w:p w14:paraId="2095DA2E">
            <w:pPr>
              <w:keepNext w:val="0"/>
              <w:keepLines w:val="0"/>
              <w:suppressLineNumbers w:val="0"/>
              <w:spacing w:before="60" w:beforeAutospacing="0" w:after="0" w:afterAutospacing="0"/>
              <w:ind w:left="0" w:right="0"/>
              <w:jc w:val="center"/>
              <w:rPr>
                <w:rFonts w:hint="default" w:ascii="Times New Roman" w:hAnsi="Times New Roman" w:eastAsia="宋体" w:cs="Times New Roman"/>
                <w:b/>
                <w:bCs/>
                <w:caps w:val="0"/>
                <w:smallCaps w:val="0"/>
                <w:color w:val="auto"/>
                <w:spacing w:val="0"/>
                <w:position w:val="0"/>
                <w:sz w:val="21"/>
                <w:szCs w:val="21"/>
              </w:rPr>
            </w:pPr>
            <w:r>
              <w:rPr>
                <w:rFonts w:hint="default" w:ascii="Times New Roman" w:hAnsi="Times New Roman" w:eastAsia="宋体" w:cs="Times New Roman"/>
                <w:b/>
                <w:bCs/>
                <w:caps w:val="0"/>
                <w:smallCaps w:val="0"/>
                <w:color w:val="auto"/>
                <w:spacing w:val="0"/>
                <w:position w:val="0"/>
                <w:sz w:val="21"/>
                <w:szCs w:val="21"/>
              </w:rPr>
              <w:t>目标名称</w:t>
            </w:r>
          </w:p>
        </w:tc>
        <w:tc>
          <w:tcPr>
            <w:tcW w:w="586" w:type="pct"/>
            <w:noWrap w:val="0"/>
            <w:vAlign w:val="center"/>
          </w:tcPr>
          <w:p w14:paraId="3FE1757E">
            <w:pPr>
              <w:keepNext w:val="0"/>
              <w:keepLines w:val="0"/>
              <w:suppressLineNumbers w:val="0"/>
              <w:spacing w:before="60" w:beforeAutospacing="0" w:after="0" w:afterAutospacing="0"/>
              <w:ind w:left="0" w:right="0"/>
              <w:jc w:val="center"/>
              <w:rPr>
                <w:rFonts w:hint="default" w:ascii="Times New Roman" w:hAnsi="Times New Roman" w:eastAsia="宋体" w:cs="Times New Roman"/>
                <w:b/>
                <w:bCs/>
                <w:caps w:val="0"/>
                <w:smallCaps w:val="0"/>
                <w:color w:val="auto"/>
                <w:spacing w:val="0"/>
                <w:position w:val="0"/>
                <w:sz w:val="21"/>
                <w:szCs w:val="21"/>
              </w:rPr>
            </w:pPr>
            <w:r>
              <w:rPr>
                <w:rFonts w:hint="default" w:ascii="Times New Roman" w:hAnsi="Times New Roman" w:eastAsia="宋体" w:cs="Times New Roman"/>
                <w:b/>
                <w:bCs/>
                <w:caps w:val="0"/>
                <w:smallCaps w:val="0"/>
                <w:color w:val="auto"/>
                <w:spacing w:val="0"/>
                <w:position w:val="0"/>
                <w:sz w:val="21"/>
                <w:szCs w:val="21"/>
              </w:rPr>
              <w:t>位于该项目相对方位</w:t>
            </w:r>
          </w:p>
        </w:tc>
        <w:tc>
          <w:tcPr>
            <w:tcW w:w="657" w:type="pct"/>
            <w:noWrap w:val="0"/>
            <w:vAlign w:val="center"/>
          </w:tcPr>
          <w:p w14:paraId="277723B5">
            <w:pPr>
              <w:keepNext w:val="0"/>
              <w:keepLines w:val="0"/>
              <w:suppressLineNumbers w:val="0"/>
              <w:spacing w:before="60" w:beforeAutospacing="0" w:after="0" w:afterAutospacing="0"/>
              <w:ind w:left="0" w:right="0"/>
              <w:jc w:val="center"/>
              <w:rPr>
                <w:rFonts w:hint="default" w:ascii="Times New Roman" w:hAnsi="Times New Roman" w:eastAsia="宋体" w:cs="Times New Roman"/>
                <w:b/>
                <w:bCs/>
                <w:caps w:val="0"/>
                <w:smallCaps w:val="0"/>
                <w:color w:val="auto"/>
                <w:spacing w:val="0"/>
                <w:position w:val="0"/>
                <w:sz w:val="21"/>
                <w:szCs w:val="21"/>
              </w:rPr>
            </w:pPr>
            <w:r>
              <w:rPr>
                <w:rFonts w:hint="default" w:ascii="Times New Roman" w:hAnsi="Times New Roman" w:eastAsia="宋体" w:cs="Times New Roman"/>
                <w:b/>
                <w:bCs/>
                <w:caps w:val="0"/>
                <w:smallCaps w:val="0"/>
                <w:color w:val="auto"/>
                <w:spacing w:val="0"/>
                <w:position w:val="0"/>
                <w:sz w:val="21"/>
                <w:szCs w:val="21"/>
              </w:rPr>
              <w:t>与该项目距离（m）</w:t>
            </w:r>
          </w:p>
        </w:tc>
        <w:tc>
          <w:tcPr>
            <w:tcW w:w="534" w:type="pct"/>
            <w:noWrap w:val="0"/>
            <w:vAlign w:val="center"/>
          </w:tcPr>
          <w:p w14:paraId="459D0BF0">
            <w:pPr>
              <w:keepNext w:val="0"/>
              <w:keepLines w:val="0"/>
              <w:suppressLineNumbers w:val="0"/>
              <w:spacing w:before="60" w:beforeAutospacing="0" w:after="0" w:afterAutospacing="0"/>
              <w:ind w:left="0" w:right="0"/>
              <w:jc w:val="center"/>
              <w:rPr>
                <w:rFonts w:hint="default" w:ascii="Times New Roman" w:hAnsi="Times New Roman" w:eastAsia="宋体" w:cs="Times New Roman"/>
                <w:b/>
                <w:bCs/>
                <w:caps w:val="0"/>
                <w:smallCaps w:val="0"/>
                <w:color w:val="auto"/>
                <w:spacing w:val="0"/>
                <w:position w:val="0"/>
                <w:sz w:val="21"/>
                <w:szCs w:val="21"/>
                <w:lang w:eastAsia="zh-CN"/>
              </w:rPr>
            </w:pPr>
            <w:r>
              <w:rPr>
                <w:rFonts w:hint="default" w:ascii="Times New Roman" w:hAnsi="Times New Roman" w:eastAsia="宋体" w:cs="Times New Roman"/>
                <w:b/>
                <w:bCs/>
                <w:caps w:val="0"/>
                <w:smallCaps w:val="0"/>
                <w:color w:val="auto"/>
                <w:spacing w:val="0"/>
                <w:position w:val="0"/>
                <w:sz w:val="21"/>
                <w:szCs w:val="21"/>
                <w:lang w:eastAsia="zh-CN"/>
              </w:rPr>
              <w:t>人</w:t>
            </w:r>
            <w:r>
              <w:rPr>
                <w:rFonts w:hint="eastAsia" w:ascii="Times New Roman" w:hAnsi="Times New Roman" w:eastAsia="宋体" w:cs="Times New Roman"/>
                <w:b/>
                <w:bCs/>
                <w:caps w:val="0"/>
                <w:smallCaps w:val="0"/>
                <w:color w:val="auto"/>
                <w:spacing w:val="0"/>
                <w:position w:val="0"/>
                <w:sz w:val="21"/>
                <w:szCs w:val="21"/>
                <w:lang w:eastAsia="zh-CN"/>
              </w:rPr>
              <w:t>口</w:t>
            </w:r>
            <w:r>
              <w:rPr>
                <w:rFonts w:hint="default" w:ascii="Times New Roman" w:hAnsi="Times New Roman" w:eastAsia="宋体" w:cs="Times New Roman"/>
                <w:b/>
                <w:bCs/>
                <w:caps w:val="0"/>
                <w:smallCaps w:val="0"/>
                <w:color w:val="auto"/>
                <w:spacing w:val="0"/>
                <w:position w:val="0"/>
                <w:sz w:val="21"/>
                <w:szCs w:val="21"/>
                <w:lang w:eastAsia="zh-CN"/>
              </w:rPr>
              <w:t>数</w:t>
            </w:r>
          </w:p>
        </w:tc>
        <w:tc>
          <w:tcPr>
            <w:tcW w:w="1347" w:type="pct"/>
            <w:noWrap w:val="0"/>
            <w:vAlign w:val="center"/>
          </w:tcPr>
          <w:p w14:paraId="7655E9C2">
            <w:pPr>
              <w:keepNext w:val="0"/>
              <w:keepLines w:val="0"/>
              <w:suppressLineNumbers w:val="0"/>
              <w:spacing w:before="60" w:beforeAutospacing="0" w:after="0" w:afterAutospacing="0"/>
              <w:ind w:left="0" w:right="0"/>
              <w:jc w:val="center"/>
              <w:rPr>
                <w:rFonts w:hint="default" w:ascii="Times New Roman" w:hAnsi="Times New Roman" w:eastAsia="宋体" w:cs="Times New Roman"/>
                <w:b/>
                <w:bCs/>
                <w:caps w:val="0"/>
                <w:smallCaps w:val="0"/>
                <w:color w:val="auto"/>
                <w:spacing w:val="0"/>
                <w:position w:val="0"/>
                <w:sz w:val="21"/>
                <w:szCs w:val="21"/>
                <w:lang w:eastAsia="zh-CN"/>
              </w:rPr>
            </w:pPr>
            <w:r>
              <w:rPr>
                <w:rFonts w:hint="eastAsia" w:ascii="Times New Roman" w:hAnsi="Times New Roman" w:eastAsia="宋体" w:cs="Times New Roman"/>
                <w:b/>
                <w:bCs/>
                <w:caps w:val="0"/>
                <w:smallCaps w:val="0"/>
                <w:color w:val="auto"/>
                <w:spacing w:val="0"/>
                <w:position w:val="0"/>
                <w:sz w:val="21"/>
                <w:szCs w:val="21"/>
                <w:lang w:eastAsia="zh-CN"/>
              </w:rPr>
              <w:t>执行标准</w:t>
            </w:r>
          </w:p>
        </w:tc>
      </w:tr>
      <w:tr w14:paraId="4CF6E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262" w:type="pct"/>
            <w:noWrap w:val="0"/>
            <w:vAlign w:val="center"/>
          </w:tcPr>
          <w:p w14:paraId="6CD469CF">
            <w:pPr>
              <w:keepNext w:val="0"/>
              <w:keepLines w:val="0"/>
              <w:suppressLineNumbers w:val="0"/>
              <w:spacing w:before="60" w:beforeAutospacing="0" w:after="0" w:afterAutospacing="0"/>
              <w:ind w:left="0" w:right="0"/>
              <w:jc w:val="center"/>
              <w:rPr>
                <w:rFonts w:hint="default" w:ascii="Times New Roman" w:hAnsi="Times New Roman" w:eastAsia="宋体" w:cs="Times New Roman"/>
                <w:caps w:val="0"/>
                <w:smallCaps w:val="0"/>
                <w:color w:val="auto"/>
                <w:spacing w:val="0"/>
                <w:position w:val="0"/>
                <w:sz w:val="21"/>
                <w:szCs w:val="21"/>
              </w:rPr>
            </w:pPr>
            <w:r>
              <w:rPr>
                <w:rFonts w:hint="default" w:ascii="Times New Roman" w:hAnsi="Times New Roman" w:eastAsia="宋体" w:cs="Times New Roman"/>
                <w:caps w:val="0"/>
                <w:smallCaps w:val="0"/>
                <w:color w:val="auto"/>
                <w:spacing w:val="0"/>
                <w:position w:val="0"/>
                <w:sz w:val="21"/>
                <w:szCs w:val="21"/>
              </w:rPr>
              <w:t>1</w:t>
            </w:r>
          </w:p>
        </w:tc>
        <w:tc>
          <w:tcPr>
            <w:tcW w:w="1612" w:type="pct"/>
            <w:noWrap w:val="0"/>
            <w:vAlign w:val="center"/>
          </w:tcPr>
          <w:p w14:paraId="334B6A3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lang w:val="en-US" w:eastAsia="zh-CN" w:bidi="ar-SA"/>
              </w:rPr>
            </w:pPr>
            <w:r>
              <w:rPr>
                <w:rFonts w:hint="default" w:ascii="Times New Roman" w:hAnsi="Times New Roman" w:eastAsia="宋体" w:cs="Times New Roman"/>
                <w:color w:val="auto"/>
                <w:kern w:val="0"/>
                <w:sz w:val="21"/>
                <w:szCs w:val="21"/>
                <w:lang w:val="en-US" w:eastAsia="zh-CN" w:bidi="ar"/>
              </w:rPr>
              <w:t>金岭一村</w:t>
            </w:r>
          </w:p>
        </w:tc>
        <w:tc>
          <w:tcPr>
            <w:tcW w:w="586" w:type="pct"/>
            <w:noWrap w:val="0"/>
            <w:vAlign w:val="center"/>
          </w:tcPr>
          <w:p w14:paraId="6B96DB7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NW</w:t>
            </w:r>
          </w:p>
        </w:tc>
        <w:tc>
          <w:tcPr>
            <w:tcW w:w="1122" w:type="dxa"/>
            <w:noWrap w:val="0"/>
            <w:vAlign w:val="center"/>
          </w:tcPr>
          <w:p w14:paraId="398DF93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lang w:val="en-US" w:eastAsia="zh-CN" w:bidi="ar-SA"/>
              </w:rPr>
            </w:pPr>
            <w:r>
              <w:rPr>
                <w:rFonts w:hint="default" w:ascii="Times New Roman" w:hAnsi="Times New Roman" w:eastAsia="宋体" w:cs="Times New Roman"/>
                <w:caps w:val="0"/>
                <w:smallCaps w:val="0"/>
                <w:color w:val="auto"/>
                <w:spacing w:val="0"/>
                <w:position w:val="0"/>
                <w:sz w:val="21"/>
                <w:szCs w:val="21"/>
                <w:lang w:val="en-US" w:eastAsia="zh-CN"/>
              </w:rPr>
              <w:t>1900</w:t>
            </w:r>
          </w:p>
        </w:tc>
        <w:tc>
          <w:tcPr>
            <w:tcW w:w="911" w:type="dxa"/>
            <w:noWrap w:val="0"/>
            <w:vAlign w:val="center"/>
          </w:tcPr>
          <w:p w14:paraId="317D1B1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lang w:val="en-US" w:eastAsia="zh-CN"/>
              </w:rPr>
            </w:pPr>
            <w:r>
              <w:rPr>
                <w:rFonts w:hint="eastAsia" w:cs="Times New Roman"/>
                <w:caps w:val="0"/>
                <w:smallCaps w:val="0"/>
                <w:color w:val="auto"/>
                <w:spacing w:val="0"/>
                <w:position w:val="0"/>
                <w:sz w:val="21"/>
                <w:szCs w:val="21"/>
                <w:lang w:val="en-US" w:eastAsia="zh-CN"/>
              </w:rPr>
              <w:t>1421</w:t>
            </w:r>
          </w:p>
        </w:tc>
        <w:tc>
          <w:tcPr>
            <w:tcW w:w="1347" w:type="pct"/>
            <w:vMerge w:val="restart"/>
            <w:noWrap w:val="0"/>
            <w:vAlign w:val="center"/>
          </w:tcPr>
          <w:p w14:paraId="503D640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lang w:val="en-US" w:eastAsia="zh-CN"/>
              </w:rPr>
            </w:pPr>
            <w:r>
              <w:rPr>
                <w:rFonts w:hint="default" w:ascii="Times New Roman" w:hAnsi="Times New Roman" w:eastAsia="宋体" w:cs="Times New Roman"/>
                <w:caps w:val="0"/>
                <w:smallCaps w:val="0"/>
                <w:color w:val="auto"/>
                <w:spacing w:val="0"/>
                <w:position w:val="0"/>
                <w:sz w:val="21"/>
                <w:szCs w:val="21"/>
                <w:lang w:val="en-US" w:eastAsia="zh-CN"/>
              </w:rPr>
              <w:t>《环境空气质量标准》（GB3095-20</w:t>
            </w:r>
            <w:r>
              <w:rPr>
                <w:rFonts w:hint="eastAsia" w:cs="Times New Roman"/>
                <w:caps w:val="0"/>
                <w:smallCaps w:val="0"/>
                <w:color w:val="auto"/>
                <w:spacing w:val="0"/>
                <w:position w:val="0"/>
                <w:sz w:val="21"/>
                <w:szCs w:val="21"/>
                <w:lang w:val="en-US" w:eastAsia="zh-CN"/>
              </w:rPr>
              <w:t>26</w:t>
            </w:r>
            <w:r>
              <w:rPr>
                <w:rFonts w:hint="default" w:ascii="Times New Roman" w:hAnsi="Times New Roman" w:eastAsia="宋体" w:cs="Times New Roman"/>
                <w:caps w:val="0"/>
                <w:smallCaps w:val="0"/>
                <w:color w:val="auto"/>
                <w:spacing w:val="0"/>
                <w:position w:val="0"/>
                <w:sz w:val="21"/>
                <w:szCs w:val="21"/>
                <w:lang w:val="en-US" w:eastAsia="zh-CN"/>
              </w:rPr>
              <w:t>）</w:t>
            </w:r>
          </w:p>
        </w:tc>
      </w:tr>
      <w:tr w14:paraId="4B1A2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064F8158">
            <w:pPr>
              <w:keepNext w:val="0"/>
              <w:keepLines w:val="0"/>
              <w:suppressLineNumbers w:val="0"/>
              <w:spacing w:before="60" w:beforeAutospacing="0" w:after="0" w:afterAutospacing="0"/>
              <w:ind w:left="0" w:right="0"/>
              <w:jc w:val="center"/>
              <w:rPr>
                <w:rFonts w:hint="default" w:ascii="Times New Roman" w:hAnsi="Times New Roman" w:eastAsia="宋体" w:cs="Times New Roman"/>
                <w:caps w:val="0"/>
                <w:smallCaps w:val="0"/>
                <w:color w:val="auto"/>
                <w:spacing w:val="0"/>
                <w:position w:val="0"/>
                <w:sz w:val="21"/>
                <w:szCs w:val="21"/>
              </w:rPr>
            </w:pPr>
            <w:r>
              <w:rPr>
                <w:rFonts w:hint="default" w:ascii="Times New Roman" w:hAnsi="Times New Roman" w:eastAsia="宋体" w:cs="Times New Roman"/>
                <w:caps w:val="0"/>
                <w:smallCaps w:val="0"/>
                <w:color w:val="auto"/>
                <w:spacing w:val="0"/>
                <w:position w:val="0"/>
                <w:sz w:val="21"/>
                <w:szCs w:val="21"/>
              </w:rPr>
              <w:t>2</w:t>
            </w:r>
          </w:p>
        </w:tc>
        <w:tc>
          <w:tcPr>
            <w:tcW w:w="1612" w:type="pct"/>
            <w:noWrap w:val="0"/>
            <w:vAlign w:val="center"/>
          </w:tcPr>
          <w:p w14:paraId="144D561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lang w:val="en-US" w:eastAsia="zh-CN" w:bidi="ar-SA"/>
              </w:rPr>
            </w:pPr>
            <w:r>
              <w:rPr>
                <w:rFonts w:hint="default" w:ascii="Times New Roman" w:hAnsi="Times New Roman" w:eastAsia="宋体" w:cs="Times New Roman"/>
                <w:color w:val="auto"/>
                <w:kern w:val="0"/>
                <w:sz w:val="21"/>
                <w:szCs w:val="21"/>
                <w:lang w:val="en-US" w:eastAsia="zh-CN" w:bidi="ar"/>
              </w:rPr>
              <w:t>金岭三村</w:t>
            </w:r>
          </w:p>
        </w:tc>
        <w:tc>
          <w:tcPr>
            <w:tcW w:w="586" w:type="pct"/>
            <w:noWrap w:val="0"/>
            <w:vAlign w:val="center"/>
          </w:tcPr>
          <w:p w14:paraId="326384A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NW</w:t>
            </w:r>
          </w:p>
        </w:tc>
        <w:tc>
          <w:tcPr>
            <w:tcW w:w="1122" w:type="dxa"/>
            <w:noWrap w:val="0"/>
            <w:vAlign w:val="center"/>
          </w:tcPr>
          <w:p w14:paraId="7BB7108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lang w:val="en-US" w:eastAsia="zh-CN" w:bidi="ar-SA"/>
              </w:rPr>
            </w:pPr>
            <w:r>
              <w:rPr>
                <w:rFonts w:hint="default" w:ascii="Times New Roman" w:hAnsi="Times New Roman" w:eastAsia="宋体" w:cs="Times New Roman"/>
                <w:caps w:val="0"/>
                <w:smallCaps w:val="0"/>
                <w:color w:val="auto"/>
                <w:spacing w:val="0"/>
                <w:position w:val="0"/>
                <w:sz w:val="21"/>
                <w:szCs w:val="21"/>
                <w:lang w:val="en-US" w:eastAsia="zh-CN"/>
              </w:rPr>
              <w:t>1800</w:t>
            </w:r>
          </w:p>
        </w:tc>
        <w:tc>
          <w:tcPr>
            <w:tcW w:w="911" w:type="dxa"/>
            <w:noWrap w:val="0"/>
            <w:vAlign w:val="center"/>
          </w:tcPr>
          <w:p w14:paraId="5990CDE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lang w:val="en-US" w:eastAsia="zh-CN"/>
              </w:rPr>
            </w:pPr>
            <w:r>
              <w:rPr>
                <w:rFonts w:hint="eastAsia" w:cs="Times New Roman"/>
                <w:caps w:val="0"/>
                <w:smallCaps w:val="0"/>
                <w:color w:val="auto"/>
                <w:spacing w:val="0"/>
                <w:position w:val="0"/>
                <w:sz w:val="21"/>
                <w:szCs w:val="21"/>
                <w:lang w:val="en-US" w:eastAsia="zh-CN"/>
              </w:rPr>
              <w:t>1502</w:t>
            </w:r>
          </w:p>
        </w:tc>
        <w:tc>
          <w:tcPr>
            <w:tcW w:w="1347" w:type="pct"/>
            <w:vMerge w:val="continue"/>
            <w:noWrap w:val="0"/>
            <w:vAlign w:val="center"/>
          </w:tcPr>
          <w:p w14:paraId="61BDBA2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lang w:val="en-US" w:eastAsia="zh-CN"/>
              </w:rPr>
            </w:pPr>
          </w:p>
        </w:tc>
      </w:tr>
      <w:tr w14:paraId="43C78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10C9C150">
            <w:pPr>
              <w:keepNext w:val="0"/>
              <w:keepLines w:val="0"/>
              <w:suppressLineNumbers w:val="0"/>
              <w:spacing w:before="60" w:beforeAutospacing="0" w:after="0" w:afterAutospacing="0"/>
              <w:ind w:left="0" w:right="0"/>
              <w:jc w:val="center"/>
              <w:rPr>
                <w:rFonts w:hint="default" w:ascii="Times New Roman" w:hAnsi="Times New Roman" w:eastAsia="宋体" w:cs="Times New Roman"/>
                <w:caps w:val="0"/>
                <w:smallCaps w:val="0"/>
                <w:color w:val="auto"/>
                <w:spacing w:val="0"/>
                <w:position w:val="0"/>
                <w:sz w:val="21"/>
                <w:szCs w:val="21"/>
              </w:rPr>
            </w:pPr>
            <w:r>
              <w:rPr>
                <w:rFonts w:hint="default" w:ascii="Times New Roman" w:hAnsi="Times New Roman" w:eastAsia="宋体" w:cs="Times New Roman"/>
                <w:caps w:val="0"/>
                <w:smallCaps w:val="0"/>
                <w:color w:val="auto"/>
                <w:spacing w:val="0"/>
                <w:position w:val="0"/>
                <w:sz w:val="21"/>
                <w:szCs w:val="21"/>
              </w:rPr>
              <w:t>3</w:t>
            </w:r>
          </w:p>
        </w:tc>
        <w:tc>
          <w:tcPr>
            <w:tcW w:w="1612" w:type="pct"/>
            <w:noWrap w:val="0"/>
            <w:vAlign w:val="center"/>
          </w:tcPr>
          <w:p w14:paraId="321E8CB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lang w:val="en-US" w:eastAsia="zh-CN" w:bidi="ar-SA"/>
              </w:rPr>
            </w:pPr>
            <w:r>
              <w:rPr>
                <w:rFonts w:hint="default" w:ascii="Times New Roman" w:hAnsi="Times New Roman" w:eastAsia="宋体" w:cs="Times New Roman"/>
                <w:color w:val="auto"/>
                <w:kern w:val="0"/>
                <w:sz w:val="21"/>
                <w:szCs w:val="21"/>
                <w:lang w:val="en-US" w:eastAsia="zh-CN" w:bidi="ar"/>
              </w:rPr>
              <w:t>金岭二村</w:t>
            </w:r>
          </w:p>
        </w:tc>
        <w:tc>
          <w:tcPr>
            <w:tcW w:w="586" w:type="pct"/>
            <w:noWrap w:val="0"/>
            <w:vAlign w:val="center"/>
          </w:tcPr>
          <w:p w14:paraId="668BE79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NW</w:t>
            </w:r>
          </w:p>
        </w:tc>
        <w:tc>
          <w:tcPr>
            <w:tcW w:w="1122" w:type="dxa"/>
            <w:noWrap w:val="0"/>
            <w:vAlign w:val="center"/>
          </w:tcPr>
          <w:p w14:paraId="7A98DEA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lang w:val="en-US" w:eastAsia="zh-CN" w:bidi="ar-SA"/>
              </w:rPr>
            </w:pPr>
            <w:r>
              <w:rPr>
                <w:rFonts w:hint="default" w:ascii="Times New Roman" w:hAnsi="Times New Roman" w:eastAsia="宋体" w:cs="Times New Roman"/>
                <w:caps w:val="0"/>
                <w:smallCaps w:val="0"/>
                <w:color w:val="auto"/>
                <w:spacing w:val="0"/>
                <w:position w:val="0"/>
                <w:sz w:val="21"/>
                <w:szCs w:val="21"/>
                <w:lang w:val="en-US" w:eastAsia="zh-CN"/>
              </w:rPr>
              <w:t>2500</w:t>
            </w:r>
          </w:p>
        </w:tc>
        <w:tc>
          <w:tcPr>
            <w:tcW w:w="911" w:type="dxa"/>
            <w:noWrap w:val="0"/>
            <w:vAlign w:val="center"/>
          </w:tcPr>
          <w:p w14:paraId="0D74D4B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lang w:val="en-US" w:eastAsia="zh-CN"/>
              </w:rPr>
            </w:pPr>
            <w:r>
              <w:rPr>
                <w:rFonts w:hint="default" w:ascii="Times New Roman" w:hAnsi="Times New Roman" w:eastAsia="宋体" w:cs="Times New Roman"/>
                <w:caps w:val="0"/>
                <w:smallCaps w:val="0"/>
                <w:color w:val="auto"/>
                <w:spacing w:val="0"/>
                <w:position w:val="0"/>
                <w:sz w:val="21"/>
                <w:szCs w:val="21"/>
                <w:lang w:val="en-US" w:eastAsia="zh-CN"/>
              </w:rPr>
              <w:t>1</w:t>
            </w:r>
            <w:r>
              <w:rPr>
                <w:rFonts w:hint="eastAsia" w:cs="Times New Roman"/>
                <w:caps w:val="0"/>
                <w:smallCaps w:val="0"/>
                <w:color w:val="auto"/>
                <w:spacing w:val="0"/>
                <w:position w:val="0"/>
                <w:sz w:val="21"/>
                <w:szCs w:val="21"/>
                <w:lang w:val="en-US" w:eastAsia="zh-CN"/>
              </w:rPr>
              <w:t>473</w:t>
            </w:r>
          </w:p>
        </w:tc>
        <w:tc>
          <w:tcPr>
            <w:tcW w:w="1347" w:type="pct"/>
            <w:vMerge w:val="continue"/>
            <w:noWrap w:val="0"/>
            <w:vAlign w:val="center"/>
          </w:tcPr>
          <w:p w14:paraId="0E0C44B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lang w:val="en-US" w:eastAsia="zh-CN"/>
              </w:rPr>
            </w:pPr>
          </w:p>
        </w:tc>
      </w:tr>
      <w:tr w14:paraId="3956B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2D043AA1">
            <w:pPr>
              <w:keepNext w:val="0"/>
              <w:keepLines w:val="0"/>
              <w:suppressLineNumbers w:val="0"/>
              <w:spacing w:before="60" w:beforeAutospacing="0" w:after="0" w:afterAutospacing="0"/>
              <w:ind w:left="0" w:right="0"/>
              <w:jc w:val="center"/>
              <w:rPr>
                <w:rFonts w:hint="default" w:ascii="Times New Roman" w:hAnsi="Times New Roman" w:eastAsia="宋体" w:cs="Times New Roman"/>
                <w:caps w:val="0"/>
                <w:smallCaps w:val="0"/>
                <w:color w:val="auto"/>
                <w:spacing w:val="0"/>
                <w:position w:val="0"/>
                <w:sz w:val="21"/>
                <w:szCs w:val="21"/>
              </w:rPr>
            </w:pPr>
            <w:r>
              <w:rPr>
                <w:rFonts w:hint="default" w:ascii="Times New Roman" w:hAnsi="Times New Roman" w:eastAsia="宋体" w:cs="Times New Roman"/>
                <w:caps w:val="0"/>
                <w:smallCaps w:val="0"/>
                <w:color w:val="auto"/>
                <w:spacing w:val="0"/>
                <w:position w:val="0"/>
                <w:sz w:val="21"/>
                <w:szCs w:val="21"/>
              </w:rPr>
              <w:t>4</w:t>
            </w:r>
          </w:p>
        </w:tc>
        <w:tc>
          <w:tcPr>
            <w:tcW w:w="1612" w:type="pct"/>
            <w:noWrap w:val="0"/>
            <w:vAlign w:val="center"/>
          </w:tcPr>
          <w:p w14:paraId="439F691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lang w:val="en-US" w:eastAsia="zh-CN" w:bidi="ar-SA"/>
              </w:rPr>
            </w:pPr>
            <w:r>
              <w:rPr>
                <w:rFonts w:hint="default" w:ascii="Times New Roman" w:hAnsi="Times New Roman" w:eastAsia="宋体" w:cs="Times New Roman"/>
                <w:color w:val="auto"/>
                <w:kern w:val="0"/>
                <w:sz w:val="21"/>
                <w:szCs w:val="21"/>
                <w:lang w:val="en-US" w:eastAsia="zh-CN" w:bidi="ar"/>
              </w:rPr>
              <w:t>金岭南村</w:t>
            </w:r>
          </w:p>
        </w:tc>
        <w:tc>
          <w:tcPr>
            <w:tcW w:w="586" w:type="pct"/>
            <w:noWrap w:val="0"/>
            <w:vAlign w:val="center"/>
          </w:tcPr>
          <w:p w14:paraId="2D19A69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lang w:val="en-US" w:eastAsia="zh-CN" w:bidi="ar-SA"/>
              </w:rPr>
            </w:pPr>
            <w:r>
              <w:rPr>
                <w:rFonts w:hint="default" w:ascii="Times New Roman" w:hAnsi="Times New Roman" w:eastAsia="宋体" w:cs="Times New Roman"/>
                <w:color w:val="auto"/>
                <w:kern w:val="0"/>
                <w:sz w:val="21"/>
                <w:szCs w:val="21"/>
                <w:lang w:val="en-US" w:eastAsia="zh-CN" w:bidi="ar"/>
              </w:rPr>
              <w:t>NW</w:t>
            </w:r>
          </w:p>
        </w:tc>
        <w:tc>
          <w:tcPr>
            <w:tcW w:w="1122" w:type="dxa"/>
            <w:noWrap w:val="0"/>
            <w:vAlign w:val="center"/>
          </w:tcPr>
          <w:p w14:paraId="64DEF42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lang w:val="en-US" w:eastAsia="zh-CN" w:bidi="ar-SA"/>
              </w:rPr>
            </w:pPr>
            <w:r>
              <w:rPr>
                <w:rFonts w:hint="default" w:ascii="Times New Roman" w:hAnsi="Times New Roman" w:eastAsia="宋体" w:cs="Times New Roman"/>
                <w:caps w:val="0"/>
                <w:smallCaps w:val="0"/>
                <w:color w:val="auto"/>
                <w:spacing w:val="0"/>
                <w:position w:val="0"/>
                <w:sz w:val="21"/>
                <w:szCs w:val="21"/>
                <w:lang w:val="en-US" w:eastAsia="zh-CN"/>
              </w:rPr>
              <w:t>2200</w:t>
            </w:r>
          </w:p>
        </w:tc>
        <w:tc>
          <w:tcPr>
            <w:tcW w:w="911" w:type="dxa"/>
            <w:noWrap w:val="0"/>
            <w:vAlign w:val="center"/>
          </w:tcPr>
          <w:p w14:paraId="2F57EA2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lang w:val="en-US" w:eastAsia="zh-CN"/>
              </w:rPr>
            </w:pPr>
            <w:r>
              <w:rPr>
                <w:rFonts w:hint="eastAsia" w:cs="Times New Roman"/>
                <w:caps w:val="0"/>
                <w:smallCaps w:val="0"/>
                <w:color w:val="auto"/>
                <w:spacing w:val="0"/>
                <w:position w:val="0"/>
                <w:sz w:val="21"/>
                <w:szCs w:val="21"/>
                <w:lang w:val="en-US" w:eastAsia="zh-CN"/>
              </w:rPr>
              <w:t>2990</w:t>
            </w:r>
          </w:p>
        </w:tc>
        <w:tc>
          <w:tcPr>
            <w:tcW w:w="1347" w:type="pct"/>
            <w:vMerge w:val="continue"/>
            <w:noWrap w:val="0"/>
            <w:vAlign w:val="center"/>
          </w:tcPr>
          <w:p w14:paraId="3905F27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lang w:val="en-US" w:eastAsia="zh-CN"/>
              </w:rPr>
            </w:pPr>
          </w:p>
        </w:tc>
      </w:tr>
      <w:tr w14:paraId="4563A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01B1D136">
            <w:pPr>
              <w:keepNext w:val="0"/>
              <w:keepLines w:val="0"/>
              <w:suppressLineNumbers w:val="0"/>
              <w:spacing w:before="60" w:beforeAutospacing="0" w:after="0" w:afterAutospacing="0"/>
              <w:ind w:left="0" w:right="0"/>
              <w:jc w:val="center"/>
              <w:rPr>
                <w:rFonts w:hint="default" w:ascii="Times New Roman" w:hAnsi="Times New Roman" w:eastAsia="宋体" w:cs="Times New Roman"/>
                <w:caps w:val="0"/>
                <w:smallCaps w:val="0"/>
                <w:color w:val="auto"/>
                <w:spacing w:val="0"/>
                <w:position w:val="0"/>
                <w:sz w:val="21"/>
                <w:szCs w:val="21"/>
              </w:rPr>
            </w:pPr>
            <w:r>
              <w:rPr>
                <w:rFonts w:hint="default" w:ascii="Times New Roman" w:hAnsi="Times New Roman" w:eastAsia="宋体" w:cs="Times New Roman"/>
                <w:caps w:val="0"/>
                <w:smallCaps w:val="0"/>
                <w:color w:val="auto"/>
                <w:spacing w:val="0"/>
                <w:position w:val="0"/>
                <w:sz w:val="21"/>
                <w:szCs w:val="21"/>
              </w:rPr>
              <w:t>5</w:t>
            </w:r>
          </w:p>
        </w:tc>
        <w:tc>
          <w:tcPr>
            <w:tcW w:w="1612" w:type="pct"/>
            <w:noWrap w:val="0"/>
            <w:vAlign w:val="center"/>
          </w:tcPr>
          <w:p w14:paraId="2D7FD5D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lang w:val="en-US" w:eastAsia="zh-CN" w:bidi="ar-SA"/>
              </w:rPr>
            </w:pPr>
            <w:r>
              <w:rPr>
                <w:rFonts w:hint="default" w:ascii="Times New Roman" w:hAnsi="Times New Roman" w:eastAsia="宋体" w:cs="Times New Roman"/>
                <w:color w:val="auto"/>
                <w:kern w:val="0"/>
                <w:sz w:val="21"/>
                <w:szCs w:val="21"/>
                <w:lang w:val="en-US" w:eastAsia="zh-CN" w:bidi="ar"/>
              </w:rPr>
              <w:t>金岭四村</w:t>
            </w:r>
          </w:p>
        </w:tc>
        <w:tc>
          <w:tcPr>
            <w:tcW w:w="586" w:type="pct"/>
            <w:noWrap w:val="0"/>
            <w:vAlign w:val="center"/>
          </w:tcPr>
          <w:p w14:paraId="7B19798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NW</w:t>
            </w:r>
          </w:p>
        </w:tc>
        <w:tc>
          <w:tcPr>
            <w:tcW w:w="1122" w:type="dxa"/>
            <w:noWrap w:val="0"/>
            <w:vAlign w:val="center"/>
          </w:tcPr>
          <w:p w14:paraId="20DB077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lang w:val="en-US" w:eastAsia="zh-CN" w:bidi="ar-SA"/>
              </w:rPr>
            </w:pPr>
            <w:r>
              <w:rPr>
                <w:rFonts w:hint="default" w:ascii="Times New Roman" w:hAnsi="Times New Roman" w:eastAsia="宋体" w:cs="Times New Roman"/>
                <w:caps w:val="0"/>
                <w:smallCaps w:val="0"/>
                <w:color w:val="auto"/>
                <w:spacing w:val="0"/>
                <w:position w:val="0"/>
                <w:sz w:val="21"/>
                <w:szCs w:val="21"/>
                <w:lang w:val="en-US" w:eastAsia="zh-CN"/>
              </w:rPr>
              <w:t>2</w:t>
            </w:r>
            <w:r>
              <w:rPr>
                <w:rFonts w:hint="eastAsia" w:cs="Times New Roman"/>
                <w:caps w:val="0"/>
                <w:smallCaps w:val="0"/>
                <w:color w:val="auto"/>
                <w:spacing w:val="0"/>
                <w:position w:val="0"/>
                <w:sz w:val="21"/>
                <w:szCs w:val="21"/>
                <w:lang w:val="en-US" w:eastAsia="zh-CN"/>
              </w:rPr>
              <w:t>300</w:t>
            </w:r>
          </w:p>
        </w:tc>
        <w:tc>
          <w:tcPr>
            <w:tcW w:w="911" w:type="dxa"/>
            <w:noWrap w:val="0"/>
            <w:vAlign w:val="center"/>
          </w:tcPr>
          <w:p w14:paraId="0B5FBAC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lang w:val="en-US" w:eastAsia="zh-CN"/>
              </w:rPr>
            </w:pPr>
            <w:r>
              <w:rPr>
                <w:rFonts w:hint="eastAsia" w:cs="Times New Roman"/>
                <w:caps w:val="0"/>
                <w:smallCaps w:val="0"/>
                <w:color w:val="auto"/>
                <w:spacing w:val="0"/>
                <w:position w:val="0"/>
                <w:sz w:val="21"/>
                <w:szCs w:val="21"/>
                <w:lang w:val="en-US" w:eastAsia="zh-CN"/>
              </w:rPr>
              <w:t>1371</w:t>
            </w:r>
          </w:p>
        </w:tc>
        <w:tc>
          <w:tcPr>
            <w:tcW w:w="1347" w:type="pct"/>
            <w:vMerge w:val="continue"/>
            <w:noWrap w:val="0"/>
            <w:vAlign w:val="center"/>
          </w:tcPr>
          <w:p w14:paraId="5DACEDF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lang w:val="en-US" w:eastAsia="zh-CN"/>
              </w:rPr>
            </w:pPr>
          </w:p>
        </w:tc>
      </w:tr>
      <w:tr w14:paraId="6FF04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1D582AA7">
            <w:pPr>
              <w:keepNext w:val="0"/>
              <w:keepLines w:val="0"/>
              <w:suppressLineNumbers w:val="0"/>
              <w:spacing w:before="60" w:beforeAutospacing="0" w:after="0" w:afterAutospacing="0"/>
              <w:ind w:left="0" w:right="0"/>
              <w:jc w:val="center"/>
              <w:rPr>
                <w:rFonts w:hint="default" w:ascii="Times New Roman" w:hAnsi="Times New Roman" w:eastAsia="宋体" w:cs="Times New Roman"/>
                <w:caps w:val="0"/>
                <w:smallCaps w:val="0"/>
                <w:color w:val="auto"/>
                <w:spacing w:val="0"/>
                <w:position w:val="0"/>
                <w:sz w:val="21"/>
                <w:szCs w:val="21"/>
              </w:rPr>
            </w:pPr>
            <w:r>
              <w:rPr>
                <w:rFonts w:hint="default" w:ascii="Times New Roman" w:hAnsi="Times New Roman" w:eastAsia="宋体" w:cs="Times New Roman"/>
                <w:caps w:val="0"/>
                <w:smallCaps w:val="0"/>
                <w:color w:val="auto"/>
                <w:spacing w:val="0"/>
                <w:position w:val="0"/>
                <w:sz w:val="21"/>
                <w:szCs w:val="21"/>
              </w:rPr>
              <w:t>6</w:t>
            </w:r>
          </w:p>
        </w:tc>
        <w:tc>
          <w:tcPr>
            <w:tcW w:w="1612" w:type="pct"/>
            <w:noWrap w:val="0"/>
            <w:vAlign w:val="center"/>
          </w:tcPr>
          <w:p w14:paraId="147547C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金岭五村</w:t>
            </w:r>
          </w:p>
        </w:tc>
        <w:tc>
          <w:tcPr>
            <w:tcW w:w="586" w:type="pct"/>
            <w:noWrap w:val="0"/>
            <w:vAlign w:val="center"/>
          </w:tcPr>
          <w:p w14:paraId="4F314B5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NW</w:t>
            </w:r>
          </w:p>
        </w:tc>
        <w:tc>
          <w:tcPr>
            <w:tcW w:w="1122" w:type="dxa"/>
            <w:noWrap w:val="0"/>
            <w:vAlign w:val="center"/>
          </w:tcPr>
          <w:p w14:paraId="7CC5C9A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lang w:val="en-US" w:eastAsia="zh-CN" w:bidi="ar-SA"/>
              </w:rPr>
            </w:pPr>
            <w:r>
              <w:rPr>
                <w:rFonts w:hint="default" w:ascii="Times New Roman" w:hAnsi="Times New Roman" w:eastAsia="宋体" w:cs="Times New Roman"/>
                <w:caps w:val="0"/>
                <w:smallCaps w:val="0"/>
                <w:color w:val="auto"/>
                <w:spacing w:val="0"/>
                <w:position w:val="0"/>
                <w:sz w:val="21"/>
                <w:szCs w:val="21"/>
                <w:lang w:val="en-US" w:eastAsia="zh-CN"/>
              </w:rPr>
              <w:t>2</w:t>
            </w:r>
            <w:r>
              <w:rPr>
                <w:rFonts w:hint="eastAsia" w:cs="Times New Roman"/>
                <w:caps w:val="0"/>
                <w:smallCaps w:val="0"/>
                <w:color w:val="auto"/>
                <w:spacing w:val="0"/>
                <w:position w:val="0"/>
                <w:sz w:val="21"/>
                <w:szCs w:val="21"/>
                <w:lang w:val="en-US" w:eastAsia="zh-CN"/>
              </w:rPr>
              <w:t>75</w:t>
            </w:r>
            <w:r>
              <w:rPr>
                <w:rFonts w:hint="default" w:ascii="Times New Roman" w:hAnsi="Times New Roman" w:eastAsia="宋体" w:cs="Times New Roman"/>
                <w:caps w:val="0"/>
                <w:smallCaps w:val="0"/>
                <w:color w:val="auto"/>
                <w:spacing w:val="0"/>
                <w:position w:val="0"/>
                <w:sz w:val="21"/>
                <w:szCs w:val="21"/>
                <w:lang w:val="en-US" w:eastAsia="zh-CN"/>
              </w:rPr>
              <w:t>0</w:t>
            </w:r>
          </w:p>
        </w:tc>
        <w:tc>
          <w:tcPr>
            <w:tcW w:w="911" w:type="dxa"/>
            <w:noWrap w:val="0"/>
            <w:vAlign w:val="center"/>
          </w:tcPr>
          <w:p w14:paraId="4DCA353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lang w:val="en-US" w:eastAsia="zh-CN"/>
              </w:rPr>
            </w:pPr>
            <w:r>
              <w:rPr>
                <w:rFonts w:hint="eastAsia" w:cs="Times New Roman"/>
                <w:caps w:val="0"/>
                <w:smallCaps w:val="0"/>
                <w:color w:val="auto"/>
                <w:spacing w:val="0"/>
                <w:position w:val="0"/>
                <w:sz w:val="21"/>
                <w:szCs w:val="21"/>
                <w:lang w:val="en-US" w:eastAsia="zh-CN"/>
              </w:rPr>
              <w:t>1256</w:t>
            </w:r>
          </w:p>
        </w:tc>
        <w:tc>
          <w:tcPr>
            <w:tcW w:w="1347" w:type="pct"/>
            <w:vMerge w:val="continue"/>
            <w:noWrap w:val="0"/>
            <w:vAlign w:val="center"/>
          </w:tcPr>
          <w:p w14:paraId="6773F28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lang w:val="en-US" w:eastAsia="zh-CN"/>
              </w:rPr>
            </w:pPr>
          </w:p>
        </w:tc>
      </w:tr>
      <w:tr w14:paraId="35138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6431F969">
            <w:pPr>
              <w:keepNext w:val="0"/>
              <w:keepLines w:val="0"/>
              <w:suppressLineNumbers w:val="0"/>
              <w:spacing w:before="60" w:beforeAutospacing="0" w:after="0" w:afterAutospacing="0"/>
              <w:ind w:left="0" w:right="0"/>
              <w:jc w:val="center"/>
              <w:rPr>
                <w:rFonts w:hint="default" w:ascii="Times New Roman" w:hAnsi="Times New Roman" w:eastAsia="宋体" w:cs="Times New Roman"/>
                <w:caps w:val="0"/>
                <w:smallCaps w:val="0"/>
                <w:color w:val="auto"/>
                <w:spacing w:val="0"/>
                <w:position w:val="0"/>
                <w:sz w:val="21"/>
                <w:szCs w:val="21"/>
              </w:rPr>
            </w:pPr>
            <w:r>
              <w:rPr>
                <w:rFonts w:hint="default" w:ascii="Times New Roman" w:hAnsi="Times New Roman" w:eastAsia="宋体" w:cs="Times New Roman"/>
                <w:caps w:val="0"/>
                <w:smallCaps w:val="0"/>
                <w:color w:val="auto"/>
                <w:spacing w:val="0"/>
                <w:position w:val="0"/>
                <w:sz w:val="21"/>
                <w:szCs w:val="21"/>
              </w:rPr>
              <w:t>7</w:t>
            </w:r>
          </w:p>
        </w:tc>
        <w:tc>
          <w:tcPr>
            <w:tcW w:w="1612" w:type="pct"/>
            <w:noWrap w:val="0"/>
            <w:vAlign w:val="center"/>
          </w:tcPr>
          <w:p w14:paraId="12922A5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lang w:val="en-US" w:eastAsia="zh-CN" w:bidi="ar-SA"/>
              </w:rPr>
            </w:pPr>
            <w:r>
              <w:rPr>
                <w:rFonts w:hint="default" w:ascii="Times New Roman" w:hAnsi="Times New Roman" w:eastAsia="宋体" w:cs="Times New Roman"/>
                <w:color w:val="auto"/>
                <w:kern w:val="0"/>
                <w:sz w:val="21"/>
                <w:szCs w:val="21"/>
                <w:lang w:val="en-US" w:eastAsia="zh-CN" w:bidi="ar"/>
              </w:rPr>
              <w:t>金岭六村</w:t>
            </w:r>
          </w:p>
        </w:tc>
        <w:tc>
          <w:tcPr>
            <w:tcW w:w="586" w:type="pct"/>
            <w:noWrap w:val="0"/>
            <w:vAlign w:val="center"/>
          </w:tcPr>
          <w:p w14:paraId="7D71289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NW</w:t>
            </w:r>
          </w:p>
        </w:tc>
        <w:tc>
          <w:tcPr>
            <w:tcW w:w="1122" w:type="dxa"/>
            <w:noWrap w:val="0"/>
            <w:vAlign w:val="center"/>
          </w:tcPr>
          <w:p w14:paraId="5800C84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lang w:val="en-US" w:eastAsia="zh-CN" w:bidi="ar-SA"/>
              </w:rPr>
            </w:pPr>
            <w:r>
              <w:rPr>
                <w:rFonts w:hint="default" w:ascii="Times New Roman" w:hAnsi="Times New Roman" w:eastAsia="宋体" w:cs="Times New Roman"/>
                <w:caps w:val="0"/>
                <w:smallCaps w:val="0"/>
                <w:color w:val="auto"/>
                <w:spacing w:val="0"/>
                <w:position w:val="0"/>
                <w:sz w:val="21"/>
                <w:szCs w:val="21"/>
                <w:lang w:val="en-US" w:eastAsia="zh-CN"/>
              </w:rPr>
              <w:t>2880</w:t>
            </w:r>
          </w:p>
        </w:tc>
        <w:tc>
          <w:tcPr>
            <w:tcW w:w="911" w:type="dxa"/>
            <w:noWrap w:val="0"/>
            <w:vAlign w:val="center"/>
          </w:tcPr>
          <w:p w14:paraId="0F11FB1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lang w:val="en-US" w:eastAsia="zh-CN"/>
              </w:rPr>
            </w:pPr>
            <w:r>
              <w:rPr>
                <w:rFonts w:hint="default" w:ascii="Times New Roman" w:hAnsi="Times New Roman" w:eastAsia="宋体" w:cs="Times New Roman"/>
                <w:caps w:val="0"/>
                <w:smallCaps w:val="0"/>
                <w:color w:val="auto"/>
                <w:spacing w:val="0"/>
                <w:position w:val="0"/>
                <w:sz w:val="21"/>
                <w:szCs w:val="21"/>
                <w:lang w:val="en-US" w:eastAsia="zh-CN"/>
              </w:rPr>
              <w:t>1</w:t>
            </w:r>
            <w:r>
              <w:rPr>
                <w:rFonts w:hint="eastAsia" w:cs="Times New Roman"/>
                <w:caps w:val="0"/>
                <w:smallCaps w:val="0"/>
                <w:color w:val="auto"/>
                <w:spacing w:val="0"/>
                <w:position w:val="0"/>
                <w:sz w:val="21"/>
                <w:szCs w:val="21"/>
                <w:lang w:val="en-US" w:eastAsia="zh-CN"/>
              </w:rPr>
              <w:t>379</w:t>
            </w:r>
          </w:p>
        </w:tc>
        <w:tc>
          <w:tcPr>
            <w:tcW w:w="1347" w:type="pct"/>
            <w:vMerge w:val="continue"/>
            <w:noWrap w:val="0"/>
            <w:vAlign w:val="center"/>
          </w:tcPr>
          <w:p w14:paraId="030AF8E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lang w:val="en-US" w:eastAsia="zh-CN"/>
              </w:rPr>
            </w:pPr>
          </w:p>
        </w:tc>
      </w:tr>
      <w:tr w14:paraId="3AB33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262" w:type="pct"/>
            <w:noWrap w:val="0"/>
            <w:vAlign w:val="center"/>
          </w:tcPr>
          <w:p w14:paraId="13CCA79D">
            <w:pPr>
              <w:keepNext w:val="0"/>
              <w:keepLines w:val="0"/>
              <w:suppressLineNumbers w:val="0"/>
              <w:spacing w:before="60" w:beforeAutospacing="0" w:after="0" w:afterAutospacing="0"/>
              <w:ind w:left="0" w:right="0"/>
              <w:jc w:val="center"/>
              <w:rPr>
                <w:rFonts w:hint="default" w:ascii="Times New Roman" w:hAnsi="Times New Roman" w:eastAsia="宋体" w:cs="Times New Roman"/>
                <w:caps w:val="0"/>
                <w:smallCaps w:val="0"/>
                <w:color w:val="auto"/>
                <w:spacing w:val="0"/>
                <w:position w:val="0"/>
                <w:sz w:val="21"/>
                <w:szCs w:val="21"/>
              </w:rPr>
            </w:pPr>
            <w:r>
              <w:rPr>
                <w:rFonts w:hint="default" w:ascii="Times New Roman" w:hAnsi="Times New Roman" w:eastAsia="宋体" w:cs="Times New Roman"/>
                <w:caps w:val="0"/>
                <w:smallCaps w:val="0"/>
                <w:color w:val="auto"/>
                <w:spacing w:val="0"/>
                <w:position w:val="0"/>
                <w:sz w:val="21"/>
                <w:szCs w:val="21"/>
              </w:rPr>
              <w:t>8</w:t>
            </w:r>
          </w:p>
        </w:tc>
        <w:tc>
          <w:tcPr>
            <w:tcW w:w="1612" w:type="pct"/>
            <w:noWrap w:val="0"/>
            <w:vAlign w:val="center"/>
          </w:tcPr>
          <w:p w14:paraId="3BF7D39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pacing w:val="0"/>
                <w:kern w:val="2"/>
                <w:position w:val="0"/>
                <w:sz w:val="21"/>
                <w:szCs w:val="21"/>
                <w:highlight w:val="none"/>
                <w:lang w:val="en-US" w:eastAsia="zh-CN" w:bidi="ar-SA"/>
              </w:rPr>
            </w:pPr>
            <w:r>
              <w:rPr>
                <w:rFonts w:hint="default" w:ascii="Times New Roman" w:hAnsi="Times New Roman" w:eastAsia="宋体" w:cs="Times New Roman"/>
                <w:color w:val="auto"/>
                <w:kern w:val="0"/>
                <w:sz w:val="21"/>
                <w:szCs w:val="21"/>
                <w:lang w:val="en-US" w:eastAsia="zh-CN" w:bidi="ar"/>
              </w:rPr>
              <w:t>朱家庄</w:t>
            </w:r>
          </w:p>
        </w:tc>
        <w:tc>
          <w:tcPr>
            <w:tcW w:w="586" w:type="pct"/>
            <w:noWrap w:val="0"/>
            <w:vAlign w:val="center"/>
          </w:tcPr>
          <w:p w14:paraId="6969D12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0"/>
                <w:kern w:val="2"/>
                <w:position w:val="0"/>
                <w:sz w:val="21"/>
                <w:szCs w:val="21"/>
                <w:highlight w:val="yellow"/>
                <w:lang w:val="en-US" w:eastAsia="zh-CN" w:bidi="ar-SA"/>
              </w:rPr>
            </w:pPr>
            <w:r>
              <w:rPr>
                <w:rFonts w:hint="default" w:ascii="Times New Roman" w:hAnsi="Times New Roman" w:eastAsia="宋体" w:cs="Times New Roman"/>
                <w:color w:val="auto"/>
                <w:spacing w:val="0"/>
                <w:position w:val="0"/>
                <w:sz w:val="21"/>
                <w:szCs w:val="21"/>
                <w:highlight w:val="none"/>
                <w:lang w:val="en-US" w:eastAsia="zh-CN"/>
              </w:rPr>
              <w:t>E</w:t>
            </w:r>
          </w:p>
        </w:tc>
        <w:tc>
          <w:tcPr>
            <w:tcW w:w="1122" w:type="dxa"/>
            <w:noWrap w:val="0"/>
            <w:vAlign w:val="center"/>
          </w:tcPr>
          <w:p w14:paraId="28EE943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pacing w:val="0"/>
                <w:kern w:val="2"/>
                <w:position w:val="0"/>
                <w:sz w:val="21"/>
                <w:szCs w:val="21"/>
                <w:highlight w:val="none"/>
                <w:lang w:val="en-US" w:eastAsia="zh-CN" w:bidi="ar-SA"/>
              </w:rPr>
            </w:pPr>
            <w:r>
              <w:rPr>
                <w:rFonts w:hint="default" w:ascii="Times New Roman" w:hAnsi="Times New Roman" w:eastAsia="宋体" w:cs="Times New Roman"/>
                <w:color w:val="auto"/>
                <w:spacing w:val="0"/>
                <w:position w:val="0"/>
                <w:sz w:val="21"/>
                <w:szCs w:val="21"/>
                <w:highlight w:val="none"/>
                <w:lang w:val="en-US" w:eastAsia="zh-CN"/>
              </w:rPr>
              <w:t>46</w:t>
            </w:r>
            <w:r>
              <w:rPr>
                <w:rFonts w:hint="eastAsia" w:cs="Times New Roman"/>
                <w:color w:val="auto"/>
                <w:spacing w:val="0"/>
                <w:position w:val="0"/>
                <w:sz w:val="21"/>
                <w:szCs w:val="21"/>
                <w:highlight w:val="none"/>
                <w:lang w:val="en-US" w:eastAsia="zh-CN"/>
              </w:rPr>
              <w:t>80</w:t>
            </w:r>
          </w:p>
        </w:tc>
        <w:tc>
          <w:tcPr>
            <w:tcW w:w="911" w:type="dxa"/>
            <w:noWrap w:val="0"/>
            <w:vAlign w:val="center"/>
          </w:tcPr>
          <w:p w14:paraId="58AD710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pacing w:val="0"/>
                <w:position w:val="0"/>
                <w:sz w:val="21"/>
                <w:szCs w:val="21"/>
                <w:highlight w:val="none"/>
                <w:lang w:val="en-US" w:eastAsia="zh-CN"/>
              </w:rPr>
            </w:pPr>
            <w:r>
              <w:rPr>
                <w:rFonts w:hint="eastAsia" w:cs="Times New Roman"/>
                <w:color w:val="auto"/>
                <w:spacing w:val="0"/>
                <w:position w:val="0"/>
                <w:sz w:val="21"/>
                <w:szCs w:val="21"/>
                <w:highlight w:val="none"/>
                <w:lang w:val="en-US" w:eastAsia="zh-CN"/>
              </w:rPr>
              <w:t>8</w:t>
            </w:r>
            <w:r>
              <w:rPr>
                <w:rFonts w:hint="default" w:ascii="Times New Roman" w:hAnsi="Times New Roman" w:eastAsia="宋体" w:cs="Times New Roman"/>
                <w:color w:val="auto"/>
                <w:spacing w:val="0"/>
                <w:position w:val="0"/>
                <w:sz w:val="21"/>
                <w:szCs w:val="21"/>
                <w:highlight w:val="none"/>
                <w:lang w:val="en-US" w:eastAsia="zh-CN"/>
              </w:rPr>
              <w:t>59</w:t>
            </w:r>
          </w:p>
        </w:tc>
        <w:tc>
          <w:tcPr>
            <w:tcW w:w="1347" w:type="pct"/>
            <w:vMerge w:val="restart"/>
            <w:noWrap w:val="0"/>
            <w:vAlign w:val="center"/>
          </w:tcPr>
          <w:p w14:paraId="69B0156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aps w:val="0"/>
                <w:smallCaps w:val="0"/>
                <w:color w:val="auto"/>
                <w:spacing w:val="0"/>
                <w:position w:val="0"/>
                <w:sz w:val="21"/>
                <w:szCs w:val="21"/>
                <w:lang w:val="en-US" w:eastAsia="zh-CN"/>
              </w:rPr>
              <w:t>《环境空气质量标准》（GB3095-20</w:t>
            </w:r>
            <w:r>
              <w:rPr>
                <w:rFonts w:hint="eastAsia" w:cs="Times New Roman"/>
                <w:caps w:val="0"/>
                <w:smallCaps w:val="0"/>
                <w:color w:val="auto"/>
                <w:spacing w:val="0"/>
                <w:position w:val="0"/>
                <w:sz w:val="21"/>
                <w:szCs w:val="21"/>
                <w:lang w:val="en-US" w:eastAsia="zh-CN"/>
              </w:rPr>
              <w:t>26</w:t>
            </w:r>
            <w:r>
              <w:rPr>
                <w:rFonts w:hint="default" w:ascii="Times New Roman" w:hAnsi="Times New Roman" w:eastAsia="宋体" w:cs="Times New Roman"/>
                <w:caps w:val="0"/>
                <w:smallCaps w:val="0"/>
                <w:color w:val="auto"/>
                <w:spacing w:val="0"/>
                <w:position w:val="0"/>
                <w:sz w:val="21"/>
                <w:szCs w:val="21"/>
                <w:lang w:val="en-US" w:eastAsia="zh-CN"/>
              </w:rPr>
              <w:t>）</w:t>
            </w:r>
          </w:p>
        </w:tc>
      </w:tr>
      <w:tr w14:paraId="534BF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262" w:type="pct"/>
            <w:noWrap w:val="0"/>
            <w:vAlign w:val="center"/>
          </w:tcPr>
          <w:p w14:paraId="277C7569">
            <w:pPr>
              <w:keepNext w:val="0"/>
              <w:keepLines w:val="0"/>
              <w:suppressLineNumbers w:val="0"/>
              <w:spacing w:before="60" w:beforeAutospacing="0" w:after="0" w:afterAutospacing="0"/>
              <w:ind w:left="0" w:leftChars="0" w:right="0" w:rightChars="0"/>
              <w:jc w:val="center"/>
              <w:rPr>
                <w:rFonts w:hint="default" w:ascii="Times New Roman" w:hAnsi="Times New Roman" w:eastAsia="宋体" w:cs="Times New Roman"/>
                <w:caps w:val="0"/>
                <w:smallCaps w:val="0"/>
                <w:color w:val="auto"/>
                <w:spacing w:val="0"/>
                <w:position w:val="0"/>
                <w:sz w:val="21"/>
                <w:szCs w:val="21"/>
              </w:rPr>
            </w:pPr>
            <w:r>
              <w:rPr>
                <w:rFonts w:hint="default" w:ascii="Times New Roman" w:hAnsi="Times New Roman" w:eastAsia="宋体" w:cs="Times New Roman"/>
                <w:caps w:val="0"/>
                <w:smallCaps w:val="0"/>
                <w:color w:val="auto"/>
                <w:spacing w:val="0"/>
                <w:position w:val="0"/>
                <w:sz w:val="21"/>
                <w:szCs w:val="21"/>
              </w:rPr>
              <w:t>9</w:t>
            </w:r>
          </w:p>
        </w:tc>
        <w:tc>
          <w:tcPr>
            <w:tcW w:w="1612" w:type="pct"/>
            <w:noWrap w:val="0"/>
            <w:vAlign w:val="center"/>
          </w:tcPr>
          <w:p w14:paraId="53AC2A7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pacing w:val="0"/>
                <w:kern w:val="2"/>
                <w:positio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于家村</w:t>
            </w:r>
          </w:p>
        </w:tc>
        <w:tc>
          <w:tcPr>
            <w:tcW w:w="586" w:type="pct"/>
            <w:noWrap w:val="0"/>
            <w:vAlign w:val="center"/>
          </w:tcPr>
          <w:p w14:paraId="6050AC4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0"/>
                <w:kern w:val="2"/>
                <w:position w:val="0"/>
                <w:sz w:val="21"/>
                <w:szCs w:val="21"/>
                <w:highlight w:val="none"/>
                <w:lang w:val="en-US" w:eastAsia="zh-CN" w:bidi="ar-SA"/>
              </w:rPr>
            </w:pPr>
            <w:r>
              <w:rPr>
                <w:rFonts w:hint="default" w:ascii="Times New Roman" w:hAnsi="Times New Roman" w:eastAsia="宋体" w:cs="Times New Roman"/>
                <w:color w:val="auto"/>
                <w:spacing w:val="0"/>
                <w:position w:val="0"/>
                <w:sz w:val="21"/>
                <w:szCs w:val="21"/>
                <w:highlight w:val="none"/>
                <w:lang w:val="en-US" w:eastAsia="zh-CN"/>
              </w:rPr>
              <w:t>NE</w:t>
            </w:r>
          </w:p>
        </w:tc>
        <w:tc>
          <w:tcPr>
            <w:tcW w:w="1122" w:type="dxa"/>
            <w:noWrap w:val="0"/>
            <w:vAlign w:val="center"/>
          </w:tcPr>
          <w:p w14:paraId="2551982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pacing w:val="0"/>
                <w:kern w:val="2"/>
                <w:position w:val="0"/>
                <w:sz w:val="21"/>
                <w:szCs w:val="21"/>
                <w:highlight w:val="none"/>
                <w:lang w:val="en-US" w:eastAsia="zh-CN" w:bidi="ar-SA"/>
              </w:rPr>
            </w:pPr>
            <w:r>
              <w:rPr>
                <w:rFonts w:hint="default" w:ascii="Times New Roman" w:hAnsi="Times New Roman" w:eastAsia="宋体" w:cs="Times New Roman"/>
                <w:color w:val="auto"/>
                <w:spacing w:val="0"/>
                <w:position w:val="0"/>
                <w:sz w:val="21"/>
                <w:szCs w:val="21"/>
                <w:highlight w:val="none"/>
                <w:lang w:val="en-US" w:eastAsia="zh-CN"/>
              </w:rPr>
              <w:t>2900</w:t>
            </w:r>
          </w:p>
        </w:tc>
        <w:tc>
          <w:tcPr>
            <w:tcW w:w="911" w:type="dxa"/>
            <w:noWrap w:val="0"/>
            <w:vAlign w:val="center"/>
          </w:tcPr>
          <w:p w14:paraId="509B6E3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pacing w:val="0"/>
                <w:position w:val="0"/>
                <w:sz w:val="21"/>
                <w:szCs w:val="21"/>
                <w:highlight w:val="none"/>
                <w:lang w:val="en-US" w:eastAsia="zh-CN"/>
              </w:rPr>
            </w:pPr>
            <w:r>
              <w:rPr>
                <w:rFonts w:hint="eastAsia" w:cs="Times New Roman"/>
                <w:color w:val="auto"/>
                <w:spacing w:val="0"/>
                <w:position w:val="0"/>
                <w:sz w:val="21"/>
                <w:szCs w:val="21"/>
                <w:highlight w:val="none"/>
                <w:lang w:val="en-US" w:eastAsia="zh-CN"/>
              </w:rPr>
              <w:t>6</w:t>
            </w:r>
            <w:r>
              <w:rPr>
                <w:rFonts w:hint="default" w:ascii="Times New Roman" w:hAnsi="Times New Roman" w:eastAsia="宋体" w:cs="Times New Roman"/>
                <w:color w:val="auto"/>
                <w:spacing w:val="0"/>
                <w:position w:val="0"/>
                <w:sz w:val="21"/>
                <w:szCs w:val="21"/>
                <w:highlight w:val="none"/>
                <w:lang w:val="en-US" w:eastAsia="zh-CN"/>
              </w:rPr>
              <w:t>70</w:t>
            </w:r>
          </w:p>
        </w:tc>
        <w:tc>
          <w:tcPr>
            <w:tcW w:w="1347" w:type="pct"/>
            <w:vMerge w:val="continue"/>
            <w:noWrap w:val="0"/>
            <w:vAlign w:val="center"/>
          </w:tcPr>
          <w:p w14:paraId="36AADB4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pacing w:val="0"/>
                <w:position w:val="0"/>
                <w:sz w:val="21"/>
                <w:szCs w:val="21"/>
                <w:highlight w:val="none"/>
                <w:lang w:val="en-US" w:eastAsia="zh-CN"/>
              </w:rPr>
            </w:pPr>
          </w:p>
        </w:tc>
      </w:tr>
      <w:tr w14:paraId="3E669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050743A4">
            <w:pPr>
              <w:keepNext w:val="0"/>
              <w:keepLines w:val="0"/>
              <w:suppressLineNumbers w:val="0"/>
              <w:spacing w:before="60" w:beforeAutospacing="0" w:after="0" w:afterAutospacing="0"/>
              <w:ind w:left="0" w:leftChars="0" w:right="0" w:rightChars="0"/>
              <w:jc w:val="center"/>
              <w:rPr>
                <w:rFonts w:hint="default" w:ascii="Times New Roman" w:hAnsi="Times New Roman" w:eastAsia="宋体" w:cs="Times New Roman"/>
                <w:caps w:val="0"/>
                <w:smallCaps w:val="0"/>
                <w:color w:val="auto"/>
                <w:spacing w:val="0"/>
                <w:position w:val="0"/>
                <w:sz w:val="21"/>
                <w:szCs w:val="21"/>
              </w:rPr>
            </w:pPr>
            <w:r>
              <w:rPr>
                <w:rFonts w:hint="default" w:ascii="Times New Roman" w:hAnsi="Times New Roman" w:eastAsia="宋体" w:cs="Times New Roman"/>
                <w:caps w:val="0"/>
                <w:smallCaps w:val="0"/>
                <w:color w:val="auto"/>
                <w:spacing w:val="0"/>
                <w:position w:val="0"/>
                <w:sz w:val="21"/>
                <w:szCs w:val="21"/>
              </w:rPr>
              <w:t>10</w:t>
            </w:r>
          </w:p>
        </w:tc>
        <w:tc>
          <w:tcPr>
            <w:tcW w:w="1612" w:type="pct"/>
            <w:noWrap w:val="0"/>
            <w:vAlign w:val="center"/>
          </w:tcPr>
          <w:p w14:paraId="1705BD8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0"/>
                <w:kern w:val="2"/>
                <w:positio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矮槐村</w:t>
            </w:r>
          </w:p>
        </w:tc>
        <w:tc>
          <w:tcPr>
            <w:tcW w:w="586" w:type="pct"/>
            <w:noWrap w:val="0"/>
            <w:vAlign w:val="center"/>
          </w:tcPr>
          <w:p w14:paraId="40F0BB5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aps w:val="0"/>
                <w:smallCaps w:val="0"/>
                <w:color w:val="auto"/>
                <w:spacing w:val="0"/>
                <w:position w:val="0"/>
                <w:sz w:val="21"/>
                <w:szCs w:val="21"/>
                <w:highlight w:val="none"/>
                <w:lang w:val="en-US" w:eastAsia="zh-CN"/>
              </w:rPr>
              <w:t>NE</w:t>
            </w:r>
          </w:p>
        </w:tc>
        <w:tc>
          <w:tcPr>
            <w:tcW w:w="1122" w:type="dxa"/>
            <w:noWrap w:val="0"/>
            <w:vAlign w:val="center"/>
          </w:tcPr>
          <w:p w14:paraId="42FC0FB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0"/>
                <w:kern w:val="2"/>
                <w:position w:val="0"/>
                <w:sz w:val="21"/>
                <w:szCs w:val="21"/>
                <w:highlight w:val="none"/>
                <w:lang w:val="en-US" w:eastAsia="zh-CN" w:bidi="ar-SA"/>
              </w:rPr>
            </w:pPr>
            <w:r>
              <w:rPr>
                <w:rFonts w:hint="default" w:ascii="Times New Roman" w:hAnsi="Times New Roman" w:eastAsia="宋体" w:cs="Times New Roman"/>
                <w:color w:val="auto"/>
                <w:spacing w:val="0"/>
                <w:position w:val="0"/>
                <w:sz w:val="21"/>
                <w:szCs w:val="21"/>
                <w:highlight w:val="none"/>
                <w:lang w:val="en-US" w:eastAsia="zh-CN"/>
              </w:rPr>
              <w:t>3680</w:t>
            </w:r>
          </w:p>
        </w:tc>
        <w:tc>
          <w:tcPr>
            <w:tcW w:w="911" w:type="dxa"/>
            <w:noWrap w:val="0"/>
            <w:vAlign w:val="center"/>
          </w:tcPr>
          <w:p w14:paraId="0CA9941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8</w:t>
            </w:r>
            <w:r>
              <w:rPr>
                <w:rFonts w:hint="eastAsia" w:cs="Times New Roman"/>
                <w:color w:val="auto"/>
                <w:spacing w:val="0"/>
                <w:position w:val="0"/>
                <w:sz w:val="21"/>
                <w:szCs w:val="21"/>
                <w:highlight w:val="none"/>
                <w:lang w:val="en-US" w:eastAsia="zh-CN"/>
              </w:rPr>
              <w:t>1</w:t>
            </w:r>
            <w:r>
              <w:rPr>
                <w:rFonts w:hint="default" w:ascii="Times New Roman" w:hAnsi="Times New Roman" w:eastAsia="宋体" w:cs="Times New Roman"/>
                <w:color w:val="auto"/>
                <w:spacing w:val="0"/>
                <w:position w:val="0"/>
                <w:sz w:val="21"/>
                <w:szCs w:val="21"/>
                <w:highlight w:val="none"/>
                <w:lang w:val="en-US" w:eastAsia="zh-CN"/>
              </w:rPr>
              <w:t>0</w:t>
            </w:r>
          </w:p>
        </w:tc>
        <w:tc>
          <w:tcPr>
            <w:tcW w:w="1347" w:type="pct"/>
            <w:vMerge w:val="continue"/>
            <w:noWrap w:val="0"/>
            <w:vAlign w:val="center"/>
          </w:tcPr>
          <w:p w14:paraId="2C533BA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0"/>
                <w:position w:val="0"/>
                <w:sz w:val="21"/>
                <w:szCs w:val="21"/>
                <w:highlight w:val="none"/>
                <w:lang w:val="en-US" w:eastAsia="zh-CN"/>
              </w:rPr>
            </w:pPr>
          </w:p>
        </w:tc>
      </w:tr>
      <w:tr w14:paraId="0AA02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27326BBB">
            <w:pPr>
              <w:keepNext w:val="0"/>
              <w:keepLines w:val="0"/>
              <w:suppressLineNumbers w:val="0"/>
              <w:spacing w:before="60" w:beforeAutospacing="0" w:after="0" w:afterAutospacing="0"/>
              <w:ind w:left="0" w:leftChars="0" w:right="0" w:rightChars="0"/>
              <w:jc w:val="center"/>
              <w:rPr>
                <w:rFonts w:hint="default" w:ascii="Times New Roman" w:hAnsi="Times New Roman" w:eastAsia="宋体" w:cs="Times New Roman"/>
                <w:caps w:val="0"/>
                <w:smallCaps w:val="0"/>
                <w:color w:val="auto"/>
                <w:spacing w:val="0"/>
                <w:position w:val="0"/>
                <w:sz w:val="21"/>
                <w:szCs w:val="21"/>
              </w:rPr>
            </w:pPr>
            <w:r>
              <w:rPr>
                <w:rFonts w:hint="default" w:ascii="Times New Roman" w:hAnsi="Times New Roman" w:eastAsia="宋体" w:cs="Times New Roman"/>
                <w:caps w:val="0"/>
                <w:smallCaps w:val="0"/>
                <w:color w:val="auto"/>
                <w:spacing w:val="0"/>
                <w:position w:val="0"/>
                <w:sz w:val="21"/>
                <w:szCs w:val="21"/>
              </w:rPr>
              <w:t>11</w:t>
            </w:r>
          </w:p>
        </w:tc>
        <w:tc>
          <w:tcPr>
            <w:tcW w:w="1612" w:type="pct"/>
            <w:noWrap w:val="0"/>
            <w:vAlign w:val="center"/>
          </w:tcPr>
          <w:p w14:paraId="1157701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pacing w:val="0"/>
                <w:kern w:val="2"/>
                <w:positio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董褚村</w:t>
            </w:r>
          </w:p>
        </w:tc>
        <w:tc>
          <w:tcPr>
            <w:tcW w:w="586" w:type="pct"/>
            <w:noWrap w:val="0"/>
            <w:vAlign w:val="center"/>
          </w:tcPr>
          <w:p w14:paraId="7539926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pacing w:val="0"/>
                <w:kern w:val="2"/>
                <w:position w:val="0"/>
                <w:sz w:val="21"/>
                <w:szCs w:val="21"/>
                <w:highlight w:val="none"/>
                <w:lang w:val="en-US" w:eastAsia="zh-CN" w:bidi="ar-SA"/>
              </w:rPr>
            </w:pPr>
            <w:r>
              <w:rPr>
                <w:rFonts w:hint="default" w:ascii="Times New Roman" w:hAnsi="Times New Roman" w:eastAsia="宋体" w:cs="Times New Roman"/>
                <w:color w:val="auto"/>
                <w:spacing w:val="0"/>
                <w:position w:val="0"/>
                <w:sz w:val="21"/>
                <w:szCs w:val="21"/>
                <w:highlight w:val="none"/>
                <w:lang w:val="en-US" w:eastAsia="zh-CN"/>
              </w:rPr>
              <w:t>NE</w:t>
            </w:r>
          </w:p>
        </w:tc>
        <w:tc>
          <w:tcPr>
            <w:tcW w:w="1122" w:type="dxa"/>
            <w:noWrap w:val="0"/>
            <w:vAlign w:val="center"/>
          </w:tcPr>
          <w:p w14:paraId="5A235E5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pacing w:val="0"/>
                <w:kern w:val="2"/>
                <w:position w:val="0"/>
                <w:sz w:val="21"/>
                <w:szCs w:val="21"/>
                <w:highlight w:val="none"/>
                <w:lang w:val="en-US" w:eastAsia="zh-CN" w:bidi="ar-SA"/>
              </w:rPr>
            </w:pPr>
            <w:r>
              <w:rPr>
                <w:rFonts w:hint="default" w:ascii="Times New Roman" w:hAnsi="Times New Roman" w:eastAsia="宋体" w:cs="Times New Roman"/>
                <w:color w:val="auto"/>
                <w:spacing w:val="0"/>
                <w:position w:val="0"/>
                <w:sz w:val="21"/>
                <w:szCs w:val="21"/>
                <w:highlight w:val="none"/>
                <w:lang w:val="en-US" w:eastAsia="zh-CN"/>
              </w:rPr>
              <w:t>4</w:t>
            </w:r>
            <w:r>
              <w:rPr>
                <w:rFonts w:hint="eastAsia" w:cs="Times New Roman"/>
                <w:color w:val="auto"/>
                <w:spacing w:val="0"/>
                <w:position w:val="0"/>
                <w:sz w:val="21"/>
                <w:szCs w:val="21"/>
                <w:highlight w:val="none"/>
                <w:lang w:val="en-US" w:eastAsia="zh-CN"/>
              </w:rPr>
              <w:t>2</w:t>
            </w:r>
            <w:r>
              <w:rPr>
                <w:rFonts w:hint="default" w:ascii="Times New Roman" w:hAnsi="Times New Roman" w:eastAsia="宋体" w:cs="Times New Roman"/>
                <w:color w:val="auto"/>
                <w:spacing w:val="0"/>
                <w:position w:val="0"/>
                <w:sz w:val="21"/>
                <w:szCs w:val="21"/>
                <w:highlight w:val="none"/>
                <w:lang w:val="en-US" w:eastAsia="zh-CN"/>
              </w:rPr>
              <w:t>30</w:t>
            </w:r>
          </w:p>
        </w:tc>
        <w:tc>
          <w:tcPr>
            <w:tcW w:w="911" w:type="dxa"/>
            <w:noWrap w:val="0"/>
            <w:vAlign w:val="center"/>
          </w:tcPr>
          <w:p w14:paraId="6CEA11B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pacing w:val="0"/>
                <w:position w:val="0"/>
                <w:sz w:val="21"/>
                <w:szCs w:val="21"/>
                <w:highlight w:val="none"/>
                <w:lang w:val="en-US" w:eastAsia="zh-CN"/>
              </w:rPr>
            </w:pPr>
            <w:r>
              <w:rPr>
                <w:rFonts w:hint="eastAsia" w:cs="Times New Roman"/>
                <w:color w:val="auto"/>
                <w:spacing w:val="0"/>
                <w:position w:val="0"/>
                <w:sz w:val="21"/>
                <w:szCs w:val="21"/>
                <w:highlight w:val="none"/>
                <w:lang w:val="en-US" w:eastAsia="zh-CN"/>
              </w:rPr>
              <w:t>6</w:t>
            </w:r>
            <w:r>
              <w:rPr>
                <w:rFonts w:hint="default" w:ascii="Times New Roman" w:hAnsi="Times New Roman" w:eastAsia="宋体" w:cs="Times New Roman"/>
                <w:color w:val="auto"/>
                <w:spacing w:val="0"/>
                <w:position w:val="0"/>
                <w:sz w:val="21"/>
                <w:szCs w:val="21"/>
                <w:highlight w:val="none"/>
                <w:lang w:val="en-US" w:eastAsia="zh-CN"/>
              </w:rPr>
              <w:t>40</w:t>
            </w:r>
          </w:p>
        </w:tc>
        <w:tc>
          <w:tcPr>
            <w:tcW w:w="1347" w:type="pct"/>
            <w:vMerge w:val="continue"/>
            <w:noWrap w:val="0"/>
            <w:vAlign w:val="center"/>
          </w:tcPr>
          <w:p w14:paraId="792011B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pacing w:val="0"/>
                <w:position w:val="0"/>
                <w:sz w:val="21"/>
                <w:szCs w:val="21"/>
                <w:highlight w:val="none"/>
                <w:lang w:val="en-US" w:eastAsia="zh-CN"/>
              </w:rPr>
            </w:pPr>
          </w:p>
        </w:tc>
      </w:tr>
      <w:tr w14:paraId="440FA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10B8855C">
            <w:pPr>
              <w:keepNext w:val="0"/>
              <w:keepLines w:val="0"/>
              <w:suppressLineNumbers w:val="0"/>
              <w:spacing w:before="60" w:beforeAutospacing="0" w:after="0" w:afterAutospacing="0"/>
              <w:ind w:left="0" w:leftChars="0" w:right="0" w:rightChars="0"/>
              <w:jc w:val="center"/>
              <w:rPr>
                <w:rFonts w:hint="default" w:ascii="Times New Roman" w:hAnsi="Times New Roman" w:eastAsia="宋体" w:cs="Times New Roman"/>
                <w:caps w:val="0"/>
                <w:smallCaps w:val="0"/>
                <w:color w:val="auto"/>
                <w:spacing w:val="0"/>
                <w:position w:val="0"/>
                <w:sz w:val="21"/>
                <w:szCs w:val="21"/>
              </w:rPr>
            </w:pPr>
            <w:r>
              <w:rPr>
                <w:rFonts w:hint="default" w:ascii="Times New Roman" w:hAnsi="Times New Roman" w:eastAsia="宋体" w:cs="Times New Roman"/>
                <w:caps w:val="0"/>
                <w:smallCaps w:val="0"/>
                <w:color w:val="auto"/>
                <w:spacing w:val="0"/>
                <w:position w:val="0"/>
                <w:sz w:val="21"/>
                <w:szCs w:val="21"/>
              </w:rPr>
              <w:t>12</w:t>
            </w:r>
          </w:p>
        </w:tc>
        <w:tc>
          <w:tcPr>
            <w:tcW w:w="1612" w:type="pct"/>
            <w:noWrap w:val="0"/>
            <w:vAlign w:val="center"/>
          </w:tcPr>
          <w:p w14:paraId="65FB677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pacing w:val="0"/>
                <w:kern w:val="2"/>
                <w:positio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闫家村</w:t>
            </w:r>
          </w:p>
        </w:tc>
        <w:tc>
          <w:tcPr>
            <w:tcW w:w="586" w:type="pct"/>
            <w:noWrap w:val="0"/>
            <w:vAlign w:val="center"/>
          </w:tcPr>
          <w:p w14:paraId="711B0A4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pacing w:val="0"/>
                <w:kern w:val="2"/>
                <w:position w:val="0"/>
                <w:sz w:val="21"/>
                <w:szCs w:val="21"/>
                <w:highlight w:val="none"/>
                <w:lang w:val="en-US" w:eastAsia="zh-CN" w:bidi="ar-SA"/>
              </w:rPr>
            </w:pPr>
            <w:r>
              <w:rPr>
                <w:rFonts w:hint="default" w:ascii="Times New Roman" w:hAnsi="Times New Roman" w:eastAsia="宋体" w:cs="Times New Roman"/>
                <w:color w:val="auto"/>
                <w:spacing w:val="0"/>
                <w:position w:val="0"/>
                <w:sz w:val="21"/>
                <w:szCs w:val="21"/>
                <w:highlight w:val="none"/>
                <w:lang w:val="en-US" w:eastAsia="zh-CN"/>
              </w:rPr>
              <w:t>NE</w:t>
            </w:r>
          </w:p>
        </w:tc>
        <w:tc>
          <w:tcPr>
            <w:tcW w:w="1122" w:type="dxa"/>
            <w:noWrap w:val="0"/>
            <w:vAlign w:val="center"/>
          </w:tcPr>
          <w:p w14:paraId="24DFCC0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pacing w:val="0"/>
                <w:kern w:val="2"/>
                <w:position w:val="0"/>
                <w:sz w:val="21"/>
                <w:szCs w:val="21"/>
                <w:highlight w:val="none"/>
                <w:lang w:val="en-US" w:eastAsia="zh-CN" w:bidi="ar-SA"/>
              </w:rPr>
            </w:pPr>
            <w:r>
              <w:rPr>
                <w:rFonts w:hint="default" w:ascii="Times New Roman" w:hAnsi="Times New Roman" w:eastAsia="宋体" w:cs="Times New Roman"/>
                <w:color w:val="auto"/>
                <w:spacing w:val="0"/>
                <w:position w:val="0"/>
                <w:sz w:val="21"/>
                <w:szCs w:val="21"/>
                <w:highlight w:val="none"/>
                <w:lang w:val="en-US" w:eastAsia="zh-CN"/>
              </w:rPr>
              <w:t>4700</w:t>
            </w:r>
          </w:p>
        </w:tc>
        <w:tc>
          <w:tcPr>
            <w:tcW w:w="911" w:type="dxa"/>
            <w:noWrap w:val="0"/>
            <w:vAlign w:val="center"/>
          </w:tcPr>
          <w:p w14:paraId="59F9B4C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pacing w:val="0"/>
                <w:position w:val="0"/>
                <w:sz w:val="21"/>
                <w:szCs w:val="21"/>
                <w:highlight w:val="none"/>
                <w:lang w:val="en-US" w:eastAsia="zh-CN"/>
              </w:rPr>
            </w:pPr>
            <w:r>
              <w:rPr>
                <w:rFonts w:hint="eastAsia" w:cs="Times New Roman"/>
                <w:color w:val="auto"/>
                <w:spacing w:val="0"/>
                <w:position w:val="0"/>
                <w:sz w:val="21"/>
                <w:szCs w:val="21"/>
                <w:highlight w:val="none"/>
                <w:lang w:val="en-US" w:eastAsia="zh-CN"/>
              </w:rPr>
              <w:t>7</w:t>
            </w:r>
            <w:r>
              <w:rPr>
                <w:rFonts w:hint="default" w:ascii="Times New Roman" w:hAnsi="Times New Roman" w:eastAsia="宋体" w:cs="Times New Roman"/>
                <w:color w:val="auto"/>
                <w:spacing w:val="0"/>
                <w:position w:val="0"/>
                <w:sz w:val="21"/>
                <w:szCs w:val="21"/>
                <w:highlight w:val="none"/>
                <w:lang w:val="en-US" w:eastAsia="zh-CN"/>
              </w:rPr>
              <w:t>0</w:t>
            </w:r>
            <w:r>
              <w:rPr>
                <w:rFonts w:hint="eastAsia" w:cs="Times New Roman"/>
                <w:color w:val="auto"/>
                <w:spacing w:val="0"/>
                <w:position w:val="0"/>
                <w:sz w:val="21"/>
                <w:szCs w:val="21"/>
                <w:highlight w:val="none"/>
                <w:lang w:val="en-US" w:eastAsia="zh-CN"/>
              </w:rPr>
              <w:t>6</w:t>
            </w:r>
          </w:p>
        </w:tc>
        <w:tc>
          <w:tcPr>
            <w:tcW w:w="1347" w:type="pct"/>
            <w:vMerge w:val="continue"/>
            <w:noWrap w:val="0"/>
            <w:vAlign w:val="center"/>
          </w:tcPr>
          <w:p w14:paraId="2BA821E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pacing w:val="0"/>
                <w:position w:val="0"/>
                <w:sz w:val="21"/>
                <w:szCs w:val="21"/>
                <w:highlight w:val="none"/>
                <w:lang w:val="en-US" w:eastAsia="zh-CN"/>
              </w:rPr>
            </w:pPr>
          </w:p>
        </w:tc>
      </w:tr>
      <w:tr w14:paraId="4AC30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2D8F7A58">
            <w:pPr>
              <w:keepNext w:val="0"/>
              <w:keepLines w:val="0"/>
              <w:suppressLineNumbers w:val="0"/>
              <w:spacing w:before="60" w:beforeAutospacing="0" w:after="0" w:afterAutospacing="0"/>
              <w:ind w:left="0" w:leftChars="0" w:right="0" w:rightChars="0"/>
              <w:jc w:val="center"/>
              <w:rPr>
                <w:rFonts w:hint="default" w:ascii="Times New Roman" w:hAnsi="Times New Roman" w:eastAsia="宋体" w:cs="Times New Roman"/>
                <w:caps w:val="0"/>
                <w:smallCaps w:val="0"/>
                <w:color w:val="auto"/>
                <w:spacing w:val="0"/>
                <w:position w:val="0"/>
                <w:sz w:val="21"/>
                <w:szCs w:val="21"/>
              </w:rPr>
            </w:pPr>
            <w:r>
              <w:rPr>
                <w:rFonts w:hint="default" w:ascii="Times New Roman" w:hAnsi="Times New Roman" w:eastAsia="宋体" w:cs="Times New Roman"/>
                <w:caps w:val="0"/>
                <w:smallCaps w:val="0"/>
                <w:color w:val="auto"/>
                <w:spacing w:val="0"/>
                <w:position w:val="0"/>
                <w:sz w:val="21"/>
                <w:szCs w:val="21"/>
              </w:rPr>
              <w:t>13</w:t>
            </w:r>
          </w:p>
        </w:tc>
        <w:tc>
          <w:tcPr>
            <w:tcW w:w="1612" w:type="pct"/>
            <w:noWrap w:val="0"/>
            <w:vAlign w:val="center"/>
          </w:tcPr>
          <w:p w14:paraId="031AE90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pacing w:val="0"/>
                <w:kern w:val="2"/>
                <w:positio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高家庄</w:t>
            </w:r>
          </w:p>
        </w:tc>
        <w:tc>
          <w:tcPr>
            <w:tcW w:w="586" w:type="pct"/>
            <w:noWrap w:val="0"/>
            <w:vAlign w:val="center"/>
          </w:tcPr>
          <w:p w14:paraId="734E080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0"/>
                <w:kern w:val="2"/>
                <w:position w:val="0"/>
                <w:sz w:val="21"/>
                <w:szCs w:val="21"/>
                <w:highlight w:val="none"/>
                <w:lang w:val="en-US" w:eastAsia="zh-CN" w:bidi="ar-SA"/>
              </w:rPr>
            </w:pPr>
            <w:r>
              <w:rPr>
                <w:rFonts w:hint="default" w:ascii="Times New Roman" w:hAnsi="Times New Roman" w:eastAsia="宋体" w:cs="Times New Roman"/>
                <w:color w:val="auto"/>
                <w:spacing w:val="0"/>
                <w:position w:val="0"/>
                <w:sz w:val="21"/>
                <w:szCs w:val="21"/>
                <w:highlight w:val="none"/>
                <w:lang w:val="en-US" w:eastAsia="zh-CN"/>
              </w:rPr>
              <w:t>E</w:t>
            </w:r>
          </w:p>
        </w:tc>
        <w:tc>
          <w:tcPr>
            <w:tcW w:w="1122" w:type="dxa"/>
            <w:noWrap w:val="0"/>
            <w:vAlign w:val="center"/>
          </w:tcPr>
          <w:p w14:paraId="705570E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pacing w:val="0"/>
                <w:kern w:val="2"/>
                <w:position w:val="0"/>
                <w:sz w:val="21"/>
                <w:szCs w:val="21"/>
                <w:highlight w:val="none"/>
                <w:lang w:val="en-US" w:eastAsia="zh-CN" w:bidi="ar-SA"/>
              </w:rPr>
            </w:pPr>
            <w:r>
              <w:rPr>
                <w:rFonts w:hint="eastAsia" w:cs="Times New Roman"/>
                <w:color w:val="auto"/>
                <w:spacing w:val="0"/>
                <w:position w:val="0"/>
                <w:sz w:val="21"/>
                <w:szCs w:val="21"/>
                <w:highlight w:val="none"/>
                <w:lang w:val="en-US" w:eastAsia="zh-CN"/>
              </w:rPr>
              <w:t>4</w:t>
            </w:r>
            <w:r>
              <w:rPr>
                <w:rFonts w:hint="default" w:ascii="Times New Roman" w:hAnsi="Times New Roman" w:eastAsia="宋体" w:cs="Times New Roman"/>
                <w:color w:val="auto"/>
                <w:spacing w:val="0"/>
                <w:position w:val="0"/>
                <w:sz w:val="21"/>
                <w:szCs w:val="21"/>
                <w:highlight w:val="none"/>
                <w:lang w:val="en-US" w:eastAsia="zh-CN"/>
              </w:rPr>
              <w:t>700</w:t>
            </w:r>
          </w:p>
        </w:tc>
        <w:tc>
          <w:tcPr>
            <w:tcW w:w="911" w:type="dxa"/>
            <w:noWrap w:val="0"/>
            <w:vAlign w:val="center"/>
          </w:tcPr>
          <w:p w14:paraId="6E084D6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pacing w:val="0"/>
                <w:position w:val="0"/>
                <w:sz w:val="21"/>
                <w:szCs w:val="21"/>
                <w:highlight w:val="none"/>
                <w:lang w:val="en-US" w:eastAsia="zh-CN"/>
              </w:rPr>
            </w:pPr>
            <w:r>
              <w:rPr>
                <w:rFonts w:hint="eastAsia" w:cs="Times New Roman"/>
                <w:color w:val="auto"/>
                <w:spacing w:val="0"/>
                <w:position w:val="0"/>
                <w:sz w:val="21"/>
                <w:szCs w:val="21"/>
                <w:highlight w:val="none"/>
                <w:lang w:val="en-US" w:eastAsia="zh-CN"/>
              </w:rPr>
              <w:t>3</w:t>
            </w:r>
            <w:r>
              <w:rPr>
                <w:rFonts w:hint="default" w:ascii="Times New Roman" w:hAnsi="Times New Roman" w:eastAsia="宋体" w:cs="Times New Roman"/>
                <w:color w:val="auto"/>
                <w:spacing w:val="0"/>
                <w:position w:val="0"/>
                <w:sz w:val="21"/>
                <w:szCs w:val="21"/>
                <w:highlight w:val="none"/>
                <w:lang w:val="en-US" w:eastAsia="zh-CN"/>
              </w:rPr>
              <w:t>92</w:t>
            </w:r>
          </w:p>
        </w:tc>
        <w:tc>
          <w:tcPr>
            <w:tcW w:w="1347" w:type="pct"/>
            <w:vMerge w:val="continue"/>
            <w:noWrap w:val="0"/>
            <w:vAlign w:val="center"/>
          </w:tcPr>
          <w:p w14:paraId="6793BDF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spacing w:val="0"/>
                <w:position w:val="0"/>
                <w:sz w:val="21"/>
                <w:szCs w:val="21"/>
                <w:highlight w:val="none"/>
                <w:lang w:val="en-US" w:eastAsia="zh-CN"/>
              </w:rPr>
            </w:pPr>
          </w:p>
        </w:tc>
      </w:tr>
      <w:tr w14:paraId="539D0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6C98D42B">
            <w:pPr>
              <w:keepNext w:val="0"/>
              <w:keepLines w:val="0"/>
              <w:suppressLineNumbers w:val="0"/>
              <w:spacing w:before="60" w:beforeAutospacing="0" w:after="0" w:afterAutospacing="0"/>
              <w:ind w:left="0" w:leftChars="0" w:right="0" w:rightChars="0"/>
              <w:jc w:val="center"/>
              <w:rPr>
                <w:rFonts w:hint="default" w:ascii="Times New Roman" w:hAnsi="Times New Roman" w:eastAsia="宋体" w:cs="Times New Roman"/>
                <w:caps w:val="0"/>
                <w:smallCaps w:val="0"/>
                <w:color w:val="auto"/>
                <w:spacing w:val="0"/>
                <w:position w:val="0"/>
                <w:sz w:val="21"/>
                <w:szCs w:val="21"/>
              </w:rPr>
            </w:pPr>
            <w:r>
              <w:rPr>
                <w:rFonts w:hint="default" w:ascii="Times New Roman" w:hAnsi="Times New Roman" w:eastAsia="宋体" w:cs="Times New Roman"/>
                <w:caps w:val="0"/>
                <w:smallCaps w:val="0"/>
                <w:color w:val="auto"/>
                <w:spacing w:val="0"/>
                <w:position w:val="0"/>
                <w:sz w:val="21"/>
                <w:szCs w:val="21"/>
              </w:rPr>
              <w:t>14</w:t>
            </w:r>
          </w:p>
        </w:tc>
        <w:tc>
          <w:tcPr>
            <w:tcW w:w="1612" w:type="pct"/>
            <w:noWrap w:val="0"/>
            <w:vAlign w:val="center"/>
          </w:tcPr>
          <w:p w14:paraId="2C25679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0"/>
                <w:kern w:val="2"/>
                <w:positio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曹家社区</w:t>
            </w:r>
          </w:p>
        </w:tc>
        <w:tc>
          <w:tcPr>
            <w:tcW w:w="586" w:type="pct"/>
            <w:noWrap w:val="0"/>
            <w:vAlign w:val="center"/>
          </w:tcPr>
          <w:p w14:paraId="001DEF8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0"/>
                <w:kern w:val="2"/>
                <w:position w:val="0"/>
                <w:sz w:val="21"/>
                <w:szCs w:val="21"/>
                <w:highlight w:val="none"/>
                <w:lang w:val="en-US" w:eastAsia="zh-CN" w:bidi="ar-SA"/>
              </w:rPr>
            </w:pPr>
            <w:r>
              <w:rPr>
                <w:rFonts w:hint="default" w:ascii="Times New Roman" w:hAnsi="Times New Roman" w:eastAsia="宋体" w:cs="Times New Roman"/>
                <w:color w:val="auto"/>
                <w:spacing w:val="0"/>
                <w:position w:val="0"/>
                <w:sz w:val="21"/>
                <w:szCs w:val="21"/>
                <w:highlight w:val="none"/>
                <w:lang w:val="en-US" w:eastAsia="zh-CN"/>
              </w:rPr>
              <w:t>E</w:t>
            </w:r>
          </w:p>
        </w:tc>
        <w:tc>
          <w:tcPr>
            <w:tcW w:w="1122" w:type="dxa"/>
            <w:noWrap w:val="0"/>
            <w:vAlign w:val="center"/>
          </w:tcPr>
          <w:p w14:paraId="05CBBEE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0"/>
                <w:kern w:val="2"/>
                <w:position w:val="0"/>
                <w:sz w:val="21"/>
                <w:szCs w:val="21"/>
                <w:highlight w:val="none"/>
                <w:lang w:val="en-US" w:eastAsia="zh-CN" w:bidi="ar-SA"/>
              </w:rPr>
            </w:pPr>
            <w:r>
              <w:rPr>
                <w:rFonts w:hint="default" w:ascii="Times New Roman" w:hAnsi="Times New Roman" w:eastAsia="宋体" w:cs="Times New Roman"/>
                <w:color w:val="auto"/>
                <w:spacing w:val="0"/>
                <w:position w:val="0"/>
                <w:sz w:val="21"/>
                <w:szCs w:val="21"/>
                <w:highlight w:val="none"/>
                <w:lang w:val="en-US" w:eastAsia="zh-CN"/>
              </w:rPr>
              <w:t>2800</w:t>
            </w:r>
          </w:p>
        </w:tc>
        <w:tc>
          <w:tcPr>
            <w:tcW w:w="911" w:type="dxa"/>
            <w:noWrap w:val="0"/>
            <w:vAlign w:val="center"/>
          </w:tcPr>
          <w:p w14:paraId="478AEE7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0"/>
                <w:position w:val="0"/>
                <w:sz w:val="21"/>
                <w:szCs w:val="21"/>
                <w:highlight w:val="none"/>
                <w:lang w:val="en-US" w:eastAsia="zh-CN"/>
              </w:rPr>
            </w:pPr>
            <w:r>
              <w:rPr>
                <w:rFonts w:hint="default" w:ascii="Times New Roman" w:hAnsi="Times New Roman" w:eastAsia="宋体" w:cs="Times New Roman"/>
                <w:color w:val="auto"/>
                <w:spacing w:val="0"/>
                <w:position w:val="0"/>
                <w:sz w:val="21"/>
                <w:szCs w:val="21"/>
                <w:highlight w:val="none"/>
                <w:lang w:val="en-US" w:eastAsia="zh-CN"/>
              </w:rPr>
              <w:t>10</w:t>
            </w:r>
            <w:r>
              <w:rPr>
                <w:rFonts w:hint="eastAsia" w:cs="Times New Roman"/>
                <w:color w:val="auto"/>
                <w:spacing w:val="0"/>
                <w:position w:val="0"/>
                <w:sz w:val="21"/>
                <w:szCs w:val="21"/>
                <w:highlight w:val="none"/>
                <w:lang w:val="en-US" w:eastAsia="zh-CN"/>
              </w:rPr>
              <w:t>2</w:t>
            </w:r>
            <w:r>
              <w:rPr>
                <w:rFonts w:hint="default" w:ascii="Times New Roman" w:hAnsi="Times New Roman" w:eastAsia="宋体" w:cs="Times New Roman"/>
                <w:color w:val="auto"/>
                <w:spacing w:val="0"/>
                <w:position w:val="0"/>
                <w:sz w:val="21"/>
                <w:szCs w:val="21"/>
                <w:highlight w:val="none"/>
                <w:lang w:val="en-US" w:eastAsia="zh-CN"/>
              </w:rPr>
              <w:t>0</w:t>
            </w:r>
          </w:p>
        </w:tc>
        <w:tc>
          <w:tcPr>
            <w:tcW w:w="1347" w:type="pct"/>
            <w:vMerge w:val="continue"/>
            <w:noWrap w:val="0"/>
            <w:vAlign w:val="center"/>
          </w:tcPr>
          <w:p w14:paraId="4035627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0"/>
                <w:position w:val="0"/>
                <w:sz w:val="21"/>
                <w:szCs w:val="21"/>
                <w:highlight w:val="none"/>
                <w:lang w:val="en-US" w:eastAsia="zh-CN"/>
              </w:rPr>
            </w:pPr>
          </w:p>
        </w:tc>
      </w:tr>
      <w:tr w14:paraId="6253E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70FBF067">
            <w:pPr>
              <w:keepNext w:val="0"/>
              <w:keepLines w:val="0"/>
              <w:suppressLineNumbers w:val="0"/>
              <w:spacing w:before="60" w:beforeAutospacing="0" w:after="0" w:afterAutospacing="0"/>
              <w:ind w:left="0" w:leftChars="0" w:right="0" w:rightChars="0"/>
              <w:jc w:val="center"/>
              <w:rPr>
                <w:rFonts w:hint="default" w:ascii="Times New Roman" w:hAnsi="Times New Roman" w:eastAsia="宋体" w:cs="Times New Roman"/>
                <w:caps w:val="0"/>
                <w:smallCaps w:val="0"/>
                <w:color w:val="auto"/>
                <w:spacing w:val="0"/>
                <w:position w:val="0"/>
                <w:sz w:val="21"/>
                <w:szCs w:val="21"/>
              </w:rPr>
            </w:pPr>
            <w:r>
              <w:rPr>
                <w:rFonts w:hint="default" w:ascii="Times New Roman" w:hAnsi="Times New Roman" w:eastAsia="宋体" w:cs="Times New Roman"/>
                <w:caps w:val="0"/>
                <w:smallCaps w:val="0"/>
                <w:color w:val="auto"/>
                <w:spacing w:val="0"/>
                <w:position w:val="0"/>
                <w:sz w:val="21"/>
                <w:szCs w:val="21"/>
              </w:rPr>
              <w:t>15</w:t>
            </w:r>
          </w:p>
        </w:tc>
        <w:tc>
          <w:tcPr>
            <w:tcW w:w="1612" w:type="pct"/>
            <w:noWrap w:val="0"/>
            <w:vAlign w:val="center"/>
          </w:tcPr>
          <w:p w14:paraId="36C9617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0"/>
                <w:kern w:val="2"/>
                <w:positio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毛托村</w:t>
            </w:r>
          </w:p>
        </w:tc>
        <w:tc>
          <w:tcPr>
            <w:tcW w:w="586" w:type="pct"/>
            <w:noWrap w:val="0"/>
            <w:vAlign w:val="center"/>
          </w:tcPr>
          <w:p w14:paraId="182FF15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0"/>
                <w:kern w:val="2"/>
                <w:position w:val="0"/>
                <w:sz w:val="21"/>
                <w:szCs w:val="21"/>
                <w:highlight w:val="none"/>
                <w:lang w:val="en-US" w:eastAsia="zh-CN" w:bidi="ar-SA"/>
              </w:rPr>
            </w:pPr>
            <w:r>
              <w:rPr>
                <w:rFonts w:hint="default" w:ascii="Times New Roman" w:hAnsi="Times New Roman" w:eastAsia="宋体" w:cs="Times New Roman"/>
                <w:color w:val="auto"/>
                <w:spacing w:val="0"/>
                <w:position w:val="0"/>
                <w:sz w:val="21"/>
                <w:szCs w:val="21"/>
                <w:highlight w:val="none"/>
                <w:lang w:val="en-US" w:eastAsia="zh-CN"/>
              </w:rPr>
              <w:t>N</w:t>
            </w:r>
          </w:p>
        </w:tc>
        <w:tc>
          <w:tcPr>
            <w:tcW w:w="1122" w:type="dxa"/>
            <w:noWrap w:val="0"/>
            <w:vAlign w:val="center"/>
          </w:tcPr>
          <w:p w14:paraId="2DFEE80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0"/>
                <w:kern w:val="2"/>
                <w:position w:val="0"/>
                <w:sz w:val="21"/>
                <w:szCs w:val="21"/>
                <w:highlight w:val="none"/>
                <w:lang w:val="en-US" w:eastAsia="zh-CN" w:bidi="ar-SA"/>
              </w:rPr>
            </w:pPr>
            <w:r>
              <w:rPr>
                <w:rFonts w:hint="eastAsia" w:cs="Times New Roman"/>
                <w:color w:val="auto"/>
                <w:spacing w:val="0"/>
                <w:position w:val="0"/>
                <w:sz w:val="21"/>
                <w:szCs w:val="21"/>
                <w:highlight w:val="none"/>
                <w:lang w:val="en-US" w:eastAsia="zh-CN"/>
              </w:rPr>
              <w:t>4</w:t>
            </w:r>
            <w:r>
              <w:rPr>
                <w:rFonts w:hint="default" w:ascii="Times New Roman" w:hAnsi="Times New Roman" w:eastAsia="宋体" w:cs="Times New Roman"/>
                <w:color w:val="auto"/>
                <w:spacing w:val="0"/>
                <w:position w:val="0"/>
                <w:sz w:val="21"/>
                <w:szCs w:val="21"/>
                <w:highlight w:val="none"/>
                <w:lang w:val="en-US" w:eastAsia="zh-CN"/>
              </w:rPr>
              <w:t>900</w:t>
            </w:r>
          </w:p>
        </w:tc>
        <w:tc>
          <w:tcPr>
            <w:tcW w:w="911" w:type="dxa"/>
            <w:noWrap w:val="0"/>
            <w:vAlign w:val="center"/>
          </w:tcPr>
          <w:p w14:paraId="2E85F17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0"/>
                <w:position w:val="0"/>
                <w:sz w:val="21"/>
                <w:szCs w:val="21"/>
                <w:highlight w:val="none"/>
                <w:lang w:val="en-US" w:eastAsia="zh-CN"/>
              </w:rPr>
            </w:pPr>
            <w:r>
              <w:rPr>
                <w:rFonts w:hint="eastAsia" w:cs="Times New Roman"/>
                <w:color w:val="auto"/>
                <w:spacing w:val="0"/>
                <w:position w:val="0"/>
                <w:sz w:val="21"/>
                <w:szCs w:val="21"/>
                <w:highlight w:val="none"/>
                <w:lang w:val="en-US" w:eastAsia="zh-CN"/>
              </w:rPr>
              <w:t>1</w:t>
            </w:r>
            <w:r>
              <w:rPr>
                <w:rFonts w:hint="default" w:ascii="Times New Roman" w:hAnsi="Times New Roman" w:eastAsia="宋体" w:cs="Times New Roman"/>
                <w:color w:val="auto"/>
                <w:spacing w:val="0"/>
                <w:position w:val="0"/>
                <w:sz w:val="21"/>
                <w:szCs w:val="21"/>
                <w:highlight w:val="none"/>
                <w:lang w:val="en-US" w:eastAsia="zh-CN"/>
              </w:rPr>
              <w:t>208</w:t>
            </w:r>
          </w:p>
        </w:tc>
        <w:tc>
          <w:tcPr>
            <w:tcW w:w="1347" w:type="pct"/>
            <w:vMerge w:val="continue"/>
            <w:noWrap w:val="0"/>
            <w:vAlign w:val="center"/>
          </w:tcPr>
          <w:p w14:paraId="1F6B9DA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pacing w:val="0"/>
                <w:position w:val="0"/>
                <w:sz w:val="21"/>
                <w:szCs w:val="21"/>
                <w:highlight w:val="none"/>
                <w:lang w:val="en-US" w:eastAsia="zh-CN"/>
              </w:rPr>
            </w:pPr>
          </w:p>
        </w:tc>
      </w:tr>
      <w:tr w14:paraId="41041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5E0B8D4B">
            <w:pPr>
              <w:keepNext w:val="0"/>
              <w:keepLines w:val="0"/>
              <w:suppressLineNumbers w:val="0"/>
              <w:spacing w:before="60" w:beforeAutospacing="0" w:after="0" w:afterAutospacing="0"/>
              <w:ind w:left="0" w:leftChars="0" w:right="0" w:rightChars="0"/>
              <w:jc w:val="center"/>
              <w:rPr>
                <w:rFonts w:hint="default" w:ascii="Times New Roman" w:hAnsi="Times New Roman" w:eastAsia="宋体" w:cs="Times New Roman"/>
                <w:caps w:val="0"/>
                <w:smallCaps w:val="0"/>
                <w:color w:val="auto"/>
                <w:spacing w:val="0"/>
                <w:position w:val="0"/>
                <w:sz w:val="21"/>
                <w:szCs w:val="21"/>
              </w:rPr>
            </w:pPr>
            <w:r>
              <w:rPr>
                <w:rFonts w:hint="default" w:ascii="Times New Roman" w:hAnsi="Times New Roman" w:eastAsia="宋体" w:cs="Times New Roman"/>
                <w:caps w:val="0"/>
                <w:smallCaps w:val="0"/>
                <w:color w:val="auto"/>
                <w:spacing w:val="0"/>
                <w:position w:val="0"/>
                <w:sz w:val="21"/>
                <w:szCs w:val="21"/>
              </w:rPr>
              <w:t>16</w:t>
            </w:r>
          </w:p>
        </w:tc>
        <w:tc>
          <w:tcPr>
            <w:tcW w:w="1612" w:type="pct"/>
            <w:noWrap w:val="0"/>
            <w:vAlign w:val="center"/>
          </w:tcPr>
          <w:p w14:paraId="4806C78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aps w:val="0"/>
                <w:smallCaps w:val="0"/>
                <w:color w:val="auto"/>
                <w:spacing w:val="0"/>
                <w:position w:val="0"/>
                <w:sz w:val="21"/>
                <w:szCs w:val="21"/>
                <w:highlight w:val="none"/>
                <w:lang w:val="en-US" w:eastAsia="zh-CN"/>
              </w:rPr>
              <w:t>傅家庄</w:t>
            </w:r>
          </w:p>
        </w:tc>
        <w:tc>
          <w:tcPr>
            <w:tcW w:w="586" w:type="pct"/>
            <w:noWrap w:val="0"/>
            <w:vAlign w:val="center"/>
          </w:tcPr>
          <w:p w14:paraId="2B8EEAA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aps w:val="0"/>
                <w:smallCaps w:val="0"/>
                <w:color w:val="auto"/>
                <w:spacing w:val="0"/>
                <w:position w:val="0"/>
                <w:sz w:val="21"/>
                <w:szCs w:val="21"/>
                <w:highlight w:val="none"/>
                <w:lang w:val="en-US" w:eastAsia="zh-CN"/>
              </w:rPr>
              <w:t>N</w:t>
            </w:r>
          </w:p>
        </w:tc>
        <w:tc>
          <w:tcPr>
            <w:tcW w:w="1122" w:type="dxa"/>
            <w:noWrap w:val="0"/>
            <w:vAlign w:val="center"/>
          </w:tcPr>
          <w:p w14:paraId="77394C9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aps w:val="0"/>
                <w:smallCaps w:val="0"/>
                <w:color w:val="auto"/>
                <w:spacing w:val="0"/>
                <w:position w:val="0"/>
                <w:sz w:val="21"/>
                <w:szCs w:val="21"/>
                <w:highlight w:val="none"/>
                <w:lang w:val="en-US" w:eastAsia="zh-CN"/>
              </w:rPr>
              <w:t>4140</w:t>
            </w:r>
          </w:p>
        </w:tc>
        <w:tc>
          <w:tcPr>
            <w:tcW w:w="911" w:type="dxa"/>
            <w:noWrap w:val="0"/>
            <w:vAlign w:val="center"/>
          </w:tcPr>
          <w:p w14:paraId="3149515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highlight w:val="none"/>
                <w:lang w:val="en-US" w:eastAsia="zh-CN"/>
              </w:rPr>
            </w:pPr>
            <w:r>
              <w:rPr>
                <w:rFonts w:hint="default" w:ascii="Times New Roman" w:hAnsi="Times New Roman" w:eastAsia="宋体" w:cs="Times New Roman"/>
                <w:caps w:val="0"/>
                <w:smallCaps w:val="0"/>
                <w:color w:val="auto"/>
                <w:spacing w:val="0"/>
                <w:position w:val="0"/>
                <w:sz w:val="21"/>
                <w:szCs w:val="21"/>
                <w:highlight w:val="none"/>
                <w:lang w:val="en-US" w:eastAsia="zh-CN"/>
              </w:rPr>
              <w:t>650</w:t>
            </w:r>
          </w:p>
        </w:tc>
        <w:tc>
          <w:tcPr>
            <w:tcW w:w="1347" w:type="pct"/>
            <w:vMerge w:val="continue"/>
            <w:noWrap w:val="0"/>
            <w:vAlign w:val="center"/>
          </w:tcPr>
          <w:p w14:paraId="6F5D746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highlight w:val="none"/>
                <w:lang w:val="en-US" w:eastAsia="zh-CN"/>
              </w:rPr>
            </w:pPr>
          </w:p>
        </w:tc>
      </w:tr>
      <w:tr w14:paraId="1F344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40A87F3D">
            <w:pPr>
              <w:keepNext w:val="0"/>
              <w:keepLines w:val="0"/>
              <w:suppressLineNumbers w:val="0"/>
              <w:spacing w:before="60" w:beforeAutospacing="0" w:after="0" w:afterAutospacing="0"/>
              <w:ind w:left="0" w:leftChars="0" w:right="0" w:rightChars="0"/>
              <w:jc w:val="center"/>
              <w:rPr>
                <w:rFonts w:hint="default" w:ascii="Times New Roman" w:hAnsi="Times New Roman" w:eastAsia="宋体" w:cs="Times New Roman"/>
                <w:caps w:val="0"/>
                <w:smallCaps w:val="0"/>
                <w:color w:val="auto"/>
                <w:spacing w:val="0"/>
                <w:position w:val="0"/>
                <w:sz w:val="21"/>
                <w:szCs w:val="21"/>
              </w:rPr>
            </w:pPr>
            <w:r>
              <w:rPr>
                <w:rFonts w:hint="default" w:ascii="Times New Roman" w:hAnsi="Times New Roman" w:eastAsia="宋体" w:cs="Times New Roman"/>
                <w:caps w:val="0"/>
                <w:smallCaps w:val="0"/>
                <w:color w:val="auto"/>
                <w:spacing w:val="0"/>
                <w:position w:val="0"/>
                <w:sz w:val="21"/>
                <w:szCs w:val="21"/>
              </w:rPr>
              <w:t>17</w:t>
            </w:r>
          </w:p>
        </w:tc>
        <w:tc>
          <w:tcPr>
            <w:tcW w:w="1612" w:type="pct"/>
            <w:noWrap w:val="0"/>
            <w:vAlign w:val="center"/>
          </w:tcPr>
          <w:p w14:paraId="48B9978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aps w:val="0"/>
                <w:smallCaps w:val="0"/>
                <w:color w:val="auto"/>
                <w:spacing w:val="0"/>
                <w:position w:val="0"/>
                <w:sz w:val="21"/>
                <w:szCs w:val="21"/>
                <w:highlight w:val="none"/>
                <w:lang w:val="en-US" w:eastAsia="zh-CN"/>
              </w:rPr>
              <w:t>段家庄</w:t>
            </w:r>
          </w:p>
        </w:tc>
        <w:tc>
          <w:tcPr>
            <w:tcW w:w="586" w:type="pct"/>
            <w:noWrap w:val="0"/>
            <w:vAlign w:val="center"/>
          </w:tcPr>
          <w:p w14:paraId="03DDEB9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aps w:val="0"/>
                <w:smallCaps w:val="0"/>
                <w:color w:val="auto"/>
                <w:spacing w:val="0"/>
                <w:position w:val="0"/>
                <w:sz w:val="21"/>
                <w:szCs w:val="21"/>
                <w:highlight w:val="none"/>
                <w:lang w:val="en-US" w:eastAsia="zh-CN"/>
              </w:rPr>
              <w:t>N</w:t>
            </w:r>
          </w:p>
        </w:tc>
        <w:tc>
          <w:tcPr>
            <w:tcW w:w="1122" w:type="dxa"/>
            <w:noWrap w:val="0"/>
            <w:vAlign w:val="center"/>
          </w:tcPr>
          <w:p w14:paraId="07926E6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aps w:val="0"/>
                <w:smallCaps w:val="0"/>
                <w:color w:val="auto"/>
                <w:spacing w:val="0"/>
                <w:position w:val="0"/>
                <w:sz w:val="21"/>
                <w:szCs w:val="21"/>
                <w:highlight w:val="none"/>
                <w:lang w:val="en-US" w:eastAsia="zh-CN"/>
              </w:rPr>
              <w:t>4550</w:t>
            </w:r>
          </w:p>
        </w:tc>
        <w:tc>
          <w:tcPr>
            <w:tcW w:w="911" w:type="dxa"/>
            <w:noWrap w:val="0"/>
            <w:vAlign w:val="center"/>
          </w:tcPr>
          <w:p w14:paraId="176076F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highlight w:val="none"/>
                <w:lang w:val="en-US" w:eastAsia="zh-CN"/>
              </w:rPr>
            </w:pPr>
            <w:r>
              <w:rPr>
                <w:rFonts w:hint="default" w:ascii="Times New Roman" w:hAnsi="Times New Roman" w:eastAsia="宋体" w:cs="Times New Roman"/>
                <w:caps w:val="0"/>
                <w:smallCaps w:val="0"/>
                <w:color w:val="auto"/>
                <w:spacing w:val="0"/>
                <w:position w:val="0"/>
                <w:sz w:val="21"/>
                <w:szCs w:val="21"/>
                <w:highlight w:val="none"/>
                <w:lang w:val="en-US" w:eastAsia="zh-CN"/>
              </w:rPr>
              <w:t>582</w:t>
            </w:r>
          </w:p>
        </w:tc>
        <w:tc>
          <w:tcPr>
            <w:tcW w:w="1347" w:type="pct"/>
            <w:vMerge w:val="continue"/>
            <w:noWrap w:val="0"/>
            <w:vAlign w:val="center"/>
          </w:tcPr>
          <w:p w14:paraId="21AD8B4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highlight w:val="none"/>
                <w:lang w:val="en-US" w:eastAsia="zh-CN"/>
              </w:rPr>
            </w:pPr>
          </w:p>
        </w:tc>
      </w:tr>
      <w:tr w14:paraId="63713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52A272C6">
            <w:pPr>
              <w:keepNext w:val="0"/>
              <w:keepLines w:val="0"/>
              <w:suppressLineNumbers w:val="0"/>
              <w:spacing w:before="60" w:beforeAutospacing="0" w:after="0" w:afterAutospacing="0"/>
              <w:ind w:left="0" w:leftChars="0" w:right="0" w:rightChars="0"/>
              <w:jc w:val="center"/>
              <w:rPr>
                <w:rFonts w:hint="default" w:ascii="Times New Roman" w:hAnsi="Times New Roman" w:eastAsia="宋体" w:cs="Times New Roman"/>
                <w:caps w:val="0"/>
                <w:smallCaps w:val="0"/>
                <w:color w:val="auto"/>
                <w:spacing w:val="0"/>
                <w:position w:val="0"/>
                <w:sz w:val="21"/>
                <w:szCs w:val="21"/>
              </w:rPr>
            </w:pPr>
            <w:r>
              <w:rPr>
                <w:rFonts w:hint="default" w:ascii="Times New Roman" w:hAnsi="Times New Roman" w:eastAsia="宋体" w:cs="Times New Roman"/>
                <w:caps w:val="0"/>
                <w:smallCaps w:val="0"/>
                <w:color w:val="auto"/>
                <w:spacing w:val="0"/>
                <w:position w:val="0"/>
                <w:sz w:val="21"/>
                <w:szCs w:val="21"/>
              </w:rPr>
              <w:t>18</w:t>
            </w:r>
          </w:p>
        </w:tc>
        <w:tc>
          <w:tcPr>
            <w:tcW w:w="1612" w:type="pct"/>
            <w:noWrap w:val="0"/>
            <w:vAlign w:val="center"/>
          </w:tcPr>
          <w:p w14:paraId="5500136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槐行村</w:t>
            </w:r>
          </w:p>
        </w:tc>
        <w:tc>
          <w:tcPr>
            <w:tcW w:w="586" w:type="pct"/>
            <w:noWrap w:val="0"/>
            <w:vAlign w:val="center"/>
          </w:tcPr>
          <w:p w14:paraId="41370D8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aps w:val="0"/>
                <w:smallCaps w:val="0"/>
                <w:color w:val="auto"/>
                <w:spacing w:val="0"/>
                <w:position w:val="0"/>
                <w:sz w:val="21"/>
                <w:szCs w:val="21"/>
                <w:highlight w:val="none"/>
                <w:lang w:val="en-US" w:eastAsia="zh-CN"/>
              </w:rPr>
              <w:t>NE</w:t>
            </w:r>
          </w:p>
        </w:tc>
        <w:tc>
          <w:tcPr>
            <w:tcW w:w="1122" w:type="dxa"/>
            <w:noWrap w:val="0"/>
            <w:vAlign w:val="center"/>
          </w:tcPr>
          <w:p w14:paraId="27FBA20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aps w:val="0"/>
                <w:smallCaps w:val="0"/>
                <w:color w:val="auto"/>
                <w:spacing w:val="0"/>
                <w:position w:val="0"/>
                <w:sz w:val="21"/>
                <w:szCs w:val="21"/>
                <w:highlight w:val="none"/>
                <w:lang w:val="en-US" w:eastAsia="zh-CN"/>
              </w:rPr>
              <w:t>4000</w:t>
            </w:r>
          </w:p>
        </w:tc>
        <w:tc>
          <w:tcPr>
            <w:tcW w:w="911" w:type="dxa"/>
            <w:noWrap w:val="0"/>
            <w:vAlign w:val="center"/>
          </w:tcPr>
          <w:p w14:paraId="1B8583F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highlight w:val="none"/>
                <w:lang w:val="en-US" w:eastAsia="zh-CN"/>
              </w:rPr>
            </w:pPr>
            <w:r>
              <w:rPr>
                <w:rFonts w:hint="default" w:ascii="Times New Roman" w:hAnsi="Times New Roman" w:eastAsia="宋体" w:cs="Times New Roman"/>
                <w:caps w:val="0"/>
                <w:smallCaps w:val="0"/>
                <w:color w:val="auto"/>
                <w:spacing w:val="0"/>
                <w:position w:val="0"/>
                <w:sz w:val="21"/>
                <w:szCs w:val="21"/>
                <w:highlight w:val="none"/>
                <w:lang w:val="en-US" w:eastAsia="zh-CN"/>
              </w:rPr>
              <w:t>800</w:t>
            </w:r>
          </w:p>
        </w:tc>
        <w:tc>
          <w:tcPr>
            <w:tcW w:w="1347" w:type="pct"/>
            <w:vMerge w:val="continue"/>
            <w:noWrap w:val="0"/>
            <w:vAlign w:val="center"/>
          </w:tcPr>
          <w:p w14:paraId="0858952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highlight w:val="none"/>
                <w:lang w:val="en-US" w:eastAsia="zh-CN"/>
              </w:rPr>
            </w:pPr>
          </w:p>
        </w:tc>
      </w:tr>
      <w:tr w14:paraId="3832C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78701F64">
            <w:pPr>
              <w:keepNext w:val="0"/>
              <w:keepLines w:val="0"/>
              <w:suppressLineNumbers w:val="0"/>
              <w:spacing w:before="60" w:beforeAutospacing="0" w:after="0" w:afterAutospacing="0"/>
              <w:ind w:left="0" w:leftChars="0" w:right="0" w:rightChars="0"/>
              <w:jc w:val="center"/>
              <w:rPr>
                <w:rFonts w:hint="default" w:ascii="Times New Roman" w:hAnsi="Times New Roman" w:eastAsia="宋体" w:cs="Times New Roman"/>
                <w:caps w:val="0"/>
                <w:smallCaps w:val="0"/>
                <w:color w:val="auto"/>
                <w:spacing w:val="0"/>
                <w:position w:val="0"/>
                <w:sz w:val="21"/>
                <w:szCs w:val="21"/>
              </w:rPr>
            </w:pPr>
            <w:r>
              <w:rPr>
                <w:rFonts w:hint="default" w:ascii="Times New Roman" w:hAnsi="Times New Roman" w:eastAsia="宋体" w:cs="Times New Roman"/>
                <w:caps w:val="0"/>
                <w:smallCaps w:val="0"/>
                <w:color w:val="auto"/>
                <w:spacing w:val="0"/>
                <w:position w:val="0"/>
                <w:sz w:val="21"/>
                <w:szCs w:val="21"/>
              </w:rPr>
              <w:t>19</w:t>
            </w:r>
          </w:p>
        </w:tc>
        <w:tc>
          <w:tcPr>
            <w:tcW w:w="1612" w:type="pct"/>
            <w:noWrap w:val="0"/>
            <w:vAlign w:val="center"/>
          </w:tcPr>
          <w:p w14:paraId="44C105B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大杨庄村</w:t>
            </w:r>
          </w:p>
        </w:tc>
        <w:tc>
          <w:tcPr>
            <w:tcW w:w="586" w:type="pct"/>
            <w:noWrap w:val="0"/>
            <w:vAlign w:val="center"/>
          </w:tcPr>
          <w:p w14:paraId="55D1575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aps w:val="0"/>
                <w:smallCaps w:val="0"/>
                <w:color w:val="auto"/>
                <w:spacing w:val="0"/>
                <w:position w:val="0"/>
                <w:sz w:val="21"/>
                <w:szCs w:val="21"/>
                <w:highlight w:val="none"/>
                <w:lang w:val="en-US" w:eastAsia="zh-CN"/>
              </w:rPr>
              <w:t>N</w:t>
            </w:r>
          </w:p>
        </w:tc>
        <w:tc>
          <w:tcPr>
            <w:tcW w:w="1122" w:type="dxa"/>
            <w:noWrap w:val="0"/>
            <w:vAlign w:val="center"/>
          </w:tcPr>
          <w:p w14:paraId="09C5BB5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aps w:val="0"/>
                <w:smallCaps w:val="0"/>
                <w:color w:val="auto"/>
                <w:spacing w:val="0"/>
                <w:position w:val="0"/>
                <w:sz w:val="21"/>
                <w:szCs w:val="21"/>
                <w:highlight w:val="none"/>
                <w:lang w:val="en-US" w:eastAsia="zh-CN"/>
              </w:rPr>
              <w:t>3600</w:t>
            </w:r>
          </w:p>
        </w:tc>
        <w:tc>
          <w:tcPr>
            <w:tcW w:w="911" w:type="dxa"/>
            <w:noWrap w:val="0"/>
            <w:vAlign w:val="center"/>
          </w:tcPr>
          <w:p w14:paraId="37D043B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highlight w:val="none"/>
                <w:lang w:val="en-US" w:eastAsia="zh-CN"/>
              </w:rPr>
            </w:pPr>
            <w:r>
              <w:rPr>
                <w:rFonts w:hint="default" w:ascii="Times New Roman" w:hAnsi="Times New Roman" w:eastAsia="宋体" w:cs="Times New Roman"/>
                <w:caps w:val="0"/>
                <w:smallCaps w:val="0"/>
                <w:color w:val="auto"/>
                <w:spacing w:val="0"/>
                <w:position w:val="0"/>
                <w:sz w:val="21"/>
                <w:szCs w:val="21"/>
                <w:highlight w:val="none"/>
                <w:lang w:val="en-US" w:eastAsia="zh-CN"/>
              </w:rPr>
              <w:t>804</w:t>
            </w:r>
          </w:p>
        </w:tc>
        <w:tc>
          <w:tcPr>
            <w:tcW w:w="1347" w:type="pct"/>
            <w:vMerge w:val="continue"/>
            <w:noWrap w:val="0"/>
            <w:vAlign w:val="center"/>
          </w:tcPr>
          <w:p w14:paraId="7EE1DCC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highlight w:val="none"/>
                <w:lang w:val="en-US" w:eastAsia="zh-CN"/>
              </w:rPr>
            </w:pPr>
          </w:p>
        </w:tc>
      </w:tr>
      <w:tr w14:paraId="2DC32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4A3EE725">
            <w:pPr>
              <w:keepNext w:val="0"/>
              <w:keepLines w:val="0"/>
              <w:suppressLineNumbers w:val="0"/>
              <w:spacing w:before="60" w:beforeAutospacing="0" w:after="0" w:afterAutospacing="0"/>
              <w:ind w:left="0" w:leftChars="0" w:right="0" w:rightChars="0"/>
              <w:jc w:val="center"/>
              <w:rPr>
                <w:rFonts w:hint="default" w:ascii="Times New Roman" w:hAnsi="Times New Roman" w:eastAsia="宋体" w:cs="Times New Roman"/>
                <w:caps w:val="0"/>
                <w:smallCaps w:val="0"/>
                <w:color w:val="auto"/>
                <w:spacing w:val="0"/>
                <w:position w:val="0"/>
                <w:sz w:val="21"/>
                <w:szCs w:val="21"/>
              </w:rPr>
            </w:pPr>
            <w:r>
              <w:rPr>
                <w:rFonts w:hint="default" w:ascii="Times New Roman" w:hAnsi="Times New Roman" w:eastAsia="宋体" w:cs="Times New Roman"/>
                <w:caps w:val="0"/>
                <w:smallCaps w:val="0"/>
                <w:color w:val="auto"/>
                <w:spacing w:val="0"/>
                <w:position w:val="0"/>
                <w:sz w:val="21"/>
                <w:szCs w:val="21"/>
              </w:rPr>
              <w:t>20</w:t>
            </w:r>
          </w:p>
        </w:tc>
        <w:tc>
          <w:tcPr>
            <w:tcW w:w="1612" w:type="pct"/>
            <w:noWrap w:val="0"/>
            <w:vAlign w:val="center"/>
          </w:tcPr>
          <w:p w14:paraId="766586D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
              </w:rPr>
              <w:t>小杨庄村</w:t>
            </w:r>
          </w:p>
        </w:tc>
        <w:tc>
          <w:tcPr>
            <w:tcW w:w="586" w:type="pct"/>
            <w:noWrap w:val="0"/>
            <w:vAlign w:val="center"/>
          </w:tcPr>
          <w:p w14:paraId="1FA4061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aps w:val="0"/>
                <w:smallCaps w:val="0"/>
                <w:color w:val="auto"/>
                <w:spacing w:val="0"/>
                <w:position w:val="0"/>
                <w:sz w:val="21"/>
                <w:szCs w:val="21"/>
                <w:highlight w:val="none"/>
                <w:lang w:val="en-US" w:eastAsia="zh-CN"/>
              </w:rPr>
              <w:t>N</w:t>
            </w:r>
          </w:p>
        </w:tc>
        <w:tc>
          <w:tcPr>
            <w:tcW w:w="1122" w:type="dxa"/>
            <w:noWrap w:val="0"/>
            <w:vAlign w:val="center"/>
          </w:tcPr>
          <w:p w14:paraId="1C23966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aps w:val="0"/>
                <w:smallCaps w:val="0"/>
                <w:color w:val="auto"/>
                <w:spacing w:val="0"/>
                <w:position w:val="0"/>
                <w:sz w:val="21"/>
                <w:szCs w:val="21"/>
                <w:highlight w:val="none"/>
                <w:lang w:val="en-US" w:eastAsia="zh-CN"/>
              </w:rPr>
              <w:t>3500</w:t>
            </w:r>
          </w:p>
        </w:tc>
        <w:tc>
          <w:tcPr>
            <w:tcW w:w="911" w:type="dxa"/>
            <w:noWrap w:val="0"/>
            <w:vAlign w:val="center"/>
          </w:tcPr>
          <w:p w14:paraId="08A1DE4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highlight w:val="none"/>
                <w:lang w:val="en-US" w:eastAsia="zh-CN"/>
              </w:rPr>
            </w:pPr>
            <w:r>
              <w:rPr>
                <w:rFonts w:hint="default" w:ascii="Times New Roman" w:hAnsi="Times New Roman" w:eastAsia="宋体" w:cs="Times New Roman"/>
                <w:caps w:val="0"/>
                <w:smallCaps w:val="0"/>
                <w:color w:val="auto"/>
                <w:spacing w:val="0"/>
                <w:position w:val="0"/>
                <w:sz w:val="21"/>
                <w:szCs w:val="21"/>
                <w:highlight w:val="none"/>
                <w:lang w:val="en-US" w:eastAsia="zh-CN"/>
              </w:rPr>
              <w:t>800</w:t>
            </w:r>
          </w:p>
        </w:tc>
        <w:tc>
          <w:tcPr>
            <w:tcW w:w="1347" w:type="pct"/>
            <w:vMerge w:val="continue"/>
            <w:noWrap w:val="0"/>
            <w:vAlign w:val="center"/>
          </w:tcPr>
          <w:p w14:paraId="074B483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highlight w:val="none"/>
                <w:lang w:val="en-US" w:eastAsia="zh-CN"/>
              </w:rPr>
            </w:pPr>
          </w:p>
        </w:tc>
      </w:tr>
      <w:tr w14:paraId="389AB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3EAE3ACB">
            <w:pPr>
              <w:keepNext w:val="0"/>
              <w:keepLines w:val="0"/>
              <w:suppressLineNumbers w:val="0"/>
              <w:spacing w:before="60" w:beforeAutospacing="0" w:after="0" w:afterAutospacing="0"/>
              <w:ind w:left="0" w:leftChars="0" w:right="0" w:rightChars="0"/>
              <w:jc w:val="center"/>
              <w:rPr>
                <w:rFonts w:hint="default" w:ascii="Times New Roman" w:hAnsi="Times New Roman" w:eastAsia="宋体" w:cs="Times New Roman"/>
                <w:caps w:val="0"/>
                <w:smallCaps w:val="0"/>
                <w:color w:val="auto"/>
                <w:spacing w:val="0"/>
                <w:position w:val="0"/>
                <w:sz w:val="21"/>
                <w:szCs w:val="21"/>
              </w:rPr>
            </w:pPr>
            <w:r>
              <w:rPr>
                <w:rFonts w:hint="default" w:ascii="Times New Roman" w:hAnsi="Times New Roman" w:eastAsia="宋体" w:cs="Times New Roman"/>
                <w:caps w:val="0"/>
                <w:smallCaps w:val="0"/>
                <w:color w:val="auto"/>
                <w:spacing w:val="0"/>
                <w:position w:val="0"/>
                <w:sz w:val="21"/>
                <w:szCs w:val="21"/>
              </w:rPr>
              <w:t>21</w:t>
            </w:r>
          </w:p>
        </w:tc>
        <w:tc>
          <w:tcPr>
            <w:tcW w:w="1612" w:type="pct"/>
            <w:noWrap w:val="0"/>
            <w:vAlign w:val="center"/>
          </w:tcPr>
          <w:p w14:paraId="52C2C98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aps w:val="0"/>
                <w:smallCaps w:val="0"/>
                <w:color w:val="auto"/>
                <w:spacing w:val="0"/>
                <w:position w:val="0"/>
                <w:sz w:val="21"/>
                <w:szCs w:val="21"/>
                <w:highlight w:val="none"/>
                <w:lang w:val="en-US" w:eastAsia="zh-CN"/>
              </w:rPr>
              <w:t>侯家屯</w:t>
            </w:r>
          </w:p>
        </w:tc>
        <w:tc>
          <w:tcPr>
            <w:tcW w:w="586" w:type="pct"/>
            <w:noWrap w:val="0"/>
            <w:vAlign w:val="center"/>
          </w:tcPr>
          <w:p w14:paraId="785CF99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aps w:val="0"/>
                <w:smallCaps w:val="0"/>
                <w:color w:val="auto"/>
                <w:spacing w:val="0"/>
                <w:position w:val="0"/>
                <w:sz w:val="21"/>
                <w:szCs w:val="21"/>
                <w:highlight w:val="none"/>
                <w:lang w:val="en-US" w:eastAsia="zh-CN"/>
              </w:rPr>
              <w:t>NW</w:t>
            </w:r>
          </w:p>
        </w:tc>
        <w:tc>
          <w:tcPr>
            <w:tcW w:w="1122" w:type="dxa"/>
            <w:noWrap w:val="0"/>
            <w:vAlign w:val="center"/>
          </w:tcPr>
          <w:p w14:paraId="3872FE1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eastAsia" w:cs="Times New Roman"/>
                <w:caps w:val="0"/>
                <w:smallCaps w:val="0"/>
                <w:color w:val="auto"/>
                <w:spacing w:val="0"/>
                <w:position w:val="0"/>
                <w:sz w:val="21"/>
                <w:szCs w:val="21"/>
                <w:highlight w:val="none"/>
                <w:lang w:val="en-US" w:eastAsia="zh-CN"/>
              </w:rPr>
              <w:t>5</w:t>
            </w:r>
            <w:r>
              <w:rPr>
                <w:rFonts w:hint="default" w:ascii="Times New Roman" w:hAnsi="Times New Roman" w:eastAsia="宋体" w:cs="Times New Roman"/>
                <w:caps w:val="0"/>
                <w:smallCaps w:val="0"/>
                <w:color w:val="auto"/>
                <w:spacing w:val="0"/>
                <w:position w:val="0"/>
                <w:sz w:val="21"/>
                <w:szCs w:val="21"/>
                <w:highlight w:val="none"/>
                <w:lang w:val="en-US" w:eastAsia="zh-CN"/>
              </w:rPr>
              <w:t>170</w:t>
            </w:r>
          </w:p>
        </w:tc>
        <w:tc>
          <w:tcPr>
            <w:tcW w:w="911" w:type="dxa"/>
            <w:noWrap w:val="0"/>
            <w:vAlign w:val="center"/>
          </w:tcPr>
          <w:p w14:paraId="0EC1322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highlight w:val="none"/>
                <w:lang w:val="en-US" w:eastAsia="zh-CN"/>
              </w:rPr>
            </w:pPr>
            <w:r>
              <w:rPr>
                <w:rFonts w:hint="default" w:ascii="Times New Roman" w:hAnsi="Times New Roman" w:eastAsia="宋体" w:cs="Times New Roman"/>
                <w:caps w:val="0"/>
                <w:smallCaps w:val="0"/>
                <w:color w:val="auto"/>
                <w:spacing w:val="0"/>
                <w:position w:val="0"/>
                <w:sz w:val="21"/>
                <w:szCs w:val="21"/>
                <w:highlight w:val="none"/>
                <w:lang w:val="en-US" w:eastAsia="zh-CN"/>
              </w:rPr>
              <w:t>3000</w:t>
            </w:r>
          </w:p>
        </w:tc>
        <w:tc>
          <w:tcPr>
            <w:tcW w:w="1347" w:type="pct"/>
            <w:vMerge w:val="continue"/>
            <w:noWrap w:val="0"/>
            <w:vAlign w:val="center"/>
          </w:tcPr>
          <w:p w14:paraId="38BB2E4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highlight w:val="none"/>
                <w:lang w:val="en-US" w:eastAsia="zh-CN"/>
              </w:rPr>
            </w:pPr>
          </w:p>
        </w:tc>
      </w:tr>
      <w:tr w14:paraId="2EF72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171F347D">
            <w:pPr>
              <w:keepNext w:val="0"/>
              <w:keepLines w:val="0"/>
              <w:suppressLineNumbers w:val="0"/>
              <w:spacing w:before="60" w:beforeAutospacing="0" w:after="0" w:afterAutospacing="0"/>
              <w:ind w:left="0" w:leftChars="0" w:right="0" w:rightChars="0"/>
              <w:jc w:val="center"/>
              <w:rPr>
                <w:rFonts w:hint="default" w:ascii="Times New Roman" w:hAnsi="Times New Roman" w:eastAsia="宋体" w:cs="Times New Roman"/>
                <w:caps w:val="0"/>
                <w:smallCaps w:val="0"/>
                <w:color w:val="auto"/>
                <w:spacing w:val="0"/>
                <w:position w:val="0"/>
                <w:sz w:val="21"/>
                <w:szCs w:val="21"/>
              </w:rPr>
            </w:pPr>
            <w:r>
              <w:rPr>
                <w:rFonts w:hint="default" w:ascii="Times New Roman" w:hAnsi="Times New Roman" w:eastAsia="宋体" w:cs="Times New Roman"/>
                <w:caps w:val="0"/>
                <w:smallCaps w:val="0"/>
                <w:color w:val="auto"/>
                <w:spacing w:val="0"/>
                <w:position w:val="0"/>
                <w:sz w:val="21"/>
                <w:szCs w:val="21"/>
              </w:rPr>
              <w:t>22</w:t>
            </w:r>
          </w:p>
        </w:tc>
        <w:tc>
          <w:tcPr>
            <w:tcW w:w="1612" w:type="pct"/>
            <w:noWrap w:val="0"/>
            <w:vAlign w:val="center"/>
          </w:tcPr>
          <w:p w14:paraId="5C860FF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aps w:val="0"/>
                <w:smallCaps w:val="0"/>
                <w:color w:val="auto"/>
                <w:spacing w:val="0"/>
                <w:position w:val="0"/>
                <w:sz w:val="21"/>
                <w:szCs w:val="21"/>
                <w:highlight w:val="none"/>
                <w:lang w:val="en-US" w:eastAsia="zh-CN"/>
              </w:rPr>
              <w:t>李家屯</w:t>
            </w:r>
          </w:p>
        </w:tc>
        <w:tc>
          <w:tcPr>
            <w:tcW w:w="586" w:type="pct"/>
            <w:noWrap w:val="0"/>
            <w:vAlign w:val="center"/>
          </w:tcPr>
          <w:p w14:paraId="383B39A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aps w:val="0"/>
                <w:smallCaps w:val="0"/>
                <w:color w:val="auto"/>
                <w:spacing w:val="0"/>
                <w:position w:val="0"/>
                <w:sz w:val="21"/>
                <w:szCs w:val="21"/>
                <w:highlight w:val="none"/>
                <w:lang w:val="en-US" w:eastAsia="zh-CN"/>
              </w:rPr>
              <w:t>NW</w:t>
            </w:r>
          </w:p>
        </w:tc>
        <w:tc>
          <w:tcPr>
            <w:tcW w:w="1122" w:type="dxa"/>
            <w:noWrap w:val="0"/>
            <w:vAlign w:val="center"/>
          </w:tcPr>
          <w:p w14:paraId="5B0D59A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kern w:val="2"/>
                <w:position w:val="0"/>
                <w:sz w:val="21"/>
                <w:szCs w:val="21"/>
                <w:highlight w:val="none"/>
                <w:lang w:val="en-US" w:eastAsia="zh-CN" w:bidi="ar-SA"/>
              </w:rPr>
            </w:pPr>
            <w:r>
              <w:rPr>
                <w:rFonts w:hint="default" w:ascii="Times New Roman" w:hAnsi="Times New Roman" w:eastAsia="宋体" w:cs="Times New Roman"/>
                <w:caps w:val="0"/>
                <w:smallCaps w:val="0"/>
                <w:color w:val="auto"/>
                <w:spacing w:val="0"/>
                <w:position w:val="0"/>
                <w:sz w:val="21"/>
                <w:szCs w:val="21"/>
                <w:highlight w:val="none"/>
                <w:lang w:val="en-US" w:eastAsia="zh-CN"/>
              </w:rPr>
              <w:t>4350</w:t>
            </w:r>
          </w:p>
        </w:tc>
        <w:tc>
          <w:tcPr>
            <w:tcW w:w="911" w:type="dxa"/>
            <w:noWrap w:val="0"/>
            <w:vAlign w:val="center"/>
          </w:tcPr>
          <w:p w14:paraId="797058C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highlight w:val="none"/>
                <w:lang w:val="en-US" w:eastAsia="zh-CN"/>
              </w:rPr>
            </w:pPr>
            <w:r>
              <w:rPr>
                <w:rFonts w:hint="default" w:ascii="Times New Roman" w:hAnsi="Times New Roman" w:eastAsia="宋体" w:cs="Times New Roman"/>
                <w:caps w:val="0"/>
                <w:smallCaps w:val="0"/>
                <w:color w:val="auto"/>
                <w:spacing w:val="0"/>
                <w:position w:val="0"/>
                <w:sz w:val="21"/>
                <w:szCs w:val="21"/>
                <w:highlight w:val="none"/>
                <w:lang w:val="en-US" w:eastAsia="zh-CN"/>
              </w:rPr>
              <w:t>350</w:t>
            </w:r>
          </w:p>
        </w:tc>
        <w:tc>
          <w:tcPr>
            <w:tcW w:w="1347" w:type="pct"/>
            <w:vMerge w:val="continue"/>
            <w:noWrap w:val="0"/>
            <w:vAlign w:val="center"/>
          </w:tcPr>
          <w:p w14:paraId="0FEFF01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highlight w:val="none"/>
                <w:lang w:val="en-US" w:eastAsia="zh-CN"/>
              </w:rPr>
            </w:pPr>
          </w:p>
        </w:tc>
      </w:tr>
      <w:tr w14:paraId="0F20F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095CD226">
            <w:pPr>
              <w:keepNext w:val="0"/>
              <w:keepLines w:val="0"/>
              <w:suppressLineNumbers w:val="0"/>
              <w:spacing w:before="60" w:beforeAutospacing="0" w:after="0" w:afterAutospacing="0"/>
              <w:ind w:left="0" w:leftChars="0" w:right="0" w:rightChars="0"/>
              <w:jc w:val="center"/>
              <w:rPr>
                <w:rFonts w:hint="default" w:ascii="Times New Roman" w:hAnsi="Times New Roman" w:eastAsia="宋体" w:cs="Times New Roman"/>
                <w:caps w:val="0"/>
                <w:smallCaps w:val="0"/>
                <w:color w:val="auto"/>
                <w:spacing w:val="0"/>
                <w:position w:val="0"/>
                <w:sz w:val="21"/>
                <w:szCs w:val="21"/>
              </w:rPr>
            </w:pPr>
            <w:r>
              <w:rPr>
                <w:rFonts w:hint="default" w:ascii="Times New Roman" w:hAnsi="Times New Roman" w:eastAsia="宋体" w:cs="Times New Roman"/>
                <w:caps w:val="0"/>
                <w:smallCaps w:val="0"/>
                <w:color w:val="auto"/>
                <w:spacing w:val="0"/>
                <w:position w:val="0"/>
                <w:sz w:val="21"/>
                <w:szCs w:val="21"/>
              </w:rPr>
              <w:t>23</w:t>
            </w:r>
          </w:p>
        </w:tc>
        <w:tc>
          <w:tcPr>
            <w:tcW w:w="1612" w:type="pct"/>
            <w:noWrap w:val="0"/>
            <w:vAlign w:val="center"/>
          </w:tcPr>
          <w:p w14:paraId="4428471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乌河</w:t>
            </w:r>
          </w:p>
        </w:tc>
        <w:tc>
          <w:tcPr>
            <w:tcW w:w="586" w:type="pct"/>
            <w:noWrap w:val="0"/>
            <w:vAlign w:val="center"/>
          </w:tcPr>
          <w:p w14:paraId="3DB16E2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kern w:val="2"/>
                <w:position w:val="0"/>
                <w:sz w:val="21"/>
                <w:szCs w:val="21"/>
                <w:lang w:val="en-US" w:eastAsia="zh-CN" w:bidi="ar-SA"/>
              </w:rPr>
            </w:pPr>
            <w:r>
              <w:rPr>
                <w:rFonts w:hint="default" w:ascii="Times New Roman" w:hAnsi="Times New Roman" w:eastAsia="宋体" w:cs="Times New Roman"/>
                <w:caps w:val="0"/>
                <w:smallCaps w:val="0"/>
                <w:color w:val="auto"/>
                <w:spacing w:val="0"/>
                <w:position w:val="0"/>
                <w:sz w:val="21"/>
                <w:szCs w:val="21"/>
                <w:lang w:val="en-US" w:eastAsia="zh-CN"/>
              </w:rPr>
              <w:t>NE</w:t>
            </w:r>
          </w:p>
        </w:tc>
        <w:tc>
          <w:tcPr>
            <w:tcW w:w="1122" w:type="dxa"/>
            <w:noWrap w:val="0"/>
            <w:vAlign w:val="center"/>
          </w:tcPr>
          <w:p w14:paraId="33712AB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kern w:val="2"/>
                <w:position w:val="0"/>
                <w:sz w:val="21"/>
                <w:szCs w:val="21"/>
                <w:lang w:val="en-US" w:eastAsia="zh-CN" w:bidi="ar-SA"/>
              </w:rPr>
            </w:pPr>
            <w:r>
              <w:rPr>
                <w:rFonts w:hint="eastAsia" w:cs="Times New Roman"/>
                <w:caps w:val="0"/>
                <w:smallCaps w:val="0"/>
                <w:color w:val="auto"/>
                <w:spacing w:val="0"/>
                <w:position w:val="0"/>
                <w:sz w:val="21"/>
                <w:szCs w:val="21"/>
                <w:lang w:val="en-US" w:eastAsia="zh-CN"/>
              </w:rPr>
              <w:t>4200</w:t>
            </w:r>
          </w:p>
        </w:tc>
        <w:tc>
          <w:tcPr>
            <w:tcW w:w="911" w:type="dxa"/>
            <w:noWrap w:val="0"/>
            <w:vAlign w:val="center"/>
          </w:tcPr>
          <w:p w14:paraId="07E25C9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lang w:val="en-US" w:eastAsia="zh-CN"/>
              </w:rPr>
            </w:pPr>
            <w:r>
              <w:rPr>
                <w:rFonts w:hint="default" w:ascii="Times New Roman" w:hAnsi="Times New Roman" w:eastAsia="宋体" w:cs="Times New Roman"/>
                <w:caps w:val="0"/>
                <w:smallCaps w:val="0"/>
                <w:color w:val="auto"/>
                <w:spacing w:val="0"/>
                <w:position w:val="0"/>
                <w:sz w:val="21"/>
                <w:szCs w:val="21"/>
                <w:lang w:val="en-US" w:eastAsia="zh-CN"/>
              </w:rPr>
              <w:t>--</w:t>
            </w:r>
          </w:p>
        </w:tc>
        <w:tc>
          <w:tcPr>
            <w:tcW w:w="1347" w:type="pct"/>
            <w:vMerge w:val="continue"/>
            <w:noWrap w:val="0"/>
            <w:vAlign w:val="center"/>
          </w:tcPr>
          <w:p w14:paraId="19E09FD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lang w:val="en-US" w:eastAsia="zh-CN"/>
              </w:rPr>
            </w:pPr>
          </w:p>
        </w:tc>
      </w:tr>
      <w:tr w14:paraId="3D809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64431043">
            <w:pPr>
              <w:keepNext w:val="0"/>
              <w:keepLines w:val="0"/>
              <w:suppressLineNumbers w:val="0"/>
              <w:spacing w:before="60" w:beforeAutospacing="0" w:after="0" w:afterAutospacing="0"/>
              <w:ind w:left="0" w:leftChars="0" w:right="0" w:rightChars="0"/>
              <w:jc w:val="center"/>
              <w:rPr>
                <w:rFonts w:hint="default" w:ascii="Times New Roman" w:hAnsi="Times New Roman" w:eastAsia="宋体" w:cs="Times New Roman"/>
                <w:caps w:val="0"/>
                <w:smallCaps w:val="0"/>
                <w:color w:val="auto"/>
                <w:spacing w:val="0"/>
                <w:position w:val="0"/>
                <w:sz w:val="21"/>
                <w:szCs w:val="21"/>
                <w:lang w:val="en-US" w:eastAsia="zh-CN"/>
              </w:rPr>
            </w:pPr>
            <w:r>
              <w:rPr>
                <w:rFonts w:hint="eastAsia" w:ascii="Times New Roman" w:hAnsi="Times New Roman" w:eastAsia="宋体" w:cs="Times New Roman"/>
                <w:caps w:val="0"/>
                <w:smallCaps w:val="0"/>
                <w:color w:val="auto"/>
                <w:spacing w:val="0"/>
                <w:position w:val="0"/>
                <w:sz w:val="21"/>
                <w:szCs w:val="21"/>
                <w:lang w:val="en-US" w:eastAsia="zh-CN"/>
              </w:rPr>
              <w:t>24</w:t>
            </w:r>
          </w:p>
        </w:tc>
        <w:tc>
          <w:tcPr>
            <w:tcW w:w="1612" w:type="pct"/>
            <w:noWrap w:val="0"/>
            <w:vAlign w:val="center"/>
          </w:tcPr>
          <w:p w14:paraId="4430A73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 w:val="21"/>
                <w:szCs w:val="21"/>
                <w:lang w:val="en-US" w:eastAsia="zh-CN" w:bidi="ar"/>
              </w:rPr>
              <w:t>山东隆盛和助剂有限公司</w:t>
            </w:r>
          </w:p>
        </w:tc>
        <w:tc>
          <w:tcPr>
            <w:tcW w:w="586" w:type="pct"/>
            <w:noWrap w:val="0"/>
            <w:vAlign w:val="center"/>
          </w:tcPr>
          <w:p w14:paraId="13E8081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lang w:val="en-US" w:eastAsia="zh-CN"/>
              </w:rPr>
            </w:pPr>
            <w:r>
              <w:rPr>
                <w:rFonts w:hint="default" w:ascii="Times New Roman" w:hAnsi="Times New Roman" w:eastAsia="宋体" w:cs="Times New Roman"/>
                <w:color w:val="auto"/>
                <w:spacing w:val="0"/>
                <w:position w:val="0"/>
                <w:sz w:val="21"/>
                <w:szCs w:val="21"/>
                <w:highlight w:val="none"/>
                <w:lang w:val="en-US" w:eastAsia="zh-CN"/>
              </w:rPr>
              <w:t>E</w:t>
            </w:r>
          </w:p>
        </w:tc>
        <w:tc>
          <w:tcPr>
            <w:tcW w:w="1122" w:type="dxa"/>
            <w:noWrap w:val="0"/>
            <w:vAlign w:val="center"/>
          </w:tcPr>
          <w:p w14:paraId="1819F1A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lang w:val="en-US" w:eastAsia="zh-CN"/>
              </w:rPr>
            </w:pPr>
            <w:r>
              <w:rPr>
                <w:rFonts w:hint="eastAsia" w:cs="Times New Roman"/>
                <w:caps w:val="0"/>
                <w:smallCaps w:val="0"/>
                <w:color w:val="auto"/>
                <w:spacing w:val="0"/>
                <w:position w:val="0"/>
                <w:sz w:val="21"/>
                <w:szCs w:val="21"/>
                <w:lang w:val="en-US" w:eastAsia="zh-CN"/>
              </w:rPr>
              <w:t>50</w:t>
            </w:r>
          </w:p>
        </w:tc>
        <w:tc>
          <w:tcPr>
            <w:tcW w:w="911" w:type="dxa"/>
            <w:noWrap w:val="0"/>
            <w:vAlign w:val="center"/>
          </w:tcPr>
          <w:p w14:paraId="46BEA99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lang w:val="en-US" w:eastAsia="zh-CN"/>
              </w:rPr>
            </w:pPr>
            <w:r>
              <w:rPr>
                <w:rFonts w:hint="eastAsia" w:cs="Times New Roman"/>
                <w:caps w:val="0"/>
                <w:smallCaps w:val="0"/>
                <w:color w:val="auto"/>
                <w:spacing w:val="0"/>
                <w:position w:val="0"/>
                <w:sz w:val="21"/>
                <w:szCs w:val="21"/>
                <w:lang w:val="en-US" w:eastAsia="zh-CN"/>
              </w:rPr>
              <w:t>140</w:t>
            </w:r>
          </w:p>
        </w:tc>
        <w:tc>
          <w:tcPr>
            <w:tcW w:w="1347" w:type="pct"/>
            <w:vMerge w:val="continue"/>
            <w:noWrap w:val="0"/>
            <w:vAlign w:val="center"/>
          </w:tcPr>
          <w:p w14:paraId="2646EE5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lang w:val="en-US" w:eastAsia="zh-CN"/>
              </w:rPr>
            </w:pPr>
          </w:p>
        </w:tc>
      </w:tr>
      <w:tr w14:paraId="52783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02D60A72">
            <w:pPr>
              <w:keepNext w:val="0"/>
              <w:keepLines w:val="0"/>
              <w:suppressLineNumbers w:val="0"/>
              <w:spacing w:before="60" w:beforeAutospacing="0" w:after="0" w:afterAutospacing="0"/>
              <w:ind w:left="0" w:leftChars="0" w:right="0" w:rightChars="0"/>
              <w:jc w:val="center"/>
              <w:rPr>
                <w:rFonts w:hint="default" w:ascii="Times New Roman" w:hAnsi="Times New Roman" w:eastAsia="宋体" w:cs="Times New Roman"/>
                <w:caps w:val="0"/>
                <w:smallCaps w:val="0"/>
                <w:color w:val="auto"/>
                <w:spacing w:val="0"/>
                <w:position w:val="0"/>
                <w:sz w:val="21"/>
                <w:szCs w:val="21"/>
                <w:lang w:val="en-US" w:eastAsia="zh-CN"/>
              </w:rPr>
            </w:pPr>
            <w:r>
              <w:rPr>
                <w:rFonts w:hint="eastAsia" w:ascii="Times New Roman" w:hAnsi="Times New Roman" w:eastAsia="宋体" w:cs="Times New Roman"/>
                <w:caps w:val="0"/>
                <w:smallCaps w:val="0"/>
                <w:color w:val="auto"/>
                <w:spacing w:val="0"/>
                <w:position w:val="0"/>
                <w:sz w:val="21"/>
                <w:szCs w:val="21"/>
                <w:lang w:val="en-US" w:eastAsia="zh-CN"/>
              </w:rPr>
              <w:t>25</w:t>
            </w:r>
          </w:p>
        </w:tc>
        <w:tc>
          <w:tcPr>
            <w:tcW w:w="1612" w:type="pct"/>
            <w:noWrap w:val="0"/>
            <w:vAlign w:val="center"/>
          </w:tcPr>
          <w:p w14:paraId="270F4C7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 w:val="21"/>
                <w:szCs w:val="21"/>
                <w:lang w:val="en-US" w:eastAsia="zh-CN" w:bidi="ar"/>
              </w:rPr>
              <w:t>淄博元齐生物科技有限公司</w:t>
            </w:r>
          </w:p>
        </w:tc>
        <w:tc>
          <w:tcPr>
            <w:tcW w:w="586" w:type="pct"/>
            <w:noWrap w:val="0"/>
            <w:vAlign w:val="center"/>
          </w:tcPr>
          <w:p w14:paraId="0296088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lang w:val="en-US" w:eastAsia="zh-CN"/>
              </w:rPr>
            </w:pPr>
            <w:r>
              <w:rPr>
                <w:rFonts w:hint="eastAsia" w:ascii="Times New Roman" w:hAnsi="Times New Roman" w:eastAsia="宋体" w:cs="Times New Roman"/>
                <w:caps w:val="0"/>
                <w:smallCaps w:val="0"/>
                <w:color w:val="auto"/>
                <w:spacing w:val="0"/>
                <w:position w:val="0"/>
                <w:sz w:val="21"/>
                <w:szCs w:val="21"/>
                <w:highlight w:val="none"/>
                <w:lang w:val="en-US" w:eastAsia="zh-CN"/>
              </w:rPr>
              <w:t>W</w:t>
            </w:r>
          </w:p>
        </w:tc>
        <w:tc>
          <w:tcPr>
            <w:tcW w:w="1122" w:type="dxa"/>
            <w:noWrap w:val="0"/>
            <w:vAlign w:val="center"/>
          </w:tcPr>
          <w:p w14:paraId="1BC081A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lang w:val="en-US" w:eastAsia="zh-CN"/>
              </w:rPr>
            </w:pPr>
            <w:r>
              <w:rPr>
                <w:rFonts w:hint="eastAsia" w:cs="Times New Roman"/>
                <w:caps w:val="0"/>
                <w:smallCaps w:val="0"/>
                <w:color w:val="auto"/>
                <w:spacing w:val="0"/>
                <w:position w:val="0"/>
                <w:sz w:val="21"/>
                <w:szCs w:val="21"/>
                <w:lang w:val="en-US" w:eastAsia="zh-CN"/>
              </w:rPr>
              <w:t>4</w:t>
            </w:r>
            <w:r>
              <w:rPr>
                <w:rFonts w:hint="eastAsia" w:ascii="Times New Roman" w:hAnsi="Times New Roman" w:eastAsia="宋体" w:cs="Times New Roman"/>
                <w:caps w:val="0"/>
                <w:smallCaps w:val="0"/>
                <w:color w:val="auto"/>
                <w:spacing w:val="0"/>
                <w:position w:val="0"/>
                <w:sz w:val="21"/>
                <w:szCs w:val="21"/>
                <w:lang w:val="en-US" w:eastAsia="zh-CN"/>
              </w:rPr>
              <w:t>0</w:t>
            </w:r>
          </w:p>
        </w:tc>
        <w:tc>
          <w:tcPr>
            <w:tcW w:w="911" w:type="dxa"/>
            <w:noWrap w:val="0"/>
            <w:vAlign w:val="center"/>
          </w:tcPr>
          <w:p w14:paraId="2510A82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lang w:val="en-US" w:eastAsia="zh-CN"/>
              </w:rPr>
            </w:pPr>
            <w:r>
              <w:rPr>
                <w:rFonts w:hint="eastAsia" w:cs="Times New Roman"/>
                <w:caps w:val="0"/>
                <w:smallCaps w:val="0"/>
                <w:color w:val="auto"/>
                <w:spacing w:val="0"/>
                <w:position w:val="0"/>
                <w:sz w:val="21"/>
                <w:szCs w:val="21"/>
                <w:lang w:val="en-US" w:eastAsia="zh-CN"/>
              </w:rPr>
              <w:t>35</w:t>
            </w:r>
          </w:p>
        </w:tc>
        <w:tc>
          <w:tcPr>
            <w:tcW w:w="1347" w:type="pct"/>
            <w:vMerge w:val="continue"/>
            <w:noWrap w:val="0"/>
            <w:vAlign w:val="center"/>
          </w:tcPr>
          <w:p w14:paraId="165E99E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lang w:val="en-US" w:eastAsia="zh-CN"/>
              </w:rPr>
            </w:pPr>
          </w:p>
        </w:tc>
      </w:tr>
      <w:tr w14:paraId="176C7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03FD83A9">
            <w:pPr>
              <w:keepNext w:val="0"/>
              <w:keepLines w:val="0"/>
              <w:suppressLineNumbers w:val="0"/>
              <w:spacing w:before="60" w:beforeAutospacing="0" w:after="0" w:afterAutospacing="0"/>
              <w:ind w:left="0" w:leftChars="0" w:right="0" w:rightChars="0"/>
              <w:jc w:val="center"/>
              <w:rPr>
                <w:rFonts w:hint="default" w:ascii="Times New Roman" w:hAnsi="Times New Roman" w:eastAsia="宋体" w:cs="Times New Roman"/>
                <w:caps w:val="0"/>
                <w:smallCaps w:val="0"/>
                <w:color w:val="auto"/>
                <w:spacing w:val="0"/>
                <w:position w:val="0"/>
                <w:sz w:val="21"/>
                <w:szCs w:val="21"/>
                <w:lang w:val="en-US" w:eastAsia="zh-CN"/>
              </w:rPr>
            </w:pPr>
            <w:r>
              <w:rPr>
                <w:rFonts w:hint="eastAsia" w:ascii="Times New Roman" w:hAnsi="Times New Roman" w:eastAsia="宋体" w:cs="Times New Roman"/>
                <w:caps w:val="0"/>
                <w:smallCaps w:val="0"/>
                <w:color w:val="auto"/>
                <w:spacing w:val="0"/>
                <w:position w:val="0"/>
                <w:sz w:val="21"/>
                <w:szCs w:val="21"/>
                <w:lang w:val="en-US" w:eastAsia="zh-CN"/>
              </w:rPr>
              <w:t>26</w:t>
            </w:r>
          </w:p>
        </w:tc>
        <w:tc>
          <w:tcPr>
            <w:tcW w:w="1612" w:type="pct"/>
            <w:noWrap w:val="0"/>
            <w:vAlign w:val="center"/>
          </w:tcPr>
          <w:p w14:paraId="3867809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0"/>
                <w:sz w:val="21"/>
                <w:szCs w:val="21"/>
                <w:lang w:val="en-US" w:eastAsia="zh-CN" w:bidi="ar"/>
              </w:rPr>
            </w:pPr>
            <w:r>
              <w:rPr>
                <w:rFonts w:hint="eastAsia"/>
                <w:color w:val="000000"/>
                <w:lang w:eastAsia="zh-CN"/>
              </w:rPr>
              <w:t>淄博鲁格宝化工有限公司</w:t>
            </w:r>
          </w:p>
        </w:tc>
        <w:tc>
          <w:tcPr>
            <w:tcW w:w="586" w:type="pct"/>
            <w:noWrap w:val="0"/>
            <w:vAlign w:val="center"/>
          </w:tcPr>
          <w:p w14:paraId="32F4336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lang w:val="en-US" w:eastAsia="zh-CN"/>
              </w:rPr>
            </w:pPr>
            <w:r>
              <w:rPr>
                <w:rFonts w:hint="default" w:ascii="Times New Roman" w:hAnsi="Times New Roman" w:eastAsia="宋体" w:cs="Times New Roman"/>
                <w:color w:val="auto"/>
                <w:spacing w:val="0"/>
                <w:position w:val="0"/>
                <w:sz w:val="21"/>
                <w:szCs w:val="21"/>
                <w:highlight w:val="none"/>
                <w:lang w:val="en-US" w:eastAsia="zh-CN"/>
              </w:rPr>
              <w:t>E</w:t>
            </w:r>
          </w:p>
        </w:tc>
        <w:tc>
          <w:tcPr>
            <w:tcW w:w="1122" w:type="dxa"/>
            <w:noWrap w:val="0"/>
            <w:vAlign w:val="center"/>
          </w:tcPr>
          <w:p w14:paraId="2339030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lang w:val="en-US" w:eastAsia="zh-CN"/>
              </w:rPr>
            </w:pPr>
            <w:r>
              <w:rPr>
                <w:rFonts w:hint="eastAsia" w:cs="Times New Roman"/>
                <w:caps w:val="0"/>
                <w:smallCaps w:val="0"/>
                <w:color w:val="auto"/>
                <w:spacing w:val="0"/>
                <w:position w:val="0"/>
                <w:sz w:val="21"/>
                <w:szCs w:val="21"/>
                <w:lang w:val="en-US" w:eastAsia="zh-CN"/>
              </w:rPr>
              <w:t>443</w:t>
            </w:r>
          </w:p>
        </w:tc>
        <w:tc>
          <w:tcPr>
            <w:tcW w:w="911" w:type="dxa"/>
            <w:noWrap w:val="0"/>
            <w:vAlign w:val="center"/>
          </w:tcPr>
          <w:p w14:paraId="55B4F44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lang w:val="en-US" w:eastAsia="zh-CN"/>
              </w:rPr>
            </w:pPr>
            <w:r>
              <w:rPr>
                <w:rFonts w:hint="eastAsia" w:cs="Times New Roman"/>
                <w:caps w:val="0"/>
                <w:smallCaps w:val="0"/>
                <w:color w:val="auto"/>
                <w:spacing w:val="0"/>
                <w:position w:val="0"/>
                <w:sz w:val="21"/>
                <w:szCs w:val="21"/>
                <w:lang w:val="en-US" w:eastAsia="zh-CN"/>
              </w:rPr>
              <w:t>22</w:t>
            </w:r>
          </w:p>
        </w:tc>
        <w:tc>
          <w:tcPr>
            <w:tcW w:w="1347" w:type="pct"/>
            <w:vMerge w:val="continue"/>
            <w:noWrap w:val="0"/>
            <w:vAlign w:val="center"/>
          </w:tcPr>
          <w:p w14:paraId="69C8A12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lang w:val="en-US" w:eastAsia="zh-CN"/>
              </w:rPr>
            </w:pPr>
          </w:p>
        </w:tc>
      </w:tr>
      <w:tr w14:paraId="37AAB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2" w:type="pct"/>
            <w:noWrap w:val="0"/>
            <w:vAlign w:val="center"/>
          </w:tcPr>
          <w:p w14:paraId="40C3A9FD">
            <w:pPr>
              <w:keepNext w:val="0"/>
              <w:keepLines w:val="0"/>
              <w:suppressLineNumbers w:val="0"/>
              <w:spacing w:before="60" w:beforeAutospacing="0" w:after="0" w:afterAutospacing="0"/>
              <w:ind w:left="0" w:leftChars="0" w:right="0" w:rightChars="0"/>
              <w:jc w:val="center"/>
              <w:rPr>
                <w:rFonts w:hint="default" w:ascii="Times New Roman" w:hAnsi="Times New Roman" w:eastAsia="宋体" w:cs="Times New Roman"/>
                <w:caps w:val="0"/>
                <w:smallCaps w:val="0"/>
                <w:color w:val="auto"/>
                <w:spacing w:val="0"/>
                <w:position w:val="0"/>
                <w:sz w:val="21"/>
                <w:szCs w:val="21"/>
                <w:lang w:val="en-US" w:eastAsia="zh-CN"/>
              </w:rPr>
            </w:pPr>
            <w:r>
              <w:rPr>
                <w:rFonts w:hint="eastAsia" w:ascii="Times New Roman" w:hAnsi="Times New Roman" w:eastAsia="宋体" w:cs="Times New Roman"/>
                <w:caps w:val="0"/>
                <w:smallCaps w:val="0"/>
                <w:color w:val="auto"/>
                <w:spacing w:val="0"/>
                <w:position w:val="0"/>
                <w:sz w:val="21"/>
                <w:szCs w:val="21"/>
                <w:lang w:val="en-US" w:eastAsia="zh-CN"/>
              </w:rPr>
              <w:t>27</w:t>
            </w:r>
          </w:p>
        </w:tc>
        <w:tc>
          <w:tcPr>
            <w:tcW w:w="1612" w:type="pct"/>
            <w:noWrap w:val="0"/>
            <w:vAlign w:val="center"/>
          </w:tcPr>
          <w:p w14:paraId="5CB24BE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 w:val="21"/>
                <w:szCs w:val="21"/>
                <w:lang w:val="en-US" w:eastAsia="zh-CN" w:bidi="ar"/>
              </w:rPr>
              <w:t>山东旭益强化工有限公司</w:t>
            </w:r>
          </w:p>
        </w:tc>
        <w:tc>
          <w:tcPr>
            <w:tcW w:w="586" w:type="pct"/>
            <w:noWrap w:val="0"/>
            <w:vAlign w:val="center"/>
          </w:tcPr>
          <w:p w14:paraId="6B6303F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lang w:val="en-US" w:eastAsia="zh-CN"/>
              </w:rPr>
            </w:pPr>
            <w:r>
              <w:rPr>
                <w:rFonts w:hint="default" w:ascii="Times New Roman" w:hAnsi="Times New Roman" w:eastAsia="宋体" w:cs="Times New Roman"/>
                <w:caps w:val="0"/>
                <w:smallCaps w:val="0"/>
                <w:color w:val="auto"/>
                <w:spacing w:val="0"/>
                <w:position w:val="0"/>
                <w:sz w:val="21"/>
                <w:szCs w:val="21"/>
                <w:highlight w:val="none"/>
                <w:lang w:val="en-US" w:eastAsia="zh-CN"/>
              </w:rPr>
              <w:t>W</w:t>
            </w:r>
            <w:r>
              <w:rPr>
                <w:rFonts w:hint="eastAsia" w:ascii="Times New Roman" w:hAnsi="Times New Roman" w:eastAsia="宋体" w:cs="Times New Roman"/>
                <w:caps w:val="0"/>
                <w:smallCaps w:val="0"/>
                <w:color w:val="auto"/>
                <w:spacing w:val="0"/>
                <w:position w:val="0"/>
                <w:sz w:val="21"/>
                <w:szCs w:val="21"/>
                <w:highlight w:val="none"/>
                <w:lang w:val="en-US" w:eastAsia="zh-CN"/>
              </w:rPr>
              <w:t>S</w:t>
            </w:r>
          </w:p>
        </w:tc>
        <w:tc>
          <w:tcPr>
            <w:tcW w:w="1122" w:type="dxa"/>
            <w:noWrap w:val="0"/>
            <w:vAlign w:val="center"/>
          </w:tcPr>
          <w:p w14:paraId="2719E85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lang w:val="en-US" w:eastAsia="zh-CN"/>
              </w:rPr>
            </w:pPr>
            <w:r>
              <w:rPr>
                <w:rFonts w:hint="eastAsia" w:ascii="Times New Roman" w:hAnsi="Times New Roman" w:eastAsia="宋体" w:cs="Times New Roman"/>
                <w:caps w:val="0"/>
                <w:smallCaps w:val="0"/>
                <w:color w:val="auto"/>
                <w:spacing w:val="0"/>
                <w:position w:val="0"/>
                <w:sz w:val="21"/>
                <w:szCs w:val="21"/>
                <w:lang w:val="en-US" w:eastAsia="zh-CN"/>
              </w:rPr>
              <w:t>289</w:t>
            </w:r>
          </w:p>
        </w:tc>
        <w:tc>
          <w:tcPr>
            <w:tcW w:w="911" w:type="dxa"/>
            <w:noWrap w:val="0"/>
            <w:vAlign w:val="center"/>
          </w:tcPr>
          <w:p w14:paraId="6BCB305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lang w:val="en-US" w:eastAsia="zh-CN"/>
              </w:rPr>
            </w:pPr>
            <w:r>
              <w:rPr>
                <w:rFonts w:hint="eastAsia" w:cs="Times New Roman"/>
                <w:caps w:val="0"/>
                <w:smallCaps w:val="0"/>
                <w:color w:val="auto"/>
                <w:spacing w:val="0"/>
                <w:position w:val="0"/>
                <w:sz w:val="21"/>
                <w:szCs w:val="21"/>
                <w:lang w:val="en-US" w:eastAsia="zh-CN"/>
              </w:rPr>
              <w:t>30</w:t>
            </w:r>
          </w:p>
        </w:tc>
        <w:tc>
          <w:tcPr>
            <w:tcW w:w="1347" w:type="pct"/>
            <w:vMerge w:val="continue"/>
            <w:noWrap w:val="0"/>
            <w:vAlign w:val="center"/>
          </w:tcPr>
          <w:p w14:paraId="7E1FAAE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lang w:val="en-US" w:eastAsia="zh-CN"/>
              </w:rPr>
            </w:pPr>
          </w:p>
        </w:tc>
      </w:tr>
      <w:tr w14:paraId="57632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874" w:type="pct"/>
            <w:gridSpan w:val="2"/>
            <w:noWrap w:val="0"/>
            <w:vAlign w:val="center"/>
          </w:tcPr>
          <w:p w14:paraId="246BD3F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地表水</w:t>
            </w:r>
          </w:p>
        </w:tc>
        <w:tc>
          <w:tcPr>
            <w:tcW w:w="586" w:type="pct"/>
            <w:noWrap w:val="0"/>
            <w:vAlign w:val="center"/>
          </w:tcPr>
          <w:p w14:paraId="6F27E80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lang w:val="en-US" w:eastAsia="zh-CN"/>
              </w:rPr>
            </w:pPr>
            <w:r>
              <w:rPr>
                <w:rFonts w:hint="eastAsia"/>
                <w:lang w:eastAsia="zh-CN"/>
              </w:rPr>
              <w:t>淄</w:t>
            </w:r>
            <w:r>
              <w:rPr>
                <w:rFonts w:hint="eastAsia"/>
              </w:rPr>
              <w:t>河</w:t>
            </w:r>
          </w:p>
        </w:tc>
        <w:tc>
          <w:tcPr>
            <w:tcW w:w="2538" w:type="pct"/>
            <w:gridSpan w:val="3"/>
            <w:noWrap w:val="0"/>
            <w:vAlign w:val="center"/>
          </w:tcPr>
          <w:p w14:paraId="36A864E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lang w:val="en-US" w:eastAsia="zh-CN"/>
              </w:rPr>
            </w:pPr>
            <w:r>
              <w:rPr>
                <w:rFonts w:hint="default" w:ascii="Times New Roman" w:hAnsi="Times New Roman" w:eastAsia="宋体" w:cs="Times New Roman"/>
                <w:caps w:val="0"/>
                <w:smallCaps w:val="0"/>
                <w:color w:val="auto"/>
                <w:spacing w:val="0"/>
                <w:position w:val="0"/>
                <w:sz w:val="21"/>
                <w:szCs w:val="21"/>
                <w:lang w:val="en-US" w:eastAsia="zh-CN"/>
              </w:rPr>
              <w:t xml:space="preserve">《地表水环境质量标准》(GB3838-2002) </w:t>
            </w:r>
            <w:r>
              <w:rPr>
                <w:rFonts w:hint="eastAsia" w:ascii="宋体" w:hAnsi="宋体" w:eastAsia="宋体" w:cs="宋体"/>
                <w:color w:val="000000"/>
                <w:sz w:val="24"/>
                <w:szCs w:val="24"/>
                <w:lang w:eastAsia="zh-CN"/>
              </w:rPr>
              <w:t>Ⅳ</w:t>
            </w:r>
            <w:r>
              <w:rPr>
                <w:rFonts w:hint="default" w:ascii="Times New Roman" w:hAnsi="Times New Roman" w:eastAsia="宋体" w:cs="Times New Roman"/>
                <w:caps w:val="0"/>
                <w:smallCaps w:val="0"/>
                <w:color w:val="auto"/>
                <w:spacing w:val="0"/>
                <w:position w:val="0"/>
                <w:sz w:val="21"/>
                <w:szCs w:val="21"/>
                <w:lang w:val="en-US" w:eastAsia="zh-CN"/>
              </w:rPr>
              <w:t xml:space="preserve"> 类标准</w:t>
            </w:r>
          </w:p>
        </w:tc>
      </w:tr>
      <w:tr w14:paraId="58267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874" w:type="pct"/>
            <w:gridSpan w:val="2"/>
            <w:noWrap w:val="0"/>
            <w:vAlign w:val="center"/>
          </w:tcPr>
          <w:p w14:paraId="4BFF32E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地下水</w:t>
            </w:r>
          </w:p>
        </w:tc>
        <w:tc>
          <w:tcPr>
            <w:tcW w:w="586" w:type="pct"/>
            <w:noWrap w:val="0"/>
            <w:vAlign w:val="center"/>
          </w:tcPr>
          <w:p w14:paraId="4D0B2B8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lang w:val="en-US" w:eastAsia="zh-CN"/>
              </w:rPr>
            </w:pPr>
            <w:r>
              <w:rPr>
                <w:rFonts w:hint="eastAsia" w:ascii="Times New Roman" w:hAnsi="Times New Roman" w:eastAsia="宋体" w:cs="Times New Roman"/>
                <w:caps w:val="0"/>
                <w:smallCaps w:val="0"/>
                <w:color w:val="auto"/>
                <w:spacing w:val="0"/>
                <w:position w:val="0"/>
                <w:sz w:val="21"/>
                <w:szCs w:val="21"/>
                <w:lang w:val="en-US" w:eastAsia="zh-CN"/>
              </w:rPr>
              <w:t>自备井</w:t>
            </w:r>
          </w:p>
        </w:tc>
        <w:tc>
          <w:tcPr>
            <w:tcW w:w="2538" w:type="pct"/>
            <w:gridSpan w:val="3"/>
            <w:noWrap w:val="0"/>
            <w:vAlign w:val="center"/>
          </w:tcPr>
          <w:p w14:paraId="0AD1369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lang w:val="en-US" w:eastAsia="zh-CN"/>
              </w:rPr>
            </w:pPr>
            <w:r>
              <w:rPr>
                <w:rFonts w:hint="default" w:ascii="Times New Roman" w:hAnsi="Times New Roman" w:eastAsia="宋体" w:cs="Times New Roman"/>
                <w:caps w:val="0"/>
                <w:smallCaps w:val="0"/>
                <w:color w:val="auto"/>
                <w:spacing w:val="0"/>
                <w:position w:val="0"/>
                <w:sz w:val="21"/>
                <w:szCs w:val="21"/>
                <w:lang w:val="en-US" w:eastAsia="zh-CN"/>
              </w:rPr>
              <w:t>《地下水质量标准》（GB/T14848-2017）III 类区</w:t>
            </w:r>
          </w:p>
        </w:tc>
      </w:tr>
      <w:tr w14:paraId="0CAFE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874" w:type="pct"/>
            <w:gridSpan w:val="2"/>
            <w:noWrap w:val="0"/>
            <w:vAlign w:val="center"/>
          </w:tcPr>
          <w:p w14:paraId="3E7B4AF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土壤</w:t>
            </w:r>
          </w:p>
        </w:tc>
        <w:tc>
          <w:tcPr>
            <w:tcW w:w="586" w:type="pct"/>
            <w:noWrap w:val="0"/>
            <w:vAlign w:val="center"/>
          </w:tcPr>
          <w:p w14:paraId="3EF8A49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lang w:val="en-US" w:eastAsia="zh-CN"/>
              </w:rPr>
            </w:pPr>
            <w:r>
              <w:rPr>
                <w:rFonts w:hint="eastAsia" w:ascii="Times New Roman" w:hAnsi="Times New Roman" w:eastAsia="宋体" w:cs="Times New Roman"/>
                <w:caps w:val="0"/>
                <w:smallCaps w:val="0"/>
                <w:color w:val="auto"/>
                <w:spacing w:val="0"/>
                <w:position w:val="0"/>
                <w:sz w:val="21"/>
                <w:szCs w:val="21"/>
                <w:lang w:val="en-US" w:eastAsia="zh-CN"/>
              </w:rPr>
              <w:t>厂界周边</w:t>
            </w:r>
          </w:p>
        </w:tc>
        <w:tc>
          <w:tcPr>
            <w:tcW w:w="2538" w:type="pct"/>
            <w:gridSpan w:val="3"/>
            <w:noWrap w:val="0"/>
            <w:vAlign w:val="center"/>
          </w:tcPr>
          <w:p w14:paraId="4EAF12F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aps w:val="0"/>
                <w:smallCaps w:val="0"/>
                <w:color w:val="auto"/>
                <w:spacing w:val="0"/>
                <w:position w:val="0"/>
                <w:sz w:val="21"/>
                <w:szCs w:val="21"/>
                <w:lang w:val="en-US" w:eastAsia="zh-CN"/>
              </w:rPr>
            </w:pPr>
            <w:r>
              <w:rPr>
                <w:rFonts w:hint="default" w:ascii="Times New Roman" w:hAnsi="Times New Roman" w:eastAsia="宋体" w:cs="Times New Roman"/>
                <w:caps w:val="0"/>
                <w:smallCaps w:val="0"/>
                <w:color w:val="auto"/>
                <w:spacing w:val="0"/>
                <w:position w:val="0"/>
                <w:sz w:val="21"/>
                <w:szCs w:val="21"/>
                <w:lang w:val="en-US" w:eastAsia="zh-CN"/>
              </w:rPr>
              <w:t>《土壤环境质量标准》（GB36600-2018）第二类用地筛选值</w:t>
            </w:r>
          </w:p>
        </w:tc>
      </w:tr>
    </w:tbl>
    <w:p w14:paraId="574D586F">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486" w:firstLineChars="200"/>
        <w:textAlignment w:val="auto"/>
        <w:rPr>
          <w:rFonts w:hint="default"/>
          <w:lang w:val="nl-BE"/>
        </w:rPr>
      </w:pPr>
      <w:r>
        <w:rPr>
          <w:rFonts w:hint="eastAsia" w:cs="Times New Roman"/>
          <w:b w:val="0"/>
          <w:bCs/>
          <w:color w:val="000000" w:themeColor="text1"/>
          <w:sz w:val="24"/>
          <w:szCs w:val="18"/>
          <w:lang w:val="en-US" w:eastAsia="zh-CN"/>
          <w14:textFill>
            <w14:solidFill>
              <w14:schemeClr w14:val="tx1"/>
            </w14:solidFill>
          </w14:textFill>
        </w:rPr>
        <w:t>通过现场勘查，山东隆信药业有限公司主要周边500米风险受体影响人数为227人，5km风险受体影响人数为24683人。</w:t>
      </w:r>
      <w:bookmarkStart w:id="301" w:name="_GoBack"/>
      <w:bookmarkEnd w:id="301"/>
    </w:p>
    <w:bookmarkEnd w:id="43"/>
    <w:bookmarkEnd w:id="44"/>
    <w:bookmarkEnd w:id="45"/>
    <w:p w14:paraId="15E2D76C">
      <w:pPr>
        <w:pStyle w:val="7"/>
        <w:spacing w:before="0" w:after="0"/>
        <w:rPr>
          <w:rFonts w:hint="default" w:ascii="Times New Roman" w:hAnsi="Times New Roman" w:cs="Times New Roman"/>
          <w:color w:val="auto"/>
          <w:highlight w:val="none"/>
        </w:rPr>
      </w:pPr>
      <w:bookmarkStart w:id="46" w:name="_Toc18937"/>
      <w:bookmarkStart w:id="47" w:name="_Toc1413"/>
      <w:bookmarkStart w:id="48" w:name="_Toc7214"/>
      <w:bookmarkStart w:id="49" w:name="_Toc11693"/>
      <w:r>
        <w:rPr>
          <w:rFonts w:hint="default" w:ascii="Times New Roman" w:hAnsi="Times New Roman" w:cs="Times New Roman"/>
          <w:color w:val="auto"/>
          <w:highlight w:val="none"/>
        </w:rPr>
        <w:t>3.3 涉及环境风险物质情况</w:t>
      </w:r>
      <w:bookmarkEnd w:id="46"/>
      <w:bookmarkEnd w:id="47"/>
      <w:bookmarkEnd w:id="48"/>
      <w:bookmarkEnd w:id="49"/>
    </w:p>
    <w:p w14:paraId="3F261407">
      <w:pPr>
        <w:spacing w:before="0" w:after="0"/>
        <w:outlineLvl w:val="9"/>
        <w:rPr>
          <w:rFonts w:hint="default" w:ascii="Times New Roman" w:hAnsi="Times New Roman" w:cs="Times New Roman"/>
          <w:b/>
          <w:bCs/>
          <w:color w:val="auto"/>
          <w:sz w:val="24"/>
          <w:szCs w:val="32"/>
          <w:highlight w:val="none"/>
        </w:rPr>
      </w:pPr>
      <w:bookmarkStart w:id="50" w:name="_Toc401654913"/>
      <w:r>
        <w:rPr>
          <w:rFonts w:hint="default" w:ascii="Times New Roman" w:hAnsi="Times New Roman" w:cs="Times New Roman"/>
          <w:b/>
          <w:bCs/>
          <w:color w:val="auto"/>
          <w:sz w:val="24"/>
          <w:szCs w:val="32"/>
          <w:highlight w:val="none"/>
        </w:rPr>
        <w:t>3.3.1 环境风险物质储运情况</w:t>
      </w:r>
      <w:bookmarkEnd w:id="50"/>
    </w:p>
    <w:p w14:paraId="1999D59A">
      <w:pPr>
        <w:keepNext w:val="0"/>
        <w:keepLines w:val="0"/>
        <w:pageBreakBefore w:val="0"/>
        <w:widowControl w:val="0"/>
        <w:kinsoku/>
        <w:wordWrap/>
        <w:overflowPunct/>
        <w:topLinePunct w:val="0"/>
        <w:autoSpaceDE w:val="0"/>
        <w:autoSpaceDN w:val="0"/>
        <w:bidi w:val="0"/>
        <w:adjustRightInd w:val="0"/>
        <w:snapToGrid w:val="0"/>
        <w:spacing w:line="360" w:lineRule="auto"/>
        <w:ind w:firstLine="486" w:firstLineChars="200"/>
        <w:jc w:val="both"/>
        <w:textAlignment w:val="auto"/>
        <w:rPr>
          <w:rFonts w:hint="default" w:ascii="Times New Roman" w:hAnsi="Times New Roman" w:cs="Times New Roman"/>
          <w:color w:val="auto"/>
          <w:sz w:val="24"/>
          <w:szCs w:val="24"/>
          <w:highlight w:val="none"/>
          <w:lang w:eastAsia="zh-CN"/>
        </w:rPr>
      </w:pPr>
      <w:r>
        <w:rPr>
          <w:rFonts w:hint="default" w:ascii="Times New Roman" w:hAnsi="Times New Roman" w:cs="Times New Roman"/>
          <w:color w:val="auto"/>
          <w:sz w:val="24"/>
          <w:highlight w:val="none"/>
        </w:rPr>
        <w:t>根据公司使用危险化学物品的数量、品种、危险性质，确定以下环境风险物质</w:t>
      </w:r>
      <w:r>
        <w:rPr>
          <w:rFonts w:hint="default" w:ascii="Times New Roman" w:hAnsi="Times New Roman" w:cs="Times New Roman"/>
          <w:color w:val="auto"/>
          <w:sz w:val="24"/>
          <w:highlight w:val="none"/>
          <w:lang w:eastAsia="zh-CN"/>
        </w:rPr>
        <w:t>苯酚、硫酸、甲醇</w:t>
      </w:r>
      <w:r>
        <w:rPr>
          <w:rFonts w:hint="eastAsia" w:cs="Times New Roman"/>
          <w:color w:val="auto"/>
          <w:sz w:val="24"/>
          <w:highlight w:val="none"/>
          <w:lang w:eastAsia="zh-CN"/>
        </w:rPr>
        <w:t>、氨、氯</w:t>
      </w:r>
      <w:r>
        <w:rPr>
          <w:rFonts w:hint="default" w:ascii="Times New Roman" w:hAnsi="Times New Roman" w:cs="Times New Roman"/>
          <w:color w:val="auto"/>
          <w:sz w:val="24"/>
          <w:szCs w:val="24"/>
          <w:highlight w:val="none"/>
          <w:lang w:val="en-US" w:eastAsia="zh-CN"/>
        </w:rPr>
        <w:t>。</w:t>
      </w:r>
    </w:p>
    <w:p w14:paraId="1FF42D58">
      <w:pPr>
        <w:keepNext w:val="0"/>
        <w:keepLines w:val="0"/>
        <w:pageBreakBefore w:val="0"/>
        <w:widowControl w:val="0"/>
        <w:kinsoku/>
        <w:wordWrap/>
        <w:overflowPunct/>
        <w:topLinePunct w:val="0"/>
        <w:autoSpaceDE w:val="0"/>
        <w:autoSpaceDN w:val="0"/>
        <w:bidi w:val="0"/>
        <w:adjustRightInd w:val="0"/>
        <w:snapToGrid w:val="0"/>
        <w:spacing w:line="360" w:lineRule="auto"/>
        <w:ind w:firstLine="486" w:firstLineChars="200"/>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项目涉及原辅材料及产品具体见表3.3-1。</w:t>
      </w:r>
    </w:p>
    <w:p w14:paraId="35C17C0E">
      <w:pPr>
        <w:keepNext w:val="0"/>
        <w:keepLines w:val="0"/>
        <w:pageBreakBefore w:val="0"/>
        <w:widowControl w:val="0"/>
        <w:kinsoku/>
        <w:wordWrap/>
        <w:overflowPunct/>
        <w:topLinePunct w:val="0"/>
        <w:autoSpaceDE w:val="0"/>
        <w:autoSpaceDN w:val="0"/>
        <w:bidi w:val="0"/>
        <w:adjustRightInd w:val="0"/>
        <w:snapToGrid w:val="0"/>
        <w:spacing w:line="360" w:lineRule="auto"/>
        <w:ind w:firstLine="486" w:firstLineChars="200"/>
        <w:jc w:val="center"/>
        <w:textAlignment w:val="auto"/>
        <w:rPr>
          <w:rFonts w:hint="default" w:ascii="Times New Roman" w:hAnsi="Times New Roman" w:cs="Times New Roman"/>
          <w:b/>
          <w:bCs/>
          <w:color w:val="auto"/>
          <w:sz w:val="24"/>
          <w:highlight w:val="none"/>
          <w:lang w:eastAsia="zh-CN"/>
        </w:rPr>
      </w:pPr>
      <w:r>
        <w:rPr>
          <w:rFonts w:hint="default" w:ascii="Times New Roman" w:hAnsi="Times New Roman" w:cs="Times New Roman"/>
          <w:b/>
          <w:bCs/>
          <w:color w:val="auto"/>
          <w:sz w:val="24"/>
          <w:highlight w:val="none"/>
        </w:rPr>
        <w:t>表3.3-1</w:t>
      </w:r>
      <w:r>
        <w:rPr>
          <w:rFonts w:hint="default" w:ascii="Times New Roman" w:hAnsi="Times New Roman" w:cs="Times New Roman"/>
          <w:b/>
          <w:bCs/>
          <w:color w:val="auto"/>
          <w:sz w:val="24"/>
          <w:highlight w:val="none"/>
          <w:lang w:val="en-US" w:eastAsia="zh-CN"/>
        </w:rPr>
        <w:t xml:space="preserve">a </w:t>
      </w:r>
      <w:r>
        <w:rPr>
          <w:rFonts w:hint="default" w:ascii="Times New Roman" w:hAnsi="Times New Roman" w:cs="Times New Roman"/>
          <w:b/>
          <w:bCs/>
          <w:color w:val="auto"/>
          <w:sz w:val="24"/>
          <w:highlight w:val="none"/>
          <w:lang w:eastAsia="zh-CN"/>
        </w:rPr>
        <w:t>原辅材料一览表</w:t>
      </w:r>
    </w:p>
    <w:tbl>
      <w:tblPr>
        <w:tblStyle w:val="33"/>
        <w:tblW w:w="506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1582"/>
        <w:gridCol w:w="1221"/>
        <w:gridCol w:w="1210"/>
        <w:gridCol w:w="1215"/>
        <w:gridCol w:w="1054"/>
        <w:gridCol w:w="1131"/>
        <w:gridCol w:w="849"/>
        <w:gridCol w:w="1338"/>
      </w:tblGrid>
      <w:tr w14:paraId="3EC920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53" w:hRule="atLeast"/>
          <w:tblHeader/>
          <w:jc w:val="center"/>
        </w:trPr>
        <w:tc>
          <w:tcPr>
            <w:tcW w:w="5000" w:type="pct"/>
            <w:gridSpan w:val="8"/>
            <w:tcBorders>
              <w:tl2br w:val="nil"/>
              <w:tr2bl w:val="nil"/>
            </w:tcBorders>
            <w:noWrap/>
            <w:vAlign w:val="center"/>
          </w:tcPr>
          <w:p w14:paraId="7958CD15">
            <w:pPr>
              <w:pStyle w:val="129"/>
              <w:keepNext w:val="0"/>
              <w:keepLines w:val="0"/>
              <w:suppressLineNumbers w:val="0"/>
              <w:spacing w:before="0" w:beforeAutospacing="0" w:after="0" w:afterAutospacing="0" w:line="360" w:lineRule="auto"/>
              <w:ind w:right="0"/>
              <w:jc w:val="center"/>
              <w:rPr>
                <w:rFonts w:hint="eastAsia" w:eastAsia="宋体"/>
                <w:b w:val="0"/>
                <w:bCs/>
                <w:lang w:eastAsia="zh-CN"/>
              </w:rPr>
            </w:pPr>
            <w:bookmarkStart w:id="51" w:name="_Hlk126329453"/>
            <w:r>
              <w:rPr>
                <w:rFonts w:hint="eastAsia" w:eastAsia="宋体"/>
                <w:b w:val="0"/>
                <w:bCs/>
                <w:lang w:eastAsia="zh-CN"/>
              </w:rPr>
              <w:t>原辅材料</w:t>
            </w:r>
          </w:p>
        </w:tc>
      </w:tr>
      <w:tr w14:paraId="02397C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82" w:hRule="atLeast"/>
          <w:tblHeader/>
          <w:jc w:val="center"/>
        </w:trPr>
        <w:tc>
          <w:tcPr>
            <w:tcW w:w="823" w:type="pct"/>
            <w:tcBorders>
              <w:tl2br w:val="nil"/>
              <w:tr2bl w:val="nil"/>
            </w:tcBorders>
            <w:noWrap/>
            <w:vAlign w:val="center"/>
          </w:tcPr>
          <w:p w14:paraId="58A700E6">
            <w:pPr>
              <w:pStyle w:val="129"/>
              <w:keepNext w:val="0"/>
              <w:keepLines w:val="0"/>
              <w:suppressLineNumbers w:val="0"/>
              <w:spacing w:before="0" w:beforeAutospacing="0" w:after="0" w:afterAutospacing="0" w:line="360" w:lineRule="auto"/>
              <w:ind w:left="6" w:leftChars="0" w:right="0" w:hanging="6" w:hangingChars="3"/>
              <w:jc w:val="center"/>
              <w:rPr>
                <w:rFonts w:hint="eastAsia" w:ascii="Times New Roman" w:hAnsi="Times New Roman" w:eastAsia="宋体" w:cs="Times New Roman"/>
                <w:b/>
                <w:color w:val="000000"/>
                <w:kern w:val="2"/>
                <w:sz w:val="24"/>
                <w:szCs w:val="21"/>
                <w:lang w:val="zh-CN" w:eastAsia="zh-CN" w:bidi="ar-SA"/>
              </w:rPr>
            </w:pPr>
            <w:r>
              <w:rPr>
                <w:rFonts w:hint="eastAsia" w:eastAsia="宋体"/>
                <w:b w:val="0"/>
                <w:bCs/>
              </w:rPr>
              <w:t>风险物质名称</w:t>
            </w:r>
          </w:p>
        </w:tc>
        <w:tc>
          <w:tcPr>
            <w:tcW w:w="635" w:type="pct"/>
            <w:tcBorders>
              <w:tl2br w:val="nil"/>
              <w:tr2bl w:val="nil"/>
            </w:tcBorders>
            <w:noWrap w:val="0"/>
            <w:vAlign w:val="center"/>
          </w:tcPr>
          <w:p w14:paraId="3E4AD4B0">
            <w:pPr>
              <w:pStyle w:val="127"/>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kern w:val="2"/>
                <w:sz w:val="21"/>
                <w:szCs w:val="21"/>
                <w:lang w:val="en-US" w:eastAsia="zh-CN" w:bidi="ar-SA"/>
              </w:rPr>
            </w:pPr>
            <w:r>
              <w:rPr>
                <w:rFonts w:hint="eastAsia" w:cs="Times New Roman"/>
                <w:color w:val="000000"/>
                <w:kern w:val="2"/>
                <w:sz w:val="21"/>
                <w:szCs w:val="21"/>
                <w:lang w:val="en-US" w:eastAsia="zh-CN" w:bidi="ar-SA"/>
              </w:rPr>
              <w:t>CAS号</w:t>
            </w:r>
          </w:p>
        </w:tc>
        <w:tc>
          <w:tcPr>
            <w:tcW w:w="630" w:type="pct"/>
            <w:tcBorders>
              <w:tl2br w:val="nil"/>
              <w:tr2bl w:val="nil"/>
            </w:tcBorders>
            <w:noWrap w:val="0"/>
            <w:vAlign w:val="center"/>
          </w:tcPr>
          <w:p w14:paraId="41E3EA22">
            <w:pPr>
              <w:pStyle w:val="127"/>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000000"/>
                <w:kern w:val="2"/>
                <w:sz w:val="21"/>
                <w:szCs w:val="21"/>
                <w:lang w:val="en-US" w:eastAsia="zh-CN" w:bidi="ar-SA"/>
              </w:rPr>
            </w:pPr>
            <w:r>
              <w:rPr>
                <w:rFonts w:hint="eastAsia"/>
                <w:color w:val="auto"/>
              </w:rPr>
              <w:t>储存位置</w:t>
            </w:r>
          </w:p>
        </w:tc>
        <w:tc>
          <w:tcPr>
            <w:tcW w:w="632" w:type="pct"/>
            <w:tcBorders>
              <w:tl2br w:val="nil"/>
              <w:tr2bl w:val="nil"/>
            </w:tcBorders>
            <w:noWrap w:val="0"/>
            <w:vAlign w:val="center"/>
          </w:tcPr>
          <w:p w14:paraId="1D2EAEAF">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000000"/>
                <w:kern w:val="2"/>
                <w:sz w:val="21"/>
                <w:szCs w:val="21"/>
                <w:lang w:val="zh-CN" w:eastAsia="zh-CN" w:bidi="ar-SA"/>
              </w:rPr>
            </w:pPr>
            <w:r>
              <w:rPr>
                <w:rFonts w:hint="eastAsia"/>
                <w:color w:val="auto"/>
              </w:rPr>
              <w:t>储存方式</w:t>
            </w:r>
          </w:p>
        </w:tc>
        <w:tc>
          <w:tcPr>
            <w:tcW w:w="548" w:type="pct"/>
            <w:tcBorders>
              <w:tl2br w:val="nil"/>
              <w:tr2bl w:val="nil"/>
            </w:tcBorders>
            <w:noWrap w:val="0"/>
            <w:vAlign w:val="center"/>
          </w:tcPr>
          <w:p w14:paraId="25F644E2">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zh-CN" w:eastAsia="zh-CN" w:bidi="ar-SA"/>
              </w:rPr>
            </w:pPr>
            <w:r>
              <w:rPr>
                <w:rFonts w:hint="eastAsia"/>
                <w:color w:val="auto"/>
                <w:lang w:val="zh-CN" w:eastAsia="zh-CN"/>
              </w:rPr>
              <w:t>储罐数量</w:t>
            </w:r>
          </w:p>
        </w:tc>
        <w:tc>
          <w:tcPr>
            <w:tcW w:w="589" w:type="pct"/>
            <w:tcBorders>
              <w:tl2br w:val="nil"/>
              <w:tr2bl w:val="nil"/>
            </w:tcBorders>
            <w:noWrap w:val="0"/>
            <w:vAlign w:val="center"/>
          </w:tcPr>
          <w:p w14:paraId="1433808F">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zh-CN" w:eastAsia="zh-CN" w:bidi="ar-SA"/>
              </w:rPr>
            </w:pPr>
            <w:r>
              <w:rPr>
                <w:rFonts w:hint="eastAsia"/>
                <w:color w:val="auto"/>
                <w:lang w:val="zh-CN" w:eastAsia="zh-CN"/>
              </w:rPr>
              <w:t>容积</w:t>
            </w:r>
            <w:r>
              <w:rPr>
                <w:rFonts w:hint="eastAsia"/>
                <w:color w:val="auto"/>
                <w:lang w:val="en-US" w:eastAsia="zh-CN"/>
              </w:rPr>
              <w:t>m³</w:t>
            </w:r>
          </w:p>
        </w:tc>
        <w:tc>
          <w:tcPr>
            <w:tcW w:w="442" w:type="pct"/>
            <w:tcBorders>
              <w:tl2br w:val="nil"/>
              <w:tr2bl w:val="nil"/>
            </w:tcBorders>
            <w:noWrap w:val="0"/>
            <w:vAlign w:val="center"/>
          </w:tcPr>
          <w:p w14:paraId="6BD0C617">
            <w:pPr>
              <w:pStyle w:val="129"/>
              <w:keepNext w:val="0"/>
              <w:keepLines w:val="0"/>
              <w:suppressLineNumbers w:val="0"/>
              <w:spacing w:before="0" w:beforeAutospacing="0" w:after="0" w:afterAutospacing="0" w:line="360" w:lineRule="auto"/>
              <w:ind w:left="6" w:leftChars="0" w:right="0" w:rightChars="0" w:hanging="6" w:hangingChars="3"/>
              <w:jc w:val="center"/>
              <w:rPr>
                <w:rFonts w:hint="default" w:ascii="Times New Roman" w:hAnsi="Times New Roman" w:eastAsia="宋体" w:cs="Times New Roman"/>
                <w:b w:val="0"/>
                <w:bCs/>
                <w:color w:val="000000"/>
                <w:kern w:val="2"/>
                <w:sz w:val="24"/>
                <w:szCs w:val="21"/>
                <w:lang w:val="zh-CN" w:eastAsia="zh-CN" w:bidi="ar-SA"/>
              </w:rPr>
            </w:pPr>
            <w:r>
              <w:rPr>
                <w:rFonts w:hint="default" w:eastAsia="宋体"/>
                <w:b w:val="0"/>
                <w:bCs/>
              </w:rPr>
              <w:t>形态</w:t>
            </w:r>
          </w:p>
        </w:tc>
        <w:tc>
          <w:tcPr>
            <w:tcW w:w="696" w:type="pct"/>
            <w:tcBorders>
              <w:tl2br w:val="nil"/>
              <w:tr2bl w:val="nil"/>
            </w:tcBorders>
            <w:noWrap w:val="0"/>
            <w:vAlign w:val="center"/>
          </w:tcPr>
          <w:p w14:paraId="0D3022E6">
            <w:pPr>
              <w:pStyle w:val="129"/>
              <w:keepNext w:val="0"/>
              <w:keepLines w:val="0"/>
              <w:suppressLineNumbers w:val="0"/>
              <w:spacing w:before="0" w:beforeAutospacing="0" w:after="0" w:afterAutospacing="0" w:line="360" w:lineRule="auto"/>
              <w:ind w:left="6" w:leftChars="0" w:right="0" w:rightChars="0" w:hanging="6" w:hangingChars="3"/>
              <w:jc w:val="center"/>
              <w:rPr>
                <w:rFonts w:hint="default" w:ascii="Times New Roman" w:hAnsi="Times New Roman" w:eastAsia="宋体" w:cs="Times New Roman"/>
                <w:b w:val="0"/>
                <w:bCs/>
                <w:color w:val="000000"/>
                <w:kern w:val="2"/>
                <w:sz w:val="24"/>
                <w:szCs w:val="21"/>
                <w:lang w:val="zh-CN" w:eastAsia="zh-CN" w:bidi="ar-SA"/>
              </w:rPr>
            </w:pPr>
            <w:r>
              <w:rPr>
                <w:rFonts w:hint="default" w:eastAsia="宋体"/>
                <w:b w:val="0"/>
                <w:bCs/>
              </w:rPr>
              <w:t>最大储量t</w:t>
            </w:r>
          </w:p>
        </w:tc>
      </w:tr>
      <w:tr w14:paraId="0BDBED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3" w:hRule="atLeast"/>
          <w:tblHeader/>
          <w:jc w:val="center"/>
        </w:trPr>
        <w:tc>
          <w:tcPr>
            <w:tcW w:w="823" w:type="pct"/>
            <w:tcBorders>
              <w:tl2br w:val="nil"/>
              <w:tr2bl w:val="nil"/>
            </w:tcBorders>
            <w:noWrap/>
            <w:vAlign w:val="center"/>
          </w:tcPr>
          <w:p w14:paraId="07ADDA45">
            <w:pPr>
              <w:keepNext w:val="0"/>
              <w:keepLines w:val="0"/>
              <w:suppressLineNumbers w:val="0"/>
              <w:spacing w:before="0" w:beforeAutospacing="0" w:after="0" w:afterAutospacing="0" w:line="240" w:lineRule="auto"/>
              <w:ind w:left="0" w:right="0" w:firstLine="0" w:firstLineChars="0"/>
              <w:jc w:val="center"/>
              <w:rPr>
                <w:rStyle w:val="35"/>
                <w:rFonts w:hint="eastAsia" w:ascii="Times New Roman" w:hAnsi="Times New Roman" w:eastAsia="宋体" w:cs="Times New Roman"/>
                <w:color w:val="000000"/>
                <w:kern w:val="2"/>
                <w:sz w:val="21"/>
                <w:szCs w:val="21"/>
                <w:lang w:val="en-US" w:eastAsia="zh-CN" w:bidi="ar-SA"/>
              </w:rPr>
            </w:pPr>
            <w:r>
              <w:rPr>
                <w:rStyle w:val="35"/>
                <w:rFonts w:hint="eastAsia" w:ascii="Times New Roman" w:hAnsi="Times New Roman" w:eastAsia="宋体" w:cs="Times New Roman"/>
                <w:color w:val="000000"/>
                <w:kern w:val="2"/>
                <w:sz w:val="21"/>
                <w:szCs w:val="21"/>
                <w:lang w:val="en-US" w:eastAsia="zh-CN" w:bidi="ar-SA"/>
              </w:rPr>
              <w:t>苯酚</w:t>
            </w:r>
          </w:p>
        </w:tc>
        <w:tc>
          <w:tcPr>
            <w:tcW w:w="635" w:type="pct"/>
            <w:tcBorders>
              <w:tl2br w:val="nil"/>
              <w:tr2bl w:val="nil"/>
            </w:tcBorders>
            <w:noWrap/>
            <w:vAlign w:val="center"/>
          </w:tcPr>
          <w:p w14:paraId="55EC7D06">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000000"/>
                <w:kern w:val="24"/>
                <w:sz w:val="21"/>
                <w:szCs w:val="21"/>
                <w:lang w:val="en-US" w:eastAsia="zh-CN"/>
              </w:rPr>
            </w:pPr>
            <w:r>
              <w:rPr>
                <w:rFonts w:hint="eastAsia" w:ascii="Times New Roman" w:hAnsi="Times New Roman" w:eastAsia="宋体" w:cs="Times New Roman"/>
                <w:color w:val="000000"/>
                <w:kern w:val="24"/>
                <w:sz w:val="21"/>
                <w:szCs w:val="21"/>
                <w:lang w:val="en-US" w:eastAsia="zh-CN"/>
              </w:rPr>
              <w:t>108-95-2</w:t>
            </w:r>
          </w:p>
        </w:tc>
        <w:tc>
          <w:tcPr>
            <w:tcW w:w="630" w:type="pct"/>
            <w:tcBorders>
              <w:tl2br w:val="nil"/>
              <w:tr2bl w:val="nil"/>
            </w:tcBorders>
            <w:noWrap/>
            <w:vAlign w:val="center"/>
          </w:tcPr>
          <w:p w14:paraId="5568AAC0">
            <w:pPr>
              <w:keepNext w:val="0"/>
              <w:keepLines w:val="0"/>
              <w:suppressLineNumbers w:val="0"/>
              <w:adjustRightInd w:val="0"/>
              <w:snapToGrid w:val="0"/>
              <w:spacing w:before="0" w:beforeAutospacing="0" w:after="0" w:afterAutospacing="0" w:line="360" w:lineRule="auto"/>
              <w:ind w:left="0" w:leftChars="0" w:right="0" w:rightChars="0"/>
              <w:jc w:val="center"/>
              <w:rPr>
                <w:rFonts w:hint="default" w:ascii="Times New Roman" w:hAnsi="Times New Roman" w:eastAsia="宋体" w:cs="Times New Roman"/>
                <w:color w:val="000000"/>
                <w:kern w:val="24"/>
                <w:sz w:val="21"/>
                <w:szCs w:val="21"/>
                <w:lang w:val="en-US" w:eastAsia="zh-CN" w:bidi="ar-SA"/>
              </w:rPr>
            </w:pPr>
            <w:r>
              <w:rPr>
                <w:rFonts w:hint="eastAsia"/>
                <w:color w:val="auto"/>
                <w:sz w:val="21"/>
                <w:szCs w:val="21"/>
              </w:rPr>
              <w:t>罐区</w:t>
            </w:r>
          </w:p>
        </w:tc>
        <w:tc>
          <w:tcPr>
            <w:tcW w:w="632" w:type="pct"/>
            <w:tcBorders>
              <w:tl2br w:val="nil"/>
              <w:tr2bl w:val="nil"/>
            </w:tcBorders>
            <w:noWrap/>
            <w:vAlign w:val="center"/>
          </w:tcPr>
          <w:p w14:paraId="1D11F77E">
            <w:pPr>
              <w:keepNext w:val="0"/>
              <w:keepLines w:val="0"/>
              <w:suppressLineNumbers w:val="0"/>
              <w:adjustRightInd w:val="0"/>
              <w:snapToGrid w:val="0"/>
              <w:spacing w:before="0" w:beforeAutospacing="0" w:after="0" w:afterAutospacing="0" w:line="360" w:lineRule="auto"/>
              <w:ind w:left="0" w:leftChars="0" w:right="0" w:rightChars="0"/>
              <w:jc w:val="center"/>
              <w:rPr>
                <w:rFonts w:hint="default" w:ascii="Times New Roman" w:hAnsi="Times New Roman" w:eastAsia="宋体" w:cs="Times New Roman"/>
                <w:color w:val="000000"/>
                <w:kern w:val="24"/>
                <w:sz w:val="21"/>
                <w:szCs w:val="21"/>
                <w:lang w:val="en-US" w:eastAsia="zh-CN" w:bidi="ar-SA"/>
              </w:rPr>
            </w:pPr>
            <w:r>
              <w:rPr>
                <w:rFonts w:hint="eastAsia" w:ascii="Times New Roman" w:hAnsi="Times New Roman" w:eastAsia="宋体" w:cs="Times New Roman"/>
                <w:color w:val="000000"/>
                <w:kern w:val="24"/>
                <w:sz w:val="21"/>
                <w:szCs w:val="21"/>
                <w:lang w:eastAsia="zh-CN"/>
              </w:rPr>
              <w:t>罐装</w:t>
            </w:r>
          </w:p>
        </w:tc>
        <w:tc>
          <w:tcPr>
            <w:tcW w:w="548" w:type="pct"/>
            <w:tcBorders>
              <w:tl2br w:val="nil"/>
              <w:tr2bl w:val="nil"/>
            </w:tcBorders>
            <w:noWrap/>
            <w:vAlign w:val="center"/>
          </w:tcPr>
          <w:p w14:paraId="4CAB5630">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2</w:t>
            </w:r>
          </w:p>
        </w:tc>
        <w:tc>
          <w:tcPr>
            <w:tcW w:w="589" w:type="pct"/>
            <w:tcBorders>
              <w:tl2br w:val="nil"/>
              <w:tr2bl w:val="nil"/>
            </w:tcBorders>
            <w:noWrap/>
            <w:vAlign w:val="center"/>
          </w:tcPr>
          <w:p w14:paraId="78D671BE">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1500</w:t>
            </w:r>
          </w:p>
        </w:tc>
        <w:tc>
          <w:tcPr>
            <w:tcW w:w="442" w:type="pct"/>
            <w:tcBorders>
              <w:tl2br w:val="nil"/>
              <w:tr2bl w:val="nil"/>
            </w:tcBorders>
            <w:noWrap/>
            <w:vAlign w:val="center"/>
          </w:tcPr>
          <w:p w14:paraId="3F441BE1">
            <w:pPr>
              <w:keepNext w:val="0"/>
              <w:keepLines w:val="0"/>
              <w:suppressLineNumbers w:val="0"/>
              <w:adjustRightInd w:val="0"/>
              <w:snapToGrid w:val="0"/>
              <w:spacing w:before="0" w:beforeAutospacing="0" w:after="0" w:afterAutospacing="0" w:line="360" w:lineRule="auto"/>
              <w:ind w:left="0" w:leftChars="0" w:right="0" w:rightChars="0"/>
              <w:jc w:val="center"/>
              <w:rPr>
                <w:rFonts w:hint="default" w:ascii="Times New Roman" w:hAnsi="Times New Roman" w:eastAsia="宋体" w:cs="Times New Roman"/>
                <w:color w:val="000000"/>
                <w:kern w:val="24"/>
                <w:sz w:val="21"/>
                <w:szCs w:val="21"/>
                <w:lang w:val="en-US" w:eastAsia="zh-CN" w:bidi="ar-SA"/>
              </w:rPr>
            </w:pPr>
            <w:r>
              <w:rPr>
                <w:rFonts w:hint="eastAsia" w:ascii="Times New Roman" w:hAnsi="Times New Roman" w:eastAsia="宋体" w:cs="Times New Roman"/>
                <w:color w:val="000000"/>
                <w:kern w:val="24"/>
                <w:sz w:val="21"/>
                <w:szCs w:val="21"/>
                <w:lang w:val="en-US" w:eastAsia="zh-CN"/>
              </w:rPr>
              <w:t>液</w:t>
            </w:r>
          </w:p>
        </w:tc>
        <w:tc>
          <w:tcPr>
            <w:tcW w:w="696" w:type="pct"/>
            <w:tcBorders>
              <w:tl2br w:val="nil"/>
              <w:tr2bl w:val="nil"/>
            </w:tcBorders>
            <w:noWrap/>
            <w:vAlign w:val="center"/>
          </w:tcPr>
          <w:p w14:paraId="475416C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000000"/>
                <w:kern w:val="24"/>
                <w:sz w:val="21"/>
                <w:szCs w:val="21"/>
                <w:highlight w:val="none"/>
                <w:lang w:val="en-US" w:eastAsia="zh-CN" w:bidi="ar-SA"/>
              </w:rPr>
            </w:pPr>
            <w:r>
              <w:rPr>
                <w:rFonts w:hint="eastAsia" w:ascii="宋体" w:hAnsi="宋体" w:eastAsia="宋体" w:cs="宋体"/>
                <w:color w:val="auto"/>
                <w:sz w:val="21"/>
                <w:szCs w:val="21"/>
                <w:lang w:val="en-US" w:eastAsia="zh-CN"/>
              </w:rPr>
              <w:t>3210</w:t>
            </w:r>
          </w:p>
        </w:tc>
      </w:tr>
      <w:tr w14:paraId="40C12E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3" w:hRule="atLeast"/>
          <w:tblHeader/>
          <w:jc w:val="center"/>
        </w:trPr>
        <w:tc>
          <w:tcPr>
            <w:tcW w:w="823" w:type="pct"/>
            <w:tcBorders>
              <w:tl2br w:val="nil"/>
              <w:tr2bl w:val="nil"/>
            </w:tcBorders>
            <w:noWrap/>
            <w:vAlign w:val="center"/>
          </w:tcPr>
          <w:p w14:paraId="7073C34C">
            <w:pPr>
              <w:keepNext w:val="0"/>
              <w:keepLines w:val="0"/>
              <w:suppressLineNumbers w:val="0"/>
              <w:spacing w:before="0" w:beforeAutospacing="0" w:after="0" w:afterAutospacing="0" w:line="240" w:lineRule="auto"/>
              <w:ind w:left="0" w:right="0" w:firstLine="0" w:firstLineChars="0"/>
              <w:jc w:val="center"/>
              <w:rPr>
                <w:rStyle w:val="35"/>
                <w:rFonts w:hint="eastAsia" w:ascii="Times New Roman" w:hAnsi="Times New Roman" w:eastAsia="宋体" w:cs="Times New Roman"/>
                <w:color w:val="000000"/>
                <w:kern w:val="2"/>
                <w:sz w:val="21"/>
                <w:szCs w:val="21"/>
                <w:lang w:val="en-US" w:eastAsia="zh-CN" w:bidi="ar-SA"/>
              </w:rPr>
            </w:pPr>
            <w:r>
              <w:rPr>
                <w:rFonts w:hint="eastAsia" w:ascii="宋体" w:hAnsi="宋体" w:cs="宋体"/>
                <w:sz w:val="21"/>
                <w:szCs w:val="21"/>
              </w:rPr>
              <w:t>甲醇</w:t>
            </w:r>
          </w:p>
        </w:tc>
        <w:tc>
          <w:tcPr>
            <w:tcW w:w="635" w:type="pct"/>
            <w:tcBorders>
              <w:tl2br w:val="nil"/>
              <w:tr2bl w:val="nil"/>
            </w:tcBorders>
            <w:noWrap/>
            <w:vAlign w:val="center"/>
          </w:tcPr>
          <w:p w14:paraId="610D1C32">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000000"/>
                <w:kern w:val="24"/>
                <w:sz w:val="21"/>
                <w:szCs w:val="21"/>
                <w:lang w:val="en-US" w:eastAsia="zh-CN"/>
              </w:rPr>
            </w:pPr>
            <w:r>
              <w:rPr>
                <w:rFonts w:hint="eastAsia" w:ascii="Times New Roman" w:hAnsi="Times New Roman" w:eastAsia="宋体" w:cs="Times New Roman"/>
                <w:color w:val="000000"/>
                <w:kern w:val="24"/>
                <w:sz w:val="21"/>
                <w:szCs w:val="21"/>
                <w:lang w:val="en-US" w:eastAsia="zh-CN"/>
              </w:rPr>
              <w:t>67-56-1</w:t>
            </w:r>
          </w:p>
        </w:tc>
        <w:tc>
          <w:tcPr>
            <w:tcW w:w="630" w:type="pct"/>
            <w:tcBorders>
              <w:tl2br w:val="nil"/>
              <w:tr2bl w:val="nil"/>
            </w:tcBorders>
            <w:noWrap/>
            <w:vAlign w:val="center"/>
          </w:tcPr>
          <w:p w14:paraId="7379FCF4">
            <w:pPr>
              <w:keepNext w:val="0"/>
              <w:keepLines w:val="0"/>
              <w:suppressLineNumbers w:val="0"/>
              <w:adjustRightInd w:val="0"/>
              <w:snapToGrid w:val="0"/>
              <w:spacing w:before="0" w:beforeAutospacing="0" w:after="0" w:afterAutospacing="0" w:line="360" w:lineRule="auto"/>
              <w:ind w:left="0" w:leftChars="0" w:right="0" w:rightChars="0"/>
              <w:jc w:val="center"/>
              <w:rPr>
                <w:rFonts w:hint="default" w:ascii="Times New Roman" w:hAnsi="Times New Roman" w:eastAsia="宋体" w:cs="Times New Roman"/>
                <w:color w:val="000000"/>
                <w:kern w:val="24"/>
                <w:sz w:val="21"/>
                <w:szCs w:val="21"/>
                <w:lang w:val="en-US" w:eastAsia="zh-CN" w:bidi="ar-SA"/>
              </w:rPr>
            </w:pPr>
            <w:r>
              <w:rPr>
                <w:rFonts w:hint="eastAsia"/>
                <w:color w:val="auto"/>
                <w:sz w:val="21"/>
                <w:szCs w:val="21"/>
              </w:rPr>
              <w:t>罐区</w:t>
            </w:r>
          </w:p>
        </w:tc>
        <w:tc>
          <w:tcPr>
            <w:tcW w:w="632" w:type="pct"/>
            <w:tcBorders>
              <w:tl2br w:val="nil"/>
              <w:tr2bl w:val="nil"/>
            </w:tcBorders>
            <w:noWrap/>
            <w:vAlign w:val="center"/>
          </w:tcPr>
          <w:p w14:paraId="60BEA3FB">
            <w:pPr>
              <w:keepNext w:val="0"/>
              <w:keepLines w:val="0"/>
              <w:suppressLineNumbers w:val="0"/>
              <w:adjustRightInd w:val="0"/>
              <w:snapToGrid w:val="0"/>
              <w:spacing w:before="0" w:beforeAutospacing="0" w:after="0" w:afterAutospacing="0" w:line="360" w:lineRule="auto"/>
              <w:ind w:left="0" w:leftChars="0" w:right="0" w:rightChars="0"/>
              <w:jc w:val="center"/>
              <w:rPr>
                <w:rFonts w:hint="default" w:ascii="Times New Roman" w:hAnsi="Times New Roman" w:eastAsia="宋体" w:cs="Times New Roman"/>
                <w:color w:val="000000"/>
                <w:kern w:val="24"/>
                <w:sz w:val="21"/>
                <w:szCs w:val="21"/>
                <w:lang w:val="en-US" w:eastAsia="zh-CN" w:bidi="ar-SA"/>
              </w:rPr>
            </w:pPr>
            <w:r>
              <w:rPr>
                <w:rFonts w:hint="eastAsia" w:ascii="Times New Roman" w:hAnsi="Times New Roman" w:eastAsia="宋体" w:cs="Times New Roman"/>
                <w:color w:val="000000"/>
                <w:kern w:val="24"/>
                <w:sz w:val="21"/>
                <w:szCs w:val="21"/>
                <w:lang w:eastAsia="zh-CN"/>
              </w:rPr>
              <w:t>罐装</w:t>
            </w:r>
          </w:p>
        </w:tc>
        <w:tc>
          <w:tcPr>
            <w:tcW w:w="548" w:type="pct"/>
            <w:tcBorders>
              <w:tl2br w:val="nil"/>
              <w:tr2bl w:val="nil"/>
            </w:tcBorders>
            <w:noWrap/>
            <w:vAlign w:val="center"/>
          </w:tcPr>
          <w:p w14:paraId="57CF7604">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1</w:t>
            </w:r>
          </w:p>
        </w:tc>
        <w:tc>
          <w:tcPr>
            <w:tcW w:w="589" w:type="pct"/>
            <w:tcBorders>
              <w:tl2br w:val="nil"/>
              <w:tr2bl w:val="nil"/>
            </w:tcBorders>
            <w:noWrap/>
            <w:vAlign w:val="center"/>
          </w:tcPr>
          <w:p w14:paraId="37FDD695">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300</w:t>
            </w:r>
          </w:p>
        </w:tc>
        <w:tc>
          <w:tcPr>
            <w:tcW w:w="442" w:type="pct"/>
            <w:tcBorders>
              <w:tl2br w:val="nil"/>
              <w:tr2bl w:val="nil"/>
            </w:tcBorders>
            <w:noWrap/>
            <w:vAlign w:val="center"/>
          </w:tcPr>
          <w:p w14:paraId="4089300B">
            <w:pPr>
              <w:keepNext w:val="0"/>
              <w:keepLines w:val="0"/>
              <w:suppressLineNumbers w:val="0"/>
              <w:adjustRightInd w:val="0"/>
              <w:snapToGrid w:val="0"/>
              <w:spacing w:before="0" w:beforeAutospacing="0" w:after="0" w:afterAutospacing="0" w:line="360" w:lineRule="auto"/>
              <w:ind w:left="0" w:leftChars="0" w:right="0" w:rightChars="0"/>
              <w:jc w:val="center"/>
              <w:rPr>
                <w:rFonts w:hint="default" w:ascii="Times New Roman" w:hAnsi="Times New Roman" w:eastAsia="宋体" w:cs="Times New Roman"/>
                <w:color w:val="000000"/>
                <w:kern w:val="24"/>
                <w:sz w:val="21"/>
                <w:szCs w:val="21"/>
                <w:lang w:val="en-US" w:eastAsia="zh-CN" w:bidi="ar-SA"/>
              </w:rPr>
            </w:pPr>
            <w:r>
              <w:rPr>
                <w:rFonts w:hint="eastAsia" w:ascii="Times New Roman" w:hAnsi="Times New Roman" w:eastAsia="宋体" w:cs="Times New Roman"/>
                <w:color w:val="000000"/>
                <w:kern w:val="24"/>
                <w:sz w:val="21"/>
                <w:szCs w:val="21"/>
                <w:lang w:val="en-US" w:eastAsia="zh-CN"/>
              </w:rPr>
              <w:t>液</w:t>
            </w:r>
          </w:p>
        </w:tc>
        <w:tc>
          <w:tcPr>
            <w:tcW w:w="696" w:type="pct"/>
            <w:tcBorders>
              <w:tl2br w:val="nil"/>
              <w:tr2bl w:val="nil"/>
            </w:tcBorders>
            <w:noWrap/>
            <w:vAlign w:val="center"/>
          </w:tcPr>
          <w:p w14:paraId="4DA4D77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000000"/>
                <w:kern w:val="24"/>
                <w:sz w:val="21"/>
                <w:szCs w:val="21"/>
                <w:highlight w:val="none"/>
                <w:lang w:val="en-US" w:eastAsia="zh-CN" w:bidi="ar-SA"/>
              </w:rPr>
            </w:pPr>
            <w:r>
              <w:rPr>
                <w:rFonts w:hint="eastAsia" w:ascii="宋体" w:hAnsi="宋体" w:eastAsia="宋体" w:cs="宋体"/>
                <w:color w:val="auto"/>
                <w:sz w:val="21"/>
                <w:szCs w:val="21"/>
                <w:lang w:val="en-US" w:eastAsia="zh-CN"/>
              </w:rPr>
              <w:t>237</w:t>
            </w:r>
          </w:p>
        </w:tc>
      </w:tr>
      <w:tr w14:paraId="47F9C7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67" w:hRule="atLeast"/>
          <w:tblHeader/>
          <w:jc w:val="center"/>
        </w:trPr>
        <w:tc>
          <w:tcPr>
            <w:tcW w:w="823" w:type="pct"/>
            <w:tcBorders>
              <w:tl2br w:val="nil"/>
              <w:tr2bl w:val="nil"/>
            </w:tcBorders>
            <w:noWrap/>
            <w:vAlign w:val="center"/>
          </w:tcPr>
          <w:p w14:paraId="3106CE18">
            <w:pPr>
              <w:keepNext w:val="0"/>
              <w:keepLines w:val="0"/>
              <w:suppressLineNumbers w:val="0"/>
              <w:spacing w:before="0" w:beforeAutospacing="0" w:after="0" w:afterAutospacing="0" w:line="240" w:lineRule="auto"/>
              <w:ind w:left="0" w:right="0" w:firstLine="0" w:firstLineChars="0"/>
              <w:jc w:val="center"/>
              <w:rPr>
                <w:rStyle w:val="35"/>
                <w:rFonts w:hint="eastAsia" w:ascii="Times New Roman" w:hAnsi="Times New Roman" w:eastAsia="宋体" w:cs="Times New Roman"/>
                <w:color w:val="000000"/>
                <w:kern w:val="2"/>
                <w:sz w:val="21"/>
                <w:szCs w:val="21"/>
                <w:lang w:val="en-US" w:eastAsia="zh-CN" w:bidi="ar-SA"/>
              </w:rPr>
            </w:pPr>
            <w:r>
              <w:rPr>
                <w:rFonts w:hint="eastAsia" w:ascii="宋体" w:hAnsi="宋体" w:cs="宋体"/>
                <w:sz w:val="21"/>
                <w:szCs w:val="21"/>
              </w:rPr>
              <w:t>硫酸（98%）</w:t>
            </w:r>
          </w:p>
        </w:tc>
        <w:tc>
          <w:tcPr>
            <w:tcW w:w="635" w:type="pct"/>
            <w:tcBorders>
              <w:tl2br w:val="nil"/>
              <w:tr2bl w:val="nil"/>
            </w:tcBorders>
            <w:noWrap/>
            <w:vAlign w:val="center"/>
          </w:tcPr>
          <w:p w14:paraId="29C182A2">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000000"/>
                <w:kern w:val="24"/>
                <w:sz w:val="21"/>
                <w:szCs w:val="21"/>
                <w:lang w:val="en-US" w:eastAsia="zh-CN"/>
              </w:rPr>
            </w:pPr>
            <w:r>
              <w:rPr>
                <w:rFonts w:hint="eastAsia" w:ascii="Times New Roman" w:hAnsi="Times New Roman" w:eastAsia="宋体" w:cs="Times New Roman"/>
                <w:color w:val="000000"/>
                <w:kern w:val="24"/>
                <w:sz w:val="21"/>
                <w:szCs w:val="21"/>
                <w:lang w:val="en-US" w:eastAsia="zh-CN"/>
              </w:rPr>
              <w:t>7664-93-9</w:t>
            </w:r>
          </w:p>
        </w:tc>
        <w:tc>
          <w:tcPr>
            <w:tcW w:w="630" w:type="pct"/>
            <w:tcBorders>
              <w:tl2br w:val="nil"/>
              <w:tr2bl w:val="nil"/>
            </w:tcBorders>
            <w:noWrap/>
            <w:vAlign w:val="center"/>
          </w:tcPr>
          <w:p w14:paraId="2D28BF34">
            <w:pPr>
              <w:keepNext w:val="0"/>
              <w:keepLines w:val="0"/>
              <w:suppressLineNumbers w:val="0"/>
              <w:adjustRightInd w:val="0"/>
              <w:snapToGrid w:val="0"/>
              <w:spacing w:before="0" w:beforeAutospacing="0" w:after="0" w:afterAutospacing="0" w:line="360" w:lineRule="auto"/>
              <w:ind w:left="0" w:leftChars="0" w:right="0" w:rightChars="0"/>
              <w:jc w:val="center"/>
              <w:rPr>
                <w:rFonts w:hint="eastAsia" w:ascii="Times New Roman" w:hAnsi="Times New Roman" w:eastAsia="宋体" w:cs="Times New Roman"/>
                <w:color w:val="000000"/>
                <w:kern w:val="24"/>
                <w:sz w:val="21"/>
                <w:szCs w:val="21"/>
                <w:lang w:val="en-US" w:eastAsia="zh-CN" w:bidi="ar-SA"/>
              </w:rPr>
            </w:pPr>
            <w:r>
              <w:rPr>
                <w:rFonts w:hint="eastAsia"/>
                <w:color w:val="auto"/>
                <w:sz w:val="21"/>
                <w:szCs w:val="21"/>
              </w:rPr>
              <w:t>罐区</w:t>
            </w:r>
          </w:p>
        </w:tc>
        <w:tc>
          <w:tcPr>
            <w:tcW w:w="632" w:type="pct"/>
            <w:tcBorders>
              <w:tl2br w:val="nil"/>
              <w:tr2bl w:val="nil"/>
            </w:tcBorders>
            <w:noWrap/>
            <w:vAlign w:val="center"/>
          </w:tcPr>
          <w:p w14:paraId="6DD0AA6A">
            <w:pPr>
              <w:keepNext w:val="0"/>
              <w:keepLines w:val="0"/>
              <w:suppressLineNumbers w:val="0"/>
              <w:adjustRightInd w:val="0"/>
              <w:snapToGrid w:val="0"/>
              <w:spacing w:before="0" w:beforeAutospacing="0" w:after="0" w:afterAutospacing="0" w:line="360" w:lineRule="auto"/>
              <w:ind w:left="0" w:leftChars="0" w:right="0" w:rightChars="0"/>
              <w:jc w:val="center"/>
              <w:rPr>
                <w:rFonts w:hint="default" w:ascii="Times New Roman" w:hAnsi="Times New Roman" w:eastAsia="宋体" w:cs="Times New Roman"/>
                <w:color w:val="000000"/>
                <w:kern w:val="24"/>
                <w:sz w:val="21"/>
                <w:szCs w:val="21"/>
                <w:lang w:val="en-US" w:eastAsia="zh-CN" w:bidi="ar-SA"/>
              </w:rPr>
            </w:pPr>
            <w:r>
              <w:rPr>
                <w:rFonts w:hint="eastAsia" w:ascii="Times New Roman" w:hAnsi="Times New Roman" w:eastAsia="宋体" w:cs="Times New Roman"/>
                <w:color w:val="000000"/>
                <w:kern w:val="24"/>
                <w:sz w:val="21"/>
                <w:szCs w:val="21"/>
                <w:lang w:eastAsia="zh-CN"/>
              </w:rPr>
              <w:t>罐装</w:t>
            </w:r>
          </w:p>
        </w:tc>
        <w:tc>
          <w:tcPr>
            <w:tcW w:w="548" w:type="pct"/>
            <w:tcBorders>
              <w:tl2br w:val="nil"/>
              <w:tr2bl w:val="nil"/>
            </w:tcBorders>
            <w:noWrap/>
            <w:vAlign w:val="center"/>
          </w:tcPr>
          <w:p w14:paraId="78F2D748">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1</w:t>
            </w:r>
          </w:p>
        </w:tc>
        <w:tc>
          <w:tcPr>
            <w:tcW w:w="589" w:type="pct"/>
            <w:tcBorders>
              <w:tl2br w:val="nil"/>
              <w:tr2bl w:val="nil"/>
            </w:tcBorders>
            <w:noWrap/>
            <w:vAlign w:val="center"/>
          </w:tcPr>
          <w:p w14:paraId="62642DF1">
            <w:pPr>
              <w:pStyle w:val="127"/>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500</w:t>
            </w:r>
          </w:p>
        </w:tc>
        <w:tc>
          <w:tcPr>
            <w:tcW w:w="442" w:type="pct"/>
            <w:tcBorders>
              <w:tl2br w:val="nil"/>
              <w:tr2bl w:val="nil"/>
            </w:tcBorders>
            <w:noWrap/>
            <w:vAlign w:val="center"/>
          </w:tcPr>
          <w:p w14:paraId="0009346F">
            <w:pPr>
              <w:keepNext w:val="0"/>
              <w:keepLines w:val="0"/>
              <w:suppressLineNumbers w:val="0"/>
              <w:adjustRightInd w:val="0"/>
              <w:snapToGrid w:val="0"/>
              <w:spacing w:before="0" w:beforeAutospacing="0" w:after="0" w:afterAutospacing="0" w:line="360" w:lineRule="auto"/>
              <w:ind w:left="0" w:leftChars="0" w:right="0" w:rightChars="0"/>
              <w:jc w:val="center"/>
              <w:rPr>
                <w:rFonts w:hint="default" w:ascii="Times New Roman" w:hAnsi="Times New Roman" w:eastAsia="宋体" w:cs="Times New Roman"/>
                <w:color w:val="000000"/>
                <w:kern w:val="24"/>
                <w:sz w:val="21"/>
                <w:szCs w:val="21"/>
                <w:lang w:val="en-US" w:eastAsia="zh-CN" w:bidi="ar-SA"/>
              </w:rPr>
            </w:pPr>
            <w:r>
              <w:rPr>
                <w:rFonts w:hint="eastAsia" w:ascii="Times New Roman" w:hAnsi="Times New Roman" w:eastAsia="宋体" w:cs="Times New Roman"/>
                <w:color w:val="000000"/>
                <w:kern w:val="24"/>
                <w:sz w:val="21"/>
                <w:szCs w:val="21"/>
                <w:lang w:val="en-US" w:eastAsia="zh-CN"/>
              </w:rPr>
              <w:t>液</w:t>
            </w:r>
          </w:p>
        </w:tc>
        <w:tc>
          <w:tcPr>
            <w:tcW w:w="696" w:type="pct"/>
            <w:tcBorders>
              <w:tl2br w:val="nil"/>
              <w:tr2bl w:val="nil"/>
            </w:tcBorders>
            <w:noWrap/>
            <w:vAlign w:val="center"/>
          </w:tcPr>
          <w:p w14:paraId="6D83F413">
            <w:pPr>
              <w:keepNext w:val="0"/>
              <w:keepLines w:val="0"/>
              <w:suppressLineNumbers w:val="0"/>
              <w:adjustRightInd w:val="0"/>
              <w:snapToGrid w:val="0"/>
              <w:spacing w:before="0" w:beforeAutospacing="0" w:after="0" w:afterAutospacing="0" w:line="360" w:lineRule="auto"/>
              <w:ind w:left="0" w:leftChars="0" w:right="0" w:rightChars="0"/>
              <w:jc w:val="center"/>
              <w:rPr>
                <w:rFonts w:hint="default" w:ascii="Times New Roman" w:hAnsi="Times New Roman" w:eastAsia="宋体" w:cs="Times New Roman"/>
                <w:color w:val="000000"/>
                <w:kern w:val="24"/>
                <w:sz w:val="21"/>
                <w:szCs w:val="21"/>
                <w:highlight w:val="none"/>
                <w:lang w:val="en-US" w:eastAsia="zh-CN" w:bidi="ar-SA"/>
              </w:rPr>
            </w:pPr>
            <w:r>
              <w:rPr>
                <w:rFonts w:hint="eastAsia" w:ascii="宋体" w:hAnsi="宋体" w:eastAsia="宋体" w:cs="宋体"/>
                <w:color w:val="auto"/>
                <w:sz w:val="21"/>
                <w:szCs w:val="21"/>
                <w:lang w:val="en-US" w:eastAsia="zh-CN"/>
              </w:rPr>
              <w:t>915</w:t>
            </w:r>
          </w:p>
        </w:tc>
      </w:tr>
      <w:tr w14:paraId="755E6A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3" w:hRule="atLeast"/>
          <w:tblHeader/>
          <w:jc w:val="center"/>
        </w:trPr>
        <w:tc>
          <w:tcPr>
            <w:tcW w:w="823" w:type="pct"/>
            <w:tcBorders>
              <w:tl2br w:val="nil"/>
              <w:tr2bl w:val="nil"/>
            </w:tcBorders>
            <w:noWrap/>
            <w:vAlign w:val="center"/>
          </w:tcPr>
          <w:p w14:paraId="643B43D7">
            <w:pPr>
              <w:keepNext w:val="0"/>
              <w:keepLines w:val="0"/>
              <w:suppressLineNumbers w:val="0"/>
              <w:spacing w:before="0" w:beforeAutospacing="0" w:after="0" w:afterAutospacing="0" w:line="240" w:lineRule="auto"/>
              <w:ind w:left="0" w:right="0" w:firstLine="0" w:firstLineChars="0"/>
              <w:jc w:val="center"/>
              <w:rPr>
                <w:rFonts w:hint="eastAsia" w:ascii="宋体" w:hAnsi="宋体" w:cs="宋体"/>
                <w:sz w:val="21"/>
                <w:szCs w:val="21"/>
              </w:rPr>
            </w:pPr>
            <w:r>
              <w:rPr>
                <w:rFonts w:hint="eastAsia" w:ascii="宋体" w:hAnsi="宋体" w:cs="宋体"/>
                <w:sz w:val="21"/>
                <w:szCs w:val="21"/>
              </w:rPr>
              <w:t>氢氧化钠溶液（50%）</w:t>
            </w:r>
          </w:p>
        </w:tc>
        <w:tc>
          <w:tcPr>
            <w:tcW w:w="635" w:type="pct"/>
            <w:tcBorders>
              <w:tl2br w:val="nil"/>
              <w:tr2bl w:val="nil"/>
            </w:tcBorders>
            <w:noWrap/>
            <w:vAlign w:val="center"/>
          </w:tcPr>
          <w:p w14:paraId="1206C7DE">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000000"/>
                <w:kern w:val="24"/>
                <w:sz w:val="21"/>
                <w:szCs w:val="21"/>
                <w:lang w:val="en-US" w:eastAsia="zh-CN"/>
              </w:rPr>
            </w:pPr>
            <w:r>
              <w:rPr>
                <w:rFonts w:hint="eastAsia" w:ascii="Times New Roman" w:hAnsi="Times New Roman" w:eastAsia="宋体" w:cs="Times New Roman"/>
                <w:color w:val="000000"/>
                <w:kern w:val="24"/>
                <w:sz w:val="21"/>
                <w:szCs w:val="21"/>
                <w:lang w:val="en-US" w:eastAsia="zh-CN"/>
              </w:rPr>
              <w:t>1310-73-2</w:t>
            </w:r>
          </w:p>
        </w:tc>
        <w:tc>
          <w:tcPr>
            <w:tcW w:w="630" w:type="pct"/>
            <w:tcBorders>
              <w:tl2br w:val="nil"/>
              <w:tr2bl w:val="nil"/>
            </w:tcBorders>
            <w:shd w:val="clear" w:color="auto" w:fill="auto"/>
            <w:noWrap/>
            <w:vAlign w:val="center"/>
          </w:tcPr>
          <w:p w14:paraId="61860A81">
            <w:pPr>
              <w:keepNext w:val="0"/>
              <w:keepLines w:val="0"/>
              <w:suppressLineNumbers w:val="0"/>
              <w:adjustRightInd w:val="0"/>
              <w:snapToGrid w:val="0"/>
              <w:spacing w:before="0" w:beforeAutospacing="0" w:after="0" w:afterAutospacing="0" w:line="360" w:lineRule="auto"/>
              <w:ind w:left="0" w:leftChars="0" w:right="0" w:rightChars="0"/>
              <w:jc w:val="center"/>
              <w:rPr>
                <w:rFonts w:hint="eastAsia" w:ascii="Times New Roman" w:hAnsi="Times New Roman" w:eastAsia="宋体" w:cs="Times New Roman"/>
                <w:color w:val="000000"/>
                <w:kern w:val="24"/>
                <w:sz w:val="21"/>
                <w:szCs w:val="21"/>
                <w:lang w:val="en-US" w:eastAsia="zh-CN" w:bidi="ar-SA"/>
              </w:rPr>
            </w:pPr>
            <w:r>
              <w:rPr>
                <w:rFonts w:hint="eastAsia"/>
                <w:color w:val="auto"/>
                <w:sz w:val="21"/>
                <w:szCs w:val="21"/>
              </w:rPr>
              <w:t>罐区</w:t>
            </w:r>
          </w:p>
        </w:tc>
        <w:tc>
          <w:tcPr>
            <w:tcW w:w="632" w:type="pct"/>
            <w:tcBorders>
              <w:tl2br w:val="nil"/>
              <w:tr2bl w:val="nil"/>
            </w:tcBorders>
            <w:shd w:val="clear" w:color="auto" w:fill="auto"/>
            <w:noWrap/>
            <w:vAlign w:val="center"/>
          </w:tcPr>
          <w:p w14:paraId="6F9E3302">
            <w:pPr>
              <w:keepNext w:val="0"/>
              <w:keepLines w:val="0"/>
              <w:suppressLineNumbers w:val="0"/>
              <w:adjustRightInd w:val="0"/>
              <w:snapToGrid w:val="0"/>
              <w:spacing w:before="0" w:beforeAutospacing="0" w:after="0" w:afterAutospacing="0" w:line="360" w:lineRule="auto"/>
              <w:ind w:left="0" w:leftChars="0" w:right="0" w:rightChars="0"/>
              <w:jc w:val="center"/>
              <w:rPr>
                <w:rFonts w:hint="eastAsia" w:ascii="Times New Roman" w:hAnsi="Times New Roman" w:eastAsia="宋体" w:cs="Times New Roman"/>
                <w:color w:val="000000"/>
                <w:kern w:val="24"/>
                <w:sz w:val="21"/>
                <w:szCs w:val="21"/>
                <w:lang w:val="en-US" w:eastAsia="zh-CN" w:bidi="ar-SA"/>
              </w:rPr>
            </w:pPr>
            <w:r>
              <w:rPr>
                <w:rFonts w:hint="eastAsia" w:ascii="Times New Roman" w:hAnsi="Times New Roman" w:eastAsia="宋体" w:cs="Times New Roman"/>
                <w:color w:val="000000"/>
                <w:kern w:val="24"/>
                <w:sz w:val="21"/>
                <w:szCs w:val="21"/>
                <w:lang w:eastAsia="zh-CN"/>
              </w:rPr>
              <w:t>罐装</w:t>
            </w:r>
          </w:p>
        </w:tc>
        <w:tc>
          <w:tcPr>
            <w:tcW w:w="548" w:type="pct"/>
            <w:tcBorders>
              <w:tl2br w:val="nil"/>
              <w:tr2bl w:val="nil"/>
            </w:tcBorders>
            <w:noWrap/>
            <w:vAlign w:val="center"/>
          </w:tcPr>
          <w:p w14:paraId="458B8B6E">
            <w:pPr>
              <w:pStyle w:val="127"/>
              <w:keepNext w:val="0"/>
              <w:keepLines w:val="0"/>
              <w:widowControl/>
              <w:suppressLineNumbers w:val="0"/>
              <w:spacing w:before="0" w:beforeAutospacing="0" w:after="0" w:afterAutospacing="0"/>
              <w:ind w:left="0" w:leftChars="0" w:right="0" w:rightChars="0"/>
              <w:jc w:val="center"/>
              <w:rPr>
                <w:rFonts w:hint="default"/>
                <w:color w:val="auto"/>
                <w:sz w:val="21"/>
                <w:szCs w:val="21"/>
                <w:lang w:val="en-US" w:eastAsia="zh-CN"/>
              </w:rPr>
            </w:pPr>
            <w:r>
              <w:rPr>
                <w:rFonts w:hint="eastAsia"/>
                <w:color w:val="auto"/>
                <w:sz w:val="21"/>
                <w:szCs w:val="21"/>
                <w:lang w:val="en-US" w:eastAsia="zh-CN"/>
              </w:rPr>
              <w:t>1</w:t>
            </w:r>
          </w:p>
        </w:tc>
        <w:tc>
          <w:tcPr>
            <w:tcW w:w="589" w:type="pct"/>
            <w:tcBorders>
              <w:tl2br w:val="nil"/>
              <w:tr2bl w:val="nil"/>
            </w:tcBorders>
            <w:noWrap/>
            <w:vAlign w:val="center"/>
          </w:tcPr>
          <w:p w14:paraId="0034E0FA">
            <w:pPr>
              <w:pStyle w:val="127"/>
              <w:keepNext w:val="0"/>
              <w:keepLines w:val="0"/>
              <w:widowControl/>
              <w:suppressLineNumbers w:val="0"/>
              <w:spacing w:before="0" w:beforeAutospacing="0" w:after="0" w:afterAutospacing="0"/>
              <w:ind w:left="0" w:leftChars="0" w:right="0" w:rightChars="0"/>
              <w:jc w:val="center"/>
              <w:rPr>
                <w:rFonts w:hint="default"/>
                <w:color w:val="auto"/>
                <w:sz w:val="21"/>
                <w:szCs w:val="21"/>
                <w:lang w:val="en-US" w:eastAsia="zh-CN"/>
              </w:rPr>
            </w:pPr>
            <w:r>
              <w:rPr>
                <w:rFonts w:hint="eastAsia"/>
                <w:color w:val="auto"/>
                <w:sz w:val="21"/>
                <w:szCs w:val="21"/>
                <w:lang w:val="en-US" w:eastAsia="zh-CN"/>
              </w:rPr>
              <w:t>500</w:t>
            </w:r>
          </w:p>
        </w:tc>
        <w:tc>
          <w:tcPr>
            <w:tcW w:w="442" w:type="pct"/>
            <w:tcBorders>
              <w:tl2br w:val="nil"/>
              <w:tr2bl w:val="nil"/>
            </w:tcBorders>
            <w:noWrap/>
            <w:vAlign w:val="center"/>
          </w:tcPr>
          <w:p w14:paraId="1AD00E51">
            <w:pPr>
              <w:keepNext w:val="0"/>
              <w:keepLines w:val="0"/>
              <w:suppressLineNumbers w:val="0"/>
              <w:adjustRightInd w:val="0"/>
              <w:snapToGrid w:val="0"/>
              <w:spacing w:before="0" w:beforeAutospacing="0" w:after="0" w:afterAutospacing="0" w:line="360" w:lineRule="auto"/>
              <w:ind w:left="0" w:leftChars="0" w:right="0" w:rightChars="0"/>
              <w:jc w:val="center"/>
              <w:rPr>
                <w:rFonts w:hint="eastAsia" w:ascii="Times New Roman" w:hAnsi="Times New Roman" w:eastAsia="宋体" w:cs="Times New Roman"/>
                <w:color w:val="000000"/>
                <w:kern w:val="24"/>
                <w:sz w:val="21"/>
                <w:szCs w:val="21"/>
                <w:lang w:val="en-US" w:eastAsia="zh-CN"/>
              </w:rPr>
            </w:pPr>
            <w:r>
              <w:rPr>
                <w:rFonts w:hint="eastAsia" w:ascii="Times New Roman" w:hAnsi="Times New Roman" w:eastAsia="宋体" w:cs="Times New Roman"/>
                <w:color w:val="000000"/>
                <w:kern w:val="24"/>
                <w:sz w:val="21"/>
                <w:szCs w:val="21"/>
                <w:lang w:val="en-US" w:eastAsia="zh-CN"/>
              </w:rPr>
              <w:t>液</w:t>
            </w:r>
          </w:p>
        </w:tc>
        <w:tc>
          <w:tcPr>
            <w:tcW w:w="696" w:type="pct"/>
            <w:tcBorders>
              <w:tl2br w:val="nil"/>
              <w:tr2bl w:val="nil"/>
            </w:tcBorders>
            <w:noWrap/>
            <w:vAlign w:val="center"/>
          </w:tcPr>
          <w:p w14:paraId="5ACA109F">
            <w:pPr>
              <w:keepNext w:val="0"/>
              <w:keepLines w:val="0"/>
              <w:suppressLineNumbers w:val="0"/>
              <w:adjustRightInd w:val="0"/>
              <w:snapToGrid w:val="0"/>
              <w:spacing w:before="0" w:beforeAutospacing="0" w:after="0" w:afterAutospacing="0" w:line="360" w:lineRule="auto"/>
              <w:ind w:left="0" w:leftChars="0" w:right="0" w:rightChars="0"/>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597.6</w:t>
            </w:r>
          </w:p>
        </w:tc>
      </w:tr>
      <w:tr w14:paraId="4742F3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3" w:hRule="atLeast"/>
          <w:tblHeader/>
          <w:jc w:val="center"/>
        </w:trPr>
        <w:tc>
          <w:tcPr>
            <w:tcW w:w="823" w:type="pct"/>
            <w:tcBorders>
              <w:tl2br w:val="nil"/>
              <w:tr2bl w:val="nil"/>
            </w:tcBorders>
            <w:noWrap/>
            <w:vAlign w:val="center"/>
          </w:tcPr>
          <w:p w14:paraId="2CF56BCA">
            <w:pPr>
              <w:keepNext w:val="0"/>
              <w:keepLines w:val="0"/>
              <w:suppressLineNumbers w:val="0"/>
              <w:spacing w:before="0" w:beforeAutospacing="0" w:after="0" w:afterAutospacing="0" w:line="240" w:lineRule="auto"/>
              <w:ind w:left="0" w:right="0" w:firstLine="0" w:firstLineChars="0"/>
              <w:jc w:val="center"/>
              <w:rPr>
                <w:rFonts w:hint="eastAsia" w:ascii="宋体" w:hAnsi="宋体" w:cs="宋体"/>
                <w:sz w:val="21"/>
                <w:szCs w:val="21"/>
              </w:rPr>
            </w:pPr>
            <w:r>
              <w:rPr>
                <w:rFonts w:hint="eastAsia" w:ascii="宋体" w:hAnsi="宋体" w:cs="宋体"/>
                <w:sz w:val="21"/>
                <w:szCs w:val="21"/>
              </w:rPr>
              <w:t>氯苯</w:t>
            </w:r>
          </w:p>
        </w:tc>
        <w:tc>
          <w:tcPr>
            <w:tcW w:w="635" w:type="pct"/>
            <w:tcBorders>
              <w:tl2br w:val="nil"/>
              <w:tr2bl w:val="nil"/>
            </w:tcBorders>
            <w:noWrap/>
            <w:vAlign w:val="center"/>
          </w:tcPr>
          <w:p w14:paraId="095E3ECC">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000000"/>
                <w:kern w:val="24"/>
                <w:sz w:val="21"/>
                <w:szCs w:val="21"/>
                <w:lang w:val="en-US" w:eastAsia="zh-CN"/>
              </w:rPr>
            </w:pPr>
            <w:r>
              <w:rPr>
                <w:rFonts w:hint="eastAsia" w:ascii="Times New Roman" w:hAnsi="Times New Roman" w:eastAsia="宋体" w:cs="Times New Roman"/>
                <w:color w:val="000000"/>
                <w:kern w:val="24"/>
                <w:sz w:val="21"/>
                <w:szCs w:val="21"/>
                <w:lang w:val="en-US" w:eastAsia="zh-CN"/>
              </w:rPr>
              <w:t>108-90-7</w:t>
            </w:r>
          </w:p>
        </w:tc>
        <w:tc>
          <w:tcPr>
            <w:tcW w:w="630" w:type="pct"/>
            <w:tcBorders>
              <w:tl2br w:val="nil"/>
              <w:tr2bl w:val="nil"/>
            </w:tcBorders>
            <w:noWrap/>
            <w:vAlign w:val="center"/>
          </w:tcPr>
          <w:p w14:paraId="67BD205E">
            <w:pPr>
              <w:keepNext w:val="0"/>
              <w:keepLines w:val="0"/>
              <w:suppressLineNumbers w:val="0"/>
              <w:adjustRightInd w:val="0"/>
              <w:snapToGrid w:val="0"/>
              <w:spacing w:before="0" w:beforeAutospacing="0" w:after="0" w:afterAutospacing="0" w:line="360" w:lineRule="auto"/>
              <w:ind w:left="0" w:leftChars="0" w:right="0" w:rightChars="0"/>
              <w:jc w:val="center"/>
              <w:rPr>
                <w:rFonts w:hint="eastAsia"/>
                <w:color w:val="auto"/>
                <w:sz w:val="21"/>
                <w:szCs w:val="21"/>
              </w:rPr>
            </w:pPr>
            <w:r>
              <w:rPr>
                <w:rFonts w:hint="eastAsia" w:ascii="宋体" w:hAnsi="宋体" w:cs="宋体"/>
                <w:sz w:val="21"/>
                <w:szCs w:val="21"/>
              </w:rPr>
              <w:t>2#车间氯苯循环槽</w:t>
            </w:r>
          </w:p>
        </w:tc>
        <w:tc>
          <w:tcPr>
            <w:tcW w:w="632" w:type="pct"/>
            <w:tcBorders>
              <w:tl2br w:val="nil"/>
              <w:tr2bl w:val="nil"/>
            </w:tcBorders>
            <w:noWrap/>
            <w:vAlign w:val="center"/>
          </w:tcPr>
          <w:p w14:paraId="6E2482B8">
            <w:pPr>
              <w:keepNext w:val="0"/>
              <w:keepLines w:val="0"/>
              <w:suppressLineNumbers w:val="0"/>
              <w:adjustRightInd w:val="0"/>
              <w:snapToGrid w:val="0"/>
              <w:spacing w:before="0" w:beforeAutospacing="0" w:after="0" w:afterAutospacing="0" w:line="360" w:lineRule="auto"/>
              <w:ind w:left="0" w:leftChars="0" w:right="0" w:rightChars="0"/>
              <w:jc w:val="center"/>
              <w:rPr>
                <w:rFonts w:hint="eastAsia" w:ascii="Times New Roman" w:hAnsi="Times New Roman" w:eastAsia="宋体" w:cs="Times New Roman"/>
                <w:color w:val="000000"/>
                <w:kern w:val="24"/>
                <w:sz w:val="21"/>
                <w:szCs w:val="21"/>
                <w:lang w:eastAsia="zh-CN"/>
              </w:rPr>
            </w:pPr>
            <w:r>
              <w:rPr>
                <w:rFonts w:hint="eastAsia" w:ascii="宋体" w:hAnsi="宋体" w:cs="宋体"/>
                <w:sz w:val="21"/>
                <w:szCs w:val="21"/>
              </w:rPr>
              <w:t>循环槽</w:t>
            </w:r>
          </w:p>
        </w:tc>
        <w:tc>
          <w:tcPr>
            <w:tcW w:w="548" w:type="pct"/>
            <w:tcBorders>
              <w:tl2br w:val="nil"/>
              <w:tr2bl w:val="nil"/>
            </w:tcBorders>
            <w:noWrap/>
            <w:vAlign w:val="center"/>
          </w:tcPr>
          <w:p w14:paraId="05261F0A">
            <w:pPr>
              <w:pStyle w:val="127"/>
              <w:keepNext w:val="0"/>
              <w:keepLines w:val="0"/>
              <w:widowControl/>
              <w:suppressLineNumbers w:val="0"/>
              <w:spacing w:before="0" w:beforeAutospacing="0" w:after="0" w:afterAutospacing="0"/>
              <w:ind w:left="0" w:leftChars="0" w:right="0" w:rightChars="0"/>
              <w:jc w:val="center"/>
              <w:rPr>
                <w:rFonts w:hint="default"/>
                <w:color w:val="auto"/>
                <w:sz w:val="21"/>
                <w:szCs w:val="21"/>
                <w:lang w:val="en-US" w:eastAsia="zh-CN"/>
              </w:rPr>
            </w:pPr>
            <w:r>
              <w:rPr>
                <w:rFonts w:hint="eastAsia"/>
                <w:color w:val="auto"/>
                <w:sz w:val="21"/>
                <w:szCs w:val="21"/>
                <w:lang w:val="en-US" w:eastAsia="zh-CN"/>
              </w:rPr>
              <w:t>--</w:t>
            </w:r>
          </w:p>
        </w:tc>
        <w:tc>
          <w:tcPr>
            <w:tcW w:w="589" w:type="pct"/>
            <w:tcBorders>
              <w:tl2br w:val="nil"/>
              <w:tr2bl w:val="nil"/>
            </w:tcBorders>
            <w:noWrap/>
            <w:vAlign w:val="center"/>
          </w:tcPr>
          <w:p w14:paraId="2E3BACC7">
            <w:pPr>
              <w:pStyle w:val="127"/>
              <w:keepNext w:val="0"/>
              <w:keepLines w:val="0"/>
              <w:widowControl/>
              <w:suppressLineNumbers w:val="0"/>
              <w:spacing w:before="0" w:beforeAutospacing="0" w:after="0" w:afterAutospacing="0"/>
              <w:ind w:left="0" w:leftChars="0" w:right="0" w:rightChars="0"/>
              <w:jc w:val="center"/>
              <w:rPr>
                <w:rFonts w:hint="default"/>
                <w:color w:val="auto"/>
                <w:sz w:val="21"/>
                <w:szCs w:val="21"/>
                <w:lang w:val="en-US" w:eastAsia="zh-CN"/>
              </w:rPr>
            </w:pPr>
            <w:r>
              <w:rPr>
                <w:rFonts w:hint="eastAsia"/>
                <w:color w:val="auto"/>
                <w:sz w:val="21"/>
                <w:szCs w:val="21"/>
                <w:lang w:val="en-US" w:eastAsia="zh-CN"/>
              </w:rPr>
              <w:t>--</w:t>
            </w:r>
          </w:p>
        </w:tc>
        <w:tc>
          <w:tcPr>
            <w:tcW w:w="442" w:type="pct"/>
            <w:tcBorders>
              <w:tl2br w:val="nil"/>
              <w:tr2bl w:val="nil"/>
            </w:tcBorders>
            <w:noWrap/>
            <w:vAlign w:val="center"/>
          </w:tcPr>
          <w:p w14:paraId="2C4344F4">
            <w:pPr>
              <w:keepNext w:val="0"/>
              <w:keepLines w:val="0"/>
              <w:suppressLineNumbers w:val="0"/>
              <w:adjustRightInd w:val="0"/>
              <w:snapToGrid w:val="0"/>
              <w:spacing w:before="0" w:beforeAutospacing="0" w:after="0" w:afterAutospacing="0" w:line="360" w:lineRule="auto"/>
              <w:ind w:left="0" w:leftChars="0" w:right="0" w:rightChars="0"/>
              <w:jc w:val="center"/>
              <w:rPr>
                <w:rFonts w:hint="eastAsia" w:ascii="Times New Roman" w:hAnsi="Times New Roman" w:eastAsia="宋体" w:cs="Times New Roman"/>
                <w:color w:val="000000"/>
                <w:kern w:val="24"/>
                <w:sz w:val="21"/>
                <w:szCs w:val="21"/>
                <w:lang w:val="en-US" w:eastAsia="zh-CN"/>
              </w:rPr>
            </w:pPr>
            <w:r>
              <w:rPr>
                <w:rFonts w:hint="eastAsia" w:ascii="Times New Roman" w:hAnsi="Times New Roman" w:eastAsia="宋体" w:cs="Times New Roman"/>
                <w:color w:val="000000"/>
                <w:kern w:val="24"/>
                <w:sz w:val="21"/>
                <w:szCs w:val="21"/>
                <w:lang w:val="en-US" w:eastAsia="zh-CN"/>
              </w:rPr>
              <w:t>液</w:t>
            </w:r>
          </w:p>
        </w:tc>
        <w:tc>
          <w:tcPr>
            <w:tcW w:w="696" w:type="pct"/>
            <w:tcBorders>
              <w:tl2br w:val="nil"/>
              <w:tr2bl w:val="nil"/>
            </w:tcBorders>
            <w:noWrap/>
            <w:vAlign w:val="center"/>
          </w:tcPr>
          <w:p w14:paraId="515E81F9">
            <w:pPr>
              <w:keepNext w:val="0"/>
              <w:keepLines w:val="0"/>
              <w:suppressLineNumbers w:val="0"/>
              <w:adjustRightInd w:val="0"/>
              <w:snapToGrid w:val="0"/>
              <w:spacing w:before="0" w:beforeAutospacing="0" w:after="0" w:afterAutospacing="0" w:line="360" w:lineRule="auto"/>
              <w:ind w:left="0" w:leftChars="0" w:right="0" w:rightChars="0"/>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36</w:t>
            </w:r>
          </w:p>
        </w:tc>
      </w:tr>
      <w:tr w14:paraId="1BE0AF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3" w:hRule="atLeast"/>
          <w:tblHeader/>
          <w:jc w:val="center"/>
        </w:trPr>
        <w:tc>
          <w:tcPr>
            <w:tcW w:w="823" w:type="pct"/>
            <w:tcBorders>
              <w:tl2br w:val="nil"/>
              <w:tr2bl w:val="nil"/>
            </w:tcBorders>
            <w:noWrap/>
            <w:vAlign w:val="center"/>
          </w:tcPr>
          <w:p w14:paraId="3A4BD411">
            <w:pPr>
              <w:keepNext w:val="0"/>
              <w:keepLines w:val="0"/>
              <w:suppressLineNumbers w:val="0"/>
              <w:spacing w:before="0" w:beforeAutospacing="0" w:after="0" w:afterAutospacing="0" w:line="240" w:lineRule="auto"/>
              <w:ind w:left="0" w:right="0" w:firstLine="0" w:firstLineChars="0"/>
              <w:jc w:val="center"/>
              <w:rPr>
                <w:rFonts w:hint="eastAsia" w:ascii="宋体" w:hAnsi="宋体" w:cs="宋体"/>
                <w:sz w:val="21"/>
                <w:szCs w:val="21"/>
              </w:rPr>
            </w:pPr>
            <w:r>
              <w:rPr>
                <w:rFonts w:hint="eastAsia" w:ascii="宋体" w:hAnsi="宋体" w:cs="宋体"/>
                <w:sz w:val="21"/>
                <w:szCs w:val="21"/>
              </w:rPr>
              <w:t>氯</w:t>
            </w:r>
          </w:p>
        </w:tc>
        <w:tc>
          <w:tcPr>
            <w:tcW w:w="635" w:type="pct"/>
            <w:tcBorders>
              <w:tl2br w:val="nil"/>
              <w:tr2bl w:val="nil"/>
            </w:tcBorders>
            <w:noWrap/>
            <w:vAlign w:val="center"/>
          </w:tcPr>
          <w:p w14:paraId="5704B51C">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000000"/>
                <w:kern w:val="24"/>
                <w:sz w:val="21"/>
                <w:szCs w:val="21"/>
                <w:lang w:val="en-US" w:eastAsia="zh-CN"/>
              </w:rPr>
            </w:pPr>
            <w:r>
              <w:rPr>
                <w:rFonts w:hint="eastAsia" w:ascii="Times New Roman" w:hAnsi="Times New Roman" w:eastAsia="宋体" w:cs="Times New Roman"/>
                <w:color w:val="000000"/>
                <w:kern w:val="24"/>
                <w:sz w:val="21"/>
                <w:szCs w:val="21"/>
                <w:lang w:val="en-US" w:eastAsia="zh-CN"/>
              </w:rPr>
              <w:t>7782-50-5</w:t>
            </w:r>
          </w:p>
        </w:tc>
        <w:tc>
          <w:tcPr>
            <w:tcW w:w="630" w:type="pct"/>
            <w:tcBorders>
              <w:tl2br w:val="nil"/>
              <w:tr2bl w:val="nil"/>
            </w:tcBorders>
            <w:noWrap/>
            <w:vAlign w:val="center"/>
          </w:tcPr>
          <w:p w14:paraId="13C15892">
            <w:pPr>
              <w:keepNext w:val="0"/>
              <w:keepLines w:val="0"/>
              <w:suppressLineNumbers w:val="0"/>
              <w:adjustRightInd w:val="0"/>
              <w:snapToGrid w:val="0"/>
              <w:spacing w:before="0" w:beforeAutospacing="0" w:after="0" w:afterAutospacing="0" w:line="360" w:lineRule="auto"/>
              <w:ind w:left="0" w:leftChars="0" w:right="0" w:rightChars="0"/>
              <w:jc w:val="center"/>
              <w:rPr>
                <w:rFonts w:hint="eastAsia"/>
                <w:color w:val="auto"/>
                <w:sz w:val="21"/>
                <w:szCs w:val="21"/>
              </w:rPr>
            </w:pPr>
            <w:r>
              <w:rPr>
                <w:rFonts w:hint="eastAsia" w:ascii="宋体" w:hAnsi="宋体" w:cs="宋体"/>
                <w:sz w:val="21"/>
                <w:szCs w:val="21"/>
              </w:rPr>
              <w:t>液氯库房</w:t>
            </w:r>
          </w:p>
        </w:tc>
        <w:tc>
          <w:tcPr>
            <w:tcW w:w="632" w:type="pct"/>
            <w:tcBorders>
              <w:tl2br w:val="nil"/>
              <w:tr2bl w:val="nil"/>
            </w:tcBorders>
            <w:noWrap/>
            <w:vAlign w:val="center"/>
          </w:tcPr>
          <w:p w14:paraId="0E8F887D">
            <w:pPr>
              <w:keepNext w:val="0"/>
              <w:keepLines w:val="0"/>
              <w:suppressLineNumbers w:val="0"/>
              <w:adjustRightInd w:val="0"/>
              <w:snapToGrid w:val="0"/>
              <w:spacing w:before="0" w:beforeAutospacing="0" w:after="0" w:afterAutospacing="0" w:line="360" w:lineRule="auto"/>
              <w:ind w:left="0" w:leftChars="0" w:right="0" w:rightChars="0"/>
              <w:jc w:val="center"/>
              <w:rPr>
                <w:rFonts w:hint="eastAsia" w:ascii="Times New Roman" w:hAnsi="Times New Roman" w:eastAsia="宋体" w:cs="Times New Roman"/>
                <w:color w:val="000000"/>
                <w:kern w:val="24"/>
                <w:sz w:val="21"/>
                <w:szCs w:val="21"/>
                <w:lang w:eastAsia="zh-CN"/>
              </w:rPr>
            </w:pPr>
            <w:r>
              <w:rPr>
                <w:rFonts w:hint="eastAsia" w:ascii="Times New Roman" w:hAnsi="Times New Roman" w:eastAsia="宋体" w:cs="Times New Roman"/>
                <w:color w:val="000000"/>
                <w:kern w:val="24"/>
                <w:sz w:val="21"/>
                <w:szCs w:val="21"/>
                <w:lang w:eastAsia="zh-CN"/>
              </w:rPr>
              <w:t>罐装</w:t>
            </w:r>
          </w:p>
        </w:tc>
        <w:tc>
          <w:tcPr>
            <w:tcW w:w="548" w:type="pct"/>
            <w:tcBorders>
              <w:tl2br w:val="nil"/>
              <w:tr2bl w:val="nil"/>
            </w:tcBorders>
            <w:noWrap/>
            <w:vAlign w:val="center"/>
          </w:tcPr>
          <w:p w14:paraId="6B415443">
            <w:pPr>
              <w:pStyle w:val="127"/>
              <w:keepNext w:val="0"/>
              <w:keepLines w:val="0"/>
              <w:widowControl/>
              <w:suppressLineNumbers w:val="0"/>
              <w:spacing w:before="0" w:beforeAutospacing="0" w:after="0" w:afterAutospacing="0"/>
              <w:ind w:left="0" w:leftChars="0" w:right="0" w:rightChars="0"/>
              <w:jc w:val="center"/>
              <w:rPr>
                <w:rFonts w:hint="default"/>
                <w:color w:val="auto"/>
                <w:sz w:val="21"/>
                <w:szCs w:val="21"/>
                <w:lang w:val="en-US" w:eastAsia="zh-CN"/>
              </w:rPr>
            </w:pPr>
            <w:r>
              <w:rPr>
                <w:rFonts w:hint="eastAsia"/>
                <w:color w:val="auto"/>
                <w:sz w:val="21"/>
                <w:szCs w:val="21"/>
                <w:lang w:val="en-US" w:eastAsia="zh-CN"/>
              </w:rPr>
              <w:t>1</w:t>
            </w:r>
          </w:p>
        </w:tc>
        <w:tc>
          <w:tcPr>
            <w:tcW w:w="589" w:type="pct"/>
            <w:tcBorders>
              <w:tl2br w:val="nil"/>
              <w:tr2bl w:val="nil"/>
            </w:tcBorders>
            <w:noWrap/>
            <w:vAlign w:val="center"/>
          </w:tcPr>
          <w:p w14:paraId="66B6B3B7">
            <w:pPr>
              <w:pStyle w:val="127"/>
              <w:keepNext w:val="0"/>
              <w:keepLines w:val="0"/>
              <w:widowControl/>
              <w:suppressLineNumbers w:val="0"/>
              <w:spacing w:before="0" w:beforeAutospacing="0" w:after="0" w:afterAutospacing="0"/>
              <w:ind w:left="0" w:leftChars="0" w:right="0" w:rightChars="0"/>
              <w:jc w:val="center"/>
              <w:rPr>
                <w:rFonts w:hint="default"/>
                <w:color w:val="auto"/>
                <w:sz w:val="21"/>
                <w:szCs w:val="21"/>
                <w:lang w:val="en-US" w:eastAsia="zh-CN"/>
              </w:rPr>
            </w:pPr>
            <w:r>
              <w:rPr>
                <w:rFonts w:hint="eastAsia"/>
                <w:color w:val="auto"/>
                <w:sz w:val="21"/>
                <w:szCs w:val="21"/>
                <w:lang w:val="en-US" w:eastAsia="zh-CN"/>
              </w:rPr>
              <w:t>34</w:t>
            </w:r>
          </w:p>
        </w:tc>
        <w:tc>
          <w:tcPr>
            <w:tcW w:w="442" w:type="pct"/>
            <w:tcBorders>
              <w:tl2br w:val="nil"/>
              <w:tr2bl w:val="nil"/>
            </w:tcBorders>
            <w:noWrap/>
            <w:vAlign w:val="center"/>
          </w:tcPr>
          <w:p w14:paraId="07BDA52A">
            <w:pPr>
              <w:keepNext w:val="0"/>
              <w:keepLines w:val="0"/>
              <w:suppressLineNumbers w:val="0"/>
              <w:adjustRightInd w:val="0"/>
              <w:snapToGrid w:val="0"/>
              <w:spacing w:before="0" w:beforeAutospacing="0" w:after="0" w:afterAutospacing="0" w:line="360" w:lineRule="auto"/>
              <w:ind w:left="0" w:leftChars="0" w:right="0" w:rightChars="0"/>
              <w:jc w:val="center"/>
              <w:rPr>
                <w:rFonts w:hint="eastAsia" w:ascii="Times New Roman" w:hAnsi="Times New Roman" w:eastAsia="宋体" w:cs="Times New Roman"/>
                <w:color w:val="000000"/>
                <w:kern w:val="24"/>
                <w:sz w:val="21"/>
                <w:szCs w:val="21"/>
                <w:lang w:val="en-US" w:eastAsia="zh-CN"/>
              </w:rPr>
            </w:pPr>
            <w:r>
              <w:rPr>
                <w:rFonts w:hint="eastAsia" w:ascii="Times New Roman" w:hAnsi="Times New Roman" w:eastAsia="宋体" w:cs="Times New Roman"/>
                <w:color w:val="000000"/>
                <w:kern w:val="24"/>
                <w:sz w:val="21"/>
                <w:szCs w:val="21"/>
                <w:lang w:val="en-US" w:eastAsia="zh-CN"/>
              </w:rPr>
              <w:t>液</w:t>
            </w:r>
          </w:p>
        </w:tc>
        <w:tc>
          <w:tcPr>
            <w:tcW w:w="696" w:type="pct"/>
            <w:tcBorders>
              <w:tl2br w:val="nil"/>
              <w:tr2bl w:val="nil"/>
            </w:tcBorders>
            <w:noWrap/>
            <w:vAlign w:val="center"/>
          </w:tcPr>
          <w:p w14:paraId="70486373">
            <w:pPr>
              <w:keepNext w:val="0"/>
              <w:keepLines w:val="0"/>
              <w:suppressLineNumbers w:val="0"/>
              <w:adjustRightInd w:val="0"/>
              <w:snapToGrid w:val="0"/>
              <w:spacing w:before="0" w:beforeAutospacing="0" w:after="0" w:afterAutospacing="0" w:line="360" w:lineRule="auto"/>
              <w:ind w:left="0" w:leftChars="0" w:right="0" w:rightChars="0"/>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48.2</w:t>
            </w:r>
          </w:p>
        </w:tc>
      </w:tr>
      <w:tr w14:paraId="5B5064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3" w:hRule="atLeast"/>
          <w:tblHeader/>
          <w:jc w:val="center"/>
        </w:trPr>
        <w:tc>
          <w:tcPr>
            <w:tcW w:w="823" w:type="pct"/>
            <w:tcBorders>
              <w:tl2br w:val="nil"/>
              <w:tr2bl w:val="nil"/>
            </w:tcBorders>
            <w:shd w:val="clear" w:color="auto" w:fill="auto"/>
            <w:noWrap/>
            <w:vAlign w:val="center"/>
          </w:tcPr>
          <w:p w14:paraId="205AF99D">
            <w:pPr>
              <w:keepNext w:val="0"/>
              <w:keepLines w:val="0"/>
              <w:suppressLineNumbers w:val="0"/>
              <w:adjustRightInd w:val="0"/>
              <w:snapToGrid w:val="0"/>
              <w:spacing w:before="62" w:beforeLines="20" w:beforeAutospacing="0" w:after="62" w:afterLines="20" w:afterAutospacing="0"/>
              <w:ind w:left="0" w:right="0"/>
              <w:jc w:val="center"/>
              <w:rPr>
                <w:rFonts w:hint="eastAsia" w:ascii="宋体" w:hAnsi="宋体" w:cs="宋体"/>
                <w:kern w:val="2"/>
                <w:sz w:val="21"/>
                <w:szCs w:val="21"/>
                <w:lang w:val="en-US" w:eastAsia="zh-CN" w:bidi="ar-SA"/>
              </w:rPr>
            </w:pPr>
            <w:r>
              <w:rPr>
                <w:rFonts w:hint="eastAsia" w:ascii="宋体" w:hAnsi="宋体" w:cs="宋体"/>
                <w:sz w:val="21"/>
                <w:szCs w:val="21"/>
              </w:rPr>
              <w:t>三氯氧磷</w:t>
            </w:r>
          </w:p>
        </w:tc>
        <w:tc>
          <w:tcPr>
            <w:tcW w:w="635" w:type="pct"/>
            <w:tcBorders>
              <w:tl2br w:val="nil"/>
              <w:tr2bl w:val="nil"/>
            </w:tcBorders>
            <w:noWrap/>
            <w:vAlign w:val="center"/>
          </w:tcPr>
          <w:p w14:paraId="19C81248">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000000"/>
                <w:kern w:val="24"/>
                <w:sz w:val="21"/>
                <w:szCs w:val="21"/>
                <w:lang w:val="en-US" w:eastAsia="zh-CN"/>
              </w:rPr>
            </w:pPr>
            <w:r>
              <w:rPr>
                <w:rFonts w:hint="eastAsia" w:ascii="Times New Roman" w:hAnsi="Times New Roman" w:eastAsia="宋体" w:cs="Times New Roman"/>
                <w:color w:val="000000"/>
                <w:kern w:val="24"/>
                <w:sz w:val="21"/>
                <w:szCs w:val="21"/>
                <w:lang w:val="en-US" w:eastAsia="zh-CN"/>
              </w:rPr>
              <w:t>10025-87-3</w:t>
            </w:r>
          </w:p>
        </w:tc>
        <w:tc>
          <w:tcPr>
            <w:tcW w:w="630" w:type="pct"/>
            <w:tcBorders>
              <w:tl2br w:val="nil"/>
              <w:tr2bl w:val="nil"/>
            </w:tcBorders>
            <w:noWrap/>
            <w:vAlign w:val="center"/>
          </w:tcPr>
          <w:p w14:paraId="50ACF959">
            <w:pPr>
              <w:keepNext w:val="0"/>
              <w:keepLines w:val="0"/>
              <w:suppressLineNumbers w:val="0"/>
              <w:adjustRightInd w:val="0"/>
              <w:snapToGrid w:val="0"/>
              <w:spacing w:before="0" w:beforeAutospacing="0" w:after="0" w:afterAutospacing="0" w:line="360" w:lineRule="auto"/>
              <w:ind w:left="0" w:leftChars="0" w:right="0" w:rightChars="0"/>
              <w:jc w:val="center"/>
              <w:rPr>
                <w:rFonts w:hint="eastAsia"/>
                <w:color w:val="auto"/>
                <w:sz w:val="21"/>
                <w:szCs w:val="21"/>
              </w:rPr>
            </w:pPr>
            <w:r>
              <w:rPr>
                <w:rFonts w:hint="eastAsia" w:ascii="宋体" w:hAnsi="宋体" w:cs="宋体"/>
                <w:sz w:val="21"/>
                <w:szCs w:val="21"/>
              </w:rPr>
              <w:t>2#车间三氯氧磷中间槽</w:t>
            </w:r>
          </w:p>
        </w:tc>
        <w:tc>
          <w:tcPr>
            <w:tcW w:w="632" w:type="pct"/>
            <w:tcBorders>
              <w:tl2br w:val="nil"/>
              <w:tr2bl w:val="nil"/>
            </w:tcBorders>
            <w:noWrap/>
            <w:vAlign w:val="center"/>
          </w:tcPr>
          <w:p w14:paraId="327AF807">
            <w:pPr>
              <w:keepNext w:val="0"/>
              <w:keepLines w:val="0"/>
              <w:suppressLineNumbers w:val="0"/>
              <w:adjustRightInd w:val="0"/>
              <w:snapToGrid w:val="0"/>
              <w:spacing w:before="0" w:beforeAutospacing="0" w:after="0" w:afterAutospacing="0" w:line="360" w:lineRule="auto"/>
              <w:ind w:left="0" w:leftChars="0" w:right="0" w:rightChars="0"/>
              <w:jc w:val="center"/>
              <w:rPr>
                <w:rFonts w:hint="eastAsia" w:ascii="Times New Roman" w:hAnsi="Times New Roman" w:eastAsia="宋体" w:cs="Times New Roman"/>
                <w:color w:val="000000"/>
                <w:kern w:val="24"/>
                <w:sz w:val="21"/>
                <w:szCs w:val="21"/>
                <w:lang w:eastAsia="zh-CN"/>
              </w:rPr>
            </w:pPr>
            <w:r>
              <w:rPr>
                <w:rFonts w:hint="eastAsia" w:ascii="宋体" w:hAnsi="宋体" w:cs="宋体"/>
                <w:sz w:val="21"/>
                <w:szCs w:val="21"/>
              </w:rPr>
              <w:t>中间槽</w:t>
            </w:r>
          </w:p>
        </w:tc>
        <w:tc>
          <w:tcPr>
            <w:tcW w:w="548" w:type="pct"/>
            <w:tcBorders>
              <w:tl2br w:val="nil"/>
              <w:tr2bl w:val="nil"/>
            </w:tcBorders>
            <w:noWrap/>
            <w:vAlign w:val="center"/>
          </w:tcPr>
          <w:p w14:paraId="522A231B">
            <w:pPr>
              <w:pStyle w:val="127"/>
              <w:keepNext w:val="0"/>
              <w:keepLines w:val="0"/>
              <w:widowControl/>
              <w:suppressLineNumbers w:val="0"/>
              <w:spacing w:before="0" w:beforeAutospacing="0" w:after="0" w:afterAutospacing="0"/>
              <w:ind w:left="0" w:leftChars="0" w:right="0" w:rightChars="0"/>
              <w:jc w:val="center"/>
              <w:rPr>
                <w:rFonts w:hint="eastAsia"/>
                <w:color w:val="auto"/>
                <w:sz w:val="21"/>
                <w:szCs w:val="21"/>
                <w:lang w:val="en-US" w:eastAsia="zh-CN"/>
              </w:rPr>
            </w:pPr>
            <w:r>
              <w:rPr>
                <w:rFonts w:hint="eastAsia"/>
                <w:color w:val="auto"/>
                <w:sz w:val="21"/>
                <w:szCs w:val="21"/>
                <w:lang w:val="en-US" w:eastAsia="zh-CN"/>
              </w:rPr>
              <w:t>--</w:t>
            </w:r>
          </w:p>
        </w:tc>
        <w:tc>
          <w:tcPr>
            <w:tcW w:w="589" w:type="pct"/>
            <w:tcBorders>
              <w:tl2br w:val="nil"/>
              <w:tr2bl w:val="nil"/>
            </w:tcBorders>
            <w:noWrap/>
            <w:vAlign w:val="center"/>
          </w:tcPr>
          <w:p w14:paraId="6B354F8B">
            <w:pPr>
              <w:pStyle w:val="127"/>
              <w:keepNext w:val="0"/>
              <w:keepLines w:val="0"/>
              <w:widowControl/>
              <w:suppressLineNumbers w:val="0"/>
              <w:spacing w:before="0" w:beforeAutospacing="0" w:after="0" w:afterAutospacing="0"/>
              <w:ind w:left="0" w:leftChars="0" w:right="0" w:rightChars="0"/>
              <w:jc w:val="center"/>
              <w:rPr>
                <w:rFonts w:hint="eastAsia"/>
                <w:color w:val="auto"/>
                <w:sz w:val="21"/>
                <w:szCs w:val="21"/>
                <w:lang w:val="en-US" w:eastAsia="zh-CN"/>
              </w:rPr>
            </w:pPr>
            <w:r>
              <w:rPr>
                <w:rFonts w:hint="eastAsia"/>
                <w:color w:val="auto"/>
                <w:sz w:val="21"/>
                <w:szCs w:val="21"/>
                <w:lang w:val="en-US" w:eastAsia="zh-CN"/>
              </w:rPr>
              <w:t>--</w:t>
            </w:r>
          </w:p>
        </w:tc>
        <w:tc>
          <w:tcPr>
            <w:tcW w:w="442" w:type="pct"/>
            <w:tcBorders>
              <w:tl2br w:val="nil"/>
              <w:tr2bl w:val="nil"/>
            </w:tcBorders>
            <w:noWrap/>
            <w:vAlign w:val="center"/>
          </w:tcPr>
          <w:p w14:paraId="13DB3CDB">
            <w:pPr>
              <w:keepNext w:val="0"/>
              <w:keepLines w:val="0"/>
              <w:suppressLineNumbers w:val="0"/>
              <w:adjustRightInd w:val="0"/>
              <w:snapToGrid w:val="0"/>
              <w:spacing w:before="0" w:beforeAutospacing="0" w:after="0" w:afterAutospacing="0" w:line="360" w:lineRule="auto"/>
              <w:ind w:left="0" w:leftChars="0" w:right="0" w:rightChars="0"/>
              <w:jc w:val="center"/>
              <w:rPr>
                <w:rFonts w:hint="eastAsia" w:ascii="Times New Roman" w:hAnsi="Times New Roman" w:eastAsia="宋体" w:cs="Times New Roman"/>
                <w:color w:val="000000"/>
                <w:kern w:val="24"/>
                <w:sz w:val="21"/>
                <w:szCs w:val="21"/>
                <w:lang w:val="en-US" w:eastAsia="zh-CN"/>
              </w:rPr>
            </w:pPr>
            <w:r>
              <w:rPr>
                <w:rFonts w:hint="eastAsia" w:ascii="Times New Roman" w:hAnsi="Times New Roman" w:eastAsia="宋体" w:cs="Times New Roman"/>
                <w:color w:val="000000"/>
                <w:kern w:val="24"/>
                <w:sz w:val="21"/>
                <w:szCs w:val="21"/>
                <w:lang w:val="en-US" w:eastAsia="zh-CN"/>
              </w:rPr>
              <w:t>液</w:t>
            </w:r>
          </w:p>
        </w:tc>
        <w:tc>
          <w:tcPr>
            <w:tcW w:w="696" w:type="pct"/>
            <w:tcBorders>
              <w:tl2br w:val="nil"/>
              <w:tr2bl w:val="nil"/>
            </w:tcBorders>
            <w:noWrap/>
            <w:vAlign w:val="center"/>
          </w:tcPr>
          <w:p w14:paraId="7AE61FD3">
            <w:pPr>
              <w:keepNext w:val="0"/>
              <w:keepLines w:val="0"/>
              <w:suppressLineNumbers w:val="0"/>
              <w:adjustRightInd w:val="0"/>
              <w:snapToGrid w:val="0"/>
              <w:spacing w:before="0" w:beforeAutospacing="0" w:after="0" w:afterAutospacing="0" w:line="360" w:lineRule="auto"/>
              <w:ind w:left="0" w:leftChars="0" w:right="0" w:rightChars="0"/>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50</w:t>
            </w:r>
          </w:p>
        </w:tc>
      </w:tr>
      <w:tr w14:paraId="076B7C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3" w:hRule="atLeast"/>
          <w:tblHeader/>
          <w:jc w:val="center"/>
        </w:trPr>
        <w:tc>
          <w:tcPr>
            <w:tcW w:w="823" w:type="pct"/>
            <w:tcBorders>
              <w:tl2br w:val="nil"/>
              <w:tr2bl w:val="nil"/>
            </w:tcBorders>
            <w:shd w:val="clear" w:color="auto" w:fill="auto"/>
            <w:noWrap/>
            <w:vAlign w:val="center"/>
          </w:tcPr>
          <w:p w14:paraId="5653D4B0">
            <w:pPr>
              <w:keepNext w:val="0"/>
              <w:keepLines w:val="0"/>
              <w:suppressLineNumbers w:val="0"/>
              <w:adjustRightInd w:val="0"/>
              <w:snapToGrid w:val="0"/>
              <w:spacing w:before="62" w:beforeLines="20" w:beforeAutospacing="0" w:after="62" w:afterLines="20" w:afterAutospacing="0"/>
              <w:ind w:left="0" w:right="0"/>
              <w:jc w:val="center"/>
              <w:rPr>
                <w:rFonts w:hint="eastAsia" w:ascii="宋体" w:hAnsi="宋体" w:cs="宋体"/>
                <w:kern w:val="2"/>
                <w:sz w:val="21"/>
                <w:szCs w:val="21"/>
                <w:lang w:val="en-US" w:eastAsia="zh-CN" w:bidi="ar-SA"/>
              </w:rPr>
            </w:pPr>
            <w:r>
              <w:rPr>
                <w:rFonts w:hint="eastAsia" w:ascii="宋体" w:hAnsi="宋体" w:cs="宋体"/>
                <w:sz w:val="21"/>
                <w:szCs w:val="21"/>
              </w:rPr>
              <w:t>乙醇胺</w:t>
            </w:r>
          </w:p>
        </w:tc>
        <w:tc>
          <w:tcPr>
            <w:tcW w:w="635" w:type="pct"/>
            <w:tcBorders>
              <w:tl2br w:val="nil"/>
              <w:tr2bl w:val="nil"/>
            </w:tcBorders>
            <w:noWrap/>
            <w:vAlign w:val="center"/>
          </w:tcPr>
          <w:p w14:paraId="5A993C37">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000000"/>
                <w:kern w:val="24"/>
                <w:sz w:val="21"/>
                <w:szCs w:val="21"/>
                <w:lang w:val="en-US" w:eastAsia="zh-CN"/>
              </w:rPr>
            </w:pPr>
            <w:r>
              <w:rPr>
                <w:rFonts w:hint="eastAsia" w:ascii="Times New Roman" w:hAnsi="Times New Roman" w:eastAsia="宋体" w:cs="Times New Roman"/>
                <w:color w:val="000000"/>
                <w:kern w:val="24"/>
                <w:sz w:val="21"/>
                <w:szCs w:val="21"/>
                <w:lang w:val="en-US" w:eastAsia="zh-CN"/>
              </w:rPr>
              <w:t>141-43-5</w:t>
            </w:r>
          </w:p>
        </w:tc>
        <w:tc>
          <w:tcPr>
            <w:tcW w:w="630" w:type="pct"/>
            <w:tcBorders>
              <w:tl2br w:val="nil"/>
              <w:tr2bl w:val="nil"/>
            </w:tcBorders>
            <w:noWrap/>
            <w:vAlign w:val="center"/>
          </w:tcPr>
          <w:p w14:paraId="2ED1FC84">
            <w:pPr>
              <w:keepNext w:val="0"/>
              <w:keepLines w:val="0"/>
              <w:suppressLineNumbers w:val="0"/>
              <w:adjustRightInd w:val="0"/>
              <w:snapToGrid w:val="0"/>
              <w:spacing w:before="0" w:beforeAutospacing="0" w:after="0" w:afterAutospacing="0" w:line="360" w:lineRule="auto"/>
              <w:ind w:left="0" w:leftChars="0" w:right="0" w:rightChars="0"/>
              <w:jc w:val="center"/>
              <w:rPr>
                <w:rFonts w:hint="eastAsia"/>
                <w:color w:val="auto"/>
                <w:sz w:val="21"/>
                <w:szCs w:val="21"/>
              </w:rPr>
            </w:pPr>
            <w:r>
              <w:rPr>
                <w:rFonts w:hint="eastAsia" w:ascii="宋体" w:hAnsi="宋体" w:cs="宋体"/>
                <w:sz w:val="21"/>
                <w:szCs w:val="21"/>
              </w:rPr>
              <w:t>乙醇胺储罐</w:t>
            </w:r>
          </w:p>
        </w:tc>
        <w:tc>
          <w:tcPr>
            <w:tcW w:w="632" w:type="pct"/>
            <w:tcBorders>
              <w:tl2br w:val="nil"/>
              <w:tr2bl w:val="nil"/>
            </w:tcBorders>
            <w:shd w:val="clear" w:color="auto" w:fill="auto"/>
            <w:noWrap/>
            <w:vAlign w:val="center"/>
          </w:tcPr>
          <w:p w14:paraId="35B6A866">
            <w:pPr>
              <w:keepNext w:val="0"/>
              <w:keepLines w:val="0"/>
              <w:suppressLineNumbers w:val="0"/>
              <w:adjustRightInd w:val="0"/>
              <w:snapToGrid w:val="0"/>
              <w:spacing w:before="0" w:beforeAutospacing="0" w:after="0" w:afterAutospacing="0" w:line="360" w:lineRule="auto"/>
              <w:ind w:left="0" w:leftChars="0" w:right="0" w:rightChars="0"/>
              <w:jc w:val="center"/>
              <w:rPr>
                <w:rFonts w:hint="eastAsia" w:ascii="Times New Roman" w:hAnsi="Times New Roman" w:eastAsia="宋体" w:cs="Times New Roman"/>
                <w:color w:val="000000"/>
                <w:kern w:val="24"/>
                <w:sz w:val="21"/>
                <w:szCs w:val="21"/>
                <w:lang w:val="en-US" w:eastAsia="zh-CN" w:bidi="ar-SA"/>
              </w:rPr>
            </w:pPr>
            <w:r>
              <w:rPr>
                <w:rFonts w:hint="eastAsia" w:ascii="Times New Roman" w:hAnsi="Times New Roman" w:eastAsia="宋体" w:cs="Times New Roman"/>
                <w:color w:val="000000"/>
                <w:kern w:val="24"/>
                <w:sz w:val="21"/>
                <w:szCs w:val="21"/>
                <w:lang w:eastAsia="zh-CN"/>
              </w:rPr>
              <w:t>罐装</w:t>
            </w:r>
          </w:p>
        </w:tc>
        <w:tc>
          <w:tcPr>
            <w:tcW w:w="548" w:type="pct"/>
            <w:tcBorders>
              <w:tl2br w:val="nil"/>
              <w:tr2bl w:val="nil"/>
            </w:tcBorders>
            <w:shd w:val="clear" w:color="auto" w:fill="auto"/>
            <w:noWrap/>
            <w:vAlign w:val="center"/>
          </w:tcPr>
          <w:p w14:paraId="3BFC6C27">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w:t>
            </w:r>
          </w:p>
        </w:tc>
        <w:tc>
          <w:tcPr>
            <w:tcW w:w="589" w:type="pct"/>
            <w:tcBorders>
              <w:tl2br w:val="nil"/>
              <w:tr2bl w:val="nil"/>
            </w:tcBorders>
            <w:noWrap/>
            <w:vAlign w:val="center"/>
          </w:tcPr>
          <w:p w14:paraId="2B590608">
            <w:pPr>
              <w:pStyle w:val="127"/>
              <w:keepNext w:val="0"/>
              <w:keepLines w:val="0"/>
              <w:widowControl/>
              <w:suppressLineNumbers w:val="0"/>
              <w:spacing w:before="0" w:beforeAutospacing="0" w:after="0" w:afterAutospacing="0"/>
              <w:ind w:left="0" w:leftChars="0" w:right="0" w:rightChars="0"/>
              <w:jc w:val="center"/>
              <w:rPr>
                <w:rFonts w:hint="default"/>
                <w:color w:val="auto"/>
                <w:sz w:val="21"/>
                <w:szCs w:val="21"/>
                <w:lang w:val="en-US" w:eastAsia="zh-CN"/>
              </w:rPr>
            </w:pPr>
            <w:r>
              <w:rPr>
                <w:rFonts w:hint="eastAsia"/>
                <w:color w:val="auto"/>
                <w:sz w:val="21"/>
                <w:szCs w:val="21"/>
                <w:lang w:val="en-US" w:eastAsia="zh-CN"/>
              </w:rPr>
              <w:t>80</w:t>
            </w:r>
          </w:p>
        </w:tc>
        <w:tc>
          <w:tcPr>
            <w:tcW w:w="442" w:type="pct"/>
            <w:tcBorders>
              <w:tl2br w:val="nil"/>
              <w:tr2bl w:val="nil"/>
            </w:tcBorders>
            <w:noWrap/>
            <w:vAlign w:val="center"/>
          </w:tcPr>
          <w:p w14:paraId="6EDC51EE">
            <w:pPr>
              <w:keepNext w:val="0"/>
              <w:keepLines w:val="0"/>
              <w:suppressLineNumbers w:val="0"/>
              <w:adjustRightInd w:val="0"/>
              <w:snapToGrid w:val="0"/>
              <w:spacing w:before="0" w:beforeAutospacing="0" w:after="0" w:afterAutospacing="0" w:line="360" w:lineRule="auto"/>
              <w:ind w:left="0" w:leftChars="0" w:right="0" w:rightChars="0"/>
              <w:jc w:val="center"/>
              <w:rPr>
                <w:rFonts w:hint="eastAsia" w:ascii="Times New Roman" w:hAnsi="Times New Roman" w:eastAsia="宋体" w:cs="Times New Roman"/>
                <w:color w:val="000000"/>
                <w:kern w:val="24"/>
                <w:sz w:val="21"/>
                <w:szCs w:val="21"/>
                <w:lang w:val="en-US" w:eastAsia="zh-CN"/>
              </w:rPr>
            </w:pPr>
            <w:r>
              <w:rPr>
                <w:rFonts w:hint="eastAsia" w:ascii="Times New Roman" w:hAnsi="Times New Roman" w:eastAsia="宋体" w:cs="Times New Roman"/>
                <w:color w:val="000000"/>
                <w:kern w:val="24"/>
                <w:sz w:val="21"/>
                <w:szCs w:val="21"/>
                <w:lang w:val="en-US" w:eastAsia="zh-CN"/>
              </w:rPr>
              <w:t>液</w:t>
            </w:r>
          </w:p>
        </w:tc>
        <w:tc>
          <w:tcPr>
            <w:tcW w:w="696" w:type="pct"/>
            <w:tcBorders>
              <w:tl2br w:val="nil"/>
              <w:tr2bl w:val="nil"/>
            </w:tcBorders>
            <w:noWrap/>
            <w:vAlign w:val="center"/>
          </w:tcPr>
          <w:p w14:paraId="15111798">
            <w:pPr>
              <w:keepNext w:val="0"/>
              <w:keepLines w:val="0"/>
              <w:suppressLineNumbers w:val="0"/>
              <w:adjustRightInd w:val="0"/>
              <w:snapToGrid w:val="0"/>
              <w:spacing w:before="0" w:beforeAutospacing="0" w:after="0" w:afterAutospacing="0" w:line="360" w:lineRule="auto"/>
              <w:ind w:left="0" w:leftChars="0" w:right="0" w:rightChars="0"/>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49</w:t>
            </w:r>
          </w:p>
        </w:tc>
      </w:tr>
      <w:tr w14:paraId="55B096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3" w:hRule="atLeast"/>
          <w:tblHeader/>
          <w:jc w:val="center"/>
        </w:trPr>
        <w:tc>
          <w:tcPr>
            <w:tcW w:w="823" w:type="pct"/>
            <w:tcBorders>
              <w:tl2br w:val="nil"/>
              <w:tr2bl w:val="nil"/>
            </w:tcBorders>
            <w:shd w:val="clear" w:color="auto" w:fill="auto"/>
            <w:noWrap/>
            <w:vAlign w:val="center"/>
          </w:tcPr>
          <w:p w14:paraId="5F2DAA75">
            <w:pPr>
              <w:keepNext w:val="0"/>
              <w:keepLines w:val="0"/>
              <w:suppressLineNumbers w:val="0"/>
              <w:adjustRightInd w:val="0"/>
              <w:snapToGrid w:val="0"/>
              <w:spacing w:before="62" w:beforeLines="20" w:beforeAutospacing="0" w:after="62" w:afterLines="20" w:afterAutospacing="0"/>
              <w:ind w:left="0" w:right="0"/>
              <w:jc w:val="center"/>
              <w:rPr>
                <w:rFonts w:hint="eastAsia" w:ascii="宋体" w:hAnsi="宋体" w:cs="宋体"/>
                <w:kern w:val="2"/>
                <w:sz w:val="21"/>
                <w:szCs w:val="21"/>
                <w:lang w:val="en-US" w:eastAsia="zh-CN" w:bidi="ar-SA"/>
              </w:rPr>
            </w:pPr>
            <w:r>
              <w:rPr>
                <w:rFonts w:hint="eastAsia" w:ascii="宋体" w:hAnsi="宋体" w:cs="宋体"/>
                <w:sz w:val="21"/>
                <w:szCs w:val="21"/>
              </w:rPr>
              <w:t>氨</w:t>
            </w:r>
          </w:p>
        </w:tc>
        <w:tc>
          <w:tcPr>
            <w:tcW w:w="635" w:type="pct"/>
            <w:tcBorders>
              <w:tl2br w:val="nil"/>
              <w:tr2bl w:val="nil"/>
            </w:tcBorders>
            <w:noWrap/>
            <w:vAlign w:val="center"/>
          </w:tcPr>
          <w:p w14:paraId="1F4C4E72">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000000"/>
                <w:kern w:val="24"/>
                <w:sz w:val="21"/>
                <w:szCs w:val="21"/>
                <w:lang w:val="en-US" w:eastAsia="zh-CN"/>
              </w:rPr>
            </w:pPr>
            <w:r>
              <w:rPr>
                <w:rFonts w:hint="eastAsia" w:ascii="Times New Roman" w:hAnsi="Times New Roman" w:eastAsia="宋体" w:cs="Times New Roman"/>
                <w:color w:val="000000"/>
                <w:kern w:val="24"/>
                <w:sz w:val="21"/>
                <w:szCs w:val="21"/>
                <w:lang w:val="en-US" w:eastAsia="zh-CN"/>
              </w:rPr>
              <w:t>7664-41-7</w:t>
            </w:r>
          </w:p>
        </w:tc>
        <w:tc>
          <w:tcPr>
            <w:tcW w:w="630" w:type="pct"/>
            <w:tcBorders>
              <w:tl2br w:val="nil"/>
              <w:tr2bl w:val="nil"/>
            </w:tcBorders>
            <w:noWrap/>
            <w:vAlign w:val="center"/>
          </w:tcPr>
          <w:p w14:paraId="4E75CAF7">
            <w:pPr>
              <w:keepNext w:val="0"/>
              <w:keepLines w:val="0"/>
              <w:suppressLineNumbers w:val="0"/>
              <w:adjustRightInd w:val="0"/>
              <w:snapToGrid w:val="0"/>
              <w:spacing w:before="0" w:beforeAutospacing="0" w:after="0" w:afterAutospacing="0" w:line="360" w:lineRule="auto"/>
              <w:ind w:left="0" w:leftChars="0" w:right="0" w:rightChars="0"/>
              <w:jc w:val="center"/>
              <w:rPr>
                <w:rFonts w:hint="eastAsia" w:ascii="Times New Roman" w:hAnsi="Times New Roman" w:eastAsia="宋体" w:cs="Times New Roman"/>
                <w:color w:val="000000"/>
                <w:kern w:val="24"/>
                <w:sz w:val="21"/>
                <w:szCs w:val="21"/>
                <w:lang w:val="en-US" w:eastAsia="zh-CN" w:bidi="ar-SA"/>
              </w:rPr>
            </w:pPr>
            <w:r>
              <w:rPr>
                <w:rFonts w:hint="eastAsia" w:ascii="宋体" w:hAnsi="宋体" w:cs="宋体"/>
                <w:sz w:val="21"/>
                <w:szCs w:val="21"/>
              </w:rPr>
              <w:t>液氨罐区</w:t>
            </w:r>
          </w:p>
        </w:tc>
        <w:tc>
          <w:tcPr>
            <w:tcW w:w="632" w:type="pct"/>
            <w:tcBorders>
              <w:tl2br w:val="nil"/>
              <w:tr2bl w:val="nil"/>
            </w:tcBorders>
            <w:noWrap/>
            <w:vAlign w:val="center"/>
          </w:tcPr>
          <w:p w14:paraId="078F8D7C">
            <w:pPr>
              <w:keepNext w:val="0"/>
              <w:keepLines w:val="0"/>
              <w:suppressLineNumbers w:val="0"/>
              <w:adjustRightInd w:val="0"/>
              <w:snapToGrid w:val="0"/>
              <w:spacing w:before="0" w:beforeAutospacing="0" w:after="0" w:afterAutospacing="0" w:line="360" w:lineRule="auto"/>
              <w:ind w:left="0" w:leftChars="0" w:right="0" w:rightChars="0"/>
              <w:jc w:val="center"/>
              <w:rPr>
                <w:rFonts w:hint="default" w:ascii="Times New Roman" w:hAnsi="Times New Roman" w:eastAsia="宋体" w:cs="Times New Roman"/>
                <w:color w:val="000000"/>
                <w:kern w:val="24"/>
                <w:sz w:val="21"/>
                <w:szCs w:val="21"/>
                <w:lang w:val="en-US" w:eastAsia="zh-CN" w:bidi="ar-SA"/>
              </w:rPr>
            </w:pPr>
            <w:r>
              <w:rPr>
                <w:rFonts w:hint="eastAsia" w:ascii="Times New Roman" w:hAnsi="Times New Roman" w:eastAsia="宋体" w:cs="Times New Roman"/>
                <w:color w:val="000000"/>
                <w:kern w:val="24"/>
                <w:sz w:val="21"/>
                <w:szCs w:val="21"/>
                <w:lang w:eastAsia="zh-CN"/>
              </w:rPr>
              <w:t>罐装</w:t>
            </w:r>
          </w:p>
        </w:tc>
        <w:tc>
          <w:tcPr>
            <w:tcW w:w="548" w:type="pct"/>
            <w:tcBorders>
              <w:tl2br w:val="nil"/>
              <w:tr2bl w:val="nil"/>
            </w:tcBorders>
            <w:noWrap/>
            <w:vAlign w:val="center"/>
          </w:tcPr>
          <w:p w14:paraId="18F9C2C4">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w:t>
            </w:r>
          </w:p>
        </w:tc>
        <w:tc>
          <w:tcPr>
            <w:tcW w:w="589" w:type="pct"/>
            <w:tcBorders>
              <w:tl2br w:val="nil"/>
              <w:tr2bl w:val="nil"/>
            </w:tcBorders>
            <w:noWrap/>
            <w:vAlign w:val="center"/>
          </w:tcPr>
          <w:p w14:paraId="41E13B5F">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74</w:t>
            </w:r>
          </w:p>
        </w:tc>
        <w:tc>
          <w:tcPr>
            <w:tcW w:w="442" w:type="pct"/>
            <w:tcBorders>
              <w:tl2br w:val="nil"/>
              <w:tr2bl w:val="nil"/>
            </w:tcBorders>
            <w:noWrap/>
            <w:vAlign w:val="center"/>
          </w:tcPr>
          <w:p w14:paraId="6073F170">
            <w:pPr>
              <w:keepNext w:val="0"/>
              <w:keepLines w:val="0"/>
              <w:suppressLineNumbers w:val="0"/>
              <w:adjustRightInd w:val="0"/>
              <w:snapToGrid w:val="0"/>
              <w:spacing w:before="0" w:beforeAutospacing="0" w:after="0" w:afterAutospacing="0" w:line="360" w:lineRule="auto"/>
              <w:ind w:left="0" w:leftChars="0" w:right="0" w:rightChars="0"/>
              <w:jc w:val="center"/>
              <w:rPr>
                <w:rFonts w:hint="eastAsia" w:ascii="Times New Roman" w:hAnsi="Times New Roman" w:eastAsia="宋体" w:cs="Times New Roman"/>
                <w:color w:val="000000"/>
                <w:kern w:val="24"/>
                <w:sz w:val="21"/>
                <w:szCs w:val="21"/>
                <w:lang w:val="en-US" w:eastAsia="zh-CN" w:bidi="ar-SA"/>
              </w:rPr>
            </w:pPr>
            <w:r>
              <w:rPr>
                <w:rFonts w:hint="eastAsia" w:ascii="Times New Roman" w:hAnsi="Times New Roman" w:eastAsia="宋体" w:cs="Times New Roman"/>
                <w:color w:val="000000"/>
                <w:kern w:val="24"/>
                <w:sz w:val="21"/>
                <w:szCs w:val="21"/>
                <w:lang w:val="en-US" w:eastAsia="zh-CN"/>
              </w:rPr>
              <w:t>液</w:t>
            </w:r>
          </w:p>
        </w:tc>
        <w:tc>
          <w:tcPr>
            <w:tcW w:w="696" w:type="pct"/>
            <w:tcBorders>
              <w:tl2br w:val="nil"/>
              <w:tr2bl w:val="nil"/>
            </w:tcBorders>
            <w:noWrap/>
            <w:vAlign w:val="center"/>
          </w:tcPr>
          <w:p w14:paraId="3331283D">
            <w:pPr>
              <w:keepNext w:val="0"/>
              <w:keepLines w:val="0"/>
              <w:suppressLineNumbers w:val="0"/>
              <w:adjustRightInd w:val="0"/>
              <w:snapToGrid w:val="0"/>
              <w:spacing w:before="0" w:beforeAutospacing="0" w:after="0" w:afterAutospacing="0" w:line="360" w:lineRule="auto"/>
              <w:ind w:left="0" w:leftChars="0" w:right="0" w:rightChars="0"/>
              <w:jc w:val="center"/>
              <w:rPr>
                <w:rFonts w:hint="default" w:ascii="Times New Roman" w:hAnsi="Times New Roman" w:eastAsia="宋体" w:cs="Times New Roman"/>
                <w:color w:val="000000"/>
                <w:kern w:val="24"/>
                <w:sz w:val="21"/>
                <w:szCs w:val="21"/>
                <w:highlight w:val="none"/>
                <w:lang w:val="en-US" w:eastAsia="zh-CN" w:bidi="ar-SA"/>
              </w:rPr>
            </w:pPr>
            <w:r>
              <w:rPr>
                <w:rFonts w:hint="eastAsia" w:ascii="Times New Roman" w:hAnsi="Times New Roman" w:eastAsia="宋体" w:cs="Times New Roman"/>
                <w:color w:val="000000"/>
                <w:kern w:val="24"/>
                <w:sz w:val="21"/>
                <w:szCs w:val="21"/>
                <w:highlight w:val="none"/>
                <w:lang w:val="en-US" w:eastAsia="zh-CN" w:bidi="ar-SA"/>
              </w:rPr>
              <w:t>45.6</w:t>
            </w:r>
          </w:p>
        </w:tc>
      </w:tr>
      <w:tr w14:paraId="1CEE0E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3" w:hRule="atLeast"/>
          <w:tblHeader/>
          <w:jc w:val="center"/>
        </w:trPr>
        <w:tc>
          <w:tcPr>
            <w:tcW w:w="5000" w:type="pct"/>
            <w:gridSpan w:val="8"/>
            <w:tcBorders>
              <w:tl2br w:val="nil"/>
              <w:tr2bl w:val="nil"/>
            </w:tcBorders>
            <w:noWrap/>
            <w:vAlign w:val="center"/>
          </w:tcPr>
          <w:p w14:paraId="205276A8">
            <w:pPr>
              <w:keepNext w:val="0"/>
              <w:keepLines w:val="0"/>
              <w:suppressLineNumbers w:val="0"/>
              <w:adjustRightInd w:val="0"/>
              <w:snapToGrid w:val="0"/>
              <w:spacing w:before="0" w:beforeAutospacing="0" w:after="0" w:afterAutospacing="0" w:line="360" w:lineRule="auto"/>
              <w:ind w:left="0" w:right="0"/>
              <w:jc w:val="center"/>
              <w:rPr>
                <w:rFonts w:hint="eastAsia" w:ascii="Times New Roman" w:hAnsi="Times New Roman" w:eastAsia="宋体" w:cs="Times New Roman"/>
                <w:color w:val="000000"/>
                <w:kern w:val="24"/>
                <w:szCs w:val="21"/>
                <w:highlight w:val="none"/>
                <w:lang w:val="en-US" w:eastAsia="zh-CN"/>
              </w:rPr>
            </w:pPr>
            <w:r>
              <w:rPr>
                <w:rFonts w:hint="eastAsia" w:ascii="Times New Roman" w:hAnsi="Times New Roman" w:eastAsia="宋体" w:cs="Times New Roman"/>
                <w:color w:val="000000"/>
                <w:kern w:val="24"/>
                <w:szCs w:val="21"/>
                <w:highlight w:val="none"/>
                <w:lang w:val="en-US" w:eastAsia="zh-CN"/>
              </w:rPr>
              <w:t>危险废物</w:t>
            </w:r>
          </w:p>
        </w:tc>
      </w:tr>
      <w:tr w14:paraId="36E00F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3" w:hRule="atLeast"/>
          <w:tblHeader/>
          <w:jc w:val="center"/>
        </w:trPr>
        <w:tc>
          <w:tcPr>
            <w:tcW w:w="823" w:type="pct"/>
            <w:tcBorders>
              <w:tl2br w:val="nil"/>
              <w:tr2bl w:val="nil"/>
            </w:tcBorders>
            <w:noWrap/>
            <w:vAlign w:val="center"/>
          </w:tcPr>
          <w:p w14:paraId="179A1358">
            <w:pPr>
              <w:keepNext w:val="0"/>
              <w:keepLines w:val="0"/>
              <w:suppressLineNumbers w:val="0"/>
              <w:spacing w:before="0" w:beforeAutospacing="0" w:after="0" w:afterAutospacing="0" w:line="240" w:lineRule="auto"/>
              <w:ind w:left="0" w:right="0" w:firstLine="0" w:firstLineChars="0"/>
              <w:jc w:val="center"/>
              <w:rPr>
                <w:rStyle w:val="35"/>
                <w:rFonts w:hint="default" w:ascii="Times New Roman" w:hAnsi="Times New Roman" w:eastAsia="宋体" w:cs="Times New Roman"/>
                <w:color w:val="000000"/>
                <w:kern w:val="2"/>
                <w:sz w:val="21"/>
                <w:szCs w:val="20"/>
                <w:lang w:val="en-US" w:eastAsia="zh-CN" w:bidi="ar-SA"/>
              </w:rPr>
            </w:pPr>
            <w:r>
              <w:rPr>
                <w:rFonts w:hint="eastAsia" w:eastAsia="宋体"/>
                <w:b w:val="0"/>
                <w:bCs/>
              </w:rPr>
              <w:t>风险物质</w:t>
            </w:r>
            <w:r>
              <w:rPr>
                <w:rStyle w:val="35"/>
                <w:rFonts w:hint="eastAsia" w:ascii="Times New Roman" w:hAnsi="Times New Roman" w:eastAsia="宋体" w:cs="Times New Roman"/>
                <w:color w:val="000000"/>
                <w:kern w:val="2"/>
                <w:sz w:val="21"/>
                <w:szCs w:val="20"/>
                <w:lang w:val="en-US" w:eastAsia="zh-CN" w:bidi="ar-SA"/>
              </w:rPr>
              <w:t>名称</w:t>
            </w:r>
          </w:p>
        </w:tc>
        <w:tc>
          <w:tcPr>
            <w:tcW w:w="635" w:type="pct"/>
            <w:tcBorders>
              <w:tl2br w:val="nil"/>
              <w:tr2bl w:val="nil"/>
            </w:tcBorders>
            <w:noWrap/>
            <w:vAlign w:val="center"/>
          </w:tcPr>
          <w:p w14:paraId="7A7ADA5F">
            <w:pPr>
              <w:pStyle w:val="127"/>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1"/>
                <w:lang w:val="en-US" w:eastAsia="zh-CN" w:bidi="ar-SA"/>
              </w:rPr>
            </w:pPr>
            <w:r>
              <w:rPr>
                <w:rFonts w:hint="eastAsia" w:cs="Times New Roman"/>
                <w:color w:val="000000"/>
                <w:kern w:val="2"/>
                <w:sz w:val="21"/>
                <w:szCs w:val="21"/>
                <w:lang w:val="en-US" w:eastAsia="zh-CN" w:bidi="ar-SA"/>
              </w:rPr>
              <w:t>CAS号</w:t>
            </w:r>
          </w:p>
        </w:tc>
        <w:tc>
          <w:tcPr>
            <w:tcW w:w="630" w:type="pct"/>
            <w:tcBorders>
              <w:tl2br w:val="nil"/>
              <w:tr2bl w:val="nil"/>
            </w:tcBorders>
            <w:noWrap/>
            <w:vAlign w:val="center"/>
          </w:tcPr>
          <w:p w14:paraId="1B7BBEAA">
            <w:pPr>
              <w:pStyle w:val="127"/>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color w:val="auto"/>
              </w:rPr>
              <w:t>储存位置</w:t>
            </w:r>
          </w:p>
        </w:tc>
        <w:tc>
          <w:tcPr>
            <w:tcW w:w="632" w:type="pct"/>
            <w:tcBorders>
              <w:tl2br w:val="nil"/>
              <w:tr2bl w:val="nil"/>
            </w:tcBorders>
            <w:noWrap/>
            <w:vAlign w:val="center"/>
          </w:tcPr>
          <w:p w14:paraId="5A3A14D7">
            <w:pPr>
              <w:pStyle w:val="127"/>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color w:val="auto"/>
              </w:rPr>
              <w:t>贮存方式</w:t>
            </w:r>
          </w:p>
        </w:tc>
        <w:tc>
          <w:tcPr>
            <w:tcW w:w="548" w:type="pct"/>
            <w:tcBorders>
              <w:tl2br w:val="nil"/>
              <w:tr2bl w:val="nil"/>
            </w:tcBorders>
            <w:noWrap/>
            <w:vAlign w:val="center"/>
          </w:tcPr>
          <w:p w14:paraId="43ADDC68">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rPr>
              <w:t>产生量（t</w:t>
            </w:r>
            <w:r>
              <w:rPr>
                <w:rFonts w:hint="default"/>
                <w:color w:val="auto"/>
              </w:rPr>
              <w:t>/</w:t>
            </w:r>
            <w:r>
              <w:rPr>
                <w:rFonts w:hint="eastAsia"/>
                <w:color w:val="auto"/>
              </w:rPr>
              <w:t>a）</w:t>
            </w:r>
          </w:p>
        </w:tc>
        <w:tc>
          <w:tcPr>
            <w:tcW w:w="589" w:type="pct"/>
            <w:tcBorders>
              <w:tl2br w:val="nil"/>
              <w:tr2bl w:val="nil"/>
            </w:tcBorders>
            <w:noWrap/>
            <w:vAlign w:val="center"/>
          </w:tcPr>
          <w:p w14:paraId="0CE2F2F6">
            <w:pPr>
              <w:pStyle w:val="127"/>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lang w:val="zh-CN" w:eastAsia="zh-CN" w:bidi="ar-SA"/>
              </w:rPr>
            </w:pPr>
            <w:r>
              <w:rPr>
                <w:rFonts w:hint="eastAsia"/>
                <w:color w:val="auto"/>
                <w:lang w:val="zh-CN" w:eastAsia="zh-CN"/>
              </w:rPr>
              <w:t>容积</w:t>
            </w:r>
            <w:r>
              <w:rPr>
                <w:rFonts w:hint="eastAsia"/>
                <w:color w:val="auto"/>
                <w:lang w:val="en-US" w:eastAsia="zh-CN"/>
              </w:rPr>
              <w:t>L</w:t>
            </w:r>
          </w:p>
        </w:tc>
        <w:tc>
          <w:tcPr>
            <w:tcW w:w="442" w:type="pct"/>
            <w:tcBorders>
              <w:tl2br w:val="nil"/>
              <w:tr2bl w:val="nil"/>
            </w:tcBorders>
            <w:noWrap/>
            <w:vAlign w:val="center"/>
          </w:tcPr>
          <w:p w14:paraId="09D47CDD">
            <w:pPr>
              <w:pStyle w:val="129"/>
              <w:keepNext w:val="0"/>
              <w:keepLines w:val="0"/>
              <w:suppressLineNumbers w:val="0"/>
              <w:spacing w:before="0" w:beforeAutospacing="0" w:after="0" w:afterAutospacing="0" w:line="360" w:lineRule="auto"/>
              <w:ind w:left="6" w:leftChars="0" w:right="0" w:rightChars="0" w:hanging="6" w:hangingChars="3"/>
              <w:jc w:val="center"/>
              <w:rPr>
                <w:rFonts w:hint="eastAsia" w:ascii="Times New Roman" w:hAnsi="Times New Roman" w:eastAsia="宋体" w:cs="Times New Roman"/>
                <w:b w:val="0"/>
                <w:bCs/>
                <w:color w:val="000000"/>
                <w:kern w:val="2"/>
                <w:sz w:val="24"/>
                <w:szCs w:val="21"/>
                <w:lang w:val="zh-CN" w:eastAsia="zh-CN" w:bidi="ar-SA"/>
              </w:rPr>
            </w:pPr>
            <w:r>
              <w:rPr>
                <w:rFonts w:hint="default" w:eastAsia="宋体"/>
                <w:b w:val="0"/>
                <w:bCs/>
              </w:rPr>
              <w:t>形态</w:t>
            </w:r>
          </w:p>
        </w:tc>
        <w:tc>
          <w:tcPr>
            <w:tcW w:w="696" w:type="pct"/>
            <w:tcBorders>
              <w:tl2br w:val="nil"/>
              <w:tr2bl w:val="nil"/>
            </w:tcBorders>
            <w:noWrap/>
            <w:vAlign w:val="center"/>
          </w:tcPr>
          <w:p w14:paraId="04347D50">
            <w:pPr>
              <w:pStyle w:val="129"/>
              <w:keepNext w:val="0"/>
              <w:keepLines w:val="0"/>
              <w:suppressLineNumbers w:val="0"/>
              <w:spacing w:before="0" w:beforeAutospacing="0" w:after="0" w:afterAutospacing="0" w:line="360" w:lineRule="auto"/>
              <w:ind w:left="6" w:leftChars="0" w:right="0" w:rightChars="0" w:hanging="6" w:hangingChars="3"/>
              <w:jc w:val="center"/>
              <w:rPr>
                <w:rFonts w:hint="default" w:ascii="Times New Roman" w:hAnsi="Times New Roman" w:eastAsia="宋体" w:cs="Times New Roman"/>
                <w:b w:val="0"/>
                <w:bCs/>
                <w:color w:val="000000"/>
                <w:kern w:val="2"/>
                <w:sz w:val="24"/>
                <w:szCs w:val="21"/>
                <w:lang w:val="zh-CN" w:eastAsia="zh-CN" w:bidi="ar-SA"/>
              </w:rPr>
            </w:pPr>
            <w:r>
              <w:rPr>
                <w:rFonts w:hint="default" w:eastAsia="宋体"/>
                <w:b w:val="0"/>
                <w:bCs/>
              </w:rPr>
              <w:t>最大储量t</w:t>
            </w:r>
          </w:p>
        </w:tc>
      </w:tr>
      <w:tr w14:paraId="0DF572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3" w:hRule="atLeast"/>
          <w:tblHeader/>
          <w:jc w:val="center"/>
        </w:trPr>
        <w:tc>
          <w:tcPr>
            <w:tcW w:w="823" w:type="pct"/>
            <w:tcBorders>
              <w:tl2br w:val="nil"/>
              <w:tr2bl w:val="nil"/>
            </w:tcBorders>
            <w:noWrap/>
            <w:vAlign w:val="center"/>
          </w:tcPr>
          <w:p w14:paraId="46649D33">
            <w:pPr>
              <w:keepNext w:val="0"/>
              <w:keepLines w:val="0"/>
              <w:suppressLineNumbers w:val="0"/>
              <w:spacing w:before="0" w:beforeAutospacing="0" w:after="0" w:afterAutospacing="0"/>
              <w:ind w:left="0" w:right="0"/>
              <w:jc w:val="center"/>
              <w:rPr>
                <w:rStyle w:val="35"/>
                <w:rFonts w:hint="eastAsia" w:ascii="Times New Roman" w:hAnsi="Times New Roman" w:eastAsia="宋体" w:cs="Times New Roman"/>
                <w:color w:val="000000"/>
                <w:kern w:val="2"/>
                <w:sz w:val="21"/>
                <w:szCs w:val="20"/>
                <w:lang w:val="en-US" w:eastAsia="zh-CN" w:bidi="ar-SA"/>
              </w:rPr>
            </w:pPr>
            <w:r>
              <w:rPr>
                <w:rFonts w:hint="default" w:eastAsia="新宋体"/>
                <w:sz w:val="21"/>
                <w:szCs w:val="21"/>
              </w:rPr>
              <w:t>压滤残渣</w:t>
            </w:r>
          </w:p>
        </w:tc>
        <w:tc>
          <w:tcPr>
            <w:tcW w:w="635" w:type="pct"/>
            <w:vMerge w:val="restart"/>
            <w:tcBorders>
              <w:tl2br w:val="nil"/>
              <w:tr2bl w:val="nil"/>
            </w:tcBorders>
            <w:noWrap/>
            <w:vAlign w:val="center"/>
          </w:tcPr>
          <w:p w14:paraId="01E8D995">
            <w:pPr>
              <w:pStyle w:val="127"/>
              <w:keepNext w:val="0"/>
              <w:keepLines w:val="0"/>
              <w:widowControl/>
              <w:suppressLineNumbers w:val="0"/>
              <w:spacing w:before="0" w:beforeAutospacing="0" w:after="0" w:afterAutospacing="0"/>
              <w:ind w:left="0" w:right="0"/>
              <w:jc w:val="center"/>
              <w:rPr>
                <w:rFonts w:hint="default" w:eastAsia="宋体"/>
                <w:color w:val="auto"/>
                <w:lang w:val="en-US" w:eastAsia="zh-CN"/>
              </w:rPr>
            </w:pPr>
            <w:r>
              <w:rPr>
                <w:rFonts w:hint="eastAsia"/>
                <w:color w:val="auto"/>
                <w:lang w:val="en-US" w:eastAsia="zh-CN"/>
              </w:rPr>
              <w:t>/</w:t>
            </w:r>
          </w:p>
        </w:tc>
        <w:tc>
          <w:tcPr>
            <w:tcW w:w="630" w:type="pct"/>
            <w:vMerge w:val="restart"/>
            <w:tcBorders>
              <w:tl2br w:val="nil"/>
              <w:tr2bl w:val="nil"/>
            </w:tcBorders>
            <w:noWrap/>
            <w:vAlign w:val="center"/>
          </w:tcPr>
          <w:p w14:paraId="1E3963B4">
            <w:pPr>
              <w:pStyle w:val="127"/>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color w:val="auto"/>
              </w:rPr>
              <w:t>危废</w:t>
            </w:r>
            <w:r>
              <w:rPr>
                <w:rFonts w:hint="eastAsia"/>
                <w:color w:val="auto"/>
                <w:lang w:eastAsia="zh-CN"/>
              </w:rPr>
              <w:t>暂存间</w:t>
            </w:r>
          </w:p>
        </w:tc>
        <w:tc>
          <w:tcPr>
            <w:tcW w:w="632" w:type="pct"/>
            <w:tcBorders>
              <w:tl2br w:val="nil"/>
              <w:tr2bl w:val="nil"/>
            </w:tcBorders>
            <w:noWrap/>
            <w:vAlign w:val="center"/>
          </w:tcPr>
          <w:p w14:paraId="24046147">
            <w:pPr>
              <w:pStyle w:val="127"/>
              <w:keepNext w:val="0"/>
              <w:keepLines w:val="0"/>
              <w:widowControl/>
              <w:suppressLineNumbers w:val="0"/>
              <w:spacing w:before="0" w:beforeAutospacing="0" w:after="0" w:afterAutospacing="0"/>
              <w:ind w:left="0" w:leftChars="0" w:right="0" w:rightChars="0"/>
              <w:jc w:val="center"/>
              <w:rPr>
                <w:rFonts w:hint="eastAsia"/>
                <w:color w:val="auto"/>
                <w:lang w:eastAsia="zh-CN"/>
              </w:rPr>
            </w:pPr>
            <w:r>
              <w:rPr>
                <w:rFonts w:hint="eastAsia"/>
                <w:color w:val="auto"/>
                <w:lang w:eastAsia="zh-CN"/>
              </w:rPr>
              <w:t>吨包</w:t>
            </w:r>
          </w:p>
        </w:tc>
        <w:tc>
          <w:tcPr>
            <w:tcW w:w="548" w:type="pct"/>
            <w:tcBorders>
              <w:tl2br w:val="nil"/>
              <w:tr2bl w:val="nil"/>
            </w:tcBorders>
            <w:noWrap/>
            <w:vAlign w:val="center"/>
          </w:tcPr>
          <w:p w14:paraId="2C008957">
            <w:pPr>
              <w:pStyle w:val="127"/>
              <w:keepNext w:val="0"/>
              <w:keepLines w:val="0"/>
              <w:widowControl/>
              <w:suppressLineNumbers w:val="0"/>
              <w:spacing w:before="0" w:beforeAutospacing="0" w:after="0" w:afterAutospacing="0"/>
              <w:ind w:left="0" w:leftChars="0" w:right="0" w:rightChars="0"/>
              <w:jc w:val="center"/>
              <w:rPr>
                <w:rFonts w:hint="default"/>
                <w:color w:val="auto"/>
                <w:lang w:val="en-US" w:eastAsia="zh-CN"/>
              </w:rPr>
            </w:pPr>
            <w:r>
              <w:rPr>
                <w:rFonts w:hint="eastAsia"/>
                <w:color w:val="auto"/>
                <w:lang w:val="en-US" w:eastAsia="zh-CN"/>
              </w:rPr>
              <w:t>--</w:t>
            </w:r>
          </w:p>
        </w:tc>
        <w:tc>
          <w:tcPr>
            <w:tcW w:w="589" w:type="pct"/>
            <w:tcBorders>
              <w:tl2br w:val="nil"/>
              <w:tr2bl w:val="nil"/>
            </w:tcBorders>
            <w:noWrap/>
            <w:vAlign w:val="center"/>
          </w:tcPr>
          <w:p w14:paraId="694B1063">
            <w:pPr>
              <w:pStyle w:val="127"/>
              <w:keepNext w:val="0"/>
              <w:keepLines w:val="0"/>
              <w:widowControl/>
              <w:suppressLineNumbers w:val="0"/>
              <w:spacing w:before="0" w:beforeAutospacing="0" w:after="0" w:afterAutospacing="0"/>
              <w:ind w:left="0" w:leftChars="0" w:right="0" w:rightChars="0"/>
              <w:jc w:val="center"/>
              <w:rPr>
                <w:rFonts w:hint="eastAsia"/>
                <w:color w:val="auto"/>
                <w:lang w:val="en-US" w:eastAsia="zh-CN"/>
              </w:rPr>
            </w:pPr>
            <w:r>
              <w:rPr>
                <w:rFonts w:hint="eastAsia"/>
                <w:color w:val="auto"/>
                <w:lang w:val="en-US" w:eastAsia="zh-CN"/>
              </w:rPr>
              <w:t>450</w:t>
            </w:r>
          </w:p>
        </w:tc>
        <w:tc>
          <w:tcPr>
            <w:tcW w:w="442" w:type="pct"/>
            <w:tcBorders>
              <w:tl2br w:val="nil"/>
              <w:tr2bl w:val="nil"/>
            </w:tcBorders>
            <w:noWrap/>
            <w:vAlign w:val="center"/>
          </w:tcPr>
          <w:p w14:paraId="0B7F3AAA">
            <w:pPr>
              <w:pStyle w:val="127"/>
              <w:keepNext w:val="0"/>
              <w:keepLines w:val="0"/>
              <w:widowControl/>
              <w:suppressLineNumbers w:val="0"/>
              <w:spacing w:before="0" w:beforeAutospacing="0" w:after="0" w:afterAutospacing="0"/>
              <w:ind w:left="0" w:leftChars="0" w:right="0" w:rightChars="0"/>
              <w:jc w:val="center"/>
              <w:rPr>
                <w:rFonts w:hint="eastAsia"/>
                <w:color w:val="auto"/>
                <w:lang w:eastAsia="zh-CN"/>
              </w:rPr>
            </w:pPr>
            <w:r>
              <w:rPr>
                <w:rFonts w:hint="eastAsia"/>
                <w:color w:val="auto"/>
                <w:lang w:eastAsia="zh-CN"/>
              </w:rPr>
              <w:t>固</w:t>
            </w:r>
          </w:p>
        </w:tc>
        <w:tc>
          <w:tcPr>
            <w:tcW w:w="696" w:type="pct"/>
            <w:tcBorders>
              <w:tl2br w:val="nil"/>
              <w:tr2bl w:val="nil"/>
            </w:tcBorders>
            <w:noWrap/>
            <w:vAlign w:val="center"/>
          </w:tcPr>
          <w:p w14:paraId="45E642CE">
            <w:pPr>
              <w:pStyle w:val="127"/>
              <w:keepNext w:val="0"/>
              <w:keepLines w:val="0"/>
              <w:widowControl/>
              <w:suppressLineNumbers w:val="0"/>
              <w:spacing w:before="0" w:beforeAutospacing="0" w:after="0" w:afterAutospacing="0"/>
              <w:ind w:left="0" w:leftChars="0" w:right="0" w:rightChars="0"/>
              <w:jc w:val="center"/>
              <w:rPr>
                <w:rFonts w:hint="eastAsia"/>
                <w:color w:val="auto"/>
                <w:lang w:val="en-US" w:eastAsia="zh-CN"/>
              </w:rPr>
            </w:pPr>
            <w:r>
              <w:rPr>
                <w:rFonts w:hint="eastAsia"/>
                <w:color w:val="auto"/>
                <w:lang w:val="en-US" w:eastAsia="zh-CN"/>
              </w:rPr>
              <w:t>/</w:t>
            </w:r>
          </w:p>
        </w:tc>
      </w:tr>
      <w:tr w14:paraId="629044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3" w:hRule="atLeast"/>
          <w:tblHeader/>
          <w:jc w:val="center"/>
        </w:trPr>
        <w:tc>
          <w:tcPr>
            <w:tcW w:w="823" w:type="pct"/>
            <w:tcBorders>
              <w:tl2br w:val="nil"/>
              <w:tr2bl w:val="nil"/>
            </w:tcBorders>
            <w:noWrap/>
            <w:vAlign w:val="center"/>
          </w:tcPr>
          <w:p w14:paraId="5978F135">
            <w:pPr>
              <w:keepNext w:val="0"/>
              <w:keepLines w:val="0"/>
              <w:suppressLineNumbers w:val="0"/>
              <w:spacing w:before="0" w:beforeAutospacing="0" w:after="0" w:afterAutospacing="0"/>
              <w:ind w:left="0" w:right="0"/>
              <w:jc w:val="center"/>
              <w:rPr>
                <w:rStyle w:val="35"/>
                <w:rFonts w:hint="eastAsia" w:ascii="Times New Roman" w:hAnsi="Times New Roman" w:eastAsia="宋体" w:cs="Times New Roman"/>
                <w:color w:val="000000"/>
                <w:kern w:val="2"/>
                <w:sz w:val="21"/>
                <w:szCs w:val="20"/>
                <w:lang w:val="en-US" w:eastAsia="zh-CN" w:bidi="ar-SA"/>
              </w:rPr>
            </w:pPr>
            <w:r>
              <w:rPr>
                <w:rFonts w:hint="default" w:eastAsia="新宋体"/>
                <w:sz w:val="21"/>
                <w:szCs w:val="21"/>
              </w:rPr>
              <w:t>冷凝残渣</w:t>
            </w:r>
          </w:p>
        </w:tc>
        <w:tc>
          <w:tcPr>
            <w:tcW w:w="635" w:type="pct"/>
            <w:vMerge w:val="continue"/>
            <w:tcBorders>
              <w:tl2br w:val="nil"/>
              <w:tr2bl w:val="nil"/>
            </w:tcBorders>
            <w:noWrap/>
            <w:vAlign w:val="center"/>
          </w:tcPr>
          <w:p w14:paraId="4BB5B129">
            <w:pPr>
              <w:pStyle w:val="127"/>
              <w:keepNext w:val="0"/>
              <w:keepLines w:val="0"/>
              <w:widowControl/>
              <w:suppressLineNumbers w:val="0"/>
              <w:spacing w:before="0" w:beforeAutospacing="0" w:after="0" w:afterAutospacing="0"/>
              <w:ind w:left="0" w:right="0"/>
              <w:jc w:val="center"/>
              <w:rPr>
                <w:rFonts w:hint="eastAsia"/>
                <w:color w:val="auto"/>
                <w:lang w:val="en-US" w:eastAsia="zh-CN"/>
              </w:rPr>
            </w:pPr>
          </w:p>
        </w:tc>
        <w:tc>
          <w:tcPr>
            <w:tcW w:w="630" w:type="pct"/>
            <w:vMerge w:val="continue"/>
            <w:tcBorders>
              <w:tl2br w:val="nil"/>
              <w:tr2bl w:val="nil"/>
            </w:tcBorders>
            <w:noWrap/>
            <w:vAlign w:val="center"/>
          </w:tcPr>
          <w:p w14:paraId="5EF64E12">
            <w:pPr>
              <w:pStyle w:val="127"/>
              <w:keepNext w:val="0"/>
              <w:keepLines w:val="0"/>
              <w:widowControl/>
              <w:suppressLineNumbers w:val="0"/>
              <w:spacing w:before="0" w:beforeAutospacing="0" w:after="0" w:afterAutospacing="0"/>
              <w:ind w:left="0" w:leftChars="0" w:right="0" w:rightChars="0"/>
              <w:jc w:val="center"/>
              <w:rPr>
                <w:rFonts w:hint="eastAsia"/>
                <w:color w:val="auto"/>
              </w:rPr>
            </w:pPr>
          </w:p>
        </w:tc>
        <w:tc>
          <w:tcPr>
            <w:tcW w:w="632" w:type="pct"/>
            <w:tcBorders>
              <w:tl2br w:val="nil"/>
              <w:tr2bl w:val="nil"/>
            </w:tcBorders>
            <w:noWrap/>
            <w:vAlign w:val="center"/>
          </w:tcPr>
          <w:p w14:paraId="0924D04A">
            <w:pPr>
              <w:pStyle w:val="127"/>
              <w:keepNext w:val="0"/>
              <w:keepLines w:val="0"/>
              <w:widowControl/>
              <w:suppressLineNumbers w:val="0"/>
              <w:spacing w:before="0" w:beforeAutospacing="0" w:after="0" w:afterAutospacing="0"/>
              <w:ind w:left="0" w:leftChars="0" w:right="0" w:rightChars="0"/>
              <w:jc w:val="center"/>
              <w:rPr>
                <w:rFonts w:hint="eastAsia"/>
                <w:color w:val="auto"/>
                <w:lang w:eastAsia="zh-CN"/>
              </w:rPr>
            </w:pPr>
            <w:r>
              <w:rPr>
                <w:rFonts w:hint="eastAsia"/>
                <w:color w:val="auto"/>
                <w:lang w:eastAsia="zh-CN"/>
              </w:rPr>
              <w:t>吨包</w:t>
            </w:r>
          </w:p>
        </w:tc>
        <w:tc>
          <w:tcPr>
            <w:tcW w:w="548" w:type="pct"/>
            <w:tcBorders>
              <w:tl2br w:val="nil"/>
              <w:tr2bl w:val="nil"/>
            </w:tcBorders>
            <w:noWrap/>
            <w:vAlign w:val="center"/>
          </w:tcPr>
          <w:p w14:paraId="6E7B9376">
            <w:pPr>
              <w:pStyle w:val="127"/>
              <w:keepNext w:val="0"/>
              <w:keepLines w:val="0"/>
              <w:widowControl/>
              <w:suppressLineNumbers w:val="0"/>
              <w:spacing w:before="0" w:beforeAutospacing="0" w:after="0" w:afterAutospacing="0"/>
              <w:ind w:left="0" w:leftChars="0" w:right="0" w:rightChars="0"/>
              <w:jc w:val="center"/>
              <w:rPr>
                <w:rFonts w:hint="eastAsia"/>
                <w:color w:val="auto"/>
                <w:lang w:val="en-US" w:eastAsia="zh-CN"/>
              </w:rPr>
            </w:pPr>
            <w:r>
              <w:rPr>
                <w:rFonts w:hint="eastAsia"/>
                <w:color w:val="auto"/>
                <w:lang w:val="en-US" w:eastAsia="zh-CN"/>
              </w:rPr>
              <w:t>--</w:t>
            </w:r>
          </w:p>
        </w:tc>
        <w:tc>
          <w:tcPr>
            <w:tcW w:w="589" w:type="pct"/>
            <w:tcBorders>
              <w:tl2br w:val="nil"/>
              <w:tr2bl w:val="nil"/>
            </w:tcBorders>
            <w:noWrap/>
            <w:vAlign w:val="center"/>
          </w:tcPr>
          <w:p w14:paraId="14CD3BBE">
            <w:pPr>
              <w:pStyle w:val="127"/>
              <w:keepNext w:val="0"/>
              <w:keepLines w:val="0"/>
              <w:widowControl/>
              <w:suppressLineNumbers w:val="0"/>
              <w:spacing w:before="0" w:beforeAutospacing="0" w:after="0" w:afterAutospacing="0"/>
              <w:ind w:left="0" w:leftChars="0" w:right="0" w:rightChars="0"/>
              <w:jc w:val="center"/>
              <w:rPr>
                <w:rFonts w:hint="eastAsia"/>
                <w:color w:val="auto"/>
                <w:lang w:val="en-US" w:eastAsia="zh-CN"/>
              </w:rPr>
            </w:pPr>
            <w:r>
              <w:rPr>
                <w:rFonts w:hint="eastAsia"/>
                <w:color w:val="auto"/>
                <w:lang w:val="en-US" w:eastAsia="zh-CN"/>
              </w:rPr>
              <w:t>450</w:t>
            </w:r>
          </w:p>
        </w:tc>
        <w:tc>
          <w:tcPr>
            <w:tcW w:w="442" w:type="pct"/>
            <w:tcBorders>
              <w:tl2br w:val="nil"/>
              <w:tr2bl w:val="nil"/>
            </w:tcBorders>
            <w:noWrap/>
            <w:vAlign w:val="center"/>
          </w:tcPr>
          <w:p w14:paraId="7D01E0B5">
            <w:pPr>
              <w:pStyle w:val="127"/>
              <w:keepNext w:val="0"/>
              <w:keepLines w:val="0"/>
              <w:widowControl/>
              <w:suppressLineNumbers w:val="0"/>
              <w:spacing w:before="0" w:beforeAutospacing="0" w:after="0" w:afterAutospacing="0"/>
              <w:ind w:left="0" w:leftChars="0" w:right="0" w:rightChars="0"/>
              <w:jc w:val="center"/>
              <w:rPr>
                <w:rFonts w:hint="eastAsia"/>
                <w:color w:val="auto"/>
                <w:lang w:eastAsia="zh-CN"/>
              </w:rPr>
            </w:pPr>
            <w:r>
              <w:rPr>
                <w:rFonts w:hint="eastAsia"/>
                <w:color w:val="auto"/>
                <w:lang w:eastAsia="zh-CN"/>
              </w:rPr>
              <w:t>固</w:t>
            </w:r>
          </w:p>
        </w:tc>
        <w:tc>
          <w:tcPr>
            <w:tcW w:w="696" w:type="pct"/>
            <w:tcBorders>
              <w:tl2br w:val="nil"/>
              <w:tr2bl w:val="nil"/>
            </w:tcBorders>
            <w:noWrap/>
            <w:vAlign w:val="center"/>
          </w:tcPr>
          <w:p w14:paraId="27BD5F70">
            <w:pPr>
              <w:pStyle w:val="127"/>
              <w:keepNext w:val="0"/>
              <w:keepLines w:val="0"/>
              <w:widowControl/>
              <w:suppressLineNumbers w:val="0"/>
              <w:spacing w:before="0" w:beforeAutospacing="0" w:after="0" w:afterAutospacing="0"/>
              <w:ind w:left="0" w:leftChars="0" w:right="0" w:rightChars="0"/>
              <w:jc w:val="center"/>
              <w:rPr>
                <w:rFonts w:hint="eastAsia"/>
                <w:color w:val="auto"/>
                <w:lang w:val="en-US" w:eastAsia="zh-CN"/>
              </w:rPr>
            </w:pPr>
            <w:r>
              <w:rPr>
                <w:rFonts w:hint="eastAsia"/>
                <w:color w:val="auto"/>
                <w:lang w:val="en-US" w:eastAsia="zh-CN"/>
              </w:rPr>
              <w:t>/</w:t>
            </w:r>
          </w:p>
        </w:tc>
      </w:tr>
      <w:tr w14:paraId="5CF68C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3" w:hRule="atLeast"/>
          <w:tblHeader/>
          <w:jc w:val="center"/>
        </w:trPr>
        <w:tc>
          <w:tcPr>
            <w:tcW w:w="823" w:type="pct"/>
            <w:tcBorders>
              <w:tl2br w:val="nil"/>
              <w:tr2bl w:val="nil"/>
            </w:tcBorders>
            <w:noWrap/>
            <w:vAlign w:val="center"/>
          </w:tcPr>
          <w:p w14:paraId="3A8AF06C">
            <w:pPr>
              <w:keepNext w:val="0"/>
              <w:keepLines w:val="0"/>
              <w:suppressLineNumbers w:val="0"/>
              <w:spacing w:before="0" w:beforeAutospacing="0" w:after="0" w:afterAutospacing="0"/>
              <w:ind w:left="0" w:right="0"/>
              <w:jc w:val="center"/>
              <w:rPr>
                <w:rStyle w:val="35"/>
                <w:rFonts w:hint="eastAsia" w:ascii="Times New Roman" w:hAnsi="Times New Roman" w:eastAsia="宋体" w:cs="Times New Roman"/>
                <w:color w:val="000000"/>
                <w:kern w:val="2"/>
                <w:sz w:val="21"/>
                <w:szCs w:val="20"/>
                <w:lang w:val="en-US" w:eastAsia="zh-CN" w:bidi="ar-SA"/>
              </w:rPr>
            </w:pPr>
            <w:r>
              <w:rPr>
                <w:rFonts w:hint="eastAsia" w:eastAsia="新宋体"/>
                <w:sz w:val="21"/>
                <w:szCs w:val="21"/>
                <w:lang w:eastAsia="zh-CN"/>
              </w:rPr>
              <w:t>浓缩残渣</w:t>
            </w:r>
          </w:p>
        </w:tc>
        <w:tc>
          <w:tcPr>
            <w:tcW w:w="635" w:type="pct"/>
            <w:vMerge w:val="continue"/>
            <w:tcBorders>
              <w:tl2br w:val="nil"/>
              <w:tr2bl w:val="nil"/>
            </w:tcBorders>
            <w:noWrap/>
            <w:vAlign w:val="center"/>
          </w:tcPr>
          <w:p w14:paraId="4397B929">
            <w:pPr>
              <w:pStyle w:val="127"/>
              <w:keepNext w:val="0"/>
              <w:keepLines w:val="0"/>
              <w:widowControl/>
              <w:suppressLineNumbers w:val="0"/>
              <w:spacing w:before="0" w:beforeAutospacing="0" w:after="0" w:afterAutospacing="0"/>
              <w:ind w:left="0" w:right="0"/>
              <w:jc w:val="center"/>
              <w:rPr>
                <w:rFonts w:hint="default" w:eastAsia="宋体"/>
                <w:color w:val="auto"/>
                <w:lang w:val="en-US" w:eastAsia="zh-CN"/>
              </w:rPr>
            </w:pPr>
          </w:p>
        </w:tc>
        <w:tc>
          <w:tcPr>
            <w:tcW w:w="630" w:type="pct"/>
            <w:vMerge w:val="continue"/>
            <w:tcBorders>
              <w:tl2br w:val="nil"/>
              <w:tr2bl w:val="nil"/>
            </w:tcBorders>
            <w:noWrap/>
            <w:vAlign w:val="center"/>
          </w:tcPr>
          <w:p w14:paraId="0F533E39">
            <w:pPr>
              <w:pStyle w:val="127"/>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lang w:val="en-US" w:eastAsia="zh-CN" w:bidi="ar-SA"/>
              </w:rPr>
            </w:pPr>
          </w:p>
        </w:tc>
        <w:tc>
          <w:tcPr>
            <w:tcW w:w="632" w:type="pct"/>
            <w:tcBorders>
              <w:tl2br w:val="nil"/>
              <w:tr2bl w:val="nil"/>
            </w:tcBorders>
            <w:noWrap/>
            <w:vAlign w:val="center"/>
          </w:tcPr>
          <w:p w14:paraId="2C77522F">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lang w:eastAsia="zh-CN"/>
              </w:rPr>
              <w:t>吨包</w:t>
            </w:r>
          </w:p>
        </w:tc>
        <w:tc>
          <w:tcPr>
            <w:tcW w:w="548" w:type="pct"/>
            <w:tcBorders>
              <w:tl2br w:val="nil"/>
              <w:tr2bl w:val="nil"/>
            </w:tcBorders>
            <w:noWrap/>
            <w:vAlign w:val="center"/>
          </w:tcPr>
          <w:p w14:paraId="731BF096">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lang w:val="en-US" w:eastAsia="zh-CN"/>
              </w:rPr>
              <w:t>--</w:t>
            </w:r>
          </w:p>
        </w:tc>
        <w:tc>
          <w:tcPr>
            <w:tcW w:w="589" w:type="pct"/>
            <w:tcBorders>
              <w:tl2br w:val="nil"/>
              <w:tr2bl w:val="nil"/>
            </w:tcBorders>
            <w:noWrap/>
            <w:vAlign w:val="center"/>
          </w:tcPr>
          <w:p w14:paraId="20DED85B">
            <w:pPr>
              <w:pStyle w:val="127"/>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color w:val="auto"/>
                <w:lang w:val="en-US" w:eastAsia="zh-CN"/>
              </w:rPr>
              <w:t>450</w:t>
            </w:r>
          </w:p>
        </w:tc>
        <w:tc>
          <w:tcPr>
            <w:tcW w:w="442" w:type="pct"/>
            <w:tcBorders>
              <w:tl2br w:val="nil"/>
              <w:tr2bl w:val="nil"/>
            </w:tcBorders>
            <w:noWrap/>
            <w:vAlign w:val="center"/>
          </w:tcPr>
          <w:p w14:paraId="261CC519">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lang w:eastAsia="zh-CN"/>
              </w:rPr>
              <w:t>固</w:t>
            </w:r>
          </w:p>
        </w:tc>
        <w:tc>
          <w:tcPr>
            <w:tcW w:w="696" w:type="pct"/>
            <w:tcBorders>
              <w:tl2br w:val="nil"/>
              <w:tr2bl w:val="nil"/>
            </w:tcBorders>
            <w:noWrap/>
            <w:vAlign w:val="center"/>
          </w:tcPr>
          <w:p w14:paraId="0BC90713">
            <w:pPr>
              <w:pStyle w:val="127"/>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color w:val="auto"/>
                <w:lang w:val="en-US" w:eastAsia="zh-CN"/>
              </w:rPr>
              <w:t>/</w:t>
            </w:r>
          </w:p>
        </w:tc>
      </w:tr>
      <w:tr w14:paraId="197353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3" w:hRule="atLeast"/>
          <w:tblHeader/>
          <w:jc w:val="center"/>
        </w:trPr>
        <w:tc>
          <w:tcPr>
            <w:tcW w:w="823" w:type="pct"/>
            <w:tcBorders>
              <w:tl2br w:val="nil"/>
              <w:tr2bl w:val="nil"/>
            </w:tcBorders>
            <w:noWrap/>
            <w:vAlign w:val="center"/>
          </w:tcPr>
          <w:p w14:paraId="4EDDBE7B">
            <w:pPr>
              <w:keepNext w:val="0"/>
              <w:keepLines w:val="0"/>
              <w:suppressLineNumbers w:val="0"/>
              <w:spacing w:before="0" w:beforeAutospacing="0" w:after="0" w:afterAutospacing="0"/>
              <w:ind w:left="0" w:right="0"/>
              <w:jc w:val="center"/>
              <w:rPr>
                <w:rStyle w:val="35"/>
                <w:rFonts w:hint="eastAsia" w:ascii="Times New Roman" w:hAnsi="Times New Roman" w:eastAsia="宋体" w:cs="Times New Roman"/>
                <w:color w:val="000000"/>
                <w:kern w:val="2"/>
                <w:sz w:val="21"/>
                <w:szCs w:val="20"/>
                <w:lang w:val="en-US" w:eastAsia="zh-CN" w:bidi="ar-SA"/>
              </w:rPr>
            </w:pPr>
            <w:r>
              <w:rPr>
                <w:rFonts w:hint="eastAsia" w:eastAsia="新宋体"/>
                <w:sz w:val="21"/>
                <w:szCs w:val="21"/>
                <w:lang w:eastAsia="zh-CN"/>
              </w:rPr>
              <w:t>废酸</w:t>
            </w:r>
          </w:p>
        </w:tc>
        <w:tc>
          <w:tcPr>
            <w:tcW w:w="635" w:type="pct"/>
            <w:vMerge w:val="continue"/>
            <w:tcBorders>
              <w:tl2br w:val="nil"/>
              <w:tr2bl w:val="nil"/>
            </w:tcBorders>
            <w:noWrap/>
            <w:vAlign w:val="center"/>
          </w:tcPr>
          <w:p w14:paraId="13DAAEF7">
            <w:pPr>
              <w:pStyle w:val="127"/>
              <w:keepNext w:val="0"/>
              <w:keepLines w:val="0"/>
              <w:widowControl/>
              <w:suppressLineNumbers w:val="0"/>
              <w:spacing w:before="0" w:beforeAutospacing="0" w:after="0" w:afterAutospacing="0"/>
              <w:ind w:left="0" w:right="0"/>
              <w:jc w:val="center"/>
              <w:rPr>
                <w:rFonts w:hint="eastAsia"/>
                <w:color w:val="auto"/>
              </w:rPr>
            </w:pPr>
          </w:p>
        </w:tc>
        <w:tc>
          <w:tcPr>
            <w:tcW w:w="630" w:type="pct"/>
            <w:vMerge w:val="continue"/>
            <w:tcBorders>
              <w:tl2br w:val="nil"/>
              <w:tr2bl w:val="nil"/>
            </w:tcBorders>
            <w:noWrap/>
            <w:vAlign w:val="center"/>
          </w:tcPr>
          <w:p w14:paraId="58658D5D">
            <w:pPr>
              <w:pStyle w:val="127"/>
              <w:keepNext w:val="0"/>
              <w:keepLines w:val="0"/>
              <w:widowControl/>
              <w:suppressLineNumbers w:val="0"/>
              <w:spacing w:before="0" w:beforeAutospacing="0" w:after="0" w:afterAutospacing="0"/>
              <w:ind w:left="0" w:right="0"/>
              <w:jc w:val="center"/>
              <w:rPr>
                <w:rFonts w:hint="eastAsia" w:eastAsia="宋体"/>
                <w:color w:val="auto"/>
                <w:lang w:eastAsia="zh-CN"/>
              </w:rPr>
            </w:pPr>
          </w:p>
        </w:tc>
        <w:tc>
          <w:tcPr>
            <w:tcW w:w="632" w:type="pct"/>
            <w:tcBorders>
              <w:tl2br w:val="nil"/>
              <w:tr2bl w:val="nil"/>
            </w:tcBorders>
            <w:noWrap/>
            <w:vAlign w:val="center"/>
          </w:tcPr>
          <w:p w14:paraId="135A9787">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lang w:eastAsia="zh-CN"/>
              </w:rPr>
              <w:t>桶装</w:t>
            </w:r>
          </w:p>
        </w:tc>
        <w:tc>
          <w:tcPr>
            <w:tcW w:w="548" w:type="pct"/>
            <w:tcBorders>
              <w:tl2br w:val="nil"/>
              <w:tr2bl w:val="nil"/>
            </w:tcBorders>
            <w:noWrap/>
            <w:vAlign w:val="center"/>
          </w:tcPr>
          <w:p w14:paraId="0075B186">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lang w:val="en-US" w:eastAsia="zh-CN"/>
              </w:rPr>
              <w:t>--</w:t>
            </w:r>
          </w:p>
        </w:tc>
        <w:tc>
          <w:tcPr>
            <w:tcW w:w="589" w:type="pct"/>
            <w:tcBorders>
              <w:tl2br w:val="nil"/>
              <w:tr2bl w:val="nil"/>
            </w:tcBorders>
            <w:noWrap/>
            <w:vAlign w:val="center"/>
          </w:tcPr>
          <w:p w14:paraId="3106690F">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lang w:val="en-US" w:eastAsia="zh-CN"/>
              </w:rPr>
              <w:t>240</w:t>
            </w:r>
          </w:p>
        </w:tc>
        <w:tc>
          <w:tcPr>
            <w:tcW w:w="442" w:type="pct"/>
            <w:tcBorders>
              <w:tl2br w:val="nil"/>
              <w:tr2bl w:val="nil"/>
            </w:tcBorders>
            <w:noWrap/>
            <w:vAlign w:val="center"/>
          </w:tcPr>
          <w:p w14:paraId="3FC8B3F3">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lang w:eastAsia="zh-CN"/>
              </w:rPr>
              <w:t>液</w:t>
            </w:r>
          </w:p>
        </w:tc>
        <w:tc>
          <w:tcPr>
            <w:tcW w:w="696" w:type="pct"/>
            <w:tcBorders>
              <w:tl2br w:val="nil"/>
              <w:tr2bl w:val="nil"/>
            </w:tcBorders>
            <w:noWrap/>
            <w:vAlign w:val="center"/>
          </w:tcPr>
          <w:p w14:paraId="0F4BA6B4">
            <w:pPr>
              <w:pStyle w:val="127"/>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color w:val="auto"/>
                <w:lang w:val="en-US" w:eastAsia="zh-CN"/>
              </w:rPr>
              <w:t>/</w:t>
            </w:r>
          </w:p>
        </w:tc>
      </w:tr>
      <w:tr w14:paraId="6A9D32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3" w:hRule="atLeast"/>
          <w:tblHeader/>
          <w:jc w:val="center"/>
        </w:trPr>
        <w:tc>
          <w:tcPr>
            <w:tcW w:w="823" w:type="pct"/>
            <w:tcBorders>
              <w:tl2br w:val="nil"/>
              <w:tr2bl w:val="nil"/>
            </w:tcBorders>
            <w:noWrap/>
            <w:vAlign w:val="center"/>
          </w:tcPr>
          <w:p w14:paraId="1EC4186E">
            <w:pPr>
              <w:keepNext w:val="0"/>
              <w:keepLines w:val="0"/>
              <w:suppressLineNumbers w:val="0"/>
              <w:spacing w:before="0" w:beforeAutospacing="0" w:after="0" w:afterAutospacing="0"/>
              <w:ind w:left="0" w:right="0"/>
              <w:jc w:val="center"/>
              <w:rPr>
                <w:rStyle w:val="35"/>
                <w:rFonts w:hint="eastAsia" w:ascii="Times New Roman" w:hAnsi="Times New Roman" w:eastAsia="宋体" w:cs="Times New Roman"/>
                <w:color w:val="000000"/>
                <w:kern w:val="2"/>
                <w:sz w:val="21"/>
                <w:szCs w:val="20"/>
                <w:lang w:val="en-US" w:eastAsia="zh-CN" w:bidi="ar-SA"/>
              </w:rPr>
            </w:pPr>
            <w:r>
              <w:rPr>
                <w:rFonts w:hint="default" w:eastAsia="新宋体"/>
                <w:sz w:val="21"/>
                <w:szCs w:val="21"/>
              </w:rPr>
              <w:t>压滤残渣</w:t>
            </w:r>
          </w:p>
        </w:tc>
        <w:tc>
          <w:tcPr>
            <w:tcW w:w="635" w:type="pct"/>
            <w:vMerge w:val="continue"/>
            <w:tcBorders>
              <w:tl2br w:val="nil"/>
              <w:tr2bl w:val="nil"/>
            </w:tcBorders>
            <w:noWrap/>
            <w:vAlign w:val="center"/>
          </w:tcPr>
          <w:p w14:paraId="36A92614">
            <w:pPr>
              <w:pStyle w:val="127"/>
              <w:keepNext w:val="0"/>
              <w:keepLines w:val="0"/>
              <w:widowControl/>
              <w:suppressLineNumbers w:val="0"/>
              <w:spacing w:before="0" w:beforeAutospacing="0" w:after="0" w:afterAutospacing="0"/>
              <w:ind w:left="0" w:right="0"/>
              <w:jc w:val="center"/>
              <w:rPr>
                <w:rFonts w:hint="eastAsia"/>
                <w:color w:val="auto"/>
              </w:rPr>
            </w:pPr>
          </w:p>
        </w:tc>
        <w:tc>
          <w:tcPr>
            <w:tcW w:w="630" w:type="pct"/>
            <w:vMerge w:val="continue"/>
            <w:tcBorders>
              <w:tl2br w:val="nil"/>
              <w:tr2bl w:val="nil"/>
            </w:tcBorders>
            <w:noWrap/>
            <w:vAlign w:val="center"/>
          </w:tcPr>
          <w:p w14:paraId="72ECF859">
            <w:pPr>
              <w:pStyle w:val="127"/>
              <w:keepNext w:val="0"/>
              <w:keepLines w:val="0"/>
              <w:widowControl/>
              <w:suppressLineNumbers w:val="0"/>
              <w:spacing w:before="0" w:beforeAutospacing="0" w:after="0" w:afterAutospacing="0"/>
              <w:ind w:left="0" w:right="0"/>
              <w:jc w:val="center"/>
              <w:rPr>
                <w:rFonts w:hint="eastAsia" w:eastAsia="宋体"/>
                <w:color w:val="auto"/>
                <w:lang w:eastAsia="zh-CN"/>
              </w:rPr>
            </w:pPr>
          </w:p>
        </w:tc>
        <w:tc>
          <w:tcPr>
            <w:tcW w:w="632" w:type="pct"/>
            <w:tcBorders>
              <w:tl2br w:val="nil"/>
              <w:tr2bl w:val="nil"/>
            </w:tcBorders>
            <w:noWrap/>
            <w:vAlign w:val="center"/>
          </w:tcPr>
          <w:p w14:paraId="0237DA86">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lang w:eastAsia="zh-CN"/>
              </w:rPr>
              <w:t>吨包</w:t>
            </w:r>
          </w:p>
        </w:tc>
        <w:tc>
          <w:tcPr>
            <w:tcW w:w="548" w:type="pct"/>
            <w:tcBorders>
              <w:tl2br w:val="nil"/>
              <w:tr2bl w:val="nil"/>
            </w:tcBorders>
            <w:noWrap/>
            <w:vAlign w:val="center"/>
          </w:tcPr>
          <w:p w14:paraId="0ADDBACA">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lang w:val="en-US" w:eastAsia="zh-CN"/>
              </w:rPr>
              <w:t>--</w:t>
            </w:r>
          </w:p>
        </w:tc>
        <w:tc>
          <w:tcPr>
            <w:tcW w:w="589" w:type="pct"/>
            <w:tcBorders>
              <w:tl2br w:val="nil"/>
              <w:tr2bl w:val="nil"/>
            </w:tcBorders>
            <w:noWrap/>
            <w:vAlign w:val="center"/>
          </w:tcPr>
          <w:p w14:paraId="11598E60">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lang w:val="en-US" w:eastAsia="zh-CN"/>
              </w:rPr>
              <w:t>450</w:t>
            </w:r>
          </w:p>
        </w:tc>
        <w:tc>
          <w:tcPr>
            <w:tcW w:w="442" w:type="pct"/>
            <w:tcBorders>
              <w:tl2br w:val="nil"/>
              <w:tr2bl w:val="nil"/>
            </w:tcBorders>
            <w:noWrap/>
            <w:vAlign w:val="center"/>
          </w:tcPr>
          <w:p w14:paraId="4568C53D">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lang w:eastAsia="zh-CN"/>
              </w:rPr>
              <w:t>固</w:t>
            </w:r>
          </w:p>
        </w:tc>
        <w:tc>
          <w:tcPr>
            <w:tcW w:w="696" w:type="pct"/>
            <w:tcBorders>
              <w:tl2br w:val="nil"/>
              <w:tr2bl w:val="nil"/>
            </w:tcBorders>
            <w:noWrap/>
            <w:vAlign w:val="center"/>
          </w:tcPr>
          <w:p w14:paraId="1EFFD9DE">
            <w:pPr>
              <w:pStyle w:val="127"/>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color w:val="auto"/>
                <w:lang w:val="en-US" w:eastAsia="zh-CN"/>
              </w:rPr>
              <w:t>/</w:t>
            </w:r>
          </w:p>
        </w:tc>
      </w:tr>
      <w:tr w14:paraId="428B5E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3" w:hRule="atLeast"/>
          <w:tblHeader/>
          <w:jc w:val="center"/>
        </w:trPr>
        <w:tc>
          <w:tcPr>
            <w:tcW w:w="823" w:type="pct"/>
            <w:tcBorders>
              <w:tl2br w:val="nil"/>
              <w:tr2bl w:val="nil"/>
            </w:tcBorders>
            <w:noWrap/>
            <w:vAlign w:val="center"/>
          </w:tcPr>
          <w:p w14:paraId="6744D6C2">
            <w:pPr>
              <w:keepNext w:val="0"/>
              <w:keepLines w:val="0"/>
              <w:suppressLineNumbers w:val="0"/>
              <w:spacing w:before="0" w:beforeAutospacing="0" w:after="0" w:afterAutospacing="0" w:line="240" w:lineRule="auto"/>
              <w:ind w:left="0" w:right="0" w:firstLine="0" w:firstLineChars="0"/>
              <w:jc w:val="center"/>
              <w:rPr>
                <w:rStyle w:val="35"/>
                <w:rFonts w:hint="eastAsia" w:ascii="Times New Roman" w:hAnsi="Times New Roman" w:eastAsia="宋体" w:cs="Times New Roman"/>
                <w:color w:val="000000"/>
                <w:kern w:val="2"/>
                <w:sz w:val="21"/>
                <w:szCs w:val="20"/>
                <w:lang w:val="en-US" w:eastAsia="zh-CN" w:bidi="ar-SA"/>
              </w:rPr>
            </w:pPr>
            <w:r>
              <w:rPr>
                <w:rStyle w:val="35"/>
                <w:rFonts w:hint="eastAsia" w:ascii="Times New Roman" w:hAnsi="Times New Roman" w:eastAsia="宋体" w:cs="Times New Roman"/>
                <w:color w:val="000000"/>
                <w:kern w:val="2"/>
                <w:sz w:val="21"/>
                <w:szCs w:val="20"/>
                <w:lang w:val="en-US" w:eastAsia="zh-CN" w:bidi="ar-SA"/>
              </w:rPr>
              <w:t>沾染物料的包装物</w:t>
            </w:r>
          </w:p>
        </w:tc>
        <w:tc>
          <w:tcPr>
            <w:tcW w:w="635" w:type="pct"/>
            <w:vMerge w:val="continue"/>
            <w:tcBorders>
              <w:tl2br w:val="nil"/>
              <w:tr2bl w:val="nil"/>
            </w:tcBorders>
            <w:noWrap/>
            <w:vAlign w:val="center"/>
          </w:tcPr>
          <w:p w14:paraId="4B928A3B">
            <w:pPr>
              <w:pStyle w:val="127"/>
              <w:keepNext w:val="0"/>
              <w:keepLines w:val="0"/>
              <w:widowControl/>
              <w:suppressLineNumbers w:val="0"/>
              <w:spacing w:before="0" w:beforeAutospacing="0" w:after="0" w:afterAutospacing="0"/>
              <w:ind w:left="0" w:right="0"/>
              <w:jc w:val="center"/>
              <w:rPr>
                <w:rFonts w:hint="eastAsia"/>
                <w:color w:val="auto"/>
              </w:rPr>
            </w:pPr>
          </w:p>
        </w:tc>
        <w:tc>
          <w:tcPr>
            <w:tcW w:w="630" w:type="pct"/>
            <w:vMerge w:val="continue"/>
            <w:tcBorders>
              <w:tl2br w:val="nil"/>
              <w:tr2bl w:val="nil"/>
            </w:tcBorders>
            <w:noWrap/>
            <w:vAlign w:val="center"/>
          </w:tcPr>
          <w:p w14:paraId="7AC58348">
            <w:pPr>
              <w:pStyle w:val="127"/>
              <w:keepNext w:val="0"/>
              <w:keepLines w:val="0"/>
              <w:widowControl/>
              <w:suppressLineNumbers w:val="0"/>
              <w:spacing w:before="0" w:beforeAutospacing="0" w:after="0" w:afterAutospacing="0"/>
              <w:ind w:left="0" w:right="0"/>
              <w:jc w:val="center"/>
              <w:rPr>
                <w:rFonts w:hint="eastAsia" w:eastAsia="宋体"/>
                <w:color w:val="auto"/>
                <w:lang w:eastAsia="zh-CN"/>
              </w:rPr>
            </w:pPr>
          </w:p>
        </w:tc>
        <w:tc>
          <w:tcPr>
            <w:tcW w:w="632" w:type="pct"/>
            <w:tcBorders>
              <w:tl2br w:val="nil"/>
              <w:tr2bl w:val="nil"/>
            </w:tcBorders>
            <w:noWrap/>
            <w:vAlign w:val="center"/>
          </w:tcPr>
          <w:p w14:paraId="7B8FCEB6">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lang w:eastAsia="zh-CN"/>
              </w:rPr>
              <w:t>吨包</w:t>
            </w:r>
          </w:p>
        </w:tc>
        <w:tc>
          <w:tcPr>
            <w:tcW w:w="548" w:type="pct"/>
            <w:tcBorders>
              <w:tl2br w:val="nil"/>
              <w:tr2bl w:val="nil"/>
            </w:tcBorders>
            <w:noWrap/>
            <w:vAlign w:val="center"/>
          </w:tcPr>
          <w:p w14:paraId="06C9D794">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lang w:val="en-US" w:eastAsia="zh-CN"/>
              </w:rPr>
              <w:t>0.2</w:t>
            </w:r>
          </w:p>
        </w:tc>
        <w:tc>
          <w:tcPr>
            <w:tcW w:w="589" w:type="pct"/>
            <w:tcBorders>
              <w:tl2br w:val="nil"/>
              <w:tr2bl w:val="nil"/>
            </w:tcBorders>
            <w:noWrap/>
            <w:vAlign w:val="center"/>
          </w:tcPr>
          <w:p w14:paraId="1C31408F">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lang w:val="en-US" w:eastAsia="zh-CN"/>
              </w:rPr>
              <w:t>450</w:t>
            </w:r>
          </w:p>
        </w:tc>
        <w:tc>
          <w:tcPr>
            <w:tcW w:w="442" w:type="pct"/>
            <w:tcBorders>
              <w:tl2br w:val="nil"/>
              <w:tr2bl w:val="nil"/>
            </w:tcBorders>
            <w:noWrap/>
            <w:vAlign w:val="center"/>
          </w:tcPr>
          <w:p w14:paraId="468B1842">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lang w:eastAsia="zh-CN"/>
              </w:rPr>
              <w:t>固</w:t>
            </w:r>
          </w:p>
        </w:tc>
        <w:tc>
          <w:tcPr>
            <w:tcW w:w="696" w:type="pct"/>
            <w:tcBorders>
              <w:tl2br w:val="nil"/>
              <w:tr2bl w:val="nil"/>
            </w:tcBorders>
            <w:noWrap/>
            <w:vAlign w:val="center"/>
          </w:tcPr>
          <w:p w14:paraId="76E4123F">
            <w:pPr>
              <w:pStyle w:val="127"/>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color w:val="auto"/>
                <w:lang w:val="en-US" w:eastAsia="zh-CN"/>
              </w:rPr>
              <w:t>/</w:t>
            </w:r>
          </w:p>
        </w:tc>
      </w:tr>
      <w:tr w14:paraId="309EC1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3" w:hRule="atLeast"/>
          <w:tblHeader/>
          <w:jc w:val="center"/>
        </w:trPr>
        <w:tc>
          <w:tcPr>
            <w:tcW w:w="823" w:type="pct"/>
            <w:tcBorders>
              <w:tl2br w:val="nil"/>
              <w:tr2bl w:val="nil"/>
            </w:tcBorders>
            <w:noWrap/>
            <w:vAlign w:val="center"/>
          </w:tcPr>
          <w:p w14:paraId="0B8E09C8">
            <w:pPr>
              <w:keepNext w:val="0"/>
              <w:keepLines w:val="0"/>
              <w:suppressLineNumbers w:val="0"/>
              <w:spacing w:before="0" w:beforeAutospacing="0" w:after="0" w:afterAutospacing="0" w:line="240" w:lineRule="auto"/>
              <w:ind w:left="0" w:right="0" w:firstLine="0" w:firstLineChars="0"/>
              <w:jc w:val="center"/>
              <w:rPr>
                <w:rStyle w:val="35"/>
                <w:rFonts w:hint="eastAsia" w:ascii="Times New Roman" w:hAnsi="Times New Roman" w:eastAsia="宋体" w:cs="Times New Roman"/>
                <w:color w:val="000000"/>
                <w:kern w:val="2"/>
                <w:sz w:val="21"/>
                <w:szCs w:val="20"/>
                <w:lang w:val="en-US" w:eastAsia="zh-CN" w:bidi="ar-SA"/>
              </w:rPr>
            </w:pPr>
            <w:r>
              <w:rPr>
                <w:rStyle w:val="35"/>
                <w:rFonts w:hint="eastAsia" w:ascii="Times New Roman" w:hAnsi="Times New Roman" w:eastAsia="宋体" w:cs="Times New Roman"/>
                <w:color w:val="000000"/>
                <w:kern w:val="2"/>
                <w:sz w:val="21"/>
                <w:szCs w:val="20"/>
                <w:lang w:val="en-US" w:eastAsia="zh-CN" w:bidi="ar-SA"/>
              </w:rPr>
              <w:t>蒸馏残渣</w:t>
            </w:r>
          </w:p>
        </w:tc>
        <w:tc>
          <w:tcPr>
            <w:tcW w:w="635" w:type="pct"/>
            <w:vMerge w:val="continue"/>
            <w:tcBorders>
              <w:tl2br w:val="nil"/>
              <w:tr2bl w:val="nil"/>
            </w:tcBorders>
            <w:noWrap/>
            <w:vAlign w:val="center"/>
          </w:tcPr>
          <w:p w14:paraId="1EBDFD5A">
            <w:pPr>
              <w:pStyle w:val="127"/>
              <w:keepNext w:val="0"/>
              <w:keepLines w:val="0"/>
              <w:widowControl/>
              <w:suppressLineNumbers w:val="0"/>
              <w:spacing w:before="0" w:beforeAutospacing="0" w:after="0" w:afterAutospacing="0"/>
              <w:ind w:left="0" w:right="0"/>
              <w:jc w:val="center"/>
              <w:rPr>
                <w:rFonts w:hint="eastAsia"/>
                <w:color w:val="auto"/>
              </w:rPr>
            </w:pPr>
          </w:p>
        </w:tc>
        <w:tc>
          <w:tcPr>
            <w:tcW w:w="630" w:type="pct"/>
            <w:vMerge w:val="continue"/>
            <w:tcBorders>
              <w:tl2br w:val="nil"/>
              <w:tr2bl w:val="nil"/>
            </w:tcBorders>
            <w:noWrap/>
            <w:vAlign w:val="center"/>
          </w:tcPr>
          <w:p w14:paraId="42C29D2C">
            <w:pPr>
              <w:pStyle w:val="127"/>
              <w:keepNext w:val="0"/>
              <w:keepLines w:val="0"/>
              <w:widowControl/>
              <w:suppressLineNumbers w:val="0"/>
              <w:spacing w:before="0" w:beforeAutospacing="0" w:after="0" w:afterAutospacing="0"/>
              <w:ind w:left="0" w:right="0"/>
              <w:jc w:val="center"/>
              <w:rPr>
                <w:rFonts w:hint="eastAsia" w:eastAsia="宋体"/>
                <w:color w:val="auto"/>
                <w:lang w:eastAsia="zh-CN"/>
              </w:rPr>
            </w:pPr>
          </w:p>
        </w:tc>
        <w:tc>
          <w:tcPr>
            <w:tcW w:w="632" w:type="pct"/>
            <w:tcBorders>
              <w:tl2br w:val="nil"/>
              <w:tr2bl w:val="nil"/>
            </w:tcBorders>
            <w:noWrap/>
            <w:vAlign w:val="center"/>
          </w:tcPr>
          <w:p w14:paraId="74F2B275">
            <w:pPr>
              <w:pStyle w:val="127"/>
              <w:keepNext w:val="0"/>
              <w:keepLines w:val="0"/>
              <w:widowControl/>
              <w:suppressLineNumbers w:val="0"/>
              <w:spacing w:before="0" w:beforeAutospacing="0" w:after="0" w:afterAutospacing="0"/>
              <w:ind w:left="0" w:right="0"/>
              <w:jc w:val="center"/>
              <w:rPr>
                <w:rFonts w:hint="default" w:eastAsia="宋体"/>
                <w:color w:val="auto"/>
                <w:lang w:val="en-US" w:eastAsia="zh-CN"/>
              </w:rPr>
            </w:pPr>
            <w:r>
              <w:rPr>
                <w:rFonts w:hint="eastAsia"/>
                <w:color w:val="auto"/>
                <w:lang w:eastAsia="zh-CN"/>
              </w:rPr>
              <w:t>吨包</w:t>
            </w:r>
          </w:p>
        </w:tc>
        <w:tc>
          <w:tcPr>
            <w:tcW w:w="548" w:type="pct"/>
            <w:tcBorders>
              <w:tl2br w:val="nil"/>
              <w:tr2bl w:val="nil"/>
            </w:tcBorders>
            <w:noWrap/>
            <w:vAlign w:val="center"/>
          </w:tcPr>
          <w:p w14:paraId="45A9D066">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color w:val="auto"/>
                <w:lang w:val="en-US" w:eastAsia="zh-CN"/>
              </w:rPr>
              <w:t>18.3</w:t>
            </w:r>
          </w:p>
        </w:tc>
        <w:tc>
          <w:tcPr>
            <w:tcW w:w="589" w:type="pct"/>
            <w:tcBorders>
              <w:tl2br w:val="nil"/>
              <w:tr2bl w:val="nil"/>
            </w:tcBorders>
            <w:noWrap/>
            <w:vAlign w:val="center"/>
          </w:tcPr>
          <w:p w14:paraId="16BE2CE2">
            <w:pPr>
              <w:pStyle w:val="127"/>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color w:val="auto"/>
                <w:lang w:val="en-US" w:eastAsia="zh-CN"/>
              </w:rPr>
              <w:t>450</w:t>
            </w:r>
          </w:p>
        </w:tc>
        <w:tc>
          <w:tcPr>
            <w:tcW w:w="442" w:type="pct"/>
            <w:tcBorders>
              <w:tl2br w:val="nil"/>
              <w:tr2bl w:val="nil"/>
            </w:tcBorders>
            <w:noWrap/>
            <w:vAlign w:val="center"/>
          </w:tcPr>
          <w:p w14:paraId="0A8D2BFC">
            <w:pPr>
              <w:pStyle w:val="127"/>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color w:val="auto"/>
                <w:lang w:eastAsia="zh-CN"/>
              </w:rPr>
              <w:t>固</w:t>
            </w:r>
          </w:p>
        </w:tc>
        <w:tc>
          <w:tcPr>
            <w:tcW w:w="696" w:type="pct"/>
            <w:tcBorders>
              <w:tl2br w:val="nil"/>
              <w:tr2bl w:val="nil"/>
            </w:tcBorders>
            <w:noWrap/>
            <w:vAlign w:val="center"/>
          </w:tcPr>
          <w:p w14:paraId="5C12A0CB">
            <w:pPr>
              <w:pStyle w:val="127"/>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color w:val="auto"/>
                <w:lang w:val="en-US" w:eastAsia="zh-CN"/>
              </w:rPr>
              <w:t>/</w:t>
            </w:r>
          </w:p>
        </w:tc>
      </w:tr>
      <w:tr w14:paraId="760E51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3" w:hRule="atLeast"/>
          <w:tblHeader/>
          <w:jc w:val="center"/>
        </w:trPr>
        <w:tc>
          <w:tcPr>
            <w:tcW w:w="5000" w:type="pct"/>
            <w:gridSpan w:val="8"/>
            <w:tcBorders>
              <w:tl2br w:val="nil"/>
              <w:tr2bl w:val="nil"/>
            </w:tcBorders>
            <w:noWrap/>
            <w:vAlign w:val="center"/>
          </w:tcPr>
          <w:p w14:paraId="0B1BF4B3">
            <w:pPr>
              <w:pStyle w:val="127"/>
              <w:keepNext w:val="0"/>
              <w:keepLines w:val="0"/>
              <w:widowControl/>
              <w:suppressLineNumbers w:val="0"/>
              <w:spacing w:before="0" w:beforeAutospacing="0" w:after="0" w:afterAutospacing="0"/>
              <w:ind w:left="0" w:right="0"/>
              <w:jc w:val="center"/>
              <w:rPr>
                <w:rFonts w:hint="eastAsia"/>
                <w:color w:val="auto"/>
                <w:lang w:eastAsia="zh-CN"/>
              </w:rPr>
            </w:pPr>
            <w:r>
              <w:rPr>
                <w:rFonts w:hint="eastAsia"/>
                <w:color w:val="auto"/>
                <w:lang w:eastAsia="zh-CN"/>
              </w:rPr>
              <w:t>产品</w:t>
            </w:r>
          </w:p>
        </w:tc>
      </w:tr>
      <w:tr w14:paraId="7A5425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3" w:hRule="atLeast"/>
          <w:tblHeader/>
          <w:jc w:val="center"/>
        </w:trPr>
        <w:tc>
          <w:tcPr>
            <w:tcW w:w="823" w:type="pct"/>
            <w:tcBorders>
              <w:tl2br w:val="nil"/>
              <w:tr2bl w:val="nil"/>
            </w:tcBorders>
            <w:noWrap/>
            <w:vAlign w:val="center"/>
          </w:tcPr>
          <w:p w14:paraId="044EFFCB">
            <w:pPr>
              <w:keepNext w:val="0"/>
              <w:keepLines w:val="0"/>
              <w:suppressLineNumbers w:val="0"/>
              <w:spacing w:before="0" w:beforeAutospacing="0" w:after="0" w:afterAutospacing="0" w:line="240" w:lineRule="auto"/>
              <w:ind w:left="0" w:right="0" w:firstLine="0" w:firstLineChars="0"/>
              <w:jc w:val="center"/>
              <w:rPr>
                <w:rStyle w:val="35"/>
                <w:rFonts w:hint="default" w:ascii="Times New Roman" w:hAnsi="Times New Roman" w:eastAsia="宋体" w:cs="Times New Roman"/>
                <w:color w:val="000000"/>
                <w:kern w:val="2"/>
                <w:sz w:val="21"/>
                <w:szCs w:val="20"/>
                <w:lang w:val="en-US" w:eastAsia="zh-CN" w:bidi="ar-SA"/>
              </w:rPr>
            </w:pPr>
            <w:r>
              <w:rPr>
                <w:rFonts w:hint="eastAsia" w:eastAsia="宋体"/>
                <w:b w:val="0"/>
                <w:bCs/>
              </w:rPr>
              <w:t>风险物质</w:t>
            </w:r>
            <w:r>
              <w:rPr>
                <w:rStyle w:val="35"/>
                <w:rFonts w:hint="eastAsia" w:cs="Times New Roman"/>
                <w:color w:val="000000"/>
                <w:kern w:val="2"/>
                <w:sz w:val="21"/>
                <w:szCs w:val="20"/>
                <w:lang w:val="en-US" w:eastAsia="zh-CN" w:bidi="ar-SA"/>
              </w:rPr>
              <w:t>名称</w:t>
            </w:r>
          </w:p>
        </w:tc>
        <w:tc>
          <w:tcPr>
            <w:tcW w:w="635" w:type="pct"/>
            <w:tcBorders>
              <w:tl2br w:val="nil"/>
              <w:tr2bl w:val="nil"/>
            </w:tcBorders>
            <w:noWrap/>
            <w:vAlign w:val="center"/>
          </w:tcPr>
          <w:p w14:paraId="6AE80ED7">
            <w:pPr>
              <w:pStyle w:val="127"/>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cs="Times New Roman"/>
                <w:color w:val="000000"/>
                <w:kern w:val="2"/>
                <w:sz w:val="21"/>
                <w:szCs w:val="21"/>
                <w:lang w:val="en-US" w:eastAsia="zh-CN" w:bidi="ar-SA"/>
              </w:rPr>
              <w:t>CAS号</w:t>
            </w:r>
          </w:p>
        </w:tc>
        <w:tc>
          <w:tcPr>
            <w:tcW w:w="630" w:type="pct"/>
            <w:tcBorders>
              <w:tl2br w:val="nil"/>
              <w:tr2bl w:val="nil"/>
            </w:tcBorders>
            <w:noWrap/>
            <w:vAlign w:val="center"/>
          </w:tcPr>
          <w:p w14:paraId="00117809">
            <w:pPr>
              <w:pStyle w:val="127"/>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color w:val="auto"/>
              </w:rPr>
              <w:t>储存位置</w:t>
            </w:r>
          </w:p>
        </w:tc>
        <w:tc>
          <w:tcPr>
            <w:tcW w:w="632" w:type="pct"/>
            <w:tcBorders>
              <w:tl2br w:val="nil"/>
              <w:tr2bl w:val="nil"/>
            </w:tcBorders>
            <w:noWrap/>
            <w:vAlign w:val="center"/>
          </w:tcPr>
          <w:p w14:paraId="7F4A45D2">
            <w:pPr>
              <w:pStyle w:val="127"/>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color w:val="auto"/>
              </w:rPr>
              <w:t>贮存方式</w:t>
            </w:r>
          </w:p>
        </w:tc>
        <w:tc>
          <w:tcPr>
            <w:tcW w:w="548" w:type="pct"/>
            <w:tcBorders>
              <w:tl2br w:val="nil"/>
              <w:tr2bl w:val="nil"/>
            </w:tcBorders>
            <w:noWrap/>
            <w:vAlign w:val="center"/>
          </w:tcPr>
          <w:p w14:paraId="6D284930">
            <w:pPr>
              <w:pStyle w:val="127"/>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color w:val="auto"/>
              </w:rPr>
              <w:t>产生量（t</w:t>
            </w:r>
            <w:r>
              <w:rPr>
                <w:rFonts w:hint="default"/>
                <w:color w:val="auto"/>
              </w:rPr>
              <w:t>/</w:t>
            </w:r>
            <w:r>
              <w:rPr>
                <w:rFonts w:hint="eastAsia"/>
                <w:color w:val="auto"/>
              </w:rPr>
              <w:t>a）</w:t>
            </w:r>
          </w:p>
        </w:tc>
        <w:tc>
          <w:tcPr>
            <w:tcW w:w="589" w:type="pct"/>
            <w:tcBorders>
              <w:tl2br w:val="nil"/>
              <w:tr2bl w:val="nil"/>
            </w:tcBorders>
            <w:noWrap/>
            <w:vAlign w:val="center"/>
          </w:tcPr>
          <w:p w14:paraId="4F3A5711">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zh-CN" w:eastAsia="zh-CN" w:bidi="ar-SA"/>
              </w:rPr>
            </w:pPr>
            <w:r>
              <w:rPr>
                <w:rFonts w:hint="eastAsia"/>
                <w:color w:val="auto"/>
                <w:lang w:val="zh-CN" w:eastAsia="zh-CN"/>
              </w:rPr>
              <w:t>容积</w:t>
            </w:r>
            <w:r>
              <w:rPr>
                <w:rFonts w:hint="eastAsia"/>
                <w:color w:val="auto"/>
                <w:lang w:val="en-US" w:eastAsia="zh-CN"/>
              </w:rPr>
              <w:t>L</w:t>
            </w:r>
          </w:p>
        </w:tc>
        <w:tc>
          <w:tcPr>
            <w:tcW w:w="442" w:type="pct"/>
            <w:tcBorders>
              <w:tl2br w:val="nil"/>
              <w:tr2bl w:val="nil"/>
            </w:tcBorders>
            <w:noWrap/>
            <w:vAlign w:val="center"/>
          </w:tcPr>
          <w:p w14:paraId="44A9E28C">
            <w:pPr>
              <w:pStyle w:val="129"/>
              <w:keepNext w:val="0"/>
              <w:keepLines w:val="0"/>
              <w:suppressLineNumbers w:val="0"/>
              <w:spacing w:before="0" w:beforeAutospacing="0" w:after="0" w:afterAutospacing="0" w:line="360" w:lineRule="auto"/>
              <w:ind w:left="6" w:leftChars="0" w:right="0" w:rightChars="0" w:hanging="6" w:hangingChars="3"/>
              <w:jc w:val="center"/>
              <w:rPr>
                <w:rFonts w:hint="default" w:ascii="Times New Roman" w:hAnsi="Times New Roman" w:eastAsia="宋体" w:cs="Times New Roman"/>
                <w:b w:val="0"/>
                <w:bCs/>
                <w:color w:val="000000"/>
                <w:kern w:val="2"/>
                <w:sz w:val="24"/>
                <w:szCs w:val="21"/>
                <w:lang w:val="zh-CN" w:eastAsia="zh-CN" w:bidi="ar-SA"/>
              </w:rPr>
            </w:pPr>
            <w:r>
              <w:rPr>
                <w:rFonts w:hint="default" w:eastAsia="宋体"/>
                <w:b w:val="0"/>
                <w:bCs/>
              </w:rPr>
              <w:t>形态</w:t>
            </w:r>
          </w:p>
        </w:tc>
        <w:tc>
          <w:tcPr>
            <w:tcW w:w="696" w:type="pct"/>
            <w:tcBorders>
              <w:tl2br w:val="nil"/>
              <w:tr2bl w:val="nil"/>
            </w:tcBorders>
            <w:noWrap/>
            <w:vAlign w:val="center"/>
          </w:tcPr>
          <w:p w14:paraId="031A2FCA">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b w:val="0"/>
                <w:bCs/>
                <w:color w:val="000000"/>
                <w:kern w:val="2"/>
                <w:sz w:val="21"/>
                <w:szCs w:val="21"/>
                <w:lang w:val="en-US" w:eastAsia="zh-CN" w:bidi="ar-SA"/>
              </w:rPr>
            </w:pPr>
            <w:r>
              <w:rPr>
                <w:rFonts w:hint="default" w:eastAsia="宋体"/>
                <w:b w:val="0"/>
                <w:bCs/>
              </w:rPr>
              <w:t>最大储量t</w:t>
            </w:r>
          </w:p>
        </w:tc>
      </w:tr>
      <w:tr w14:paraId="724CCE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3" w:hRule="atLeast"/>
          <w:tblHeader/>
          <w:jc w:val="center"/>
        </w:trPr>
        <w:tc>
          <w:tcPr>
            <w:tcW w:w="823" w:type="pct"/>
            <w:tcBorders>
              <w:tl2br w:val="nil"/>
              <w:tr2bl w:val="nil"/>
            </w:tcBorders>
            <w:noWrap/>
            <w:vAlign w:val="center"/>
          </w:tcPr>
          <w:p w14:paraId="66B0208C">
            <w:pPr>
              <w:pStyle w:val="127"/>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水杨酸</w:t>
            </w:r>
          </w:p>
        </w:tc>
        <w:tc>
          <w:tcPr>
            <w:tcW w:w="635" w:type="pct"/>
            <w:tcBorders>
              <w:tl2br w:val="nil"/>
              <w:tr2bl w:val="nil"/>
            </w:tcBorders>
            <w:noWrap/>
            <w:vAlign w:val="center"/>
          </w:tcPr>
          <w:p w14:paraId="5205056B">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69-72-7</w:t>
            </w:r>
          </w:p>
        </w:tc>
        <w:tc>
          <w:tcPr>
            <w:tcW w:w="630" w:type="pct"/>
            <w:tcBorders>
              <w:tl2br w:val="nil"/>
              <w:tr2bl w:val="nil"/>
            </w:tcBorders>
            <w:noWrap/>
            <w:vAlign w:val="center"/>
          </w:tcPr>
          <w:p w14:paraId="019C0D05">
            <w:pPr>
              <w:pStyle w:val="127"/>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eastAsia="zh-CN"/>
              </w:rPr>
              <w:t>车间</w:t>
            </w:r>
          </w:p>
        </w:tc>
        <w:tc>
          <w:tcPr>
            <w:tcW w:w="632" w:type="pct"/>
            <w:tcBorders>
              <w:tl2br w:val="nil"/>
              <w:tr2bl w:val="nil"/>
            </w:tcBorders>
            <w:noWrap/>
            <w:vAlign w:val="center"/>
          </w:tcPr>
          <w:p w14:paraId="1AADDEB5">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eastAsia="zh-CN"/>
              </w:rPr>
              <w:t>袋装</w:t>
            </w:r>
          </w:p>
        </w:tc>
        <w:tc>
          <w:tcPr>
            <w:tcW w:w="548" w:type="pct"/>
            <w:tcBorders>
              <w:tl2br w:val="nil"/>
              <w:tr2bl w:val="nil"/>
            </w:tcBorders>
            <w:noWrap/>
            <w:vAlign w:val="center"/>
          </w:tcPr>
          <w:p w14:paraId="75C4D07E">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30000</w:t>
            </w:r>
          </w:p>
        </w:tc>
        <w:tc>
          <w:tcPr>
            <w:tcW w:w="589" w:type="pct"/>
            <w:tcBorders>
              <w:tl2br w:val="nil"/>
              <w:tr2bl w:val="nil"/>
            </w:tcBorders>
            <w:noWrap/>
            <w:vAlign w:val="center"/>
          </w:tcPr>
          <w:p w14:paraId="2CE71EC7">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100</w:t>
            </w:r>
          </w:p>
        </w:tc>
        <w:tc>
          <w:tcPr>
            <w:tcW w:w="442" w:type="pct"/>
            <w:tcBorders>
              <w:tl2br w:val="nil"/>
              <w:tr2bl w:val="nil"/>
            </w:tcBorders>
            <w:noWrap/>
            <w:vAlign w:val="center"/>
          </w:tcPr>
          <w:p w14:paraId="433AFCCC">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固</w:t>
            </w:r>
          </w:p>
        </w:tc>
        <w:tc>
          <w:tcPr>
            <w:tcW w:w="696" w:type="pct"/>
            <w:tcBorders>
              <w:tl2br w:val="nil"/>
              <w:tr2bl w:val="nil"/>
            </w:tcBorders>
            <w:noWrap/>
            <w:vAlign w:val="center"/>
          </w:tcPr>
          <w:p w14:paraId="0EE45874">
            <w:pPr>
              <w:pStyle w:val="127"/>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eastAsia="zh-CN"/>
              </w:rPr>
              <w:t>100</w:t>
            </w:r>
          </w:p>
        </w:tc>
      </w:tr>
      <w:tr w14:paraId="4700A4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3" w:hRule="atLeast"/>
          <w:tblHeader/>
          <w:jc w:val="center"/>
        </w:trPr>
        <w:tc>
          <w:tcPr>
            <w:tcW w:w="823" w:type="pct"/>
            <w:tcBorders>
              <w:tl2br w:val="nil"/>
              <w:tr2bl w:val="nil"/>
            </w:tcBorders>
            <w:noWrap/>
            <w:vAlign w:val="center"/>
          </w:tcPr>
          <w:p w14:paraId="7ED48090">
            <w:pPr>
              <w:pStyle w:val="127"/>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水杨酸甲酯</w:t>
            </w:r>
          </w:p>
        </w:tc>
        <w:tc>
          <w:tcPr>
            <w:tcW w:w="635" w:type="pct"/>
            <w:tcBorders>
              <w:tl2br w:val="nil"/>
              <w:tr2bl w:val="nil"/>
            </w:tcBorders>
            <w:noWrap/>
            <w:vAlign w:val="center"/>
          </w:tcPr>
          <w:p w14:paraId="1E078604">
            <w:pPr>
              <w:pStyle w:val="127"/>
              <w:keepNext w:val="0"/>
              <w:keepLines w:val="0"/>
              <w:widowControl/>
              <w:suppressLineNumbers w:val="0"/>
              <w:spacing w:before="0" w:beforeAutospacing="0" w:after="0" w:afterAutospacing="0"/>
              <w:ind w:left="0" w:leftChars="0" w:right="0" w:rightChars="0"/>
              <w:jc w:val="center"/>
              <w:rPr>
                <w:rFonts w:hint="default"/>
                <w:color w:val="auto"/>
                <w:lang w:val="en-US" w:eastAsia="zh-CN"/>
              </w:rPr>
            </w:pPr>
            <w:r>
              <w:rPr>
                <w:rFonts w:hint="eastAsia"/>
                <w:color w:val="auto"/>
                <w:lang w:val="en-US" w:eastAsia="zh-CN"/>
              </w:rPr>
              <w:t>119-36-8</w:t>
            </w:r>
          </w:p>
        </w:tc>
        <w:tc>
          <w:tcPr>
            <w:tcW w:w="630" w:type="pct"/>
            <w:tcBorders>
              <w:tl2br w:val="nil"/>
              <w:tr2bl w:val="nil"/>
            </w:tcBorders>
            <w:shd w:val="clear" w:color="auto" w:fill="auto"/>
            <w:noWrap/>
            <w:vAlign w:val="center"/>
          </w:tcPr>
          <w:p w14:paraId="0204E533">
            <w:pPr>
              <w:pStyle w:val="127"/>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eastAsia="zh-CN"/>
              </w:rPr>
              <w:t>车间</w:t>
            </w:r>
          </w:p>
        </w:tc>
        <w:tc>
          <w:tcPr>
            <w:tcW w:w="632" w:type="pct"/>
            <w:tcBorders>
              <w:tl2br w:val="nil"/>
              <w:tr2bl w:val="nil"/>
            </w:tcBorders>
            <w:noWrap/>
            <w:vAlign w:val="center"/>
          </w:tcPr>
          <w:p w14:paraId="26BBC36A">
            <w:pPr>
              <w:pStyle w:val="127"/>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eastAsia="zh-CN"/>
              </w:rPr>
              <w:t>桶装</w:t>
            </w:r>
          </w:p>
        </w:tc>
        <w:tc>
          <w:tcPr>
            <w:tcW w:w="548" w:type="pct"/>
            <w:tcBorders>
              <w:tl2br w:val="nil"/>
              <w:tr2bl w:val="nil"/>
            </w:tcBorders>
            <w:noWrap/>
            <w:vAlign w:val="center"/>
          </w:tcPr>
          <w:p w14:paraId="7D61ABD2">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200</w:t>
            </w:r>
          </w:p>
        </w:tc>
        <w:tc>
          <w:tcPr>
            <w:tcW w:w="589" w:type="pct"/>
            <w:tcBorders>
              <w:tl2br w:val="nil"/>
              <w:tr2bl w:val="nil"/>
            </w:tcBorders>
            <w:noWrap/>
            <w:vAlign w:val="center"/>
          </w:tcPr>
          <w:p w14:paraId="7BAA53ED">
            <w:pPr>
              <w:pStyle w:val="127"/>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50</w:t>
            </w:r>
          </w:p>
        </w:tc>
        <w:tc>
          <w:tcPr>
            <w:tcW w:w="442" w:type="pct"/>
            <w:tcBorders>
              <w:tl2br w:val="nil"/>
              <w:tr2bl w:val="nil"/>
            </w:tcBorders>
            <w:noWrap/>
            <w:vAlign w:val="center"/>
          </w:tcPr>
          <w:p w14:paraId="3BA73D75">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液</w:t>
            </w:r>
          </w:p>
        </w:tc>
        <w:tc>
          <w:tcPr>
            <w:tcW w:w="696" w:type="pct"/>
            <w:tcBorders>
              <w:tl2br w:val="nil"/>
              <w:tr2bl w:val="nil"/>
            </w:tcBorders>
            <w:noWrap/>
            <w:vAlign w:val="center"/>
          </w:tcPr>
          <w:p w14:paraId="73AEA728">
            <w:pPr>
              <w:pStyle w:val="127"/>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eastAsia="zh-CN"/>
              </w:rPr>
              <w:t>500</w:t>
            </w:r>
          </w:p>
        </w:tc>
      </w:tr>
      <w:tr w14:paraId="1B3120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3" w:hRule="atLeast"/>
          <w:tblHeader/>
          <w:jc w:val="center"/>
        </w:trPr>
        <w:tc>
          <w:tcPr>
            <w:tcW w:w="823" w:type="pct"/>
            <w:tcBorders>
              <w:tl2br w:val="nil"/>
              <w:tr2bl w:val="nil"/>
            </w:tcBorders>
            <w:noWrap/>
            <w:vAlign w:val="center"/>
          </w:tcPr>
          <w:p w14:paraId="35AAC5C6">
            <w:pPr>
              <w:pStyle w:val="127"/>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eastAsia="zh-CN"/>
              </w:rPr>
              <w:t>磺基水杨酸</w:t>
            </w:r>
          </w:p>
        </w:tc>
        <w:tc>
          <w:tcPr>
            <w:tcW w:w="635" w:type="pct"/>
            <w:tcBorders>
              <w:tl2br w:val="nil"/>
              <w:tr2bl w:val="nil"/>
            </w:tcBorders>
            <w:noWrap/>
            <w:vAlign w:val="center"/>
          </w:tcPr>
          <w:p w14:paraId="21C742FD">
            <w:pPr>
              <w:pStyle w:val="127"/>
              <w:keepNext w:val="0"/>
              <w:keepLines w:val="0"/>
              <w:widowControl/>
              <w:suppressLineNumbers w:val="0"/>
              <w:spacing w:before="0" w:beforeAutospacing="0" w:after="0" w:afterAutospacing="0"/>
              <w:ind w:left="0" w:leftChars="0" w:right="0" w:rightChars="0"/>
              <w:jc w:val="center"/>
              <w:rPr>
                <w:rFonts w:hint="default"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97-05-2</w:t>
            </w:r>
          </w:p>
        </w:tc>
        <w:tc>
          <w:tcPr>
            <w:tcW w:w="630" w:type="pct"/>
            <w:tcBorders>
              <w:tl2br w:val="nil"/>
              <w:tr2bl w:val="nil"/>
            </w:tcBorders>
            <w:noWrap/>
            <w:vAlign w:val="center"/>
          </w:tcPr>
          <w:p w14:paraId="323BC184">
            <w:pPr>
              <w:pStyle w:val="127"/>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车间</w:t>
            </w:r>
          </w:p>
        </w:tc>
        <w:tc>
          <w:tcPr>
            <w:tcW w:w="632" w:type="pct"/>
            <w:tcBorders>
              <w:tl2br w:val="nil"/>
              <w:tr2bl w:val="nil"/>
            </w:tcBorders>
            <w:noWrap/>
            <w:vAlign w:val="center"/>
          </w:tcPr>
          <w:p w14:paraId="00335646">
            <w:pPr>
              <w:pStyle w:val="127"/>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吨包</w:t>
            </w:r>
          </w:p>
        </w:tc>
        <w:tc>
          <w:tcPr>
            <w:tcW w:w="548" w:type="pct"/>
            <w:tcBorders>
              <w:tl2br w:val="nil"/>
              <w:tr2bl w:val="nil"/>
            </w:tcBorders>
            <w:noWrap/>
            <w:vAlign w:val="center"/>
          </w:tcPr>
          <w:p w14:paraId="56B50D12">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6000</w:t>
            </w:r>
          </w:p>
        </w:tc>
        <w:tc>
          <w:tcPr>
            <w:tcW w:w="589" w:type="pct"/>
            <w:tcBorders>
              <w:tl2br w:val="nil"/>
              <w:tr2bl w:val="nil"/>
            </w:tcBorders>
            <w:noWrap/>
            <w:vAlign w:val="center"/>
          </w:tcPr>
          <w:p w14:paraId="722F8494">
            <w:pPr>
              <w:pStyle w:val="127"/>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450</w:t>
            </w:r>
          </w:p>
        </w:tc>
        <w:tc>
          <w:tcPr>
            <w:tcW w:w="442" w:type="pct"/>
            <w:tcBorders>
              <w:tl2br w:val="nil"/>
              <w:tr2bl w:val="nil"/>
            </w:tcBorders>
            <w:noWrap/>
            <w:vAlign w:val="center"/>
          </w:tcPr>
          <w:p w14:paraId="12B7C3B3">
            <w:pPr>
              <w:pStyle w:val="127"/>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固</w:t>
            </w:r>
          </w:p>
        </w:tc>
        <w:tc>
          <w:tcPr>
            <w:tcW w:w="696" w:type="pct"/>
            <w:tcBorders>
              <w:tl2br w:val="nil"/>
              <w:tr2bl w:val="nil"/>
            </w:tcBorders>
            <w:noWrap/>
            <w:vAlign w:val="center"/>
          </w:tcPr>
          <w:p w14:paraId="025102D2">
            <w:pPr>
              <w:pStyle w:val="127"/>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eastAsia="zh-CN"/>
              </w:rPr>
              <w:t>800</w:t>
            </w:r>
          </w:p>
        </w:tc>
      </w:tr>
      <w:tr w14:paraId="237CB2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3" w:hRule="atLeast"/>
          <w:tblHeader/>
          <w:jc w:val="center"/>
        </w:trPr>
        <w:tc>
          <w:tcPr>
            <w:tcW w:w="823" w:type="pct"/>
            <w:tcBorders>
              <w:tl2br w:val="nil"/>
              <w:tr2bl w:val="nil"/>
            </w:tcBorders>
            <w:noWrap/>
            <w:vAlign w:val="center"/>
          </w:tcPr>
          <w:p w14:paraId="7E869ED6">
            <w:pPr>
              <w:pStyle w:val="127"/>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5-氯水杨酸</w:t>
            </w:r>
          </w:p>
        </w:tc>
        <w:tc>
          <w:tcPr>
            <w:tcW w:w="635" w:type="pct"/>
            <w:tcBorders>
              <w:tl2br w:val="nil"/>
              <w:tr2bl w:val="nil"/>
            </w:tcBorders>
            <w:noWrap/>
            <w:vAlign w:val="center"/>
          </w:tcPr>
          <w:p w14:paraId="7DCEC37C">
            <w:pPr>
              <w:pStyle w:val="127"/>
              <w:keepNext w:val="0"/>
              <w:keepLines w:val="0"/>
              <w:widowControl/>
              <w:suppressLineNumbers w:val="0"/>
              <w:spacing w:before="0" w:beforeAutospacing="0" w:after="0" w:afterAutospacing="0"/>
              <w:ind w:left="0" w:leftChars="0" w:right="0" w:rightChars="0"/>
              <w:jc w:val="center"/>
              <w:rPr>
                <w:rFonts w:hint="default"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321-14-2</w:t>
            </w:r>
          </w:p>
        </w:tc>
        <w:tc>
          <w:tcPr>
            <w:tcW w:w="630" w:type="pct"/>
            <w:tcBorders>
              <w:tl2br w:val="nil"/>
              <w:tr2bl w:val="nil"/>
            </w:tcBorders>
            <w:noWrap/>
            <w:vAlign w:val="center"/>
          </w:tcPr>
          <w:p w14:paraId="53A04976">
            <w:pPr>
              <w:pStyle w:val="127"/>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车间</w:t>
            </w:r>
          </w:p>
        </w:tc>
        <w:tc>
          <w:tcPr>
            <w:tcW w:w="632" w:type="pct"/>
            <w:tcBorders>
              <w:tl2br w:val="nil"/>
              <w:tr2bl w:val="nil"/>
            </w:tcBorders>
            <w:noWrap/>
            <w:vAlign w:val="center"/>
          </w:tcPr>
          <w:p w14:paraId="5357CF63">
            <w:pPr>
              <w:pStyle w:val="127"/>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袋装</w:t>
            </w:r>
          </w:p>
        </w:tc>
        <w:tc>
          <w:tcPr>
            <w:tcW w:w="548" w:type="pct"/>
            <w:tcBorders>
              <w:tl2br w:val="nil"/>
              <w:tr2bl w:val="nil"/>
            </w:tcBorders>
            <w:noWrap/>
            <w:vAlign w:val="center"/>
          </w:tcPr>
          <w:p w14:paraId="1DD43577">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3000</w:t>
            </w:r>
          </w:p>
        </w:tc>
        <w:tc>
          <w:tcPr>
            <w:tcW w:w="589" w:type="pct"/>
            <w:tcBorders>
              <w:tl2br w:val="nil"/>
              <w:tr2bl w:val="nil"/>
            </w:tcBorders>
            <w:noWrap/>
            <w:vAlign w:val="center"/>
          </w:tcPr>
          <w:p w14:paraId="2C9DE878">
            <w:pPr>
              <w:pStyle w:val="127"/>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100</w:t>
            </w:r>
          </w:p>
        </w:tc>
        <w:tc>
          <w:tcPr>
            <w:tcW w:w="442" w:type="pct"/>
            <w:tcBorders>
              <w:tl2br w:val="nil"/>
              <w:tr2bl w:val="nil"/>
            </w:tcBorders>
            <w:noWrap/>
            <w:vAlign w:val="center"/>
          </w:tcPr>
          <w:p w14:paraId="3A8074B6">
            <w:pPr>
              <w:pStyle w:val="127"/>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固</w:t>
            </w:r>
          </w:p>
        </w:tc>
        <w:tc>
          <w:tcPr>
            <w:tcW w:w="696" w:type="pct"/>
            <w:tcBorders>
              <w:tl2br w:val="nil"/>
              <w:tr2bl w:val="nil"/>
            </w:tcBorders>
            <w:noWrap/>
            <w:vAlign w:val="center"/>
          </w:tcPr>
          <w:p w14:paraId="556CBB16">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30</w:t>
            </w:r>
          </w:p>
        </w:tc>
      </w:tr>
      <w:tr w14:paraId="66B3AA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3" w:hRule="atLeast"/>
          <w:tblHeader/>
          <w:jc w:val="center"/>
        </w:trPr>
        <w:tc>
          <w:tcPr>
            <w:tcW w:w="823" w:type="pct"/>
            <w:tcBorders>
              <w:tl2br w:val="nil"/>
              <w:tr2bl w:val="nil"/>
            </w:tcBorders>
            <w:noWrap/>
            <w:vAlign w:val="center"/>
          </w:tcPr>
          <w:p w14:paraId="7B13DAC0">
            <w:pPr>
              <w:pStyle w:val="127"/>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氯硝柳胺</w:t>
            </w:r>
          </w:p>
        </w:tc>
        <w:tc>
          <w:tcPr>
            <w:tcW w:w="635" w:type="pct"/>
            <w:tcBorders>
              <w:tl2br w:val="nil"/>
              <w:tr2bl w:val="nil"/>
            </w:tcBorders>
            <w:noWrap/>
            <w:vAlign w:val="center"/>
          </w:tcPr>
          <w:p w14:paraId="408A2760">
            <w:pPr>
              <w:pStyle w:val="127"/>
              <w:keepNext w:val="0"/>
              <w:keepLines w:val="0"/>
              <w:widowControl/>
              <w:suppressLineNumbers w:val="0"/>
              <w:spacing w:before="0" w:beforeAutospacing="0" w:after="0" w:afterAutospacing="0"/>
              <w:ind w:left="0" w:leftChars="0" w:right="0" w:rightChars="0"/>
              <w:jc w:val="center"/>
              <w:rPr>
                <w:rFonts w:hint="default"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50-65-7</w:t>
            </w:r>
          </w:p>
        </w:tc>
        <w:tc>
          <w:tcPr>
            <w:tcW w:w="630" w:type="pct"/>
            <w:tcBorders>
              <w:tl2br w:val="nil"/>
              <w:tr2bl w:val="nil"/>
            </w:tcBorders>
            <w:noWrap/>
            <w:vAlign w:val="center"/>
          </w:tcPr>
          <w:p w14:paraId="264CF6F4">
            <w:pPr>
              <w:pStyle w:val="127"/>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车间</w:t>
            </w:r>
          </w:p>
        </w:tc>
        <w:tc>
          <w:tcPr>
            <w:tcW w:w="632" w:type="pct"/>
            <w:tcBorders>
              <w:tl2br w:val="nil"/>
              <w:tr2bl w:val="nil"/>
            </w:tcBorders>
            <w:noWrap/>
            <w:vAlign w:val="center"/>
          </w:tcPr>
          <w:p w14:paraId="27A39E25">
            <w:pPr>
              <w:pStyle w:val="127"/>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袋装</w:t>
            </w:r>
          </w:p>
        </w:tc>
        <w:tc>
          <w:tcPr>
            <w:tcW w:w="548" w:type="pct"/>
            <w:tcBorders>
              <w:tl2br w:val="nil"/>
              <w:tr2bl w:val="nil"/>
            </w:tcBorders>
            <w:noWrap/>
            <w:vAlign w:val="center"/>
          </w:tcPr>
          <w:p w14:paraId="76B32A9D">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5000</w:t>
            </w:r>
          </w:p>
        </w:tc>
        <w:tc>
          <w:tcPr>
            <w:tcW w:w="589" w:type="pct"/>
            <w:tcBorders>
              <w:tl2br w:val="nil"/>
              <w:tr2bl w:val="nil"/>
            </w:tcBorders>
            <w:noWrap/>
            <w:vAlign w:val="center"/>
          </w:tcPr>
          <w:p w14:paraId="7B234D5A">
            <w:pPr>
              <w:pStyle w:val="127"/>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100</w:t>
            </w:r>
          </w:p>
        </w:tc>
        <w:tc>
          <w:tcPr>
            <w:tcW w:w="442" w:type="pct"/>
            <w:tcBorders>
              <w:tl2br w:val="nil"/>
              <w:tr2bl w:val="nil"/>
            </w:tcBorders>
            <w:noWrap/>
            <w:vAlign w:val="center"/>
          </w:tcPr>
          <w:p w14:paraId="225232A0">
            <w:pPr>
              <w:pStyle w:val="127"/>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固</w:t>
            </w:r>
          </w:p>
        </w:tc>
        <w:tc>
          <w:tcPr>
            <w:tcW w:w="696" w:type="pct"/>
            <w:tcBorders>
              <w:tl2br w:val="nil"/>
              <w:tr2bl w:val="nil"/>
            </w:tcBorders>
            <w:noWrap/>
            <w:vAlign w:val="center"/>
          </w:tcPr>
          <w:p w14:paraId="3EDF5623">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50</w:t>
            </w:r>
          </w:p>
        </w:tc>
      </w:tr>
      <w:tr w14:paraId="7E1724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3" w:hRule="atLeast"/>
          <w:tblHeader/>
          <w:jc w:val="center"/>
        </w:trPr>
        <w:tc>
          <w:tcPr>
            <w:tcW w:w="823" w:type="pct"/>
            <w:tcBorders>
              <w:tl2br w:val="nil"/>
              <w:tr2bl w:val="nil"/>
            </w:tcBorders>
            <w:noWrap/>
            <w:vAlign w:val="center"/>
          </w:tcPr>
          <w:p w14:paraId="13E509A2">
            <w:pPr>
              <w:pStyle w:val="127"/>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氯硝柳胺乙醇铵盐</w:t>
            </w:r>
          </w:p>
        </w:tc>
        <w:tc>
          <w:tcPr>
            <w:tcW w:w="635" w:type="pct"/>
            <w:tcBorders>
              <w:tl2br w:val="nil"/>
              <w:tr2bl w:val="nil"/>
            </w:tcBorders>
            <w:noWrap/>
            <w:vAlign w:val="center"/>
          </w:tcPr>
          <w:p w14:paraId="6BFFCAE1">
            <w:pPr>
              <w:pStyle w:val="127"/>
              <w:keepNext w:val="0"/>
              <w:keepLines w:val="0"/>
              <w:widowControl/>
              <w:suppressLineNumbers w:val="0"/>
              <w:spacing w:before="0" w:beforeAutospacing="0" w:after="0" w:afterAutospacing="0"/>
              <w:ind w:left="0" w:leftChars="0" w:right="0" w:rightChars="0"/>
              <w:jc w:val="center"/>
              <w:rPr>
                <w:rFonts w:hint="default"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1420-04-8</w:t>
            </w:r>
          </w:p>
        </w:tc>
        <w:tc>
          <w:tcPr>
            <w:tcW w:w="630" w:type="pct"/>
            <w:tcBorders>
              <w:tl2br w:val="nil"/>
              <w:tr2bl w:val="nil"/>
            </w:tcBorders>
            <w:noWrap/>
            <w:vAlign w:val="center"/>
          </w:tcPr>
          <w:p w14:paraId="1B748DB4">
            <w:pPr>
              <w:pStyle w:val="127"/>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车间</w:t>
            </w:r>
          </w:p>
        </w:tc>
        <w:tc>
          <w:tcPr>
            <w:tcW w:w="632" w:type="pct"/>
            <w:tcBorders>
              <w:tl2br w:val="nil"/>
              <w:tr2bl w:val="nil"/>
            </w:tcBorders>
            <w:noWrap/>
            <w:vAlign w:val="center"/>
          </w:tcPr>
          <w:p w14:paraId="76CD7F95">
            <w:pPr>
              <w:pStyle w:val="127"/>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袋装</w:t>
            </w:r>
          </w:p>
        </w:tc>
        <w:tc>
          <w:tcPr>
            <w:tcW w:w="548" w:type="pct"/>
            <w:tcBorders>
              <w:tl2br w:val="nil"/>
              <w:tr2bl w:val="nil"/>
            </w:tcBorders>
            <w:noWrap/>
            <w:vAlign w:val="center"/>
          </w:tcPr>
          <w:p w14:paraId="75227A61">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5000</w:t>
            </w:r>
          </w:p>
        </w:tc>
        <w:tc>
          <w:tcPr>
            <w:tcW w:w="589" w:type="pct"/>
            <w:tcBorders>
              <w:tl2br w:val="nil"/>
              <w:tr2bl w:val="nil"/>
            </w:tcBorders>
            <w:noWrap/>
            <w:vAlign w:val="center"/>
          </w:tcPr>
          <w:p w14:paraId="7336C5F0">
            <w:pPr>
              <w:pStyle w:val="127"/>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100</w:t>
            </w:r>
          </w:p>
        </w:tc>
        <w:tc>
          <w:tcPr>
            <w:tcW w:w="442" w:type="pct"/>
            <w:tcBorders>
              <w:tl2br w:val="nil"/>
              <w:tr2bl w:val="nil"/>
            </w:tcBorders>
            <w:noWrap/>
            <w:vAlign w:val="center"/>
          </w:tcPr>
          <w:p w14:paraId="0B8597FB">
            <w:pPr>
              <w:pStyle w:val="127"/>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固</w:t>
            </w:r>
          </w:p>
        </w:tc>
        <w:tc>
          <w:tcPr>
            <w:tcW w:w="696" w:type="pct"/>
            <w:tcBorders>
              <w:tl2br w:val="nil"/>
              <w:tr2bl w:val="nil"/>
            </w:tcBorders>
            <w:noWrap/>
            <w:vAlign w:val="center"/>
          </w:tcPr>
          <w:p w14:paraId="34F784A6">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50</w:t>
            </w:r>
          </w:p>
        </w:tc>
      </w:tr>
      <w:tr w14:paraId="388452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3" w:hRule="atLeast"/>
          <w:tblHeader/>
          <w:jc w:val="center"/>
        </w:trPr>
        <w:tc>
          <w:tcPr>
            <w:tcW w:w="823" w:type="pct"/>
            <w:tcBorders>
              <w:tl2br w:val="nil"/>
              <w:tr2bl w:val="nil"/>
            </w:tcBorders>
            <w:noWrap/>
            <w:vAlign w:val="center"/>
          </w:tcPr>
          <w:p w14:paraId="0CC9D384">
            <w:pPr>
              <w:pStyle w:val="127"/>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水杨酸酰胺</w:t>
            </w:r>
          </w:p>
        </w:tc>
        <w:tc>
          <w:tcPr>
            <w:tcW w:w="635" w:type="pct"/>
            <w:tcBorders>
              <w:tl2br w:val="nil"/>
              <w:tr2bl w:val="nil"/>
            </w:tcBorders>
            <w:noWrap/>
            <w:vAlign w:val="center"/>
          </w:tcPr>
          <w:p w14:paraId="57374D6A">
            <w:pPr>
              <w:pStyle w:val="127"/>
              <w:keepNext w:val="0"/>
              <w:keepLines w:val="0"/>
              <w:widowControl/>
              <w:suppressLineNumbers w:val="0"/>
              <w:spacing w:before="0" w:beforeAutospacing="0" w:after="0" w:afterAutospacing="0"/>
              <w:ind w:left="0" w:leftChars="0" w:right="0" w:rightChars="0"/>
              <w:jc w:val="center"/>
              <w:rPr>
                <w:rFonts w:hint="default"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65-45-2</w:t>
            </w:r>
          </w:p>
        </w:tc>
        <w:tc>
          <w:tcPr>
            <w:tcW w:w="630" w:type="pct"/>
            <w:tcBorders>
              <w:tl2br w:val="nil"/>
              <w:tr2bl w:val="nil"/>
            </w:tcBorders>
            <w:noWrap/>
            <w:vAlign w:val="center"/>
          </w:tcPr>
          <w:p w14:paraId="36737253">
            <w:pPr>
              <w:pStyle w:val="127"/>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车间</w:t>
            </w:r>
          </w:p>
        </w:tc>
        <w:tc>
          <w:tcPr>
            <w:tcW w:w="632" w:type="pct"/>
            <w:tcBorders>
              <w:tl2br w:val="nil"/>
              <w:tr2bl w:val="nil"/>
            </w:tcBorders>
            <w:noWrap/>
            <w:vAlign w:val="center"/>
          </w:tcPr>
          <w:p w14:paraId="151F9320">
            <w:pPr>
              <w:pStyle w:val="127"/>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袋装</w:t>
            </w:r>
          </w:p>
        </w:tc>
        <w:tc>
          <w:tcPr>
            <w:tcW w:w="548" w:type="pct"/>
            <w:tcBorders>
              <w:tl2br w:val="nil"/>
              <w:tr2bl w:val="nil"/>
            </w:tcBorders>
            <w:noWrap/>
            <w:vAlign w:val="center"/>
          </w:tcPr>
          <w:p w14:paraId="087E785C">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6000</w:t>
            </w:r>
          </w:p>
        </w:tc>
        <w:tc>
          <w:tcPr>
            <w:tcW w:w="589" w:type="pct"/>
            <w:tcBorders>
              <w:tl2br w:val="nil"/>
              <w:tr2bl w:val="nil"/>
            </w:tcBorders>
            <w:noWrap/>
            <w:vAlign w:val="center"/>
          </w:tcPr>
          <w:p w14:paraId="45284A1E">
            <w:pPr>
              <w:pStyle w:val="127"/>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100</w:t>
            </w:r>
          </w:p>
        </w:tc>
        <w:tc>
          <w:tcPr>
            <w:tcW w:w="442" w:type="pct"/>
            <w:tcBorders>
              <w:tl2br w:val="nil"/>
              <w:tr2bl w:val="nil"/>
            </w:tcBorders>
            <w:noWrap/>
            <w:vAlign w:val="center"/>
          </w:tcPr>
          <w:p w14:paraId="3E03D8D4">
            <w:pPr>
              <w:pStyle w:val="127"/>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固</w:t>
            </w:r>
          </w:p>
        </w:tc>
        <w:tc>
          <w:tcPr>
            <w:tcW w:w="696" w:type="pct"/>
            <w:tcBorders>
              <w:tl2br w:val="nil"/>
              <w:tr2bl w:val="nil"/>
            </w:tcBorders>
            <w:noWrap/>
            <w:vAlign w:val="center"/>
          </w:tcPr>
          <w:p w14:paraId="57EDE9BF">
            <w:pPr>
              <w:pStyle w:val="127"/>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60</w:t>
            </w:r>
          </w:p>
        </w:tc>
      </w:tr>
      <w:bookmarkEnd w:id="51"/>
    </w:tbl>
    <w:p w14:paraId="5D74C008">
      <w:pPr>
        <w:keepNext w:val="0"/>
        <w:keepLines w:val="0"/>
        <w:pageBreakBefore w:val="0"/>
        <w:widowControl w:val="0"/>
        <w:kinsoku/>
        <w:wordWrap/>
        <w:overflowPunct/>
        <w:topLinePunct w:val="0"/>
        <w:autoSpaceDE w:val="0"/>
        <w:autoSpaceDN w:val="0"/>
        <w:bidi w:val="0"/>
        <w:adjustRightInd w:val="0"/>
        <w:snapToGrid w:val="0"/>
        <w:spacing w:line="360" w:lineRule="auto"/>
        <w:ind w:firstLine="486" w:firstLineChars="200"/>
        <w:jc w:val="center"/>
        <w:textAlignment w:val="auto"/>
        <w:rPr>
          <w:rFonts w:hint="default" w:ascii="Times New Roman" w:hAnsi="Times New Roman" w:cs="Times New Roman"/>
          <w:b/>
          <w:bCs/>
          <w:color w:val="auto"/>
          <w:sz w:val="24"/>
          <w:highlight w:val="none"/>
          <w:lang w:eastAsia="zh-CN"/>
        </w:rPr>
      </w:pPr>
    </w:p>
    <w:p w14:paraId="1DC3D1D0">
      <w:pPr>
        <w:pStyle w:val="130"/>
        <w:spacing w:before="72" w:after="48"/>
        <w:jc w:val="center"/>
      </w:pPr>
      <w:r>
        <w:rPr>
          <w:rStyle w:val="131"/>
          <w:rFonts w:eastAsia="黑体"/>
          <w:kern w:val="0"/>
          <w:sz w:val="24"/>
          <w:szCs w:val="21"/>
        </w:rPr>
        <w:t>表</w:t>
      </w:r>
      <w:r>
        <w:rPr>
          <w:rStyle w:val="131"/>
          <w:rFonts w:eastAsia="黑体"/>
          <w:kern w:val="0"/>
          <w:sz w:val="24"/>
          <w:szCs w:val="21"/>
        </w:rPr>
        <w:fldChar w:fldCharType="begin"/>
      </w:r>
      <w:r>
        <w:rPr>
          <w:rStyle w:val="131"/>
          <w:rFonts w:eastAsia="黑体"/>
          <w:kern w:val="0"/>
          <w:sz w:val="24"/>
          <w:szCs w:val="21"/>
        </w:rPr>
        <w:instrText xml:space="preserve"> STYLEREF 2 \s </w:instrText>
      </w:r>
      <w:r>
        <w:rPr>
          <w:rStyle w:val="131"/>
          <w:rFonts w:eastAsia="黑体"/>
          <w:kern w:val="0"/>
          <w:sz w:val="24"/>
          <w:szCs w:val="21"/>
        </w:rPr>
        <w:fldChar w:fldCharType="separate"/>
      </w:r>
      <w:r>
        <w:rPr>
          <w:rStyle w:val="131"/>
          <w:rFonts w:eastAsia="黑体"/>
          <w:kern w:val="0"/>
          <w:sz w:val="24"/>
          <w:szCs w:val="21"/>
        </w:rPr>
        <w:t>3.1</w:t>
      </w:r>
      <w:r>
        <w:rPr>
          <w:rStyle w:val="131"/>
          <w:rFonts w:eastAsia="黑体"/>
          <w:kern w:val="0"/>
          <w:sz w:val="24"/>
          <w:szCs w:val="21"/>
        </w:rPr>
        <w:fldChar w:fldCharType="end"/>
      </w:r>
      <w:r>
        <w:rPr>
          <w:rStyle w:val="131"/>
          <w:rFonts w:eastAsia="黑体"/>
          <w:kern w:val="0"/>
          <w:sz w:val="24"/>
          <w:szCs w:val="21"/>
        </w:rPr>
        <w:noBreakHyphen/>
      </w:r>
      <w:r>
        <w:rPr>
          <w:rStyle w:val="131"/>
          <w:rFonts w:hint="eastAsia"/>
          <w:kern w:val="0"/>
          <w:sz w:val="24"/>
          <w:szCs w:val="21"/>
          <w:lang w:val="en-US"/>
        </w:rPr>
        <w:t>2</w:t>
      </w:r>
      <w:r>
        <w:rPr>
          <w:rStyle w:val="131"/>
          <w:rFonts w:hint="eastAsia" w:eastAsia="黑体"/>
          <w:kern w:val="0"/>
          <w:sz w:val="24"/>
          <w:szCs w:val="21"/>
        </w:rPr>
        <w:t>环境风险单元一览表</w:t>
      </w:r>
    </w:p>
    <w:tbl>
      <w:tblPr>
        <w:tblStyle w:val="33"/>
        <w:tblpPr w:leftFromText="180" w:rightFromText="180" w:vertAnchor="text" w:horzAnchor="page" w:tblpX="1112" w:tblpY="271"/>
        <w:tblOverlap w:val="never"/>
        <w:tblW w:w="5152" w:type="pct"/>
        <w:tblInd w:w="0" w:type="dxa"/>
        <w:tblLayout w:type="autofit"/>
        <w:tblCellMar>
          <w:top w:w="0" w:type="dxa"/>
          <w:left w:w="0" w:type="dxa"/>
          <w:bottom w:w="0" w:type="dxa"/>
          <w:right w:w="0" w:type="dxa"/>
        </w:tblCellMar>
      </w:tblPr>
      <w:tblGrid>
        <w:gridCol w:w="552"/>
        <w:gridCol w:w="969"/>
        <w:gridCol w:w="1863"/>
        <w:gridCol w:w="1492"/>
        <w:gridCol w:w="1381"/>
        <w:gridCol w:w="1278"/>
        <w:gridCol w:w="2173"/>
      </w:tblGrid>
      <w:tr w14:paraId="56BB6AC7">
        <w:trPr>
          <w:trHeight w:val="397" w:hRule="atLeast"/>
        </w:trPr>
        <w:tc>
          <w:tcPr>
            <w:tcW w:w="284" w:type="pct"/>
            <w:tcBorders>
              <w:top w:val="single" w:color="000000" w:sz="4" w:space="0"/>
              <w:left w:val="single" w:color="000000" w:sz="4" w:space="0"/>
              <w:bottom w:val="single" w:color="000000" w:sz="4" w:space="0"/>
              <w:right w:val="single" w:color="000000" w:sz="4" w:space="0"/>
            </w:tcBorders>
            <w:noWrap w:val="0"/>
            <w:vAlign w:val="center"/>
          </w:tcPr>
          <w:p w14:paraId="0FD9E5EC">
            <w:pPr>
              <w:pStyle w:val="127"/>
              <w:keepNext w:val="0"/>
              <w:keepLines w:val="0"/>
              <w:widowControl/>
              <w:suppressLineNumbers w:val="0"/>
              <w:spacing w:before="0" w:beforeAutospacing="0" w:after="0" w:afterAutospacing="0"/>
              <w:ind w:left="0" w:right="0"/>
              <w:rPr>
                <w:rFonts w:hint="default"/>
                <w:color w:val="000000"/>
              </w:rPr>
            </w:pPr>
            <w:r>
              <w:rPr>
                <w:rFonts w:hint="eastAsia"/>
                <w:color w:val="000000"/>
              </w:rPr>
              <w:t>序号</w:t>
            </w:r>
          </w:p>
        </w:tc>
        <w:tc>
          <w:tcPr>
            <w:tcW w:w="499" w:type="pct"/>
            <w:tcBorders>
              <w:top w:val="single" w:color="000000" w:sz="4" w:space="0"/>
              <w:left w:val="single" w:color="000000" w:sz="4" w:space="0"/>
              <w:bottom w:val="single" w:color="000000" w:sz="4" w:space="0"/>
              <w:right w:val="single" w:color="000000" w:sz="4" w:space="0"/>
            </w:tcBorders>
            <w:noWrap w:val="0"/>
            <w:vAlign w:val="center"/>
          </w:tcPr>
          <w:p w14:paraId="67878D87">
            <w:pPr>
              <w:pStyle w:val="127"/>
              <w:keepNext w:val="0"/>
              <w:keepLines w:val="0"/>
              <w:widowControl/>
              <w:suppressLineNumbers w:val="0"/>
              <w:spacing w:before="0" w:beforeAutospacing="0" w:after="0" w:afterAutospacing="0"/>
              <w:ind w:left="0" w:right="0"/>
              <w:rPr>
                <w:rFonts w:hint="default"/>
                <w:color w:val="000000"/>
              </w:rPr>
            </w:pPr>
            <w:r>
              <w:rPr>
                <w:rFonts w:hint="eastAsia"/>
                <w:color w:val="000000"/>
              </w:rPr>
              <w:t>危险单元</w:t>
            </w:r>
          </w:p>
        </w:tc>
        <w:tc>
          <w:tcPr>
            <w:tcW w:w="959" w:type="pct"/>
            <w:tcBorders>
              <w:top w:val="single" w:color="000000" w:sz="4" w:space="0"/>
              <w:left w:val="single" w:color="000000" w:sz="4" w:space="0"/>
              <w:bottom w:val="single" w:color="000000" w:sz="4" w:space="0"/>
              <w:right w:val="single" w:color="000000" w:sz="4" w:space="0"/>
            </w:tcBorders>
            <w:noWrap w:val="0"/>
            <w:vAlign w:val="center"/>
          </w:tcPr>
          <w:p w14:paraId="266BF7D4">
            <w:pPr>
              <w:pStyle w:val="127"/>
              <w:keepNext w:val="0"/>
              <w:keepLines w:val="0"/>
              <w:widowControl/>
              <w:suppressLineNumbers w:val="0"/>
              <w:spacing w:before="0" w:beforeAutospacing="0" w:after="0" w:afterAutospacing="0"/>
              <w:ind w:left="0" w:right="0"/>
              <w:rPr>
                <w:rFonts w:hint="default"/>
                <w:color w:val="000000"/>
              </w:rPr>
            </w:pPr>
            <w:r>
              <w:rPr>
                <w:rFonts w:hint="eastAsia"/>
                <w:color w:val="000000"/>
              </w:rPr>
              <w:t>风险源</w:t>
            </w:r>
          </w:p>
        </w:tc>
        <w:tc>
          <w:tcPr>
            <w:tcW w:w="768" w:type="pct"/>
            <w:tcBorders>
              <w:top w:val="single" w:color="000000" w:sz="4" w:space="0"/>
              <w:left w:val="single" w:color="000000" w:sz="4" w:space="0"/>
              <w:bottom w:val="single" w:color="000000" w:sz="4" w:space="0"/>
              <w:right w:val="single" w:color="000000" w:sz="4" w:space="0"/>
            </w:tcBorders>
            <w:noWrap w:val="0"/>
            <w:vAlign w:val="center"/>
          </w:tcPr>
          <w:p w14:paraId="28D7528A">
            <w:pPr>
              <w:pStyle w:val="127"/>
              <w:keepNext w:val="0"/>
              <w:keepLines w:val="0"/>
              <w:widowControl/>
              <w:suppressLineNumbers w:val="0"/>
              <w:spacing w:before="0" w:beforeAutospacing="0" w:after="0" w:afterAutospacing="0"/>
              <w:ind w:left="0" w:right="0"/>
              <w:rPr>
                <w:rFonts w:hint="default"/>
                <w:color w:val="000000"/>
              </w:rPr>
            </w:pPr>
            <w:r>
              <w:rPr>
                <w:rFonts w:hint="eastAsia"/>
                <w:color w:val="000000"/>
              </w:rPr>
              <w:t>主要</w:t>
            </w:r>
            <w:r>
              <w:rPr>
                <w:rFonts w:hint="eastAsia"/>
                <w:color w:val="000000"/>
                <w:lang w:eastAsia="zh-CN"/>
              </w:rPr>
              <w:t>风险</w:t>
            </w:r>
            <w:r>
              <w:rPr>
                <w:rFonts w:hint="eastAsia"/>
                <w:color w:val="000000"/>
              </w:rPr>
              <w:t>物质</w:t>
            </w:r>
          </w:p>
        </w:tc>
        <w:tc>
          <w:tcPr>
            <w:tcW w:w="711" w:type="pct"/>
            <w:tcBorders>
              <w:top w:val="single" w:color="000000" w:sz="4" w:space="0"/>
              <w:left w:val="single" w:color="000000" w:sz="4" w:space="0"/>
              <w:bottom w:val="single" w:color="000000" w:sz="4" w:space="0"/>
              <w:right w:val="single" w:color="000000" w:sz="4" w:space="0"/>
            </w:tcBorders>
            <w:noWrap w:val="0"/>
            <w:vAlign w:val="center"/>
          </w:tcPr>
          <w:p w14:paraId="6E67D645">
            <w:pPr>
              <w:pStyle w:val="127"/>
              <w:keepNext w:val="0"/>
              <w:keepLines w:val="0"/>
              <w:widowControl/>
              <w:suppressLineNumbers w:val="0"/>
              <w:spacing w:before="0" w:beforeAutospacing="0" w:after="0" w:afterAutospacing="0"/>
              <w:ind w:left="0" w:right="0"/>
              <w:rPr>
                <w:rFonts w:hint="default"/>
                <w:color w:val="000000"/>
              </w:rPr>
            </w:pPr>
            <w:r>
              <w:rPr>
                <w:rFonts w:hint="eastAsia"/>
                <w:color w:val="000000"/>
              </w:rPr>
              <w:t>环境风险类型</w:t>
            </w:r>
          </w:p>
        </w:tc>
        <w:tc>
          <w:tcPr>
            <w:tcW w:w="658" w:type="pct"/>
            <w:tcBorders>
              <w:top w:val="single" w:color="000000" w:sz="4" w:space="0"/>
              <w:left w:val="single" w:color="000000" w:sz="4" w:space="0"/>
              <w:bottom w:val="single" w:color="000000" w:sz="4" w:space="0"/>
              <w:right w:val="single" w:color="000000" w:sz="4" w:space="0"/>
            </w:tcBorders>
            <w:noWrap w:val="0"/>
            <w:vAlign w:val="center"/>
          </w:tcPr>
          <w:p w14:paraId="55766FF9">
            <w:pPr>
              <w:pStyle w:val="127"/>
              <w:keepNext w:val="0"/>
              <w:keepLines w:val="0"/>
              <w:widowControl/>
              <w:suppressLineNumbers w:val="0"/>
              <w:spacing w:before="0" w:beforeAutospacing="0" w:after="0" w:afterAutospacing="0"/>
              <w:ind w:left="0" w:right="0"/>
              <w:rPr>
                <w:rFonts w:hint="default"/>
                <w:color w:val="000000"/>
              </w:rPr>
            </w:pPr>
            <w:r>
              <w:rPr>
                <w:rFonts w:hint="eastAsia"/>
                <w:color w:val="000000"/>
              </w:rPr>
              <w:t>环境影响途径</w:t>
            </w:r>
          </w:p>
        </w:tc>
        <w:tc>
          <w:tcPr>
            <w:tcW w:w="1118" w:type="pct"/>
            <w:tcBorders>
              <w:top w:val="single" w:color="000000" w:sz="4" w:space="0"/>
              <w:left w:val="single" w:color="000000" w:sz="4" w:space="0"/>
              <w:bottom w:val="single" w:color="000000" w:sz="4" w:space="0"/>
              <w:right w:val="single" w:color="000000" w:sz="4" w:space="0"/>
            </w:tcBorders>
            <w:noWrap w:val="0"/>
            <w:vAlign w:val="center"/>
          </w:tcPr>
          <w:p w14:paraId="0B7583FB">
            <w:pPr>
              <w:pStyle w:val="127"/>
              <w:keepNext w:val="0"/>
              <w:keepLines w:val="0"/>
              <w:widowControl/>
              <w:suppressLineNumbers w:val="0"/>
              <w:spacing w:before="0" w:beforeAutospacing="0" w:after="0" w:afterAutospacing="0"/>
              <w:ind w:left="0" w:right="0"/>
              <w:rPr>
                <w:rFonts w:hint="eastAsia" w:eastAsia="宋体"/>
                <w:color w:val="000000"/>
                <w:lang w:eastAsia="zh-CN"/>
              </w:rPr>
            </w:pPr>
            <w:r>
              <w:rPr>
                <w:rFonts w:hint="eastAsia"/>
                <w:color w:val="000000"/>
                <w:lang w:eastAsia="zh-CN"/>
              </w:rPr>
              <w:t>事故触发因素</w:t>
            </w:r>
          </w:p>
        </w:tc>
      </w:tr>
      <w:tr w14:paraId="07FA4FA3">
        <w:tblPrEx>
          <w:tblCellMar>
            <w:top w:w="0" w:type="dxa"/>
            <w:left w:w="0" w:type="dxa"/>
            <w:bottom w:w="0" w:type="dxa"/>
            <w:right w:w="0" w:type="dxa"/>
          </w:tblCellMar>
        </w:tblPrEx>
        <w:trPr>
          <w:trHeight w:val="397" w:hRule="atLeast"/>
        </w:trPr>
        <w:tc>
          <w:tcPr>
            <w:tcW w:w="284" w:type="pct"/>
            <w:vMerge w:val="restart"/>
            <w:tcBorders>
              <w:top w:val="single" w:color="000000" w:sz="4" w:space="0"/>
              <w:left w:val="single" w:color="000000" w:sz="4" w:space="0"/>
              <w:right w:val="single" w:color="000000" w:sz="4" w:space="0"/>
            </w:tcBorders>
            <w:noWrap w:val="0"/>
            <w:vAlign w:val="center"/>
          </w:tcPr>
          <w:p w14:paraId="30A0827C">
            <w:pPr>
              <w:pStyle w:val="127"/>
              <w:keepNext w:val="0"/>
              <w:keepLines w:val="0"/>
              <w:widowControl/>
              <w:suppressLineNumbers w:val="0"/>
              <w:spacing w:before="0" w:beforeAutospacing="0" w:after="0" w:afterAutospacing="0"/>
              <w:ind w:left="0" w:right="0"/>
              <w:rPr>
                <w:rFonts w:hint="eastAsia" w:eastAsia="宋体" w:cs="Times New Roman"/>
                <w:color w:val="000000"/>
                <w:lang w:val="en-US" w:eastAsia="zh-CN"/>
              </w:rPr>
            </w:pPr>
            <w:r>
              <w:rPr>
                <w:rFonts w:hint="eastAsia" w:cs="Times New Roman"/>
                <w:color w:val="000000"/>
                <w:lang w:val="en-US" w:eastAsia="zh-CN"/>
              </w:rPr>
              <w:t>1</w:t>
            </w:r>
          </w:p>
        </w:tc>
        <w:tc>
          <w:tcPr>
            <w:tcW w:w="499" w:type="pct"/>
            <w:vMerge w:val="restart"/>
            <w:tcBorders>
              <w:top w:val="single" w:color="000000" w:sz="4" w:space="0"/>
              <w:left w:val="single" w:color="000000" w:sz="4" w:space="0"/>
              <w:right w:val="single" w:color="000000" w:sz="4" w:space="0"/>
            </w:tcBorders>
            <w:noWrap w:val="0"/>
            <w:vAlign w:val="center"/>
          </w:tcPr>
          <w:p w14:paraId="47A5DC73">
            <w:pPr>
              <w:pStyle w:val="127"/>
              <w:keepNext w:val="0"/>
              <w:keepLines w:val="0"/>
              <w:widowControl/>
              <w:suppressLineNumbers w:val="0"/>
              <w:spacing w:before="0" w:beforeAutospacing="0" w:after="0" w:afterAutospacing="0"/>
              <w:ind w:left="0" w:right="0"/>
              <w:rPr>
                <w:rFonts w:hint="eastAsia" w:eastAsia="宋体"/>
                <w:color w:val="000000"/>
                <w:lang w:eastAsia="zh-CN"/>
              </w:rPr>
            </w:pPr>
            <w:r>
              <w:rPr>
                <w:rFonts w:hint="eastAsia"/>
                <w:color w:val="000000"/>
                <w:lang w:eastAsia="zh-CN"/>
              </w:rPr>
              <w:t>储罐区</w:t>
            </w:r>
          </w:p>
        </w:tc>
        <w:tc>
          <w:tcPr>
            <w:tcW w:w="959" w:type="pct"/>
            <w:tcBorders>
              <w:top w:val="single" w:color="000000" w:sz="4" w:space="0"/>
              <w:left w:val="single" w:color="000000" w:sz="4" w:space="0"/>
              <w:bottom w:val="single" w:color="000000" w:sz="4" w:space="0"/>
              <w:right w:val="single" w:color="000000" w:sz="4" w:space="0"/>
            </w:tcBorders>
            <w:noWrap w:val="0"/>
            <w:vAlign w:val="center"/>
          </w:tcPr>
          <w:p w14:paraId="3A842DD8">
            <w:pPr>
              <w:pStyle w:val="127"/>
              <w:keepNext w:val="0"/>
              <w:keepLines w:val="0"/>
              <w:widowControl/>
              <w:suppressLineNumbers w:val="0"/>
              <w:spacing w:before="0" w:beforeAutospacing="0" w:after="0" w:afterAutospacing="0"/>
              <w:ind w:left="0" w:right="0"/>
              <w:rPr>
                <w:rFonts w:hint="eastAsia" w:eastAsia="宋体"/>
                <w:color w:val="000000"/>
                <w:lang w:eastAsia="zh-CN"/>
              </w:rPr>
            </w:pPr>
            <w:r>
              <w:rPr>
                <w:rFonts w:hint="eastAsia"/>
                <w:color w:val="000000"/>
                <w:lang w:eastAsia="zh-CN"/>
              </w:rPr>
              <w:t>苯酚</w:t>
            </w:r>
          </w:p>
        </w:tc>
        <w:tc>
          <w:tcPr>
            <w:tcW w:w="768" w:type="pct"/>
            <w:tcBorders>
              <w:top w:val="single" w:color="000000" w:sz="4" w:space="0"/>
              <w:left w:val="single" w:color="000000" w:sz="4" w:space="0"/>
              <w:bottom w:val="single" w:color="000000" w:sz="4" w:space="0"/>
              <w:right w:val="single" w:color="000000" w:sz="4" w:space="0"/>
            </w:tcBorders>
            <w:noWrap w:val="0"/>
            <w:vAlign w:val="center"/>
          </w:tcPr>
          <w:p w14:paraId="0438399A">
            <w:pPr>
              <w:pStyle w:val="127"/>
              <w:keepNext w:val="0"/>
              <w:keepLines w:val="0"/>
              <w:widowControl/>
              <w:suppressLineNumbers w:val="0"/>
              <w:spacing w:before="0" w:beforeAutospacing="0" w:after="0" w:afterAutospacing="0"/>
              <w:ind w:left="0" w:right="0"/>
              <w:rPr>
                <w:rFonts w:hint="eastAsia" w:eastAsia="宋体"/>
                <w:color w:val="000000"/>
                <w:lang w:eastAsia="zh-CN"/>
              </w:rPr>
            </w:pPr>
            <w:r>
              <w:rPr>
                <w:rFonts w:hint="eastAsia"/>
                <w:color w:val="000000"/>
                <w:lang w:eastAsia="zh-CN"/>
              </w:rPr>
              <w:t>苯酚</w:t>
            </w:r>
          </w:p>
        </w:tc>
        <w:tc>
          <w:tcPr>
            <w:tcW w:w="711" w:type="pct"/>
            <w:tcBorders>
              <w:top w:val="single" w:color="000000" w:sz="4" w:space="0"/>
              <w:left w:val="single" w:color="000000" w:sz="4" w:space="0"/>
              <w:bottom w:val="single" w:color="auto" w:sz="4" w:space="0"/>
              <w:right w:val="single" w:color="000000" w:sz="4" w:space="0"/>
            </w:tcBorders>
            <w:noWrap w:val="0"/>
            <w:vAlign w:val="center"/>
          </w:tcPr>
          <w:p w14:paraId="68A3B2BD">
            <w:pPr>
              <w:pStyle w:val="127"/>
              <w:keepNext w:val="0"/>
              <w:keepLines w:val="0"/>
              <w:widowControl/>
              <w:suppressLineNumbers w:val="0"/>
              <w:spacing w:before="0" w:beforeAutospacing="0" w:after="0" w:afterAutospacing="0"/>
              <w:ind w:left="0" w:right="0"/>
              <w:rPr>
                <w:rFonts w:hint="default"/>
                <w:color w:val="000000"/>
              </w:rPr>
            </w:pPr>
            <w:r>
              <w:rPr>
                <w:rFonts w:hint="eastAsia"/>
                <w:color w:val="000000"/>
              </w:rPr>
              <w:t>泄露</w:t>
            </w:r>
          </w:p>
        </w:tc>
        <w:tc>
          <w:tcPr>
            <w:tcW w:w="658" w:type="pct"/>
            <w:vMerge w:val="restart"/>
            <w:tcBorders>
              <w:top w:val="single" w:color="000000" w:sz="4" w:space="0"/>
              <w:left w:val="single" w:color="000000" w:sz="4" w:space="0"/>
              <w:right w:val="single" w:color="000000" w:sz="4" w:space="0"/>
            </w:tcBorders>
            <w:noWrap w:val="0"/>
            <w:vAlign w:val="center"/>
          </w:tcPr>
          <w:p w14:paraId="30A9AD97">
            <w:pPr>
              <w:pStyle w:val="127"/>
              <w:keepNext w:val="0"/>
              <w:keepLines w:val="0"/>
              <w:widowControl/>
              <w:suppressLineNumbers w:val="0"/>
              <w:spacing w:before="0" w:beforeAutospacing="0" w:after="0" w:afterAutospacing="0"/>
              <w:ind w:left="0" w:right="0"/>
              <w:rPr>
                <w:rFonts w:hint="default"/>
                <w:color w:val="000000"/>
              </w:rPr>
            </w:pPr>
            <w:r>
              <w:rPr>
                <w:rFonts w:hint="eastAsia"/>
                <w:color w:val="000000"/>
                <w:lang w:eastAsia="zh-CN"/>
              </w:rPr>
              <w:t>大气、</w:t>
            </w:r>
            <w:r>
              <w:rPr>
                <w:rFonts w:hint="eastAsia"/>
                <w:color w:val="000000"/>
              </w:rPr>
              <w:t>土壤、水环境</w:t>
            </w:r>
          </w:p>
        </w:tc>
        <w:tc>
          <w:tcPr>
            <w:tcW w:w="1118" w:type="pct"/>
            <w:tcBorders>
              <w:top w:val="single" w:color="000000" w:sz="4" w:space="0"/>
              <w:left w:val="single" w:color="000000" w:sz="4" w:space="0"/>
              <w:bottom w:val="single" w:color="auto" w:sz="4" w:space="0"/>
              <w:right w:val="single" w:color="000000" w:sz="4" w:space="0"/>
            </w:tcBorders>
            <w:noWrap w:val="0"/>
            <w:vAlign w:val="center"/>
          </w:tcPr>
          <w:p w14:paraId="1CE9A03F">
            <w:pPr>
              <w:pStyle w:val="127"/>
              <w:keepNext w:val="0"/>
              <w:keepLines w:val="0"/>
              <w:widowControl/>
              <w:suppressLineNumbers w:val="0"/>
              <w:spacing w:before="0" w:beforeAutospacing="0" w:after="0" w:afterAutospacing="0"/>
              <w:ind w:left="0" w:right="0"/>
              <w:jc w:val="both"/>
              <w:rPr>
                <w:rFonts w:hint="eastAsia"/>
                <w:color w:val="000000"/>
                <w:lang w:eastAsia="zh-CN"/>
              </w:rPr>
            </w:pPr>
            <w:r>
              <w:rPr>
                <w:rFonts w:hint="eastAsia"/>
                <w:color w:val="000000"/>
                <w:lang w:eastAsia="zh-CN"/>
              </w:rPr>
              <w:t>反应失控引发爆炸</w:t>
            </w:r>
          </w:p>
        </w:tc>
      </w:tr>
      <w:tr w14:paraId="0BC5F4A1">
        <w:tblPrEx>
          <w:tblCellMar>
            <w:top w:w="0" w:type="dxa"/>
            <w:left w:w="0" w:type="dxa"/>
            <w:bottom w:w="0" w:type="dxa"/>
            <w:right w:w="0" w:type="dxa"/>
          </w:tblCellMar>
        </w:tblPrEx>
        <w:trPr>
          <w:trHeight w:val="397" w:hRule="atLeast"/>
        </w:trPr>
        <w:tc>
          <w:tcPr>
            <w:tcW w:w="284" w:type="pct"/>
            <w:vMerge w:val="continue"/>
            <w:tcBorders>
              <w:left w:val="single" w:color="000000" w:sz="4" w:space="0"/>
              <w:right w:val="single" w:color="000000" w:sz="4" w:space="0"/>
            </w:tcBorders>
            <w:noWrap w:val="0"/>
            <w:vAlign w:val="center"/>
          </w:tcPr>
          <w:p w14:paraId="5552BE51">
            <w:pPr>
              <w:pStyle w:val="127"/>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499" w:type="pct"/>
            <w:vMerge w:val="continue"/>
            <w:tcBorders>
              <w:left w:val="single" w:color="000000" w:sz="4" w:space="0"/>
              <w:right w:val="single" w:color="000000" w:sz="4" w:space="0"/>
            </w:tcBorders>
            <w:noWrap w:val="0"/>
            <w:vAlign w:val="center"/>
          </w:tcPr>
          <w:p w14:paraId="16295E3A">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959" w:type="pct"/>
            <w:tcBorders>
              <w:top w:val="single" w:color="000000" w:sz="4" w:space="0"/>
              <w:left w:val="single" w:color="000000" w:sz="4" w:space="0"/>
              <w:bottom w:val="single" w:color="000000" w:sz="4" w:space="0"/>
              <w:right w:val="single" w:color="000000" w:sz="4" w:space="0"/>
            </w:tcBorders>
            <w:noWrap w:val="0"/>
            <w:vAlign w:val="center"/>
          </w:tcPr>
          <w:p w14:paraId="5805CCB1">
            <w:pPr>
              <w:pStyle w:val="127"/>
              <w:keepNext w:val="0"/>
              <w:keepLines w:val="0"/>
              <w:widowControl/>
              <w:suppressLineNumbers w:val="0"/>
              <w:spacing w:before="0" w:beforeAutospacing="0" w:after="0" w:afterAutospacing="0"/>
              <w:ind w:left="0" w:right="0"/>
              <w:rPr>
                <w:rFonts w:hint="eastAsia" w:eastAsia="宋体"/>
                <w:color w:val="000000"/>
                <w:lang w:eastAsia="zh-CN"/>
              </w:rPr>
            </w:pPr>
            <w:r>
              <w:rPr>
                <w:rFonts w:hint="eastAsia"/>
                <w:color w:val="000000"/>
                <w:lang w:eastAsia="zh-CN"/>
              </w:rPr>
              <w:t>甲醇</w:t>
            </w:r>
          </w:p>
        </w:tc>
        <w:tc>
          <w:tcPr>
            <w:tcW w:w="768" w:type="pct"/>
            <w:tcBorders>
              <w:top w:val="single" w:color="000000" w:sz="4" w:space="0"/>
              <w:left w:val="single" w:color="000000" w:sz="4" w:space="0"/>
              <w:bottom w:val="single" w:color="000000" w:sz="4" w:space="0"/>
              <w:right w:val="single" w:color="000000" w:sz="4" w:space="0"/>
            </w:tcBorders>
            <w:noWrap w:val="0"/>
            <w:vAlign w:val="center"/>
          </w:tcPr>
          <w:p w14:paraId="4E242E79">
            <w:pPr>
              <w:pStyle w:val="127"/>
              <w:keepNext w:val="0"/>
              <w:keepLines w:val="0"/>
              <w:widowControl/>
              <w:suppressLineNumbers w:val="0"/>
              <w:spacing w:before="0" w:beforeAutospacing="0" w:after="0" w:afterAutospacing="0"/>
              <w:ind w:left="0" w:right="0"/>
              <w:rPr>
                <w:rFonts w:hint="eastAsia"/>
                <w:color w:val="000000"/>
              </w:rPr>
            </w:pPr>
            <w:r>
              <w:rPr>
                <w:rFonts w:hint="eastAsia"/>
                <w:color w:val="000000"/>
                <w:lang w:eastAsia="zh-CN"/>
              </w:rPr>
              <w:t>甲醇</w:t>
            </w:r>
          </w:p>
        </w:tc>
        <w:tc>
          <w:tcPr>
            <w:tcW w:w="711" w:type="pct"/>
            <w:tcBorders>
              <w:top w:val="single" w:color="auto" w:sz="4" w:space="0"/>
              <w:left w:val="single" w:color="000000" w:sz="4" w:space="0"/>
              <w:bottom w:val="single" w:color="auto" w:sz="4" w:space="0"/>
              <w:right w:val="single" w:color="000000" w:sz="4" w:space="0"/>
            </w:tcBorders>
            <w:noWrap w:val="0"/>
            <w:vAlign w:val="center"/>
          </w:tcPr>
          <w:p w14:paraId="181AC586">
            <w:pPr>
              <w:pStyle w:val="127"/>
              <w:keepNext w:val="0"/>
              <w:keepLines w:val="0"/>
              <w:widowControl/>
              <w:suppressLineNumbers w:val="0"/>
              <w:spacing w:before="0" w:beforeAutospacing="0" w:after="0" w:afterAutospacing="0"/>
              <w:ind w:left="0" w:right="0"/>
              <w:rPr>
                <w:rFonts w:hint="eastAsia"/>
                <w:color w:val="000000"/>
              </w:rPr>
            </w:pPr>
            <w:r>
              <w:rPr>
                <w:rFonts w:hint="eastAsia"/>
                <w:color w:val="000000"/>
                <w:lang w:eastAsia="zh-CN"/>
              </w:rPr>
              <w:t>火灾、爆炸</w:t>
            </w:r>
          </w:p>
        </w:tc>
        <w:tc>
          <w:tcPr>
            <w:tcW w:w="658" w:type="pct"/>
            <w:vMerge w:val="continue"/>
            <w:tcBorders>
              <w:left w:val="single" w:color="000000" w:sz="4" w:space="0"/>
              <w:right w:val="single" w:color="000000" w:sz="4" w:space="0"/>
            </w:tcBorders>
            <w:noWrap w:val="0"/>
            <w:vAlign w:val="center"/>
          </w:tcPr>
          <w:p w14:paraId="3DAF74E5">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1118" w:type="pct"/>
            <w:tcBorders>
              <w:top w:val="single" w:color="auto" w:sz="4" w:space="0"/>
              <w:left w:val="single" w:color="000000" w:sz="4" w:space="0"/>
              <w:bottom w:val="single" w:color="auto" w:sz="4" w:space="0"/>
              <w:right w:val="single" w:color="000000" w:sz="4" w:space="0"/>
            </w:tcBorders>
            <w:noWrap w:val="0"/>
            <w:vAlign w:val="center"/>
          </w:tcPr>
          <w:p w14:paraId="65541AA1">
            <w:pPr>
              <w:pStyle w:val="127"/>
              <w:keepNext w:val="0"/>
              <w:keepLines w:val="0"/>
              <w:widowControl/>
              <w:suppressLineNumbers w:val="0"/>
              <w:spacing w:before="0" w:beforeAutospacing="0" w:after="0" w:afterAutospacing="0"/>
              <w:ind w:left="0" w:right="0"/>
              <w:rPr>
                <w:rFonts w:hint="eastAsia"/>
                <w:color w:val="000000"/>
                <w:lang w:eastAsia="zh-CN"/>
              </w:rPr>
            </w:pPr>
            <w:r>
              <w:rPr>
                <w:rFonts w:hint="eastAsia" w:ascii="宋体" w:hAnsi="宋体" w:cs="宋体"/>
                <w:szCs w:val="21"/>
              </w:rPr>
              <w:t>易燃，其蒸气与空气可形成爆炸性混合物，遇明火、高热能引起燃烧爆炸</w:t>
            </w:r>
          </w:p>
        </w:tc>
      </w:tr>
      <w:tr w14:paraId="619C4628">
        <w:tblPrEx>
          <w:tblCellMar>
            <w:top w:w="0" w:type="dxa"/>
            <w:left w:w="0" w:type="dxa"/>
            <w:bottom w:w="0" w:type="dxa"/>
            <w:right w:w="0" w:type="dxa"/>
          </w:tblCellMar>
        </w:tblPrEx>
        <w:trPr>
          <w:trHeight w:val="397" w:hRule="atLeast"/>
        </w:trPr>
        <w:tc>
          <w:tcPr>
            <w:tcW w:w="284" w:type="pct"/>
            <w:vMerge w:val="continue"/>
            <w:tcBorders>
              <w:left w:val="single" w:color="000000" w:sz="4" w:space="0"/>
              <w:right w:val="single" w:color="000000" w:sz="4" w:space="0"/>
            </w:tcBorders>
            <w:noWrap w:val="0"/>
            <w:vAlign w:val="center"/>
          </w:tcPr>
          <w:p w14:paraId="54C1A3B2">
            <w:pPr>
              <w:pStyle w:val="127"/>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499" w:type="pct"/>
            <w:vMerge w:val="continue"/>
            <w:tcBorders>
              <w:left w:val="single" w:color="000000" w:sz="4" w:space="0"/>
              <w:right w:val="single" w:color="000000" w:sz="4" w:space="0"/>
            </w:tcBorders>
            <w:noWrap w:val="0"/>
            <w:vAlign w:val="center"/>
          </w:tcPr>
          <w:p w14:paraId="2D4AEFBA">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959" w:type="pct"/>
            <w:tcBorders>
              <w:top w:val="single" w:color="000000" w:sz="4" w:space="0"/>
              <w:left w:val="single" w:color="000000" w:sz="4" w:space="0"/>
              <w:bottom w:val="single" w:color="000000" w:sz="4" w:space="0"/>
              <w:right w:val="single" w:color="000000" w:sz="4" w:space="0"/>
            </w:tcBorders>
            <w:noWrap w:val="0"/>
            <w:vAlign w:val="center"/>
          </w:tcPr>
          <w:p w14:paraId="65277149">
            <w:pPr>
              <w:pStyle w:val="127"/>
              <w:keepNext w:val="0"/>
              <w:keepLines w:val="0"/>
              <w:widowControl/>
              <w:suppressLineNumbers w:val="0"/>
              <w:spacing w:before="0" w:beforeAutospacing="0" w:after="0" w:afterAutospacing="0"/>
              <w:ind w:left="0" w:right="0"/>
              <w:rPr>
                <w:rFonts w:hint="eastAsia"/>
                <w:color w:val="000000"/>
                <w:lang w:eastAsia="zh-CN"/>
              </w:rPr>
            </w:pPr>
            <w:r>
              <w:rPr>
                <w:rFonts w:hint="eastAsia"/>
                <w:color w:val="000000"/>
                <w:lang w:eastAsia="zh-CN"/>
              </w:rPr>
              <w:t>硫酸</w:t>
            </w:r>
          </w:p>
        </w:tc>
        <w:tc>
          <w:tcPr>
            <w:tcW w:w="768" w:type="pct"/>
            <w:tcBorders>
              <w:top w:val="single" w:color="000000" w:sz="4" w:space="0"/>
              <w:left w:val="single" w:color="000000" w:sz="4" w:space="0"/>
              <w:bottom w:val="single" w:color="000000" w:sz="4" w:space="0"/>
              <w:right w:val="single" w:color="000000" w:sz="4" w:space="0"/>
            </w:tcBorders>
            <w:noWrap w:val="0"/>
            <w:vAlign w:val="center"/>
          </w:tcPr>
          <w:p w14:paraId="53EC9972">
            <w:pPr>
              <w:pStyle w:val="127"/>
              <w:keepNext w:val="0"/>
              <w:keepLines w:val="0"/>
              <w:widowControl/>
              <w:suppressLineNumbers w:val="0"/>
              <w:spacing w:before="0" w:beforeAutospacing="0" w:after="0" w:afterAutospacing="0"/>
              <w:ind w:left="0" w:right="0"/>
              <w:rPr>
                <w:rFonts w:hint="eastAsia"/>
                <w:color w:val="000000"/>
              </w:rPr>
            </w:pPr>
            <w:r>
              <w:rPr>
                <w:rFonts w:hint="eastAsia"/>
                <w:color w:val="000000"/>
                <w:lang w:eastAsia="zh-CN"/>
              </w:rPr>
              <w:t>硫酸</w:t>
            </w:r>
          </w:p>
        </w:tc>
        <w:tc>
          <w:tcPr>
            <w:tcW w:w="711" w:type="pct"/>
            <w:tcBorders>
              <w:top w:val="single" w:color="auto" w:sz="4" w:space="0"/>
              <w:left w:val="single" w:color="000000" w:sz="4" w:space="0"/>
              <w:bottom w:val="single" w:color="auto" w:sz="4" w:space="0"/>
              <w:right w:val="single" w:color="000000" w:sz="4" w:space="0"/>
            </w:tcBorders>
            <w:noWrap w:val="0"/>
            <w:vAlign w:val="center"/>
          </w:tcPr>
          <w:p w14:paraId="5B17BF2A">
            <w:pPr>
              <w:pStyle w:val="127"/>
              <w:keepNext w:val="0"/>
              <w:keepLines w:val="0"/>
              <w:widowControl/>
              <w:suppressLineNumbers w:val="0"/>
              <w:spacing w:before="0" w:beforeAutospacing="0" w:after="0" w:afterAutospacing="0"/>
              <w:ind w:left="0" w:right="0"/>
              <w:rPr>
                <w:rFonts w:hint="eastAsia"/>
                <w:color w:val="000000"/>
              </w:rPr>
            </w:pPr>
            <w:r>
              <w:rPr>
                <w:rFonts w:hint="eastAsia"/>
                <w:color w:val="000000"/>
                <w:lang w:eastAsia="zh-CN"/>
              </w:rPr>
              <w:t>火灾、爆炸</w:t>
            </w:r>
          </w:p>
        </w:tc>
        <w:tc>
          <w:tcPr>
            <w:tcW w:w="658" w:type="pct"/>
            <w:vMerge w:val="continue"/>
            <w:tcBorders>
              <w:left w:val="single" w:color="000000" w:sz="4" w:space="0"/>
              <w:right w:val="single" w:color="000000" w:sz="4" w:space="0"/>
            </w:tcBorders>
            <w:noWrap w:val="0"/>
            <w:vAlign w:val="center"/>
          </w:tcPr>
          <w:p w14:paraId="45D503E6">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1118" w:type="pct"/>
            <w:tcBorders>
              <w:top w:val="single" w:color="auto" w:sz="4" w:space="0"/>
              <w:left w:val="single" w:color="000000" w:sz="4" w:space="0"/>
              <w:bottom w:val="single" w:color="auto" w:sz="4" w:space="0"/>
              <w:right w:val="single" w:color="000000" w:sz="4" w:space="0"/>
            </w:tcBorders>
            <w:noWrap w:val="0"/>
            <w:vAlign w:val="center"/>
          </w:tcPr>
          <w:p w14:paraId="6CF69FBC">
            <w:pPr>
              <w:pStyle w:val="127"/>
              <w:keepNext w:val="0"/>
              <w:keepLines w:val="0"/>
              <w:widowControl/>
              <w:suppressLineNumbers w:val="0"/>
              <w:spacing w:before="0" w:beforeAutospacing="0" w:after="0" w:afterAutospacing="0"/>
              <w:ind w:left="0" w:right="0"/>
              <w:jc w:val="both"/>
              <w:rPr>
                <w:rFonts w:hint="eastAsia"/>
                <w:color w:val="000000"/>
                <w:lang w:eastAsia="zh-CN"/>
              </w:rPr>
            </w:pPr>
            <w:r>
              <w:rPr>
                <w:rFonts w:hint="eastAsia"/>
                <w:color w:val="000000"/>
                <w:lang w:eastAsia="zh-CN"/>
              </w:rPr>
              <w:t>在空气中形成爆炸混合物</w:t>
            </w:r>
          </w:p>
        </w:tc>
      </w:tr>
      <w:tr w14:paraId="3F904EC8">
        <w:tblPrEx>
          <w:tblCellMar>
            <w:top w:w="0" w:type="dxa"/>
            <w:left w:w="0" w:type="dxa"/>
            <w:bottom w:w="0" w:type="dxa"/>
            <w:right w:w="0" w:type="dxa"/>
          </w:tblCellMar>
        </w:tblPrEx>
        <w:trPr>
          <w:trHeight w:val="397" w:hRule="atLeast"/>
        </w:trPr>
        <w:tc>
          <w:tcPr>
            <w:tcW w:w="284" w:type="pct"/>
            <w:vMerge w:val="continue"/>
            <w:tcBorders>
              <w:left w:val="single" w:color="000000" w:sz="4" w:space="0"/>
              <w:bottom w:val="single" w:color="000000" w:sz="4" w:space="0"/>
              <w:right w:val="single" w:color="000000" w:sz="4" w:space="0"/>
            </w:tcBorders>
            <w:noWrap w:val="0"/>
            <w:vAlign w:val="center"/>
          </w:tcPr>
          <w:p w14:paraId="7F16D3E9">
            <w:pPr>
              <w:pStyle w:val="127"/>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499" w:type="pct"/>
            <w:vMerge w:val="continue"/>
            <w:tcBorders>
              <w:left w:val="single" w:color="000000" w:sz="4" w:space="0"/>
              <w:bottom w:val="single" w:color="000000" w:sz="4" w:space="0"/>
              <w:right w:val="single" w:color="000000" w:sz="4" w:space="0"/>
            </w:tcBorders>
            <w:noWrap w:val="0"/>
            <w:vAlign w:val="center"/>
          </w:tcPr>
          <w:p w14:paraId="2624D679">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BA6E11">
            <w:pPr>
              <w:pStyle w:val="127"/>
              <w:keepNext w:val="0"/>
              <w:keepLines w:val="0"/>
              <w:widowControl/>
              <w:suppressLineNumbers w:val="0"/>
              <w:spacing w:before="0" w:beforeAutospacing="0" w:after="0" w:afterAutospacing="0"/>
              <w:ind w:left="0" w:leftChars="0" w:right="0" w:rightChars="0"/>
              <w:rPr>
                <w:rFonts w:hint="eastAsia" w:ascii="Times New Roman" w:hAnsi="Times New Roman" w:eastAsia="宋体" w:cs="Times New Roman"/>
                <w:color w:val="000000"/>
                <w:kern w:val="2"/>
                <w:sz w:val="21"/>
                <w:szCs w:val="21"/>
                <w:lang w:val="en-US" w:eastAsia="zh-CN" w:bidi="ar-SA"/>
              </w:rPr>
            </w:pPr>
            <w:r>
              <w:rPr>
                <w:rFonts w:hint="eastAsia"/>
                <w:color w:val="000000"/>
                <w:lang w:eastAsia="zh-CN"/>
              </w:rPr>
              <w:t>氢氧化钠溶液</w:t>
            </w:r>
          </w:p>
        </w:tc>
        <w:tc>
          <w:tcPr>
            <w:tcW w:w="76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6323B9">
            <w:pPr>
              <w:pStyle w:val="127"/>
              <w:keepNext w:val="0"/>
              <w:keepLines w:val="0"/>
              <w:widowControl/>
              <w:suppressLineNumbers w:val="0"/>
              <w:spacing w:before="0" w:beforeAutospacing="0" w:after="0" w:afterAutospacing="0"/>
              <w:ind w:left="0" w:leftChars="0" w:right="0" w:rightChars="0"/>
              <w:rPr>
                <w:rFonts w:hint="eastAsia" w:ascii="Times New Roman" w:hAnsi="Times New Roman" w:eastAsia="宋体" w:cs="Times New Roman"/>
                <w:color w:val="000000"/>
                <w:kern w:val="2"/>
                <w:sz w:val="21"/>
                <w:szCs w:val="21"/>
                <w:lang w:val="en-US" w:eastAsia="zh-CN" w:bidi="ar-SA"/>
              </w:rPr>
            </w:pPr>
            <w:r>
              <w:rPr>
                <w:rFonts w:hint="eastAsia"/>
                <w:color w:val="000000"/>
                <w:lang w:eastAsia="zh-CN"/>
              </w:rPr>
              <w:t>氢氧化钠</w:t>
            </w:r>
          </w:p>
        </w:tc>
        <w:tc>
          <w:tcPr>
            <w:tcW w:w="711" w:type="pct"/>
            <w:tcBorders>
              <w:top w:val="single" w:color="auto" w:sz="4" w:space="0"/>
              <w:left w:val="single" w:color="000000" w:sz="4" w:space="0"/>
              <w:bottom w:val="single" w:color="auto" w:sz="4" w:space="0"/>
              <w:right w:val="single" w:color="000000" w:sz="4" w:space="0"/>
            </w:tcBorders>
            <w:shd w:val="clear" w:color="auto" w:fill="auto"/>
            <w:noWrap w:val="0"/>
            <w:vAlign w:val="center"/>
          </w:tcPr>
          <w:p w14:paraId="60F0420F">
            <w:pPr>
              <w:pStyle w:val="127"/>
              <w:keepNext w:val="0"/>
              <w:keepLines w:val="0"/>
              <w:widowControl/>
              <w:suppressLineNumbers w:val="0"/>
              <w:spacing w:before="0" w:beforeAutospacing="0" w:after="0" w:afterAutospacing="0"/>
              <w:ind w:left="0" w:leftChars="0" w:right="0" w:rightChars="0"/>
              <w:rPr>
                <w:rFonts w:hint="eastAsia" w:ascii="Times New Roman" w:hAnsi="Times New Roman" w:eastAsia="宋体" w:cs="Times New Roman"/>
                <w:color w:val="000000"/>
                <w:kern w:val="2"/>
                <w:sz w:val="21"/>
                <w:szCs w:val="21"/>
                <w:lang w:val="en-US" w:eastAsia="zh-CN" w:bidi="ar-SA"/>
              </w:rPr>
            </w:pPr>
            <w:r>
              <w:rPr>
                <w:rFonts w:hint="eastAsia"/>
                <w:color w:val="000000"/>
              </w:rPr>
              <w:t>泄露</w:t>
            </w:r>
          </w:p>
        </w:tc>
        <w:tc>
          <w:tcPr>
            <w:tcW w:w="658" w:type="pct"/>
            <w:vMerge w:val="continue"/>
            <w:tcBorders>
              <w:left w:val="single" w:color="000000" w:sz="4" w:space="0"/>
              <w:bottom w:val="single" w:color="000000" w:sz="4" w:space="0"/>
              <w:right w:val="single" w:color="000000" w:sz="4" w:space="0"/>
            </w:tcBorders>
            <w:noWrap w:val="0"/>
            <w:vAlign w:val="center"/>
          </w:tcPr>
          <w:p w14:paraId="3293CC8E">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1118" w:type="pct"/>
            <w:tcBorders>
              <w:top w:val="single" w:color="auto" w:sz="4" w:space="0"/>
              <w:left w:val="single" w:color="000000" w:sz="4" w:space="0"/>
              <w:bottom w:val="single" w:color="000000" w:sz="4" w:space="0"/>
              <w:right w:val="single" w:color="000000" w:sz="4" w:space="0"/>
            </w:tcBorders>
            <w:noWrap w:val="0"/>
            <w:vAlign w:val="center"/>
          </w:tcPr>
          <w:p w14:paraId="3B40D297">
            <w:pPr>
              <w:pStyle w:val="127"/>
              <w:keepNext w:val="0"/>
              <w:keepLines w:val="0"/>
              <w:widowControl/>
              <w:suppressLineNumbers w:val="0"/>
              <w:spacing w:before="0" w:beforeAutospacing="0" w:after="0" w:afterAutospacing="0"/>
              <w:ind w:left="0" w:right="0"/>
              <w:rPr>
                <w:rFonts w:hint="eastAsia"/>
                <w:color w:val="000000"/>
                <w:lang w:eastAsia="zh-CN"/>
              </w:rPr>
            </w:pPr>
            <w:r>
              <w:rPr>
                <w:rFonts w:hint="eastAsia" w:ascii="宋体" w:hAnsi="宋体" w:cs="宋体"/>
                <w:szCs w:val="21"/>
              </w:rPr>
              <w:t>不燃，具强腐蚀性、强刺激性</w:t>
            </w:r>
          </w:p>
        </w:tc>
      </w:tr>
      <w:tr w14:paraId="760CD2A3">
        <w:tblPrEx>
          <w:tblCellMar>
            <w:top w:w="0" w:type="dxa"/>
            <w:left w:w="0" w:type="dxa"/>
            <w:bottom w:w="0" w:type="dxa"/>
            <w:right w:w="0" w:type="dxa"/>
          </w:tblCellMar>
        </w:tblPrEx>
        <w:trPr>
          <w:trHeight w:val="397" w:hRule="atLeast"/>
        </w:trPr>
        <w:tc>
          <w:tcPr>
            <w:tcW w:w="284" w:type="pct"/>
            <w:vMerge w:val="continue"/>
            <w:tcBorders>
              <w:left w:val="single" w:color="000000" w:sz="4" w:space="0"/>
              <w:bottom w:val="single" w:color="000000" w:sz="4" w:space="0"/>
              <w:right w:val="single" w:color="000000" w:sz="4" w:space="0"/>
            </w:tcBorders>
            <w:noWrap w:val="0"/>
            <w:vAlign w:val="center"/>
          </w:tcPr>
          <w:p w14:paraId="2040BA03">
            <w:pPr>
              <w:pStyle w:val="127"/>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499" w:type="pct"/>
            <w:vMerge w:val="continue"/>
            <w:tcBorders>
              <w:left w:val="single" w:color="000000" w:sz="4" w:space="0"/>
              <w:bottom w:val="single" w:color="000000" w:sz="4" w:space="0"/>
              <w:right w:val="single" w:color="000000" w:sz="4" w:space="0"/>
            </w:tcBorders>
            <w:noWrap w:val="0"/>
            <w:vAlign w:val="center"/>
          </w:tcPr>
          <w:p w14:paraId="39BA5382">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795141">
            <w:pPr>
              <w:keepNext w:val="0"/>
              <w:keepLines w:val="0"/>
              <w:suppressLineNumbers w:val="0"/>
              <w:spacing w:before="0" w:beforeAutospacing="0" w:after="0" w:afterAutospacing="0" w:line="240" w:lineRule="auto"/>
              <w:ind w:left="0" w:leftChars="0" w:right="0" w:rightChars="0" w:firstLine="0" w:firstLineChars="0"/>
              <w:jc w:val="center"/>
              <w:rPr>
                <w:rFonts w:hint="eastAsia" w:ascii="宋体" w:hAnsi="宋体" w:cs="宋体"/>
                <w:kern w:val="2"/>
                <w:sz w:val="21"/>
                <w:szCs w:val="21"/>
                <w:lang w:val="en-US" w:eastAsia="zh-CN" w:bidi="ar-SA"/>
              </w:rPr>
            </w:pPr>
            <w:r>
              <w:rPr>
                <w:rFonts w:hint="eastAsia" w:ascii="宋体" w:hAnsi="宋体" w:cs="宋体"/>
                <w:sz w:val="21"/>
                <w:szCs w:val="21"/>
              </w:rPr>
              <w:t>氯苯</w:t>
            </w:r>
          </w:p>
        </w:tc>
        <w:tc>
          <w:tcPr>
            <w:tcW w:w="768" w:type="pct"/>
            <w:tcBorders>
              <w:top w:val="single" w:color="000000" w:sz="4" w:space="0"/>
              <w:left w:val="single" w:color="000000" w:sz="4" w:space="0"/>
              <w:bottom w:val="single" w:color="000000" w:sz="4" w:space="0"/>
              <w:right w:val="single" w:color="000000" w:sz="4" w:space="0"/>
            </w:tcBorders>
            <w:noWrap w:val="0"/>
            <w:vAlign w:val="center"/>
          </w:tcPr>
          <w:p w14:paraId="64DF2934">
            <w:pPr>
              <w:pStyle w:val="127"/>
              <w:keepNext w:val="0"/>
              <w:keepLines w:val="0"/>
              <w:widowControl/>
              <w:suppressLineNumbers w:val="0"/>
              <w:spacing w:before="0" w:beforeAutospacing="0" w:after="0" w:afterAutospacing="0"/>
              <w:ind w:left="0" w:right="0"/>
              <w:rPr>
                <w:rFonts w:hint="eastAsia"/>
                <w:color w:val="000000"/>
                <w:lang w:eastAsia="zh-CN"/>
              </w:rPr>
            </w:pPr>
            <w:r>
              <w:rPr>
                <w:rFonts w:hint="eastAsia" w:ascii="宋体" w:hAnsi="宋体" w:cs="宋体"/>
                <w:sz w:val="21"/>
                <w:szCs w:val="21"/>
              </w:rPr>
              <w:t>氯苯</w:t>
            </w:r>
          </w:p>
        </w:tc>
        <w:tc>
          <w:tcPr>
            <w:tcW w:w="711" w:type="pct"/>
            <w:tcBorders>
              <w:top w:val="single" w:color="auto" w:sz="4" w:space="0"/>
              <w:left w:val="single" w:color="000000" w:sz="4" w:space="0"/>
              <w:bottom w:val="single" w:color="auto" w:sz="4" w:space="0"/>
              <w:right w:val="single" w:color="000000" w:sz="4" w:space="0"/>
            </w:tcBorders>
            <w:noWrap w:val="0"/>
            <w:vAlign w:val="center"/>
          </w:tcPr>
          <w:p w14:paraId="3F10C203">
            <w:pPr>
              <w:pStyle w:val="127"/>
              <w:keepNext w:val="0"/>
              <w:keepLines w:val="0"/>
              <w:widowControl/>
              <w:suppressLineNumbers w:val="0"/>
              <w:spacing w:before="0" w:beforeAutospacing="0" w:after="0" w:afterAutospacing="0"/>
              <w:ind w:left="0" w:right="0"/>
              <w:rPr>
                <w:rFonts w:hint="eastAsia"/>
                <w:color w:val="000000"/>
              </w:rPr>
            </w:pPr>
            <w:r>
              <w:rPr>
                <w:rFonts w:hint="eastAsia"/>
                <w:color w:val="000000"/>
                <w:lang w:eastAsia="zh-CN"/>
              </w:rPr>
              <w:t>火灾、爆炸</w:t>
            </w:r>
          </w:p>
        </w:tc>
        <w:tc>
          <w:tcPr>
            <w:tcW w:w="658" w:type="pct"/>
            <w:vMerge w:val="continue"/>
            <w:tcBorders>
              <w:left w:val="single" w:color="000000" w:sz="4" w:space="0"/>
              <w:bottom w:val="single" w:color="000000" w:sz="4" w:space="0"/>
              <w:right w:val="single" w:color="000000" w:sz="4" w:space="0"/>
            </w:tcBorders>
            <w:noWrap w:val="0"/>
            <w:vAlign w:val="center"/>
          </w:tcPr>
          <w:p w14:paraId="3DAD2789">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1118" w:type="pct"/>
            <w:tcBorders>
              <w:top w:val="single" w:color="auto" w:sz="4" w:space="0"/>
              <w:left w:val="single" w:color="000000" w:sz="4" w:space="0"/>
              <w:bottom w:val="single" w:color="000000" w:sz="4" w:space="0"/>
              <w:right w:val="single" w:color="000000" w:sz="4" w:space="0"/>
            </w:tcBorders>
            <w:noWrap w:val="0"/>
            <w:vAlign w:val="center"/>
          </w:tcPr>
          <w:p w14:paraId="512C70AA">
            <w:pPr>
              <w:pStyle w:val="127"/>
              <w:keepNext w:val="0"/>
              <w:keepLines w:val="0"/>
              <w:widowControl/>
              <w:suppressLineNumbers w:val="0"/>
              <w:spacing w:before="0" w:beforeAutospacing="0" w:after="0" w:afterAutospacing="0"/>
              <w:ind w:left="0" w:right="0"/>
              <w:rPr>
                <w:rFonts w:hint="eastAsia"/>
                <w:color w:val="000000"/>
                <w:lang w:eastAsia="zh-CN"/>
              </w:rPr>
            </w:pPr>
            <w:r>
              <w:rPr>
                <w:rFonts w:hint="eastAsia" w:ascii="宋体" w:hAnsi="宋体" w:cs="宋体"/>
                <w:szCs w:val="21"/>
              </w:rPr>
              <w:t>遇明火、高热或与氧化剂接触，有引起燃烧爆炸的危险</w:t>
            </w:r>
          </w:p>
        </w:tc>
      </w:tr>
      <w:tr w14:paraId="28F24CD6">
        <w:tblPrEx>
          <w:tblCellMar>
            <w:top w:w="0" w:type="dxa"/>
            <w:left w:w="0" w:type="dxa"/>
            <w:bottom w:w="0" w:type="dxa"/>
            <w:right w:w="0" w:type="dxa"/>
          </w:tblCellMar>
        </w:tblPrEx>
        <w:trPr>
          <w:trHeight w:val="397" w:hRule="atLeast"/>
        </w:trPr>
        <w:tc>
          <w:tcPr>
            <w:tcW w:w="284" w:type="pct"/>
            <w:vMerge w:val="continue"/>
            <w:tcBorders>
              <w:left w:val="single" w:color="000000" w:sz="4" w:space="0"/>
              <w:bottom w:val="single" w:color="000000" w:sz="4" w:space="0"/>
              <w:right w:val="single" w:color="000000" w:sz="4" w:space="0"/>
            </w:tcBorders>
            <w:noWrap w:val="0"/>
            <w:vAlign w:val="center"/>
          </w:tcPr>
          <w:p w14:paraId="253C7EED">
            <w:pPr>
              <w:pStyle w:val="127"/>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499" w:type="pct"/>
            <w:vMerge w:val="continue"/>
            <w:tcBorders>
              <w:left w:val="single" w:color="000000" w:sz="4" w:space="0"/>
              <w:bottom w:val="single" w:color="000000" w:sz="4" w:space="0"/>
              <w:right w:val="single" w:color="000000" w:sz="4" w:space="0"/>
            </w:tcBorders>
            <w:noWrap w:val="0"/>
            <w:vAlign w:val="center"/>
          </w:tcPr>
          <w:p w14:paraId="6B992A9C">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765CC7">
            <w:pPr>
              <w:keepNext w:val="0"/>
              <w:keepLines w:val="0"/>
              <w:suppressLineNumbers w:val="0"/>
              <w:spacing w:before="0" w:beforeAutospacing="0" w:after="0" w:afterAutospacing="0" w:line="240" w:lineRule="auto"/>
              <w:ind w:left="0" w:leftChars="0" w:right="0" w:rightChars="0" w:firstLine="0" w:firstLineChars="0"/>
              <w:jc w:val="center"/>
              <w:rPr>
                <w:rFonts w:hint="eastAsia" w:ascii="宋体" w:hAnsi="宋体" w:cs="宋体"/>
                <w:kern w:val="2"/>
                <w:sz w:val="21"/>
                <w:szCs w:val="21"/>
                <w:lang w:val="en-US" w:eastAsia="zh-CN" w:bidi="ar-SA"/>
              </w:rPr>
            </w:pPr>
            <w:r>
              <w:rPr>
                <w:rFonts w:hint="eastAsia" w:ascii="宋体" w:hAnsi="宋体" w:cs="宋体"/>
                <w:sz w:val="21"/>
                <w:szCs w:val="21"/>
              </w:rPr>
              <w:t>氯</w:t>
            </w:r>
          </w:p>
        </w:tc>
        <w:tc>
          <w:tcPr>
            <w:tcW w:w="76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F352E9">
            <w:pPr>
              <w:keepNext w:val="0"/>
              <w:keepLines w:val="0"/>
              <w:suppressLineNumbers w:val="0"/>
              <w:spacing w:before="0" w:beforeAutospacing="0" w:after="0" w:afterAutospacing="0" w:line="240" w:lineRule="auto"/>
              <w:ind w:left="0" w:leftChars="0" w:right="0" w:rightChars="0" w:firstLine="0" w:firstLineChars="0"/>
              <w:jc w:val="center"/>
              <w:rPr>
                <w:rFonts w:hint="eastAsia" w:ascii="宋体" w:hAnsi="宋体" w:cs="宋体"/>
                <w:kern w:val="2"/>
                <w:sz w:val="21"/>
                <w:szCs w:val="21"/>
                <w:lang w:val="en-US" w:eastAsia="zh-CN" w:bidi="ar-SA"/>
              </w:rPr>
            </w:pPr>
            <w:r>
              <w:rPr>
                <w:rFonts w:hint="eastAsia" w:ascii="宋体" w:hAnsi="宋体" w:cs="宋体"/>
                <w:sz w:val="21"/>
                <w:szCs w:val="21"/>
              </w:rPr>
              <w:t>氯</w:t>
            </w:r>
          </w:p>
        </w:tc>
        <w:tc>
          <w:tcPr>
            <w:tcW w:w="711" w:type="pct"/>
            <w:tcBorders>
              <w:top w:val="single" w:color="auto" w:sz="4" w:space="0"/>
              <w:left w:val="single" w:color="000000" w:sz="4" w:space="0"/>
              <w:bottom w:val="single" w:color="auto" w:sz="4" w:space="0"/>
              <w:right w:val="single" w:color="000000" w:sz="4" w:space="0"/>
            </w:tcBorders>
            <w:noWrap w:val="0"/>
            <w:vAlign w:val="center"/>
          </w:tcPr>
          <w:p w14:paraId="54A6BB9D">
            <w:pPr>
              <w:pStyle w:val="127"/>
              <w:keepNext w:val="0"/>
              <w:keepLines w:val="0"/>
              <w:widowControl/>
              <w:suppressLineNumbers w:val="0"/>
              <w:spacing w:before="0" w:beforeAutospacing="0" w:after="0" w:afterAutospacing="0"/>
              <w:ind w:left="0" w:right="0"/>
              <w:rPr>
                <w:rFonts w:hint="eastAsia"/>
                <w:color w:val="000000"/>
              </w:rPr>
            </w:pPr>
            <w:r>
              <w:rPr>
                <w:rFonts w:hint="eastAsia"/>
                <w:color w:val="000000"/>
              </w:rPr>
              <w:t>泄露</w:t>
            </w:r>
          </w:p>
        </w:tc>
        <w:tc>
          <w:tcPr>
            <w:tcW w:w="658" w:type="pct"/>
            <w:vMerge w:val="continue"/>
            <w:tcBorders>
              <w:left w:val="single" w:color="000000" w:sz="4" w:space="0"/>
              <w:bottom w:val="single" w:color="000000" w:sz="4" w:space="0"/>
              <w:right w:val="single" w:color="000000" w:sz="4" w:space="0"/>
            </w:tcBorders>
            <w:noWrap w:val="0"/>
            <w:vAlign w:val="center"/>
          </w:tcPr>
          <w:p w14:paraId="5BEDA339">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1118" w:type="pct"/>
            <w:tcBorders>
              <w:top w:val="single" w:color="auto" w:sz="4" w:space="0"/>
              <w:left w:val="single" w:color="000000" w:sz="4" w:space="0"/>
              <w:bottom w:val="single" w:color="000000" w:sz="4" w:space="0"/>
              <w:right w:val="single" w:color="000000" w:sz="4" w:space="0"/>
            </w:tcBorders>
            <w:noWrap w:val="0"/>
            <w:vAlign w:val="center"/>
          </w:tcPr>
          <w:p w14:paraId="75B46E64">
            <w:pPr>
              <w:pStyle w:val="127"/>
              <w:keepNext w:val="0"/>
              <w:keepLines w:val="0"/>
              <w:widowControl/>
              <w:suppressLineNumbers w:val="0"/>
              <w:spacing w:before="0" w:beforeAutospacing="0" w:after="0" w:afterAutospacing="0"/>
              <w:ind w:left="0" w:right="0"/>
              <w:rPr>
                <w:rFonts w:hint="eastAsia"/>
                <w:color w:val="000000"/>
                <w:lang w:eastAsia="zh-CN"/>
              </w:rPr>
            </w:pPr>
            <w:r>
              <w:rPr>
                <w:rFonts w:hint="eastAsia" w:ascii="宋体" w:hAnsi="宋体" w:cs="宋体"/>
                <w:szCs w:val="21"/>
              </w:rPr>
              <w:t>助燃，高毒</w:t>
            </w:r>
          </w:p>
        </w:tc>
      </w:tr>
      <w:tr w14:paraId="5CF7E204">
        <w:tblPrEx>
          <w:tblCellMar>
            <w:top w:w="0" w:type="dxa"/>
            <w:left w:w="0" w:type="dxa"/>
            <w:bottom w:w="0" w:type="dxa"/>
            <w:right w:w="0" w:type="dxa"/>
          </w:tblCellMar>
        </w:tblPrEx>
        <w:trPr>
          <w:trHeight w:val="397" w:hRule="atLeast"/>
        </w:trPr>
        <w:tc>
          <w:tcPr>
            <w:tcW w:w="284" w:type="pct"/>
            <w:vMerge w:val="continue"/>
            <w:tcBorders>
              <w:left w:val="single" w:color="000000" w:sz="4" w:space="0"/>
              <w:bottom w:val="single" w:color="000000" w:sz="4" w:space="0"/>
              <w:right w:val="single" w:color="000000" w:sz="4" w:space="0"/>
            </w:tcBorders>
            <w:noWrap w:val="0"/>
            <w:vAlign w:val="center"/>
          </w:tcPr>
          <w:p w14:paraId="1BA6805A">
            <w:pPr>
              <w:pStyle w:val="127"/>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499" w:type="pct"/>
            <w:vMerge w:val="continue"/>
            <w:tcBorders>
              <w:left w:val="single" w:color="000000" w:sz="4" w:space="0"/>
              <w:bottom w:val="single" w:color="000000" w:sz="4" w:space="0"/>
              <w:right w:val="single" w:color="000000" w:sz="4" w:space="0"/>
            </w:tcBorders>
            <w:noWrap w:val="0"/>
            <w:vAlign w:val="center"/>
          </w:tcPr>
          <w:p w14:paraId="5381BE62">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1EE344">
            <w:pPr>
              <w:keepNext w:val="0"/>
              <w:keepLines w:val="0"/>
              <w:suppressLineNumbers w:val="0"/>
              <w:adjustRightInd w:val="0"/>
              <w:snapToGrid w:val="0"/>
              <w:spacing w:before="62" w:beforeLines="20" w:beforeAutospacing="0" w:after="62" w:afterLines="20" w:afterAutospacing="0"/>
              <w:ind w:left="0" w:right="0"/>
              <w:jc w:val="center"/>
              <w:rPr>
                <w:rFonts w:hint="eastAsia" w:ascii="宋体" w:hAnsi="宋体" w:cs="宋体"/>
                <w:kern w:val="2"/>
                <w:sz w:val="21"/>
                <w:szCs w:val="21"/>
                <w:lang w:val="en-US" w:eastAsia="zh-CN" w:bidi="ar-SA"/>
              </w:rPr>
            </w:pPr>
            <w:r>
              <w:rPr>
                <w:rFonts w:hint="eastAsia" w:ascii="宋体" w:hAnsi="宋体" w:cs="宋体"/>
                <w:sz w:val="21"/>
                <w:szCs w:val="21"/>
              </w:rPr>
              <w:t>三氯氧磷</w:t>
            </w:r>
          </w:p>
        </w:tc>
        <w:tc>
          <w:tcPr>
            <w:tcW w:w="76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BB7D9E">
            <w:pPr>
              <w:keepNext w:val="0"/>
              <w:keepLines w:val="0"/>
              <w:suppressLineNumbers w:val="0"/>
              <w:adjustRightInd w:val="0"/>
              <w:snapToGrid w:val="0"/>
              <w:spacing w:before="62" w:beforeLines="20" w:beforeAutospacing="0" w:after="62" w:afterLines="20" w:afterAutospacing="0"/>
              <w:ind w:left="0" w:right="0"/>
              <w:jc w:val="center"/>
              <w:rPr>
                <w:rFonts w:hint="eastAsia" w:ascii="宋体" w:hAnsi="宋体" w:cs="宋体"/>
                <w:kern w:val="2"/>
                <w:sz w:val="21"/>
                <w:szCs w:val="21"/>
                <w:lang w:val="en-US" w:eastAsia="zh-CN" w:bidi="ar-SA"/>
              </w:rPr>
            </w:pPr>
            <w:r>
              <w:rPr>
                <w:rFonts w:hint="eastAsia" w:ascii="宋体" w:hAnsi="宋体" w:cs="宋体"/>
                <w:sz w:val="21"/>
                <w:szCs w:val="21"/>
              </w:rPr>
              <w:t>三氯氧磷</w:t>
            </w:r>
          </w:p>
        </w:tc>
        <w:tc>
          <w:tcPr>
            <w:tcW w:w="711" w:type="pct"/>
            <w:tcBorders>
              <w:top w:val="single" w:color="auto" w:sz="4" w:space="0"/>
              <w:left w:val="single" w:color="000000" w:sz="4" w:space="0"/>
              <w:bottom w:val="single" w:color="auto" w:sz="4" w:space="0"/>
              <w:right w:val="single" w:color="000000" w:sz="4" w:space="0"/>
            </w:tcBorders>
            <w:noWrap w:val="0"/>
            <w:vAlign w:val="center"/>
          </w:tcPr>
          <w:p w14:paraId="790460EC">
            <w:pPr>
              <w:pStyle w:val="127"/>
              <w:keepNext w:val="0"/>
              <w:keepLines w:val="0"/>
              <w:widowControl/>
              <w:suppressLineNumbers w:val="0"/>
              <w:spacing w:before="0" w:beforeAutospacing="0" w:after="0" w:afterAutospacing="0"/>
              <w:ind w:left="0" w:right="0"/>
              <w:rPr>
                <w:rFonts w:hint="eastAsia" w:eastAsia="宋体"/>
                <w:color w:val="000000"/>
                <w:lang w:eastAsia="zh-CN"/>
              </w:rPr>
            </w:pPr>
            <w:r>
              <w:rPr>
                <w:rFonts w:hint="eastAsia"/>
                <w:color w:val="000000"/>
              </w:rPr>
              <w:t>泄露</w:t>
            </w:r>
          </w:p>
        </w:tc>
        <w:tc>
          <w:tcPr>
            <w:tcW w:w="658" w:type="pct"/>
            <w:vMerge w:val="continue"/>
            <w:tcBorders>
              <w:left w:val="single" w:color="000000" w:sz="4" w:space="0"/>
              <w:bottom w:val="single" w:color="000000" w:sz="4" w:space="0"/>
              <w:right w:val="single" w:color="000000" w:sz="4" w:space="0"/>
            </w:tcBorders>
            <w:noWrap w:val="0"/>
            <w:vAlign w:val="center"/>
          </w:tcPr>
          <w:p w14:paraId="22244AF4">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1118" w:type="pct"/>
            <w:tcBorders>
              <w:top w:val="single" w:color="auto" w:sz="4" w:space="0"/>
              <w:left w:val="single" w:color="000000" w:sz="4" w:space="0"/>
              <w:bottom w:val="single" w:color="000000" w:sz="4" w:space="0"/>
              <w:right w:val="single" w:color="000000" w:sz="4" w:space="0"/>
            </w:tcBorders>
            <w:noWrap w:val="0"/>
            <w:vAlign w:val="center"/>
          </w:tcPr>
          <w:p w14:paraId="1F5663EC">
            <w:pPr>
              <w:pStyle w:val="127"/>
              <w:keepNext w:val="0"/>
              <w:keepLines w:val="0"/>
              <w:widowControl/>
              <w:suppressLineNumbers w:val="0"/>
              <w:spacing w:before="0" w:beforeAutospacing="0" w:after="0" w:afterAutospacing="0"/>
              <w:ind w:left="0" w:right="0"/>
              <w:rPr>
                <w:rFonts w:hint="eastAsia" w:eastAsia="宋体"/>
                <w:color w:val="000000"/>
                <w:lang w:eastAsia="zh-CN"/>
              </w:rPr>
            </w:pPr>
            <w:r>
              <w:rPr>
                <w:rFonts w:hint="eastAsia" w:ascii="宋体" w:hAnsi="宋体" w:cs="宋体"/>
                <w:szCs w:val="21"/>
              </w:rPr>
              <w:t>不燃</w:t>
            </w:r>
            <w:r>
              <w:rPr>
                <w:rFonts w:hint="eastAsia" w:ascii="宋体" w:hAnsi="宋体" w:cs="宋体"/>
                <w:szCs w:val="21"/>
                <w:lang w:eastAsia="zh-CN"/>
              </w:rPr>
              <w:t>，有毒</w:t>
            </w:r>
          </w:p>
        </w:tc>
      </w:tr>
      <w:tr w14:paraId="24B6D358">
        <w:tblPrEx>
          <w:tblCellMar>
            <w:top w:w="0" w:type="dxa"/>
            <w:left w:w="0" w:type="dxa"/>
            <w:bottom w:w="0" w:type="dxa"/>
            <w:right w:w="0" w:type="dxa"/>
          </w:tblCellMar>
        </w:tblPrEx>
        <w:trPr>
          <w:trHeight w:val="397" w:hRule="atLeast"/>
        </w:trPr>
        <w:tc>
          <w:tcPr>
            <w:tcW w:w="284" w:type="pct"/>
            <w:vMerge w:val="continue"/>
            <w:tcBorders>
              <w:left w:val="single" w:color="000000" w:sz="4" w:space="0"/>
              <w:bottom w:val="single" w:color="000000" w:sz="4" w:space="0"/>
              <w:right w:val="single" w:color="000000" w:sz="4" w:space="0"/>
            </w:tcBorders>
            <w:noWrap w:val="0"/>
            <w:vAlign w:val="center"/>
          </w:tcPr>
          <w:p w14:paraId="40CA6BF6">
            <w:pPr>
              <w:pStyle w:val="127"/>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499" w:type="pct"/>
            <w:vMerge w:val="continue"/>
            <w:tcBorders>
              <w:left w:val="single" w:color="000000" w:sz="4" w:space="0"/>
              <w:bottom w:val="single" w:color="000000" w:sz="4" w:space="0"/>
              <w:right w:val="single" w:color="000000" w:sz="4" w:space="0"/>
            </w:tcBorders>
            <w:noWrap w:val="0"/>
            <w:vAlign w:val="center"/>
          </w:tcPr>
          <w:p w14:paraId="4A60CB30">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B8C259">
            <w:pPr>
              <w:keepNext w:val="0"/>
              <w:keepLines w:val="0"/>
              <w:suppressLineNumbers w:val="0"/>
              <w:adjustRightInd w:val="0"/>
              <w:snapToGrid w:val="0"/>
              <w:spacing w:before="62" w:beforeLines="20" w:beforeAutospacing="0" w:after="62" w:afterLines="20" w:afterAutospacing="0"/>
              <w:ind w:left="0" w:right="0"/>
              <w:jc w:val="center"/>
              <w:rPr>
                <w:rFonts w:hint="eastAsia" w:ascii="宋体" w:hAnsi="宋体" w:cs="宋体"/>
                <w:kern w:val="2"/>
                <w:sz w:val="21"/>
                <w:szCs w:val="21"/>
                <w:lang w:val="en-US" w:eastAsia="zh-CN" w:bidi="ar-SA"/>
              </w:rPr>
            </w:pPr>
            <w:r>
              <w:rPr>
                <w:rFonts w:hint="eastAsia" w:ascii="宋体" w:hAnsi="宋体" w:cs="宋体"/>
                <w:sz w:val="21"/>
                <w:szCs w:val="21"/>
              </w:rPr>
              <w:t>乙醇胺</w:t>
            </w:r>
          </w:p>
        </w:tc>
        <w:tc>
          <w:tcPr>
            <w:tcW w:w="76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345DD9">
            <w:pPr>
              <w:keepNext w:val="0"/>
              <w:keepLines w:val="0"/>
              <w:suppressLineNumbers w:val="0"/>
              <w:adjustRightInd w:val="0"/>
              <w:snapToGrid w:val="0"/>
              <w:spacing w:before="62" w:beforeLines="20" w:beforeAutospacing="0" w:after="62" w:afterLines="20" w:afterAutospacing="0"/>
              <w:ind w:left="0" w:right="0"/>
              <w:jc w:val="center"/>
              <w:rPr>
                <w:rFonts w:hint="eastAsia" w:ascii="宋体" w:hAnsi="宋体" w:cs="宋体"/>
                <w:kern w:val="2"/>
                <w:sz w:val="21"/>
                <w:szCs w:val="21"/>
                <w:lang w:val="en-US" w:eastAsia="zh-CN" w:bidi="ar-SA"/>
              </w:rPr>
            </w:pPr>
            <w:r>
              <w:rPr>
                <w:rFonts w:hint="eastAsia" w:ascii="宋体" w:hAnsi="宋体" w:cs="宋体"/>
                <w:sz w:val="21"/>
                <w:szCs w:val="21"/>
              </w:rPr>
              <w:t>乙醇胺</w:t>
            </w:r>
          </w:p>
        </w:tc>
        <w:tc>
          <w:tcPr>
            <w:tcW w:w="711" w:type="pct"/>
            <w:tcBorders>
              <w:top w:val="single" w:color="auto" w:sz="4" w:space="0"/>
              <w:left w:val="single" w:color="000000" w:sz="4" w:space="0"/>
              <w:bottom w:val="single" w:color="auto" w:sz="4" w:space="0"/>
              <w:right w:val="single" w:color="000000" w:sz="4" w:space="0"/>
            </w:tcBorders>
            <w:noWrap w:val="0"/>
            <w:vAlign w:val="center"/>
          </w:tcPr>
          <w:p w14:paraId="4DA7DB0D">
            <w:pPr>
              <w:pStyle w:val="127"/>
              <w:keepNext w:val="0"/>
              <w:keepLines w:val="0"/>
              <w:widowControl/>
              <w:suppressLineNumbers w:val="0"/>
              <w:spacing w:before="0" w:beforeAutospacing="0" w:after="0" w:afterAutospacing="0"/>
              <w:ind w:left="0" w:right="0"/>
              <w:rPr>
                <w:rFonts w:hint="eastAsia"/>
                <w:color w:val="000000"/>
              </w:rPr>
            </w:pPr>
            <w:r>
              <w:rPr>
                <w:rFonts w:hint="eastAsia"/>
                <w:color w:val="000000"/>
              </w:rPr>
              <w:t>泄露</w:t>
            </w:r>
            <w:r>
              <w:rPr>
                <w:rFonts w:hint="eastAsia"/>
                <w:color w:val="000000"/>
                <w:lang w:eastAsia="zh-CN"/>
              </w:rPr>
              <w:t>、火灾</w:t>
            </w:r>
          </w:p>
        </w:tc>
        <w:tc>
          <w:tcPr>
            <w:tcW w:w="658" w:type="pct"/>
            <w:vMerge w:val="continue"/>
            <w:tcBorders>
              <w:left w:val="single" w:color="000000" w:sz="4" w:space="0"/>
              <w:bottom w:val="single" w:color="000000" w:sz="4" w:space="0"/>
              <w:right w:val="single" w:color="000000" w:sz="4" w:space="0"/>
            </w:tcBorders>
            <w:noWrap w:val="0"/>
            <w:vAlign w:val="center"/>
          </w:tcPr>
          <w:p w14:paraId="3473A481">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1118" w:type="pct"/>
            <w:tcBorders>
              <w:top w:val="single" w:color="auto" w:sz="4" w:space="0"/>
              <w:left w:val="single" w:color="000000" w:sz="4" w:space="0"/>
              <w:bottom w:val="single" w:color="000000" w:sz="4" w:space="0"/>
              <w:right w:val="single" w:color="000000" w:sz="4" w:space="0"/>
            </w:tcBorders>
            <w:noWrap w:val="0"/>
            <w:vAlign w:val="center"/>
          </w:tcPr>
          <w:p w14:paraId="17CC80FC">
            <w:pPr>
              <w:pStyle w:val="127"/>
              <w:keepNext w:val="0"/>
              <w:keepLines w:val="0"/>
              <w:widowControl/>
              <w:suppressLineNumbers w:val="0"/>
              <w:spacing w:before="0" w:beforeAutospacing="0" w:after="0" w:afterAutospacing="0"/>
              <w:ind w:left="0" w:right="0"/>
              <w:rPr>
                <w:rFonts w:hint="eastAsia"/>
                <w:color w:val="000000"/>
                <w:lang w:eastAsia="zh-CN"/>
              </w:rPr>
            </w:pPr>
            <w:r>
              <w:rPr>
                <w:rFonts w:hint="eastAsia" w:ascii="宋体" w:hAnsi="宋体" w:cs="宋体"/>
                <w:szCs w:val="21"/>
              </w:rPr>
              <w:t>遇明火、高热可燃</w:t>
            </w:r>
          </w:p>
        </w:tc>
      </w:tr>
      <w:tr w14:paraId="041765BB">
        <w:tblPrEx>
          <w:tblCellMar>
            <w:top w:w="0" w:type="dxa"/>
            <w:left w:w="0" w:type="dxa"/>
            <w:bottom w:w="0" w:type="dxa"/>
            <w:right w:w="0" w:type="dxa"/>
          </w:tblCellMar>
        </w:tblPrEx>
        <w:trPr>
          <w:trHeight w:val="397" w:hRule="atLeast"/>
        </w:trPr>
        <w:tc>
          <w:tcPr>
            <w:tcW w:w="284" w:type="pct"/>
            <w:vMerge w:val="continue"/>
            <w:tcBorders>
              <w:left w:val="single" w:color="000000" w:sz="4" w:space="0"/>
              <w:bottom w:val="single" w:color="000000" w:sz="4" w:space="0"/>
              <w:right w:val="single" w:color="000000" w:sz="4" w:space="0"/>
            </w:tcBorders>
            <w:noWrap w:val="0"/>
            <w:vAlign w:val="center"/>
          </w:tcPr>
          <w:p w14:paraId="5508DA65">
            <w:pPr>
              <w:pStyle w:val="127"/>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499" w:type="pct"/>
            <w:vMerge w:val="continue"/>
            <w:tcBorders>
              <w:left w:val="single" w:color="000000" w:sz="4" w:space="0"/>
              <w:bottom w:val="single" w:color="000000" w:sz="4" w:space="0"/>
              <w:right w:val="single" w:color="000000" w:sz="4" w:space="0"/>
            </w:tcBorders>
            <w:noWrap w:val="0"/>
            <w:vAlign w:val="center"/>
          </w:tcPr>
          <w:p w14:paraId="5C5842FE">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959" w:type="pct"/>
            <w:tcBorders>
              <w:top w:val="single" w:color="000000" w:sz="4" w:space="0"/>
              <w:left w:val="single" w:color="000000" w:sz="4" w:space="0"/>
              <w:bottom w:val="single" w:color="000000" w:sz="4" w:space="0"/>
              <w:right w:val="single" w:color="000000" w:sz="4" w:space="0"/>
            </w:tcBorders>
            <w:noWrap w:val="0"/>
            <w:vAlign w:val="center"/>
          </w:tcPr>
          <w:p w14:paraId="4C7222E3">
            <w:pPr>
              <w:pStyle w:val="127"/>
              <w:keepNext w:val="0"/>
              <w:keepLines w:val="0"/>
              <w:widowControl/>
              <w:suppressLineNumbers w:val="0"/>
              <w:spacing w:before="0" w:beforeAutospacing="0" w:after="0" w:afterAutospacing="0"/>
              <w:ind w:left="0" w:right="0"/>
              <w:rPr>
                <w:rFonts w:hint="eastAsia"/>
                <w:color w:val="000000"/>
                <w:lang w:eastAsia="zh-CN"/>
              </w:rPr>
            </w:pPr>
            <w:r>
              <w:rPr>
                <w:rFonts w:hint="eastAsia" w:ascii="宋体" w:hAnsi="宋体" w:cs="宋体"/>
                <w:sz w:val="21"/>
                <w:szCs w:val="21"/>
              </w:rPr>
              <w:t>氨</w:t>
            </w:r>
          </w:p>
        </w:tc>
        <w:tc>
          <w:tcPr>
            <w:tcW w:w="76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73D0AF">
            <w:pPr>
              <w:pStyle w:val="127"/>
              <w:keepNext w:val="0"/>
              <w:keepLines w:val="0"/>
              <w:widowControl/>
              <w:suppressLineNumbers w:val="0"/>
              <w:spacing w:before="0" w:beforeAutospacing="0" w:after="0" w:afterAutospacing="0"/>
              <w:ind w:left="0" w:leftChars="0" w:right="0" w:rightChars="0"/>
              <w:rPr>
                <w:rFonts w:hint="eastAsia" w:ascii="Times New Roman" w:hAnsi="Times New Roman" w:eastAsia="宋体" w:cs="Times New Roman"/>
                <w:color w:val="000000"/>
                <w:kern w:val="2"/>
                <w:sz w:val="21"/>
                <w:szCs w:val="21"/>
                <w:lang w:val="en-US" w:eastAsia="zh-CN" w:bidi="ar-SA"/>
              </w:rPr>
            </w:pPr>
            <w:r>
              <w:rPr>
                <w:rFonts w:hint="eastAsia" w:ascii="宋体" w:hAnsi="宋体" w:cs="宋体"/>
                <w:sz w:val="21"/>
                <w:szCs w:val="21"/>
              </w:rPr>
              <w:t>氨</w:t>
            </w:r>
          </w:p>
        </w:tc>
        <w:tc>
          <w:tcPr>
            <w:tcW w:w="711" w:type="pct"/>
            <w:tcBorders>
              <w:top w:val="single" w:color="auto" w:sz="4" w:space="0"/>
              <w:left w:val="single" w:color="000000" w:sz="4" w:space="0"/>
              <w:bottom w:val="single" w:color="auto" w:sz="4" w:space="0"/>
              <w:right w:val="single" w:color="000000" w:sz="4" w:space="0"/>
            </w:tcBorders>
            <w:noWrap w:val="0"/>
            <w:vAlign w:val="center"/>
          </w:tcPr>
          <w:p w14:paraId="287205FF">
            <w:pPr>
              <w:pStyle w:val="127"/>
              <w:keepNext w:val="0"/>
              <w:keepLines w:val="0"/>
              <w:widowControl/>
              <w:suppressLineNumbers w:val="0"/>
              <w:spacing w:before="0" w:beforeAutospacing="0" w:after="0" w:afterAutospacing="0"/>
              <w:ind w:left="0" w:right="0"/>
              <w:rPr>
                <w:rFonts w:hint="eastAsia"/>
                <w:color w:val="000000"/>
              </w:rPr>
            </w:pPr>
            <w:r>
              <w:rPr>
                <w:rFonts w:hint="eastAsia"/>
                <w:color w:val="000000"/>
              </w:rPr>
              <w:t>泄露</w:t>
            </w:r>
            <w:r>
              <w:rPr>
                <w:rFonts w:hint="eastAsia"/>
                <w:color w:val="000000"/>
                <w:lang w:eastAsia="zh-CN"/>
              </w:rPr>
              <w:t>、火灾</w:t>
            </w:r>
          </w:p>
        </w:tc>
        <w:tc>
          <w:tcPr>
            <w:tcW w:w="658" w:type="pct"/>
            <w:vMerge w:val="continue"/>
            <w:tcBorders>
              <w:left w:val="single" w:color="000000" w:sz="4" w:space="0"/>
              <w:bottom w:val="single" w:color="000000" w:sz="4" w:space="0"/>
              <w:right w:val="single" w:color="000000" w:sz="4" w:space="0"/>
            </w:tcBorders>
            <w:noWrap w:val="0"/>
            <w:vAlign w:val="center"/>
          </w:tcPr>
          <w:p w14:paraId="3247D0B5">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1118" w:type="pct"/>
            <w:tcBorders>
              <w:top w:val="single" w:color="auto" w:sz="4" w:space="0"/>
              <w:left w:val="single" w:color="000000" w:sz="4" w:space="0"/>
              <w:bottom w:val="single" w:color="000000" w:sz="4" w:space="0"/>
              <w:right w:val="single" w:color="000000" w:sz="4" w:space="0"/>
            </w:tcBorders>
            <w:noWrap w:val="0"/>
            <w:vAlign w:val="center"/>
          </w:tcPr>
          <w:p w14:paraId="716E83BC">
            <w:pPr>
              <w:pStyle w:val="127"/>
              <w:keepNext w:val="0"/>
              <w:keepLines w:val="0"/>
              <w:widowControl/>
              <w:suppressLineNumbers w:val="0"/>
              <w:spacing w:before="0" w:beforeAutospacing="0" w:after="0" w:afterAutospacing="0"/>
              <w:ind w:left="0" w:right="0"/>
              <w:rPr>
                <w:rFonts w:hint="eastAsia"/>
                <w:color w:val="000000"/>
                <w:lang w:eastAsia="zh-CN"/>
              </w:rPr>
            </w:pPr>
            <w:r>
              <w:rPr>
                <w:rFonts w:hint="eastAsia" w:ascii="宋体" w:hAnsi="宋体" w:cs="宋体"/>
                <w:szCs w:val="21"/>
              </w:rPr>
              <w:t>易燃，有毒</w:t>
            </w:r>
          </w:p>
        </w:tc>
      </w:tr>
      <w:tr w14:paraId="2B752AE3">
        <w:tblPrEx>
          <w:tblCellMar>
            <w:top w:w="0" w:type="dxa"/>
            <w:left w:w="0" w:type="dxa"/>
            <w:bottom w:w="0" w:type="dxa"/>
            <w:right w:w="0" w:type="dxa"/>
          </w:tblCellMar>
        </w:tblPrEx>
        <w:trPr>
          <w:trHeight w:val="397" w:hRule="atLeast"/>
        </w:trPr>
        <w:tc>
          <w:tcPr>
            <w:tcW w:w="284" w:type="pct"/>
            <w:vMerge w:val="restart"/>
            <w:tcBorders>
              <w:top w:val="single" w:color="000000" w:sz="4" w:space="0"/>
              <w:left w:val="single" w:color="000000" w:sz="4" w:space="0"/>
              <w:right w:val="single" w:color="000000" w:sz="4" w:space="0"/>
            </w:tcBorders>
            <w:noWrap w:val="0"/>
            <w:vAlign w:val="center"/>
          </w:tcPr>
          <w:p w14:paraId="282D8D7D">
            <w:pPr>
              <w:pStyle w:val="127"/>
              <w:keepNext w:val="0"/>
              <w:keepLines w:val="0"/>
              <w:widowControl/>
              <w:suppressLineNumbers w:val="0"/>
              <w:spacing w:before="0" w:beforeAutospacing="0" w:after="0" w:afterAutospacing="0"/>
              <w:ind w:left="0" w:right="0"/>
              <w:rPr>
                <w:rFonts w:hint="eastAsia" w:eastAsia="宋体" w:cs="Times New Roman"/>
                <w:color w:val="000000"/>
                <w:lang w:eastAsia="zh-CN"/>
              </w:rPr>
            </w:pPr>
            <w:r>
              <w:rPr>
                <w:rFonts w:hint="eastAsia" w:cs="Times New Roman"/>
                <w:color w:val="000000"/>
                <w:lang w:val="en-US" w:eastAsia="zh-CN"/>
              </w:rPr>
              <w:t>2</w:t>
            </w:r>
          </w:p>
        </w:tc>
        <w:tc>
          <w:tcPr>
            <w:tcW w:w="499" w:type="pct"/>
            <w:vMerge w:val="restart"/>
            <w:tcBorders>
              <w:top w:val="single" w:color="000000" w:sz="4" w:space="0"/>
              <w:left w:val="single" w:color="000000" w:sz="4" w:space="0"/>
              <w:right w:val="single" w:color="000000" w:sz="4" w:space="0"/>
            </w:tcBorders>
            <w:noWrap w:val="0"/>
            <w:vAlign w:val="center"/>
          </w:tcPr>
          <w:p w14:paraId="065BF258">
            <w:pPr>
              <w:pStyle w:val="127"/>
              <w:keepNext w:val="0"/>
              <w:keepLines w:val="0"/>
              <w:widowControl/>
              <w:suppressLineNumbers w:val="0"/>
              <w:spacing w:before="0" w:beforeAutospacing="0" w:after="0" w:afterAutospacing="0"/>
              <w:ind w:left="0" w:right="0"/>
              <w:rPr>
                <w:rFonts w:hint="default"/>
                <w:color w:val="000000"/>
              </w:rPr>
            </w:pPr>
            <w:r>
              <w:rPr>
                <w:rFonts w:hint="eastAsia"/>
                <w:color w:val="000000"/>
              </w:rPr>
              <w:t>危废暂存</w:t>
            </w:r>
            <w:r>
              <w:rPr>
                <w:rFonts w:hint="eastAsia"/>
                <w:color w:val="000000"/>
                <w:lang w:eastAsia="zh-CN"/>
              </w:rPr>
              <w:t>间</w:t>
            </w:r>
            <w:r>
              <w:rPr>
                <w:rFonts w:hint="eastAsia"/>
                <w:color w:val="000000"/>
              </w:rPr>
              <w:t>库</w:t>
            </w:r>
          </w:p>
        </w:tc>
        <w:tc>
          <w:tcPr>
            <w:tcW w:w="959" w:type="pct"/>
            <w:vMerge w:val="restart"/>
            <w:tcBorders>
              <w:top w:val="single" w:color="000000" w:sz="4" w:space="0"/>
              <w:left w:val="single" w:color="000000" w:sz="4" w:space="0"/>
              <w:right w:val="single" w:color="000000" w:sz="4" w:space="0"/>
            </w:tcBorders>
            <w:noWrap w:val="0"/>
            <w:vAlign w:val="center"/>
          </w:tcPr>
          <w:p w14:paraId="7EC24754">
            <w:pPr>
              <w:pStyle w:val="127"/>
              <w:keepNext w:val="0"/>
              <w:keepLines w:val="0"/>
              <w:widowControl/>
              <w:suppressLineNumbers w:val="0"/>
              <w:spacing w:before="0" w:beforeAutospacing="0" w:after="0" w:afterAutospacing="0"/>
              <w:ind w:left="0" w:right="0"/>
              <w:rPr>
                <w:rFonts w:hint="default"/>
                <w:color w:val="000000"/>
              </w:rPr>
            </w:pPr>
            <w:r>
              <w:rPr>
                <w:rFonts w:hint="eastAsia"/>
                <w:color w:val="000000"/>
              </w:rPr>
              <w:t>危险废物</w:t>
            </w:r>
          </w:p>
        </w:tc>
        <w:tc>
          <w:tcPr>
            <w:tcW w:w="768" w:type="pct"/>
            <w:tcBorders>
              <w:top w:val="single" w:color="000000" w:sz="4" w:space="0"/>
              <w:left w:val="single" w:color="000000" w:sz="4" w:space="0"/>
              <w:bottom w:val="single" w:color="000000" w:sz="4" w:space="0"/>
              <w:right w:val="single" w:color="000000" w:sz="4" w:space="0"/>
            </w:tcBorders>
            <w:noWrap w:val="0"/>
            <w:vAlign w:val="center"/>
          </w:tcPr>
          <w:p w14:paraId="333EABD8">
            <w:pPr>
              <w:keepNext w:val="0"/>
              <w:keepLines w:val="0"/>
              <w:suppressLineNumbers w:val="0"/>
              <w:spacing w:before="0" w:beforeAutospacing="0" w:after="0" w:afterAutospacing="0"/>
              <w:ind w:left="0" w:right="0"/>
              <w:jc w:val="center"/>
              <w:rPr>
                <w:rFonts w:hint="default"/>
                <w:color w:val="000000"/>
              </w:rPr>
            </w:pPr>
            <w:r>
              <w:rPr>
                <w:rFonts w:hint="default" w:eastAsia="新宋体"/>
                <w:sz w:val="21"/>
                <w:szCs w:val="21"/>
              </w:rPr>
              <w:t>压滤残渣</w:t>
            </w:r>
          </w:p>
        </w:tc>
        <w:tc>
          <w:tcPr>
            <w:tcW w:w="711" w:type="pct"/>
            <w:vMerge w:val="restart"/>
            <w:tcBorders>
              <w:top w:val="single" w:color="auto" w:sz="4" w:space="0"/>
              <w:left w:val="single" w:color="000000" w:sz="4" w:space="0"/>
              <w:bottom w:val="single" w:color="auto" w:sz="4" w:space="0"/>
              <w:right w:val="single" w:color="000000" w:sz="4" w:space="0"/>
            </w:tcBorders>
            <w:noWrap w:val="0"/>
            <w:vAlign w:val="center"/>
          </w:tcPr>
          <w:p w14:paraId="67E34811">
            <w:pPr>
              <w:pStyle w:val="127"/>
              <w:keepNext w:val="0"/>
              <w:keepLines w:val="0"/>
              <w:widowControl/>
              <w:suppressLineNumbers w:val="0"/>
              <w:spacing w:before="0" w:beforeAutospacing="0" w:after="0" w:afterAutospacing="0"/>
              <w:ind w:left="0" w:right="0"/>
              <w:rPr>
                <w:rFonts w:hint="default"/>
                <w:color w:val="000000"/>
              </w:rPr>
            </w:pPr>
            <w:r>
              <w:rPr>
                <w:rFonts w:hint="eastAsia"/>
                <w:color w:val="000000"/>
              </w:rPr>
              <w:t>泄露</w:t>
            </w:r>
          </w:p>
        </w:tc>
        <w:tc>
          <w:tcPr>
            <w:tcW w:w="658" w:type="pct"/>
            <w:vMerge w:val="restart"/>
            <w:tcBorders>
              <w:top w:val="single" w:color="000000" w:sz="4" w:space="0"/>
              <w:left w:val="single" w:color="000000" w:sz="4" w:space="0"/>
              <w:right w:val="single" w:color="000000" w:sz="4" w:space="0"/>
            </w:tcBorders>
            <w:noWrap w:val="0"/>
            <w:vAlign w:val="center"/>
          </w:tcPr>
          <w:p w14:paraId="2A655851">
            <w:pPr>
              <w:pStyle w:val="127"/>
              <w:keepNext w:val="0"/>
              <w:keepLines w:val="0"/>
              <w:widowControl/>
              <w:suppressLineNumbers w:val="0"/>
              <w:spacing w:before="0" w:beforeAutospacing="0" w:after="0" w:afterAutospacing="0"/>
              <w:ind w:left="0" w:right="0"/>
              <w:rPr>
                <w:rFonts w:hint="default"/>
                <w:color w:val="000000"/>
              </w:rPr>
            </w:pPr>
            <w:r>
              <w:rPr>
                <w:rFonts w:hint="eastAsia"/>
                <w:color w:val="000000"/>
                <w:lang w:eastAsia="zh-CN"/>
              </w:rPr>
              <w:t>大气、</w:t>
            </w:r>
            <w:r>
              <w:rPr>
                <w:rFonts w:hint="default"/>
                <w:color w:val="000000"/>
              </w:rPr>
              <w:t>土壤、水环境</w:t>
            </w:r>
          </w:p>
        </w:tc>
        <w:tc>
          <w:tcPr>
            <w:tcW w:w="1118" w:type="pct"/>
            <w:tcBorders>
              <w:top w:val="single" w:color="000000" w:sz="4" w:space="0"/>
              <w:left w:val="single" w:color="000000" w:sz="4" w:space="0"/>
              <w:bottom w:val="single" w:color="auto" w:sz="4" w:space="0"/>
              <w:right w:val="single" w:color="000000" w:sz="4" w:space="0"/>
            </w:tcBorders>
            <w:noWrap w:val="0"/>
            <w:vAlign w:val="center"/>
          </w:tcPr>
          <w:p w14:paraId="03986175">
            <w:pPr>
              <w:pStyle w:val="127"/>
              <w:keepNext w:val="0"/>
              <w:keepLines w:val="0"/>
              <w:widowControl/>
              <w:suppressLineNumbers w:val="0"/>
              <w:spacing w:before="0" w:beforeAutospacing="0" w:after="0" w:afterAutospacing="0"/>
              <w:ind w:left="0" w:right="0"/>
              <w:rPr>
                <w:rFonts w:hint="eastAsia"/>
                <w:color w:val="000000"/>
                <w:lang w:eastAsia="zh-CN"/>
              </w:rPr>
            </w:pPr>
            <w:r>
              <w:rPr>
                <w:rFonts w:hint="eastAsia"/>
                <w:color w:val="000000"/>
                <w:lang w:eastAsia="zh-CN"/>
              </w:rPr>
              <w:t>贮存环境高温，热量积聚可达自燃点</w:t>
            </w:r>
          </w:p>
        </w:tc>
      </w:tr>
      <w:tr w14:paraId="23E3CEC5">
        <w:tblPrEx>
          <w:tblCellMar>
            <w:top w:w="0" w:type="dxa"/>
            <w:left w:w="0" w:type="dxa"/>
            <w:bottom w:w="0" w:type="dxa"/>
            <w:right w:w="0" w:type="dxa"/>
          </w:tblCellMar>
        </w:tblPrEx>
        <w:trPr>
          <w:trHeight w:val="397" w:hRule="atLeast"/>
        </w:trPr>
        <w:tc>
          <w:tcPr>
            <w:tcW w:w="284" w:type="pct"/>
            <w:vMerge w:val="continue"/>
            <w:tcBorders>
              <w:left w:val="single" w:color="000000" w:sz="4" w:space="0"/>
              <w:right w:val="single" w:color="000000" w:sz="4" w:space="0"/>
            </w:tcBorders>
            <w:noWrap w:val="0"/>
            <w:vAlign w:val="center"/>
          </w:tcPr>
          <w:p w14:paraId="3AEFA1E0">
            <w:pPr>
              <w:pStyle w:val="127"/>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499" w:type="pct"/>
            <w:vMerge w:val="continue"/>
            <w:tcBorders>
              <w:left w:val="single" w:color="000000" w:sz="4" w:space="0"/>
              <w:right w:val="single" w:color="000000" w:sz="4" w:space="0"/>
            </w:tcBorders>
            <w:noWrap w:val="0"/>
            <w:vAlign w:val="center"/>
          </w:tcPr>
          <w:p w14:paraId="78715FEC">
            <w:pPr>
              <w:pStyle w:val="127"/>
              <w:keepNext w:val="0"/>
              <w:keepLines w:val="0"/>
              <w:widowControl/>
              <w:suppressLineNumbers w:val="0"/>
              <w:spacing w:before="0" w:beforeAutospacing="0" w:after="0" w:afterAutospacing="0"/>
              <w:ind w:left="0" w:right="0"/>
              <w:rPr>
                <w:rFonts w:hint="eastAsia"/>
                <w:color w:val="000000"/>
              </w:rPr>
            </w:pPr>
          </w:p>
        </w:tc>
        <w:tc>
          <w:tcPr>
            <w:tcW w:w="959" w:type="pct"/>
            <w:vMerge w:val="continue"/>
            <w:tcBorders>
              <w:left w:val="single" w:color="000000" w:sz="4" w:space="0"/>
              <w:right w:val="single" w:color="000000" w:sz="4" w:space="0"/>
            </w:tcBorders>
            <w:noWrap w:val="0"/>
            <w:vAlign w:val="center"/>
          </w:tcPr>
          <w:p w14:paraId="3688BBF2">
            <w:pPr>
              <w:pStyle w:val="127"/>
              <w:keepNext w:val="0"/>
              <w:keepLines w:val="0"/>
              <w:widowControl/>
              <w:suppressLineNumbers w:val="0"/>
              <w:spacing w:before="0" w:beforeAutospacing="0" w:after="0" w:afterAutospacing="0"/>
              <w:ind w:left="0" w:right="0"/>
              <w:rPr>
                <w:rFonts w:hint="eastAsia"/>
                <w:color w:val="000000"/>
              </w:rPr>
            </w:pPr>
          </w:p>
        </w:tc>
        <w:tc>
          <w:tcPr>
            <w:tcW w:w="768" w:type="pct"/>
            <w:tcBorders>
              <w:top w:val="single" w:color="000000" w:sz="4" w:space="0"/>
              <w:left w:val="single" w:color="000000" w:sz="4" w:space="0"/>
              <w:bottom w:val="single" w:color="000000" w:sz="4" w:space="0"/>
              <w:right w:val="single" w:color="000000" w:sz="4" w:space="0"/>
            </w:tcBorders>
            <w:noWrap w:val="0"/>
            <w:vAlign w:val="center"/>
          </w:tcPr>
          <w:p w14:paraId="7B50C40B">
            <w:pPr>
              <w:keepNext w:val="0"/>
              <w:keepLines w:val="0"/>
              <w:suppressLineNumbers w:val="0"/>
              <w:spacing w:before="0" w:beforeAutospacing="0" w:after="0" w:afterAutospacing="0"/>
              <w:ind w:left="0" w:right="0"/>
              <w:jc w:val="center"/>
              <w:rPr>
                <w:rFonts w:hint="eastAsia"/>
                <w:color w:val="000000"/>
              </w:rPr>
            </w:pPr>
            <w:r>
              <w:rPr>
                <w:rFonts w:hint="default" w:eastAsia="新宋体"/>
                <w:sz w:val="21"/>
                <w:szCs w:val="21"/>
              </w:rPr>
              <w:t>冷凝残渣</w:t>
            </w:r>
          </w:p>
        </w:tc>
        <w:tc>
          <w:tcPr>
            <w:tcW w:w="711" w:type="pct"/>
            <w:vMerge w:val="continue"/>
            <w:tcBorders>
              <w:top w:val="single" w:color="auto" w:sz="4" w:space="0"/>
              <w:left w:val="single" w:color="000000" w:sz="4" w:space="0"/>
              <w:bottom w:val="single" w:color="auto" w:sz="4" w:space="0"/>
              <w:right w:val="single" w:color="000000" w:sz="4" w:space="0"/>
            </w:tcBorders>
            <w:noWrap w:val="0"/>
            <w:vAlign w:val="center"/>
          </w:tcPr>
          <w:p w14:paraId="60BA1CEE">
            <w:pPr>
              <w:pStyle w:val="127"/>
              <w:keepNext w:val="0"/>
              <w:keepLines w:val="0"/>
              <w:widowControl/>
              <w:suppressLineNumbers w:val="0"/>
              <w:spacing w:before="0" w:beforeAutospacing="0" w:after="0" w:afterAutospacing="0"/>
              <w:ind w:left="0" w:right="0"/>
              <w:rPr>
                <w:rFonts w:hint="eastAsia"/>
                <w:color w:val="000000"/>
              </w:rPr>
            </w:pPr>
          </w:p>
        </w:tc>
        <w:tc>
          <w:tcPr>
            <w:tcW w:w="658" w:type="pct"/>
            <w:vMerge w:val="continue"/>
            <w:tcBorders>
              <w:left w:val="single" w:color="000000" w:sz="4" w:space="0"/>
              <w:right w:val="single" w:color="000000" w:sz="4" w:space="0"/>
            </w:tcBorders>
            <w:noWrap w:val="0"/>
            <w:vAlign w:val="center"/>
          </w:tcPr>
          <w:p w14:paraId="62D521D9">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1118" w:type="pct"/>
            <w:tcBorders>
              <w:top w:val="single" w:color="auto" w:sz="4" w:space="0"/>
              <w:left w:val="single" w:color="000000" w:sz="4" w:space="0"/>
              <w:bottom w:val="single" w:color="auto" w:sz="4" w:space="0"/>
              <w:right w:val="single" w:color="000000" w:sz="4" w:space="0"/>
            </w:tcBorders>
            <w:noWrap w:val="0"/>
            <w:vAlign w:val="center"/>
          </w:tcPr>
          <w:p w14:paraId="3372B6CB">
            <w:pPr>
              <w:pStyle w:val="127"/>
              <w:keepNext w:val="0"/>
              <w:keepLines w:val="0"/>
              <w:widowControl/>
              <w:suppressLineNumbers w:val="0"/>
              <w:spacing w:before="0" w:beforeAutospacing="0" w:after="0" w:afterAutospacing="0"/>
              <w:ind w:left="0" w:right="0"/>
              <w:rPr>
                <w:rFonts w:hint="eastAsia"/>
                <w:color w:val="000000"/>
                <w:lang w:eastAsia="zh-CN"/>
              </w:rPr>
            </w:pPr>
            <w:r>
              <w:rPr>
                <w:rFonts w:hint="eastAsia"/>
                <w:color w:val="000000"/>
                <w:lang w:eastAsia="zh-CN"/>
              </w:rPr>
              <w:t>反应失控和操作不当</w:t>
            </w:r>
          </w:p>
        </w:tc>
      </w:tr>
      <w:tr w14:paraId="292BC333">
        <w:tblPrEx>
          <w:tblCellMar>
            <w:top w:w="0" w:type="dxa"/>
            <w:left w:w="0" w:type="dxa"/>
            <w:bottom w:w="0" w:type="dxa"/>
            <w:right w:w="0" w:type="dxa"/>
          </w:tblCellMar>
        </w:tblPrEx>
        <w:trPr>
          <w:trHeight w:val="391" w:hRule="atLeast"/>
        </w:trPr>
        <w:tc>
          <w:tcPr>
            <w:tcW w:w="284" w:type="pct"/>
            <w:vMerge w:val="continue"/>
            <w:tcBorders>
              <w:left w:val="single" w:color="000000" w:sz="4" w:space="0"/>
              <w:right w:val="single" w:color="000000" w:sz="4" w:space="0"/>
            </w:tcBorders>
            <w:noWrap w:val="0"/>
            <w:vAlign w:val="center"/>
          </w:tcPr>
          <w:p w14:paraId="34F253B7">
            <w:pPr>
              <w:pStyle w:val="127"/>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499" w:type="pct"/>
            <w:vMerge w:val="continue"/>
            <w:tcBorders>
              <w:left w:val="single" w:color="000000" w:sz="4" w:space="0"/>
              <w:right w:val="single" w:color="000000" w:sz="4" w:space="0"/>
            </w:tcBorders>
            <w:noWrap w:val="0"/>
            <w:vAlign w:val="center"/>
          </w:tcPr>
          <w:p w14:paraId="6A6FA74F">
            <w:pPr>
              <w:pStyle w:val="127"/>
              <w:keepNext w:val="0"/>
              <w:keepLines w:val="0"/>
              <w:widowControl/>
              <w:suppressLineNumbers w:val="0"/>
              <w:spacing w:before="0" w:beforeAutospacing="0" w:after="0" w:afterAutospacing="0"/>
              <w:ind w:left="0" w:right="0"/>
              <w:rPr>
                <w:rFonts w:hint="eastAsia"/>
                <w:color w:val="000000"/>
              </w:rPr>
            </w:pPr>
          </w:p>
        </w:tc>
        <w:tc>
          <w:tcPr>
            <w:tcW w:w="959" w:type="pct"/>
            <w:vMerge w:val="continue"/>
            <w:tcBorders>
              <w:left w:val="single" w:color="000000" w:sz="4" w:space="0"/>
              <w:right w:val="single" w:color="000000" w:sz="4" w:space="0"/>
            </w:tcBorders>
            <w:noWrap w:val="0"/>
            <w:vAlign w:val="center"/>
          </w:tcPr>
          <w:p w14:paraId="2AE4F834">
            <w:pPr>
              <w:pStyle w:val="127"/>
              <w:keepNext w:val="0"/>
              <w:keepLines w:val="0"/>
              <w:widowControl/>
              <w:suppressLineNumbers w:val="0"/>
              <w:spacing w:before="0" w:beforeAutospacing="0" w:after="0" w:afterAutospacing="0"/>
              <w:ind w:left="0" w:right="0"/>
              <w:rPr>
                <w:rFonts w:hint="eastAsia"/>
                <w:color w:val="000000"/>
              </w:rPr>
            </w:pPr>
          </w:p>
        </w:tc>
        <w:tc>
          <w:tcPr>
            <w:tcW w:w="768" w:type="pct"/>
            <w:tcBorders>
              <w:top w:val="single" w:color="000000" w:sz="4" w:space="0"/>
              <w:left w:val="single" w:color="000000" w:sz="4" w:space="0"/>
              <w:bottom w:val="single" w:color="000000" w:sz="4" w:space="0"/>
              <w:right w:val="single" w:color="000000" w:sz="4" w:space="0"/>
            </w:tcBorders>
            <w:noWrap w:val="0"/>
            <w:vAlign w:val="center"/>
          </w:tcPr>
          <w:p w14:paraId="79146700">
            <w:pPr>
              <w:keepNext w:val="0"/>
              <w:keepLines w:val="0"/>
              <w:suppressLineNumbers w:val="0"/>
              <w:spacing w:before="0" w:beforeAutospacing="0" w:after="0" w:afterAutospacing="0"/>
              <w:ind w:left="0" w:right="0"/>
              <w:jc w:val="center"/>
              <w:rPr>
                <w:rFonts w:hint="eastAsia"/>
                <w:color w:val="000000"/>
                <w:lang w:eastAsia="zh-CN"/>
              </w:rPr>
            </w:pPr>
            <w:r>
              <w:rPr>
                <w:rFonts w:hint="eastAsia" w:eastAsia="新宋体"/>
                <w:sz w:val="21"/>
                <w:szCs w:val="21"/>
                <w:lang w:eastAsia="zh-CN"/>
              </w:rPr>
              <w:t>浓缩残渣</w:t>
            </w:r>
          </w:p>
        </w:tc>
        <w:tc>
          <w:tcPr>
            <w:tcW w:w="711" w:type="pct"/>
            <w:vMerge w:val="continue"/>
            <w:tcBorders>
              <w:top w:val="single" w:color="auto" w:sz="4" w:space="0"/>
              <w:left w:val="single" w:color="000000" w:sz="4" w:space="0"/>
              <w:bottom w:val="single" w:color="auto" w:sz="4" w:space="0"/>
              <w:right w:val="single" w:color="000000" w:sz="4" w:space="0"/>
            </w:tcBorders>
            <w:noWrap w:val="0"/>
            <w:vAlign w:val="center"/>
          </w:tcPr>
          <w:p w14:paraId="58673F85">
            <w:pPr>
              <w:pStyle w:val="127"/>
              <w:keepNext w:val="0"/>
              <w:keepLines w:val="0"/>
              <w:widowControl/>
              <w:suppressLineNumbers w:val="0"/>
              <w:spacing w:before="0" w:beforeAutospacing="0" w:after="0" w:afterAutospacing="0"/>
              <w:ind w:left="0" w:right="0"/>
              <w:rPr>
                <w:rFonts w:hint="eastAsia"/>
                <w:color w:val="000000"/>
              </w:rPr>
            </w:pPr>
          </w:p>
        </w:tc>
        <w:tc>
          <w:tcPr>
            <w:tcW w:w="658" w:type="pct"/>
            <w:vMerge w:val="continue"/>
            <w:tcBorders>
              <w:left w:val="single" w:color="000000" w:sz="4" w:space="0"/>
              <w:right w:val="single" w:color="000000" w:sz="4" w:space="0"/>
            </w:tcBorders>
            <w:noWrap w:val="0"/>
            <w:vAlign w:val="center"/>
          </w:tcPr>
          <w:p w14:paraId="6F3D3D0C">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1118" w:type="pct"/>
            <w:tcBorders>
              <w:top w:val="single" w:color="auto" w:sz="4" w:space="0"/>
              <w:left w:val="single" w:color="000000" w:sz="4" w:space="0"/>
              <w:bottom w:val="single" w:color="auto" w:sz="4" w:space="0"/>
              <w:right w:val="single" w:color="000000" w:sz="4" w:space="0"/>
            </w:tcBorders>
            <w:noWrap w:val="0"/>
            <w:vAlign w:val="center"/>
          </w:tcPr>
          <w:p w14:paraId="37AF5B55">
            <w:pPr>
              <w:pStyle w:val="127"/>
              <w:keepNext w:val="0"/>
              <w:keepLines w:val="0"/>
              <w:widowControl/>
              <w:suppressLineNumbers w:val="0"/>
              <w:spacing w:before="0" w:beforeAutospacing="0" w:after="0" w:afterAutospacing="0"/>
              <w:ind w:left="0" w:right="0"/>
              <w:rPr>
                <w:rFonts w:hint="eastAsia"/>
                <w:color w:val="000000"/>
                <w:lang w:eastAsia="zh-CN"/>
              </w:rPr>
            </w:pPr>
            <w:r>
              <w:rPr>
                <w:rFonts w:hint="eastAsia"/>
                <w:color w:val="000000"/>
                <w:lang w:eastAsia="zh-CN"/>
              </w:rPr>
              <w:t>遇明火、切割火花等</w:t>
            </w:r>
          </w:p>
        </w:tc>
      </w:tr>
      <w:tr w14:paraId="59033688">
        <w:tblPrEx>
          <w:tblCellMar>
            <w:top w:w="0" w:type="dxa"/>
            <w:left w:w="0" w:type="dxa"/>
            <w:bottom w:w="0" w:type="dxa"/>
            <w:right w:w="0" w:type="dxa"/>
          </w:tblCellMar>
        </w:tblPrEx>
        <w:trPr>
          <w:trHeight w:val="397" w:hRule="atLeast"/>
        </w:trPr>
        <w:tc>
          <w:tcPr>
            <w:tcW w:w="284" w:type="pct"/>
            <w:vMerge w:val="continue"/>
            <w:tcBorders>
              <w:left w:val="single" w:color="000000" w:sz="4" w:space="0"/>
              <w:bottom w:val="single" w:color="000000" w:sz="4" w:space="0"/>
              <w:right w:val="single" w:color="000000" w:sz="4" w:space="0"/>
            </w:tcBorders>
            <w:noWrap w:val="0"/>
            <w:vAlign w:val="center"/>
          </w:tcPr>
          <w:p w14:paraId="0C7EE0D0">
            <w:pPr>
              <w:pStyle w:val="127"/>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499" w:type="pct"/>
            <w:vMerge w:val="continue"/>
            <w:tcBorders>
              <w:left w:val="single" w:color="000000" w:sz="4" w:space="0"/>
              <w:bottom w:val="single" w:color="000000" w:sz="4" w:space="0"/>
              <w:right w:val="single" w:color="000000" w:sz="4" w:space="0"/>
            </w:tcBorders>
            <w:noWrap w:val="0"/>
            <w:vAlign w:val="center"/>
          </w:tcPr>
          <w:p w14:paraId="27E450F8">
            <w:pPr>
              <w:pStyle w:val="127"/>
              <w:keepNext w:val="0"/>
              <w:keepLines w:val="0"/>
              <w:widowControl/>
              <w:suppressLineNumbers w:val="0"/>
              <w:spacing w:before="0" w:beforeAutospacing="0" w:after="0" w:afterAutospacing="0"/>
              <w:ind w:left="0" w:right="0"/>
              <w:rPr>
                <w:rFonts w:hint="eastAsia"/>
                <w:color w:val="000000"/>
              </w:rPr>
            </w:pPr>
          </w:p>
        </w:tc>
        <w:tc>
          <w:tcPr>
            <w:tcW w:w="959" w:type="pct"/>
            <w:vMerge w:val="continue"/>
            <w:tcBorders>
              <w:left w:val="single" w:color="000000" w:sz="4" w:space="0"/>
              <w:bottom w:val="single" w:color="000000" w:sz="4" w:space="0"/>
              <w:right w:val="single" w:color="000000" w:sz="4" w:space="0"/>
            </w:tcBorders>
            <w:noWrap w:val="0"/>
            <w:vAlign w:val="center"/>
          </w:tcPr>
          <w:p w14:paraId="131BD704">
            <w:pPr>
              <w:pStyle w:val="127"/>
              <w:keepNext w:val="0"/>
              <w:keepLines w:val="0"/>
              <w:widowControl/>
              <w:suppressLineNumbers w:val="0"/>
              <w:spacing w:before="0" w:beforeAutospacing="0" w:after="0" w:afterAutospacing="0"/>
              <w:ind w:left="0" w:right="0"/>
              <w:rPr>
                <w:rFonts w:hint="eastAsia"/>
                <w:color w:val="000000"/>
              </w:rPr>
            </w:pPr>
          </w:p>
        </w:tc>
        <w:tc>
          <w:tcPr>
            <w:tcW w:w="768" w:type="pct"/>
            <w:tcBorders>
              <w:top w:val="single" w:color="000000" w:sz="4" w:space="0"/>
              <w:left w:val="single" w:color="000000" w:sz="4" w:space="0"/>
              <w:bottom w:val="single" w:color="000000" w:sz="4" w:space="0"/>
              <w:right w:val="single" w:color="000000" w:sz="4" w:space="0"/>
            </w:tcBorders>
            <w:noWrap w:val="0"/>
            <w:vAlign w:val="center"/>
          </w:tcPr>
          <w:p w14:paraId="29B877D1">
            <w:pPr>
              <w:keepNext w:val="0"/>
              <w:keepLines w:val="0"/>
              <w:suppressLineNumbers w:val="0"/>
              <w:spacing w:before="0" w:beforeAutospacing="0" w:after="0" w:afterAutospacing="0"/>
              <w:ind w:left="0" w:right="0"/>
              <w:jc w:val="center"/>
              <w:rPr>
                <w:rStyle w:val="35"/>
                <w:rFonts w:hint="eastAsia" w:ascii="Times New Roman" w:hAnsi="Times New Roman" w:eastAsia="宋体" w:cs="Times New Roman"/>
                <w:color w:val="000000"/>
                <w:kern w:val="2"/>
                <w:sz w:val="21"/>
                <w:szCs w:val="20"/>
                <w:lang w:val="en-US" w:eastAsia="zh-CN" w:bidi="ar-SA"/>
              </w:rPr>
            </w:pPr>
            <w:r>
              <w:rPr>
                <w:rFonts w:hint="eastAsia" w:eastAsia="新宋体"/>
                <w:sz w:val="21"/>
                <w:szCs w:val="21"/>
                <w:lang w:eastAsia="zh-CN"/>
              </w:rPr>
              <w:t>废酸</w:t>
            </w:r>
          </w:p>
        </w:tc>
        <w:tc>
          <w:tcPr>
            <w:tcW w:w="711" w:type="pct"/>
            <w:vMerge w:val="continue"/>
            <w:tcBorders>
              <w:top w:val="single" w:color="auto" w:sz="4" w:space="0"/>
              <w:left w:val="single" w:color="000000" w:sz="4" w:space="0"/>
              <w:bottom w:val="single" w:color="auto" w:sz="4" w:space="0"/>
              <w:right w:val="single" w:color="000000" w:sz="4" w:space="0"/>
            </w:tcBorders>
            <w:noWrap w:val="0"/>
            <w:vAlign w:val="center"/>
          </w:tcPr>
          <w:p w14:paraId="2196A231">
            <w:pPr>
              <w:pStyle w:val="127"/>
              <w:keepNext w:val="0"/>
              <w:keepLines w:val="0"/>
              <w:widowControl/>
              <w:suppressLineNumbers w:val="0"/>
              <w:spacing w:before="0" w:beforeAutospacing="0" w:after="0" w:afterAutospacing="0"/>
              <w:ind w:left="0" w:right="0"/>
              <w:rPr>
                <w:rFonts w:hint="eastAsia"/>
                <w:color w:val="000000"/>
              </w:rPr>
            </w:pPr>
          </w:p>
        </w:tc>
        <w:tc>
          <w:tcPr>
            <w:tcW w:w="658" w:type="pct"/>
            <w:vMerge w:val="continue"/>
            <w:tcBorders>
              <w:left w:val="single" w:color="000000" w:sz="4" w:space="0"/>
              <w:bottom w:val="single" w:color="000000" w:sz="4" w:space="0"/>
              <w:right w:val="single" w:color="000000" w:sz="4" w:space="0"/>
            </w:tcBorders>
            <w:noWrap w:val="0"/>
            <w:vAlign w:val="center"/>
          </w:tcPr>
          <w:p w14:paraId="01F9B6BA">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1118" w:type="pct"/>
            <w:tcBorders>
              <w:top w:val="single" w:color="auto" w:sz="4" w:space="0"/>
              <w:left w:val="single" w:color="000000" w:sz="4" w:space="0"/>
              <w:bottom w:val="single" w:color="000000" w:sz="4" w:space="0"/>
              <w:right w:val="single" w:color="auto" w:sz="4" w:space="0"/>
            </w:tcBorders>
            <w:noWrap w:val="0"/>
            <w:vAlign w:val="center"/>
          </w:tcPr>
          <w:p w14:paraId="1964B74A">
            <w:pPr>
              <w:pStyle w:val="127"/>
              <w:keepNext w:val="0"/>
              <w:keepLines w:val="0"/>
              <w:widowControl/>
              <w:suppressLineNumbers w:val="0"/>
              <w:spacing w:before="0" w:beforeAutospacing="0" w:after="0" w:afterAutospacing="0"/>
              <w:ind w:left="0" w:right="0"/>
              <w:rPr>
                <w:rFonts w:hint="eastAsia"/>
                <w:color w:val="000000"/>
                <w:lang w:eastAsia="zh-CN"/>
              </w:rPr>
            </w:pPr>
            <w:r>
              <w:rPr>
                <w:rFonts w:hint="eastAsia"/>
                <w:color w:val="000000"/>
                <w:lang w:eastAsia="zh-CN"/>
              </w:rPr>
              <w:t>遇明火、切割火花等</w:t>
            </w:r>
          </w:p>
        </w:tc>
      </w:tr>
      <w:tr w14:paraId="36AE46DC">
        <w:tblPrEx>
          <w:tblCellMar>
            <w:top w:w="0" w:type="dxa"/>
            <w:left w:w="0" w:type="dxa"/>
            <w:bottom w:w="0" w:type="dxa"/>
            <w:right w:w="0" w:type="dxa"/>
          </w:tblCellMar>
        </w:tblPrEx>
        <w:trPr>
          <w:trHeight w:val="397" w:hRule="atLeast"/>
        </w:trPr>
        <w:tc>
          <w:tcPr>
            <w:tcW w:w="284" w:type="pct"/>
            <w:vMerge w:val="continue"/>
            <w:tcBorders>
              <w:left w:val="single" w:color="000000" w:sz="4" w:space="0"/>
              <w:bottom w:val="single" w:color="000000" w:sz="4" w:space="0"/>
              <w:right w:val="single" w:color="000000" w:sz="4" w:space="0"/>
            </w:tcBorders>
            <w:noWrap w:val="0"/>
            <w:vAlign w:val="center"/>
          </w:tcPr>
          <w:p w14:paraId="25022DEB">
            <w:pPr>
              <w:pStyle w:val="127"/>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499" w:type="pct"/>
            <w:vMerge w:val="continue"/>
            <w:tcBorders>
              <w:left w:val="single" w:color="000000" w:sz="4" w:space="0"/>
              <w:bottom w:val="single" w:color="000000" w:sz="4" w:space="0"/>
              <w:right w:val="single" w:color="000000" w:sz="4" w:space="0"/>
            </w:tcBorders>
            <w:noWrap w:val="0"/>
            <w:vAlign w:val="center"/>
          </w:tcPr>
          <w:p w14:paraId="7E77EC6C">
            <w:pPr>
              <w:pStyle w:val="127"/>
              <w:keepNext w:val="0"/>
              <w:keepLines w:val="0"/>
              <w:widowControl/>
              <w:suppressLineNumbers w:val="0"/>
              <w:spacing w:before="0" w:beforeAutospacing="0" w:after="0" w:afterAutospacing="0"/>
              <w:ind w:left="0" w:right="0"/>
              <w:rPr>
                <w:rFonts w:hint="eastAsia"/>
                <w:color w:val="000000"/>
              </w:rPr>
            </w:pPr>
          </w:p>
        </w:tc>
        <w:tc>
          <w:tcPr>
            <w:tcW w:w="959" w:type="pct"/>
            <w:vMerge w:val="continue"/>
            <w:tcBorders>
              <w:left w:val="single" w:color="000000" w:sz="4" w:space="0"/>
              <w:bottom w:val="single" w:color="000000" w:sz="4" w:space="0"/>
              <w:right w:val="single" w:color="000000" w:sz="4" w:space="0"/>
            </w:tcBorders>
            <w:noWrap w:val="0"/>
            <w:vAlign w:val="center"/>
          </w:tcPr>
          <w:p w14:paraId="7ECDC8D0">
            <w:pPr>
              <w:pStyle w:val="127"/>
              <w:keepNext w:val="0"/>
              <w:keepLines w:val="0"/>
              <w:widowControl/>
              <w:suppressLineNumbers w:val="0"/>
              <w:spacing w:before="0" w:beforeAutospacing="0" w:after="0" w:afterAutospacing="0"/>
              <w:ind w:left="0" w:right="0"/>
              <w:rPr>
                <w:rFonts w:hint="eastAsia"/>
                <w:color w:val="000000"/>
              </w:rPr>
            </w:pPr>
          </w:p>
        </w:tc>
        <w:tc>
          <w:tcPr>
            <w:tcW w:w="768" w:type="pct"/>
            <w:tcBorders>
              <w:top w:val="single" w:color="000000" w:sz="4" w:space="0"/>
              <w:left w:val="single" w:color="000000" w:sz="4" w:space="0"/>
              <w:bottom w:val="single" w:color="000000" w:sz="4" w:space="0"/>
              <w:right w:val="single" w:color="000000" w:sz="4" w:space="0"/>
            </w:tcBorders>
            <w:noWrap w:val="0"/>
            <w:vAlign w:val="center"/>
          </w:tcPr>
          <w:p w14:paraId="57B35D1D">
            <w:pPr>
              <w:keepNext w:val="0"/>
              <w:keepLines w:val="0"/>
              <w:suppressLineNumbers w:val="0"/>
              <w:spacing w:before="0" w:beforeAutospacing="0" w:after="0" w:afterAutospacing="0"/>
              <w:ind w:left="0" w:right="0"/>
              <w:jc w:val="center"/>
              <w:rPr>
                <w:rStyle w:val="35"/>
                <w:rFonts w:hint="eastAsia" w:ascii="Times New Roman" w:hAnsi="Times New Roman" w:eastAsia="宋体" w:cs="Times New Roman"/>
                <w:color w:val="000000"/>
                <w:kern w:val="2"/>
                <w:sz w:val="21"/>
                <w:szCs w:val="20"/>
                <w:lang w:val="en-US" w:eastAsia="zh-CN" w:bidi="ar-SA"/>
              </w:rPr>
            </w:pPr>
            <w:r>
              <w:rPr>
                <w:rFonts w:hint="default" w:eastAsia="新宋体"/>
                <w:sz w:val="21"/>
                <w:szCs w:val="21"/>
              </w:rPr>
              <w:t>压滤残渣</w:t>
            </w:r>
          </w:p>
        </w:tc>
        <w:tc>
          <w:tcPr>
            <w:tcW w:w="711" w:type="pct"/>
            <w:vMerge w:val="continue"/>
            <w:tcBorders>
              <w:top w:val="single" w:color="auto" w:sz="4" w:space="0"/>
              <w:left w:val="single" w:color="000000" w:sz="4" w:space="0"/>
              <w:bottom w:val="single" w:color="auto" w:sz="4" w:space="0"/>
              <w:right w:val="single" w:color="000000" w:sz="4" w:space="0"/>
            </w:tcBorders>
            <w:noWrap w:val="0"/>
            <w:vAlign w:val="center"/>
          </w:tcPr>
          <w:p w14:paraId="70584BCC">
            <w:pPr>
              <w:pStyle w:val="127"/>
              <w:keepNext w:val="0"/>
              <w:keepLines w:val="0"/>
              <w:widowControl/>
              <w:suppressLineNumbers w:val="0"/>
              <w:spacing w:before="0" w:beforeAutospacing="0" w:after="0" w:afterAutospacing="0"/>
              <w:ind w:left="0" w:right="0"/>
              <w:rPr>
                <w:rFonts w:hint="eastAsia"/>
                <w:color w:val="000000"/>
              </w:rPr>
            </w:pPr>
          </w:p>
        </w:tc>
        <w:tc>
          <w:tcPr>
            <w:tcW w:w="658" w:type="pct"/>
            <w:vMerge w:val="continue"/>
            <w:tcBorders>
              <w:left w:val="single" w:color="000000" w:sz="4" w:space="0"/>
              <w:bottom w:val="single" w:color="000000" w:sz="4" w:space="0"/>
              <w:right w:val="single" w:color="000000" w:sz="4" w:space="0"/>
            </w:tcBorders>
            <w:noWrap w:val="0"/>
            <w:vAlign w:val="center"/>
          </w:tcPr>
          <w:p w14:paraId="605FB1D4">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1118" w:type="pct"/>
            <w:tcBorders>
              <w:top w:val="single" w:color="auto" w:sz="4" w:space="0"/>
              <w:left w:val="single" w:color="000000" w:sz="4" w:space="0"/>
              <w:bottom w:val="single" w:color="000000" w:sz="4" w:space="0"/>
              <w:right w:val="single" w:color="auto" w:sz="4" w:space="0"/>
            </w:tcBorders>
            <w:noWrap w:val="0"/>
            <w:vAlign w:val="center"/>
          </w:tcPr>
          <w:p w14:paraId="710FF2AF">
            <w:pPr>
              <w:pStyle w:val="127"/>
              <w:keepNext w:val="0"/>
              <w:keepLines w:val="0"/>
              <w:widowControl/>
              <w:suppressLineNumbers w:val="0"/>
              <w:spacing w:before="0" w:beforeAutospacing="0" w:after="0" w:afterAutospacing="0"/>
              <w:ind w:left="0" w:right="0"/>
              <w:rPr>
                <w:rFonts w:hint="eastAsia"/>
                <w:color w:val="000000"/>
                <w:lang w:eastAsia="zh-CN"/>
              </w:rPr>
            </w:pPr>
            <w:r>
              <w:rPr>
                <w:rFonts w:hint="eastAsia"/>
                <w:color w:val="000000"/>
                <w:lang w:eastAsia="zh-CN"/>
              </w:rPr>
              <w:t>贮存环境高温，热量积聚可达自燃点</w:t>
            </w:r>
          </w:p>
        </w:tc>
      </w:tr>
      <w:tr w14:paraId="5FAAA565">
        <w:tblPrEx>
          <w:tblCellMar>
            <w:top w:w="0" w:type="dxa"/>
            <w:left w:w="0" w:type="dxa"/>
            <w:bottom w:w="0" w:type="dxa"/>
            <w:right w:w="0" w:type="dxa"/>
          </w:tblCellMar>
        </w:tblPrEx>
        <w:trPr>
          <w:trHeight w:val="397" w:hRule="atLeast"/>
        </w:trPr>
        <w:tc>
          <w:tcPr>
            <w:tcW w:w="284" w:type="pct"/>
            <w:vMerge w:val="continue"/>
            <w:tcBorders>
              <w:left w:val="single" w:color="000000" w:sz="4" w:space="0"/>
              <w:bottom w:val="single" w:color="000000" w:sz="4" w:space="0"/>
              <w:right w:val="single" w:color="000000" w:sz="4" w:space="0"/>
            </w:tcBorders>
            <w:noWrap w:val="0"/>
            <w:vAlign w:val="center"/>
          </w:tcPr>
          <w:p w14:paraId="697E62AF">
            <w:pPr>
              <w:pStyle w:val="127"/>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499" w:type="pct"/>
            <w:vMerge w:val="continue"/>
            <w:tcBorders>
              <w:left w:val="single" w:color="000000" w:sz="4" w:space="0"/>
              <w:bottom w:val="single" w:color="000000" w:sz="4" w:space="0"/>
              <w:right w:val="single" w:color="000000" w:sz="4" w:space="0"/>
            </w:tcBorders>
            <w:noWrap w:val="0"/>
            <w:vAlign w:val="center"/>
          </w:tcPr>
          <w:p w14:paraId="150442E6">
            <w:pPr>
              <w:pStyle w:val="127"/>
              <w:keepNext w:val="0"/>
              <w:keepLines w:val="0"/>
              <w:widowControl/>
              <w:suppressLineNumbers w:val="0"/>
              <w:spacing w:before="0" w:beforeAutospacing="0" w:after="0" w:afterAutospacing="0"/>
              <w:ind w:left="0" w:right="0"/>
              <w:rPr>
                <w:rFonts w:hint="eastAsia"/>
                <w:color w:val="000000"/>
              </w:rPr>
            </w:pPr>
          </w:p>
        </w:tc>
        <w:tc>
          <w:tcPr>
            <w:tcW w:w="959" w:type="pct"/>
            <w:vMerge w:val="continue"/>
            <w:tcBorders>
              <w:left w:val="single" w:color="000000" w:sz="4" w:space="0"/>
              <w:bottom w:val="single" w:color="000000" w:sz="4" w:space="0"/>
              <w:right w:val="single" w:color="000000" w:sz="4" w:space="0"/>
            </w:tcBorders>
            <w:noWrap w:val="0"/>
            <w:vAlign w:val="center"/>
          </w:tcPr>
          <w:p w14:paraId="7C164595">
            <w:pPr>
              <w:pStyle w:val="127"/>
              <w:keepNext w:val="0"/>
              <w:keepLines w:val="0"/>
              <w:widowControl/>
              <w:suppressLineNumbers w:val="0"/>
              <w:spacing w:before="0" w:beforeAutospacing="0" w:after="0" w:afterAutospacing="0"/>
              <w:ind w:left="0" w:right="0"/>
              <w:rPr>
                <w:rFonts w:hint="eastAsia"/>
                <w:color w:val="000000"/>
              </w:rPr>
            </w:pPr>
          </w:p>
        </w:tc>
        <w:tc>
          <w:tcPr>
            <w:tcW w:w="768" w:type="pct"/>
            <w:tcBorders>
              <w:top w:val="single" w:color="000000" w:sz="4" w:space="0"/>
              <w:left w:val="single" w:color="000000" w:sz="4" w:space="0"/>
              <w:bottom w:val="single" w:color="000000" w:sz="4" w:space="0"/>
              <w:right w:val="single" w:color="000000" w:sz="4" w:space="0"/>
            </w:tcBorders>
            <w:noWrap w:val="0"/>
            <w:vAlign w:val="center"/>
          </w:tcPr>
          <w:p w14:paraId="75C937D3">
            <w:pPr>
              <w:keepNext w:val="0"/>
              <w:keepLines w:val="0"/>
              <w:suppressLineNumbers w:val="0"/>
              <w:spacing w:before="0" w:beforeAutospacing="0" w:after="0" w:afterAutospacing="0" w:line="240" w:lineRule="auto"/>
              <w:ind w:left="0" w:leftChars="0" w:right="0" w:rightChars="0" w:firstLine="0" w:firstLineChars="0"/>
              <w:jc w:val="center"/>
              <w:rPr>
                <w:rStyle w:val="35"/>
                <w:rFonts w:hint="eastAsia" w:ascii="Times New Roman" w:hAnsi="Times New Roman" w:eastAsia="宋体" w:cs="Times New Roman"/>
                <w:color w:val="000000"/>
                <w:kern w:val="2"/>
                <w:sz w:val="21"/>
                <w:szCs w:val="20"/>
                <w:lang w:val="en-US" w:eastAsia="zh-CN" w:bidi="ar-SA"/>
              </w:rPr>
            </w:pPr>
            <w:r>
              <w:rPr>
                <w:rStyle w:val="35"/>
                <w:rFonts w:hint="eastAsia" w:ascii="Times New Roman" w:hAnsi="Times New Roman" w:eastAsia="宋体" w:cs="Times New Roman"/>
                <w:color w:val="000000"/>
                <w:kern w:val="2"/>
                <w:sz w:val="21"/>
                <w:szCs w:val="20"/>
                <w:lang w:val="en-US" w:eastAsia="zh-CN" w:bidi="ar-SA"/>
              </w:rPr>
              <w:t>沾染物料的包装物</w:t>
            </w:r>
          </w:p>
        </w:tc>
        <w:tc>
          <w:tcPr>
            <w:tcW w:w="711" w:type="pct"/>
            <w:vMerge w:val="continue"/>
            <w:tcBorders>
              <w:top w:val="single" w:color="auto" w:sz="4" w:space="0"/>
              <w:left w:val="single" w:color="000000" w:sz="4" w:space="0"/>
              <w:bottom w:val="single" w:color="auto" w:sz="4" w:space="0"/>
              <w:right w:val="single" w:color="000000" w:sz="4" w:space="0"/>
            </w:tcBorders>
            <w:noWrap w:val="0"/>
            <w:vAlign w:val="center"/>
          </w:tcPr>
          <w:p w14:paraId="252BD81E">
            <w:pPr>
              <w:pStyle w:val="127"/>
              <w:keepNext w:val="0"/>
              <w:keepLines w:val="0"/>
              <w:widowControl/>
              <w:suppressLineNumbers w:val="0"/>
              <w:spacing w:before="0" w:beforeAutospacing="0" w:after="0" w:afterAutospacing="0"/>
              <w:ind w:left="0" w:right="0"/>
              <w:rPr>
                <w:rFonts w:hint="eastAsia"/>
                <w:color w:val="000000"/>
              </w:rPr>
            </w:pPr>
          </w:p>
        </w:tc>
        <w:tc>
          <w:tcPr>
            <w:tcW w:w="658" w:type="pct"/>
            <w:vMerge w:val="continue"/>
            <w:tcBorders>
              <w:left w:val="single" w:color="000000" w:sz="4" w:space="0"/>
              <w:bottom w:val="single" w:color="000000" w:sz="4" w:space="0"/>
              <w:right w:val="single" w:color="000000" w:sz="4" w:space="0"/>
            </w:tcBorders>
            <w:noWrap w:val="0"/>
            <w:vAlign w:val="center"/>
          </w:tcPr>
          <w:p w14:paraId="72F1B4D9">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1118" w:type="pct"/>
            <w:tcBorders>
              <w:top w:val="single" w:color="auto" w:sz="4" w:space="0"/>
              <w:left w:val="single" w:color="000000" w:sz="4" w:space="0"/>
              <w:bottom w:val="single" w:color="000000" w:sz="4" w:space="0"/>
              <w:right w:val="single" w:color="auto" w:sz="4" w:space="0"/>
            </w:tcBorders>
            <w:noWrap w:val="0"/>
            <w:vAlign w:val="center"/>
          </w:tcPr>
          <w:p w14:paraId="062304D5">
            <w:pPr>
              <w:pStyle w:val="127"/>
              <w:keepNext w:val="0"/>
              <w:keepLines w:val="0"/>
              <w:widowControl/>
              <w:suppressLineNumbers w:val="0"/>
              <w:spacing w:before="0" w:beforeAutospacing="0" w:after="0" w:afterAutospacing="0"/>
              <w:ind w:left="0" w:right="0"/>
              <w:rPr>
                <w:rFonts w:hint="eastAsia"/>
                <w:color w:val="000000"/>
                <w:lang w:eastAsia="zh-CN"/>
              </w:rPr>
            </w:pPr>
            <w:r>
              <w:rPr>
                <w:rFonts w:hint="eastAsia"/>
                <w:color w:val="000000"/>
                <w:lang w:eastAsia="zh-CN"/>
              </w:rPr>
              <w:t>反应失控和操作不当</w:t>
            </w:r>
          </w:p>
        </w:tc>
      </w:tr>
      <w:tr w14:paraId="01201FEA">
        <w:tblPrEx>
          <w:tblCellMar>
            <w:top w:w="0" w:type="dxa"/>
            <w:left w:w="0" w:type="dxa"/>
            <w:bottom w:w="0" w:type="dxa"/>
            <w:right w:w="0" w:type="dxa"/>
          </w:tblCellMar>
        </w:tblPrEx>
        <w:trPr>
          <w:trHeight w:val="397" w:hRule="atLeast"/>
        </w:trPr>
        <w:tc>
          <w:tcPr>
            <w:tcW w:w="284" w:type="pct"/>
            <w:vMerge w:val="continue"/>
            <w:tcBorders>
              <w:left w:val="single" w:color="000000" w:sz="4" w:space="0"/>
              <w:bottom w:val="single" w:color="000000" w:sz="4" w:space="0"/>
              <w:right w:val="single" w:color="000000" w:sz="4" w:space="0"/>
            </w:tcBorders>
            <w:noWrap w:val="0"/>
            <w:vAlign w:val="center"/>
          </w:tcPr>
          <w:p w14:paraId="0DB97DF8">
            <w:pPr>
              <w:pStyle w:val="127"/>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499" w:type="pct"/>
            <w:vMerge w:val="continue"/>
            <w:tcBorders>
              <w:left w:val="single" w:color="000000" w:sz="4" w:space="0"/>
              <w:bottom w:val="single" w:color="000000" w:sz="4" w:space="0"/>
              <w:right w:val="single" w:color="000000" w:sz="4" w:space="0"/>
            </w:tcBorders>
            <w:noWrap w:val="0"/>
            <w:vAlign w:val="center"/>
          </w:tcPr>
          <w:p w14:paraId="3436D1E7">
            <w:pPr>
              <w:pStyle w:val="127"/>
              <w:keepNext w:val="0"/>
              <w:keepLines w:val="0"/>
              <w:widowControl/>
              <w:suppressLineNumbers w:val="0"/>
              <w:spacing w:before="0" w:beforeAutospacing="0" w:after="0" w:afterAutospacing="0"/>
              <w:ind w:left="0" w:right="0"/>
              <w:rPr>
                <w:rFonts w:hint="eastAsia"/>
                <w:color w:val="000000"/>
              </w:rPr>
            </w:pPr>
          </w:p>
        </w:tc>
        <w:tc>
          <w:tcPr>
            <w:tcW w:w="959" w:type="pct"/>
            <w:vMerge w:val="continue"/>
            <w:tcBorders>
              <w:left w:val="single" w:color="000000" w:sz="4" w:space="0"/>
              <w:bottom w:val="single" w:color="000000" w:sz="4" w:space="0"/>
              <w:right w:val="single" w:color="000000" w:sz="4" w:space="0"/>
            </w:tcBorders>
            <w:noWrap w:val="0"/>
            <w:vAlign w:val="center"/>
          </w:tcPr>
          <w:p w14:paraId="609C96B0">
            <w:pPr>
              <w:pStyle w:val="127"/>
              <w:keepNext w:val="0"/>
              <w:keepLines w:val="0"/>
              <w:widowControl/>
              <w:suppressLineNumbers w:val="0"/>
              <w:spacing w:before="0" w:beforeAutospacing="0" w:after="0" w:afterAutospacing="0"/>
              <w:ind w:left="0" w:right="0"/>
              <w:rPr>
                <w:rFonts w:hint="eastAsia"/>
                <w:color w:val="000000"/>
              </w:rPr>
            </w:pPr>
          </w:p>
        </w:tc>
        <w:tc>
          <w:tcPr>
            <w:tcW w:w="768" w:type="pct"/>
            <w:tcBorders>
              <w:top w:val="single" w:color="000000" w:sz="4" w:space="0"/>
              <w:left w:val="single" w:color="000000" w:sz="4" w:space="0"/>
              <w:bottom w:val="single" w:color="000000" w:sz="4" w:space="0"/>
              <w:right w:val="single" w:color="000000" w:sz="4" w:space="0"/>
            </w:tcBorders>
            <w:noWrap w:val="0"/>
            <w:vAlign w:val="center"/>
          </w:tcPr>
          <w:p w14:paraId="3BBB2D3F">
            <w:pPr>
              <w:keepNext w:val="0"/>
              <w:keepLines w:val="0"/>
              <w:suppressLineNumbers w:val="0"/>
              <w:spacing w:before="0" w:beforeAutospacing="0" w:after="0" w:afterAutospacing="0" w:line="240" w:lineRule="auto"/>
              <w:ind w:left="0" w:leftChars="0" w:right="0" w:rightChars="0" w:firstLine="0" w:firstLineChars="0"/>
              <w:jc w:val="center"/>
              <w:rPr>
                <w:rStyle w:val="35"/>
                <w:rFonts w:hint="eastAsia" w:ascii="Times New Roman" w:hAnsi="Times New Roman" w:eastAsia="宋体" w:cs="Times New Roman"/>
                <w:color w:val="000000"/>
                <w:kern w:val="2"/>
                <w:sz w:val="21"/>
                <w:szCs w:val="20"/>
                <w:lang w:val="en-US" w:eastAsia="zh-CN" w:bidi="ar-SA"/>
              </w:rPr>
            </w:pPr>
            <w:r>
              <w:rPr>
                <w:rStyle w:val="35"/>
                <w:rFonts w:hint="eastAsia" w:ascii="Times New Roman" w:hAnsi="Times New Roman" w:eastAsia="宋体" w:cs="Times New Roman"/>
                <w:color w:val="000000"/>
                <w:kern w:val="2"/>
                <w:sz w:val="21"/>
                <w:szCs w:val="20"/>
                <w:lang w:val="en-US" w:eastAsia="zh-CN" w:bidi="ar-SA"/>
              </w:rPr>
              <w:t>蒸馏残渣</w:t>
            </w:r>
          </w:p>
        </w:tc>
        <w:tc>
          <w:tcPr>
            <w:tcW w:w="711" w:type="pct"/>
            <w:vMerge w:val="continue"/>
            <w:tcBorders>
              <w:top w:val="single" w:color="auto" w:sz="4" w:space="0"/>
              <w:left w:val="single" w:color="000000" w:sz="4" w:space="0"/>
              <w:bottom w:val="single" w:color="auto" w:sz="4" w:space="0"/>
              <w:right w:val="single" w:color="000000" w:sz="4" w:space="0"/>
            </w:tcBorders>
            <w:noWrap w:val="0"/>
            <w:vAlign w:val="center"/>
          </w:tcPr>
          <w:p w14:paraId="0CE24488">
            <w:pPr>
              <w:pStyle w:val="127"/>
              <w:keepNext w:val="0"/>
              <w:keepLines w:val="0"/>
              <w:widowControl/>
              <w:suppressLineNumbers w:val="0"/>
              <w:spacing w:before="0" w:beforeAutospacing="0" w:after="0" w:afterAutospacing="0"/>
              <w:ind w:left="0" w:right="0"/>
              <w:rPr>
                <w:rFonts w:hint="eastAsia"/>
                <w:color w:val="000000"/>
              </w:rPr>
            </w:pPr>
          </w:p>
        </w:tc>
        <w:tc>
          <w:tcPr>
            <w:tcW w:w="658" w:type="pct"/>
            <w:vMerge w:val="continue"/>
            <w:tcBorders>
              <w:left w:val="single" w:color="000000" w:sz="4" w:space="0"/>
              <w:bottom w:val="single" w:color="000000" w:sz="4" w:space="0"/>
              <w:right w:val="single" w:color="000000" w:sz="4" w:space="0"/>
            </w:tcBorders>
            <w:noWrap w:val="0"/>
            <w:vAlign w:val="center"/>
          </w:tcPr>
          <w:p w14:paraId="6F3981E9">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1118" w:type="pct"/>
            <w:tcBorders>
              <w:top w:val="single" w:color="auto" w:sz="4" w:space="0"/>
              <w:left w:val="single" w:color="000000" w:sz="4" w:space="0"/>
              <w:bottom w:val="single" w:color="000000" w:sz="4" w:space="0"/>
              <w:right w:val="single" w:color="auto" w:sz="4" w:space="0"/>
            </w:tcBorders>
            <w:noWrap w:val="0"/>
            <w:vAlign w:val="center"/>
          </w:tcPr>
          <w:p w14:paraId="49A0DECF">
            <w:pPr>
              <w:pStyle w:val="127"/>
              <w:keepNext w:val="0"/>
              <w:keepLines w:val="0"/>
              <w:widowControl/>
              <w:suppressLineNumbers w:val="0"/>
              <w:spacing w:before="0" w:beforeAutospacing="0" w:after="0" w:afterAutospacing="0"/>
              <w:ind w:left="0" w:right="0"/>
              <w:rPr>
                <w:rFonts w:hint="eastAsia"/>
                <w:color w:val="000000"/>
                <w:lang w:eastAsia="zh-CN"/>
              </w:rPr>
            </w:pPr>
            <w:r>
              <w:rPr>
                <w:rFonts w:hint="eastAsia"/>
                <w:color w:val="000000"/>
                <w:lang w:eastAsia="zh-CN"/>
              </w:rPr>
              <w:t>反应失控和操作不当</w:t>
            </w:r>
          </w:p>
        </w:tc>
      </w:tr>
      <w:tr w14:paraId="64C81DD1">
        <w:tblPrEx>
          <w:tblCellMar>
            <w:top w:w="0" w:type="dxa"/>
            <w:left w:w="0" w:type="dxa"/>
            <w:bottom w:w="0" w:type="dxa"/>
            <w:right w:w="0" w:type="dxa"/>
          </w:tblCellMar>
        </w:tblPrEx>
        <w:trPr>
          <w:trHeight w:val="397" w:hRule="atLeast"/>
        </w:trPr>
        <w:tc>
          <w:tcPr>
            <w:tcW w:w="284" w:type="pct"/>
            <w:vMerge w:val="restart"/>
            <w:tcBorders>
              <w:top w:val="single" w:color="000000" w:sz="4" w:space="0"/>
              <w:left w:val="single" w:color="000000" w:sz="4" w:space="0"/>
              <w:right w:val="single" w:color="000000" w:sz="4" w:space="0"/>
            </w:tcBorders>
            <w:noWrap w:val="0"/>
            <w:vAlign w:val="center"/>
          </w:tcPr>
          <w:p w14:paraId="79E13290">
            <w:pPr>
              <w:pStyle w:val="127"/>
              <w:keepNext w:val="0"/>
              <w:keepLines w:val="0"/>
              <w:widowControl/>
              <w:suppressLineNumbers w:val="0"/>
              <w:spacing w:before="0" w:beforeAutospacing="0" w:after="0" w:afterAutospacing="0"/>
              <w:ind w:left="0" w:right="0"/>
              <w:rPr>
                <w:rFonts w:hint="default" w:cs="Times New Roman"/>
                <w:color w:val="000000"/>
                <w:lang w:val="en-US" w:eastAsia="zh-CN"/>
              </w:rPr>
            </w:pPr>
            <w:r>
              <w:rPr>
                <w:rFonts w:hint="eastAsia" w:cs="Times New Roman"/>
                <w:color w:val="000000"/>
                <w:lang w:val="en-US" w:eastAsia="zh-CN"/>
              </w:rPr>
              <w:t>3</w:t>
            </w:r>
          </w:p>
        </w:tc>
        <w:tc>
          <w:tcPr>
            <w:tcW w:w="499" w:type="pct"/>
            <w:vMerge w:val="restart"/>
            <w:tcBorders>
              <w:top w:val="single" w:color="000000" w:sz="4" w:space="0"/>
              <w:left w:val="single" w:color="000000" w:sz="4" w:space="0"/>
              <w:right w:val="single" w:color="000000" w:sz="4" w:space="0"/>
            </w:tcBorders>
            <w:noWrap w:val="0"/>
            <w:vAlign w:val="center"/>
          </w:tcPr>
          <w:p w14:paraId="29919F9F">
            <w:pPr>
              <w:pStyle w:val="127"/>
              <w:keepNext w:val="0"/>
              <w:keepLines w:val="0"/>
              <w:widowControl/>
              <w:suppressLineNumbers w:val="0"/>
              <w:spacing w:before="0" w:beforeAutospacing="0" w:after="0" w:afterAutospacing="0"/>
              <w:ind w:left="0" w:right="0"/>
              <w:rPr>
                <w:rFonts w:hint="eastAsia"/>
                <w:color w:val="000000"/>
                <w:lang w:eastAsia="zh-CN"/>
              </w:rPr>
            </w:pPr>
            <w:r>
              <w:rPr>
                <w:rFonts w:hint="eastAsia"/>
                <w:color w:val="000000"/>
                <w:lang w:eastAsia="zh-CN"/>
              </w:rPr>
              <w:t>生产装置</w:t>
            </w:r>
          </w:p>
        </w:tc>
        <w:tc>
          <w:tcPr>
            <w:tcW w:w="959" w:type="pct"/>
            <w:tcBorders>
              <w:top w:val="single" w:color="000000" w:sz="4" w:space="0"/>
              <w:left w:val="single" w:color="000000" w:sz="4" w:space="0"/>
              <w:bottom w:val="single" w:color="000000" w:sz="4" w:space="0"/>
              <w:right w:val="single" w:color="000000" w:sz="4" w:space="0"/>
            </w:tcBorders>
            <w:noWrap w:val="0"/>
            <w:vAlign w:val="center"/>
          </w:tcPr>
          <w:p w14:paraId="4F4AF280">
            <w:pPr>
              <w:pStyle w:val="127"/>
              <w:keepNext w:val="0"/>
              <w:keepLines w:val="0"/>
              <w:widowControl/>
              <w:suppressLineNumbers w:val="0"/>
              <w:spacing w:before="0" w:beforeAutospacing="0" w:after="0" w:afterAutospacing="0"/>
              <w:ind w:left="0" w:leftChars="0" w:right="0" w:rightChars="0"/>
              <w:rPr>
                <w:rFonts w:hint="eastAsia" w:ascii="Times New Roman" w:hAnsi="Times New Roman" w:eastAsia="宋体" w:cs="Times New Roman"/>
                <w:color w:val="000000"/>
                <w:kern w:val="2"/>
                <w:sz w:val="21"/>
                <w:szCs w:val="21"/>
                <w:lang w:val="en-US" w:eastAsia="zh-CN" w:bidi="ar-SA"/>
              </w:rPr>
            </w:pPr>
            <w:r>
              <w:rPr>
                <w:rFonts w:hint="eastAsia"/>
                <w:color w:val="000000"/>
                <w:lang w:eastAsia="zh-CN"/>
              </w:rPr>
              <w:t>苯酚</w:t>
            </w:r>
          </w:p>
        </w:tc>
        <w:tc>
          <w:tcPr>
            <w:tcW w:w="768" w:type="pct"/>
            <w:tcBorders>
              <w:top w:val="single" w:color="000000" w:sz="4" w:space="0"/>
              <w:left w:val="single" w:color="000000" w:sz="4" w:space="0"/>
              <w:bottom w:val="single" w:color="000000" w:sz="4" w:space="0"/>
              <w:right w:val="single" w:color="000000" w:sz="4" w:space="0"/>
            </w:tcBorders>
            <w:noWrap w:val="0"/>
            <w:vAlign w:val="center"/>
          </w:tcPr>
          <w:p w14:paraId="0EE07AC7">
            <w:pPr>
              <w:pStyle w:val="127"/>
              <w:keepNext w:val="0"/>
              <w:keepLines w:val="0"/>
              <w:widowControl/>
              <w:suppressLineNumbers w:val="0"/>
              <w:spacing w:before="0" w:beforeAutospacing="0" w:after="0" w:afterAutospacing="0"/>
              <w:ind w:left="0" w:leftChars="0" w:right="0" w:rightChars="0"/>
              <w:rPr>
                <w:rFonts w:hint="eastAsia" w:ascii="Times New Roman" w:hAnsi="Times New Roman" w:eastAsia="宋体" w:cs="Times New Roman"/>
                <w:color w:val="000000"/>
                <w:kern w:val="2"/>
                <w:sz w:val="21"/>
                <w:szCs w:val="21"/>
                <w:lang w:val="en-US" w:eastAsia="zh-CN" w:bidi="ar-SA"/>
              </w:rPr>
            </w:pPr>
            <w:r>
              <w:rPr>
                <w:rFonts w:hint="eastAsia"/>
                <w:color w:val="000000"/>
                <w:lang w:eastAsia="zh-CN"/>
              </w:rPr>
              <w:t>苯酚</w:t>
            </w:r>
          </w:p>
        </w:tc>
        <w:tc>
          <w:tcPr>
            <w:tcW w:w="711" w:type="pct"/>
            <w:tcBorders>
              <w:top w:val="single" w:color="auto" w:sz="4" w:space="0"/>
              <w:left w:val="single" w:color="000000" w:sz="4" w:space="0"/>
              <w:bottom w:val="single" w:color="000000" w:sz="4" w:space="0"/>
              <w:right w:val="single" w:color="000000" w:sz="4" w:space="0"/>
            </w:tcBorders>
            <w:noWrap w:val="0"/>
            <w:vAlign w:val="center"/>
          </w:tcPr>
          <w:p w14:paraId="4BF584F4">
            <w:pPr>
              <w:pStyle w:val="127"/>
              <w:keepNext w:val="0"/>
              <w:keepLines w:val="0"/>
              <w:widowControl/>
              <w:suppressLineNumbers w:val="0"/>
              <w:spacing w:before="0" w:beforeAutospacing="0" w:after="0" w:afterAutospacing="0"/>
              <w:ind w:left="0" w:leftChars="0" w:right="0" w:rightChars="0"/>
              <w:rPr>
                <w:rFonts w:hint="eastAsia"/>
                <w:color w:val="000000"/>
              </w:rPr>
            </w:pPr>
            <w:r>
              <w:rPr>
                <w:rFonts w:hint="eastAsia"/>
                <w:color w:val="000000"/>
              </w:rPr>
              <w:t>泄露</w:t>
            </w:r>
          </w:p>
        </w:tc>
        <w:tc>
          <w:tcPr>
            <w:tcW w:w="658" w:type="pct"/>
            <w:vMerge w:val="restart"/>
            <w:tcBorders>
              <w:top w:val="single" w:color="000000" w:sz="4" w:space="0"/>
              <w:left w:val="single" w:color="000000" w:sz="4" w:space="0"/>
              <w:right w:val="single" w:color="auto" w:sz="4" w:space="0"/>
            </w:tcBorders>
            <w:noWrap w:val="0"/>
            <w:vAlign w:val="center"/>
          </w:tcPr>
          <w:p w14:paraId="228ED9A8">
            <w:pPr>
              <w:pStyle w:val="127"/>
              <w:keepNext w:val="0"/>
              <w:keepLines w:val="0"/>
              <w:widowControl/>
              <w:suppressLineNumbers w:val="0"/>
              <w:spacing w:before="0" w:beforeAutospacing="0" w:after="0" w:afterAutospacing="0"/>
              <w:ind w:left="0" w:right="0"/>
              <w:rPr>
                <w:rFonts w:hint="eastAsia"/>
                <w:color w:val="000000"/>
                <w:lang w:eastAsia="zh-CN"/>
              </w:rPr>
            </w:pPr>
            <w:r>
              <w:rPr>
                <w:rFonts w:hint="eastAsia"/>
                <w:color w:val="000000"/>
                <w:lang w:eastAsia="zh-CN"/>
              </w:rPr>
              <w:t>大气、</w:t>
            </w:r>
            <w:r>
              <w:rPr>
                <w:rFonts w:hint="default"/>
                <w:color w:val="000000"/>
              </w:rPr>
              <w:t>土壤、水环境</w:t>
            </w:r>
          </w:p>
        </w:tc>
        <w:tc>
          <w:tcPr>
            <w:tcW w:w="1118" w:type="pct"/>
            <w:tcBorders>
              <w:top w:val="single" w:color="000000" w:sz="4" w:space="0"/>
              <w:left w:val="single" w:color="auto" w:sz="4" w:space="0"/>
              <w:bottom w:val="single" w:color="auto" w:sz="4" w:space="0"/>
              <w:right w:val="single" w:color="000000" w:sz="4" w:space="0"/>
            </w:tcBorders>
            <w:noWrap w:val="0"/>
            <w:vAlign w:val="center"/>
          </w:tcPr>
          <w:p w14:paraId="3C722B61">
            <w:pPr>
              <w:pStyle w:val="127"/>
              <w:keepNext w:val="0"/>
              <w:keepLines w:val="0"/>
              <w:widowControl/>
              <w:suppressLineNumbers w:val="0"/>
              <w:spacing w:before="0" w:beforeAutospacing="0" w:after="0" w:afterAutospacing="0"/>
              <w:ind w:left="0" w:leftChars="0" w:right="0" w:rightChars="0"/>
              <w:rPr>
                <w:rFonts w:hint="eastAsia"/>
                <w:color w:val="000000"/>
                <w:lang w:eastAsia="zh-CN"/>
              </w:rPr>
            </w:pPr>
            <w:r>
              <w:rPr>
                <w:rFonts w:hint="eastAsia"/>
                <w:color w:val="000000"/>
                <w:lang w:eastAsia="zh-CN"/>
              </w:rPr>
              <w:t>反应失控引发爆炸</w:t>
            </w:r>
          </w:p>
        </w:tc>
      </w:tr>
      <w:tr w14:paraId="061A0DC2">
        <w:tblPrEx>
          <w:tblCellMar>
            <w:top w:w="0" w:type="dxa"/>
            <w:left w:w="0" w:type="dxa"/>
            <w:bottom w:w="0" w:type="dxa"/>
            <w:right w:w="0" w:type="dxa"/>
          </w:tblCellMar>
        </w:tblPrEx>
        <w:trPr>
          <w:trHeight w:val="397" w:hRule="atLeast"/>
        </w:trPr>
        <w:tc>
          <w:tcPr>
            <w:tcW w:w="284" w:type="pct"/>
            <w:vMerge w:val="continue"/>
            <w:tcBorders>
              <w:left w:val="single" w:color="000000" w:sz="4" w:space="0"/>
              <w:right w:val="single" w:color="000000" w:sz="4" w:space="0"/>
            </w:tcBorders>
            <w:noWrap w:val="0"/>
            <w:vAlign w:val="center"/>
          </w:tcPr>
          <w:p w14:paraId="7411340D">
            <w:pPr>
              <w:pStyle w:val="127"/>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499" w:type="pct"/>
            <w:vMerge w:val="continue"/>
            <w:tcBorders>
              <w:left w:val="single" w:color="000000" w:sz="4" w:space="0"/>
              <w:right w:val="single" w:color="000000" w:sz="4" w:space="0"/>
            </w:tcBorders>
            <w:noWrap w:val="0"/>
            <w:vAlign w:val="center"/>
          </w:tcPr>
          <w:p w14:paraId="6FA5AC4C">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959" w:type="pct"/>
            <w:tcBorders>
              <w:top w:val="single" w:color="000000" w:sz="4" w:space="0"/>
              <w:left w:val="single" w:color="000000" w:sz="4" w:space="0"/>
              <w:bottom w:val="single" w:color="000000" w:sz="4" w:space="0"/>
              <w:right w:val="single" w:color="000000" w:sz="4" w:space="0"/>
            </w:tcBorders>
            <w:noWrap w:val="0"/>
            <w:vAlign w:val="center"/>
          </w:tcPr>
          <w:p w14:paraId="6BFBA22F">
            <w:pPr>
              <w:pStyle w:val="127"/>
              <w:keepNext w:val="0"/>
              <w:keepLines w:val="0"/>
              <w:widowControl/>
              <w:suppressLineNumbers w:val="0"/>
              <w:spacing w:before="0" w:beforeAutospacing="0" w:after="0" w:afterAutospacing="0"/>
              <w:ind w:left="0" w:leftChars="0" w:right="0" w:rightChars="0"/>
              <w:rPr>
                <w:rFonts w:hint="eastAsia" w:ascii="Times New Roman" w:hAnsi="Times New Roman" w:eastAsia="宋体" w:cs="Times New Roman"/>
                <w:color w:val="000000"/>
                <w:kern w:val="2"/>
                <w:sz w:val="21"/>
                <w:szCs w:val="21"/>
                <w:lang w:val="en-US" w:eastAsia="zh-CN" w:bidi="ar-SA"/>
              </w:rPr>
            </w:pPr>
            <w:r>
              <w:rPr>
                <w:rFonts w:hint="eastAsia"/>
                <w:color w:val="000000"/>
                <w:lang w:eastAsia="zh-CN"/>
              </w:rPr>
              <w:t>甲醇</w:t>
            </w:r>
          </w:p>
        </w:tc>
        <w:tc>
          <w:tcPr>
            <w:tcW w:w="768" w:type="pct"/>
            <w:tcBorders>
              <w:top w:val="single" w:color="000000" w:sz="4" w:space="0"/>
              <w:left w:val="single" w:color="000000" w:sz="4" w:space="0"/>
              <w:bottom w:val="single" w:color="000000" w:sz="4" w:space="0"/>
              <w:right w:val="single" w:color="000000" w:sz="4" w:space="0"/>
            </w:tcBorders>
            <w:noWrap w:val="0"/>
            <w:vAlign w:val="center"/>
          </w:tcPr>
          <w:p w14:paraId="4125F5D1">
            <w:pPr>
              <w:pStyle w:val="127"/>
              <w:keepNext w:val="0"/>
              <w:keepLines w:val="0"/>
              <w:widowControl/>
              <w:suppressLineNumbers w:val="0"/>
              <w:spacing w:before="0" w:beforeAutospacing="0" w:after="0" w:afterAutospacing="0"/>
              <w:ind w:left="0" w:leftChars="0" w:right="0" w:rightChars="0"/>
              <w:rPr>
                <w:rFonts w:hint="eastAsia" w:ascii="Times New Roman" w:hAnsi="Times New Roman" w:eastAsia="宋体" w:cs="Times New Roman"/>
                <w:color w:val="000000"/>
                <w:kern w:val="2"/>
                <w:sz w:val="21"/>
                <w:szCs w:val="21"/>
                <w:lang w:val="en-US" w:eastAsia="zh-CN" w:bidi="ar-SA"/>
              </w:rPr>
            </w:pPr>
            <w:r>
              <w:rPr>
                <w:rFonts w:hint="eastAsia"/>
                <w:color w:val="000000"/>
                <w:lang w:eastAsia="zh-CN"/>
              </w:rPr>
              <w:t>甲醇</w:t>
            </w:r>
          </w:p>
        </w:tc>
        <w:tc>
          <w:tcPr>
            <w:tcW w:w="711" w:type="pct"/>
            <w:tcBorders>
              <w:top w:val="single" w:color="000000" w:sz="4" w:space="0"/>
              <w:left w:val="single" w:color="000000" w:sz="4" w:space="0"/>
              <w:bottom w:val="single" w:color="000000" w:sz="4" w:space="0"/>
              <w:right w:val="single" w:color="000000" w:sz="4" w:space="0"/>
            </w:tcBorders>
            <w:noWrap w:val="0"/>
            <w:vAlign w:val="center"/>
          </w:tcPr>
          <w:p w14:paraId="0BC5B0A4">
            <w:pPr>
              <w:pStyle w:val="127"/>
              <w:keepNext w:val="0"/>
              <w:keepLines w:val="0"/>
              <w:widowControl/>
              <w:suppressLineNumbers w:val="0"/>
              <w:spacing w:before="0" w:beforeAutospacing="0" w:after="0" w:afterAutospacing="0"/>
              <w:ind w:left="0" w:leftChars="0" w:right="0" w:rightChars="0"/>
              <w:rPr>
                <w:rFonts w:hint="eastAsia"/>
                <w:color w:val="000000"/>
              </w:rPr>
            </w:pPr>
            <w:r>
              <w:rPr>
                <w:rFonts w:hint="eastAsia"/>
                <w:color w:val="000000"/>
                <w:lang w:eastAsia="zh-CN"/>
              </w:rPr>
              <w:t>火灾、爆炸</w:t>
            </w:r>
          </w:p>
        </w:tc>
        <w:tc>
          <w:tcPr>
            <w:tcW w:w="658" w:type="pct"/>
            <w:vMerge w:val="continue"/>
            <w:tcBorders>
              <w:left w:val="single" w:color="000000" w:sz="4" w:space="0"/>
              <w:right w:val="single" w:color="000000" w:sz="4" w:space="0"/>
            </w:tcBorders>
            <w:noWrap w:val="0"/>
            <w:vAlign w:val="center"/>
          </w:tcPr>
          <w:p w14:paraId="05EA74F7">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1118" w:type="pct"/>
            <w:tcBorders>
              <w:top w:val="single" w:color="auto" w:sz="4" w:space="0"/>
              <w:left w:val="single" w:color="000000" w:sz="4" w:space="0"/>
              <w:bottom w:val="single" w:color="auto" w:sz="4" w:space="0"/>
              <w:right w:val="single" w:color="000000" w:sz="4" w:space="0"/>
            </w:tcBorders>
            <w:noWrap w:val="0"/>
            <w:vAlign w:val="center"/>
          </w:tcPr>
          <w:p w14:paraId="1294BA8A">
            <w:pPr>
              <w:pStyle w:val="127"/>
              <w:keepNext w:val="0"/>
              <w:keepLines w:val="0"/>
              <w:widowControl/>
              <w:suppressLineNumbers w:val="0"/>
              <w:spacing w:before="0" w:beforeAutospacing="0" w:after="0" w:afterAutospacing="0"/>
              <w:ind w:left="0" w:leftChars="0" w:right="0" w:rightChars="0"/>
              <w:rPr>
                <w:rFonts w:hint="eastAsia"/>
                <w:color w:val="000000"/>
                <w:lang w:eastAsia="zh-CN"/>
              </w:rPr>
            </w:pPr>
            <w:r>
              <w:rPr>
                <w:rFonts w:hint="eastAsia" w:ascii="宋体" w:hAnsi="宋体" w:cs="宋体"/>
                <w:szCs w:val="21"/>
              </w:rPr>
              <w:t>易燃，其蒸气与空气可形成爆炸性混合物，遇明火、高热能引起燃烧爆炸</w:t>
            </w:r>
          </w:p>
        </w:tc>
      </w:tr>
      <w:tr w14:paraId="58DAABEA">
        <w:tblPrEx>
          <w:tblCellMar>
            <w:top w:w="0" w:type="dxa"/>
            <w:left w:w="0" w:type="dxa"/>
            <w:bottom w:w="0" w:type="dxa"/>
            <w:right w:w="0" w:type="dxa"/>
          </w:tblCellMar>
        </w:tblPrEx>
        <w:trPr>
          <w:trHeight w:val="397" w:hRule="atLeast"/>
        </w:trPr>
        <w:tc>
          <w:tcPr>
            <w:tcW w:w="284" w:type="pct"/>
            <w:vMerge w:val="continue"/>
            <w:tcBorders>
              <w:left w:val="single" w:color="000000" w:sz="4" w:space="0"/>
              <w:right w:val="single" w:color="000000" w:sz="4" w:space="0"/>
            </w:tcBorders>
            <w:noWrap w:val="0"/>
            <w:vAlign w:val="center"/>
          </w:tcPr>
          <w:p w14:paraId="064CE356">
            <w:pPr>
              <w:pStyle w:val="127"/>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499" w:type="pct"/>
            <w:vMerge w:val="continue"/>
            <w:tcBorders>
              <w:left w:val="single" w:color="000000" w:sz="4" w:space="0"/>
              <w:right w:val="single" w:color="000000" w:sz="4" w:space="0"/>
            </w:tcBorders>
            <w:noWrap w:val="0"/>
            <w:vAlign w:val="center"/>
          </w:tcPr>
          <w:p w14:paraId="31B6F734">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959" w:type="pct"/>
            <w:tcBorders>
              <w:top w:val="single" w:color="000000" w:sz="4" w:space="0"/>
              <w:left w:val="single" w:color="000000" w:sz="4" w:space="0"/>
              <w:bottom w:val="single" w:color="000000" w:sz="4" w:space="0"/>
              <w:right w:val="single" w:color="000000" w:sz="4" w:space="0"/>
            </w:tcBorders>
            <w:noWrap w:val="0"/>
            <w:vAlign w:val="center"/>
          </w:tcPr>
          <w:p w14:paraId="7F704912">
            <w:pPr>
              <w:pStyle w:val="127"/>
              <w:keepNext w:val="0"/>
              <w:keepLines w:val="0"/>
              <w:widowControl/>
              <w:suppressLineNumbers w:val="0"/>
              <w:spacing w:before="0" w:beforeAutospacing="0" w:after="0" w:afterAutospacing="0"/>
              <w:ind w:left="0" w:leftChars="0" w:right="0" w:rightChars="0"/>
              <w:rPr>
                <w:rFonts w:hint="eastAsia" w:ascii="Times New Roman" w:hAnsi="Times New Roman" w:eastAsia="宋体" w:cs="Times New Roman"/>
                <w:color w:val="000000"/>
                <w:kern w:val="2"/>
                <w:sz w:val="21"/>
                <w:szCs w:val="21"/>
                <w:lang w:val="en-US" w:eastAsia="zh-CN" w:bidi="ar-SA"/>
              </w:rPr>
            </w:pPr>
            <w:r>
              <w:rPr>
                <w:rFonts w:hint="eastAsia"/>
                <w:color w:val="000000"/>
                <w:lang w:eastAsia="zh-CN"/>
              </w:rPr>
              <w:t>硫酸</w:t>
            </w:r>
          </w:p>
        </w:tc>
        <w:tc>
          <w:tcPr>
            <w:tcW w:w="768" w:type="pct"/>
            <w:tcBorders>
              <w:top w:val="single" w:color="000000" w:sz="4" w:space="0"/>
              <w:left w:val="single" w:color="000000" w:sz="4" w:space="0"/>
              <w:bottom w:val="single" w:color="000000" w:sz="4" w:space="0"/>
              <w:right w:val="single" w:color="000000" w:sz="4" w:space="0"/>
            </w:tcBorders>
            <w:noWrap w:val="0"/>
            <w:vAlign w:val="center"/>
          </w:tcPr>
          <w:p w14:paraId="7B2F6C07">
            <w:pPr>
              <w:pStyle w:val="127"/>
              <w:keepNext w:val="0"/>
              <w:keepLines w:val="0"/>
              <w:widowControl/>
              <w:suppressLineNumbers w:val="0"/>
              <w:spacing w:before="0" w:beforeAutospacing="0" w:after="0" w:afterAutospacing="0"/>
              <w:ind w:left="0" w:leftChars="0" w:right="0" w:rightChars="0"/>
              <w:rPr>
                <w:rFonts w:hint="eastAsia" w:ascii="Times New Roman" w:hAnsi="Times New Roman" w:eastAsia="宋体" w:cs="Times New Roman"/>
                <w:color w:val="000000"/>
                <w:kern w:val="2"/>
                <w:sz w:val="21"/>
                <w:szCs w:val="21"/>
                <w:lang w:val="en-US" w:eastAsia="zh-CN" w:bidi="ar-SA"/>
              </w:rPr>
            </w:pPr>
            <w:r>
              <w:rPr>
                <w:rFonts w:hint="eastAsia"/>
                <w:color w:val="000000"/>
                <w:lang w:eastAsia="zh-CN"/>
              </w:rPr>
              <w:t>硫酸</w:t>
            </w:r>
          </w:p>
        </w:tc>
        <w:tc>
          <w:tcPr>
            <w:tcW w:w="711" w:type="pct"/>
            <w:tcBorders>
              <w:top w:val="single" w:color="000000" w:sz="4" w:space="0"/>
              <w:left w:val="single" w:color="000000" w:sz="4" w:space="0"/>
              <w:bottom w:val="single" w:color="000000" w:sz="4" w:space="0"/>
              <w:right w:val="single" w:color="000000" w:sz="4" w:space="0"/>
            </w:tcBorders>
            <w:noWrap w:val="0"/>
            <w:vAlign w:val="center"/>
          </w:tcPr>
          <w:p w14:paraId="7772BBC5">
            <w:pPr>
              <w:pStyle w:val="127"/>
              <w:keepNext w:val="0"/>
              <w:keepLines w:val="0"/>
              <w:widowControl/>
              <w:suppressLineNumbers w:val="0"/>
              <w:spacing w:before="0" w:beforeAutospacing="0" w:after="0" w:afterAutospacing="0"/>
              <w:ind w:left="0" w:leftChars="0" w:right="0" w:rightChars="0"/>
              <w:rPr>
                <w:rFonts w:hint="eastAsia" w:eastAsia="宋体"/>
                <w:color w:val="000000"/>
                <w:lang w:eastAsia="zh-CN"/>
              </w:rPr>
            </w:pPr>
            <w:r>
              <w:rPr>
                <w:rFonts w:hint="eastAsia"/>
                <w:color w:val="000000"/>
                <w:lang w:eastAsia="zh-CN"/>
              </w:rPr>
              <w:t>火灾、爆炸</w:t>
            </w:r>
          </w:p>
        </w:tc>
        <w:tc>
          <w:tcPr>
            <w:tcW w:w="658" w:type="pct"/>
            <w:vMerge w:val="continue"/>
            <w:tcBorders>
              <w:left w:val="single" w:color="000000" w:sz="4" w:space="0"/>
              <w:right w:val="single" w:color="000000" w:sz="4" w:space="0"/>
            </w:tcBorders>
            <w:noWrap w:val="0"/>
            <w:vAlign w:val="center"/>
          </w:tcPr>
          <w:p w14:paraId="41181DD2">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1118" w:type="pct"/>
            <w:tcBorders>
              <w:top w:val="single" w:color="auto" w:sz="4" w:space="0"/>
              <w:left w:val="single" w:color="000000" w:sz="4" w:space="0"/>
              <w:bottom w:val="single" w:color="auto" w:sz="4" w:space="0"/>
              <w:right w:val="single" w:color="000000" w:sz="4" w:space="0"/>
            </w:tcBorders>
            <w:noWrap w:val="0"/>
            <w:vAlign w:val="center"/>
          </w:tcPr>
          <w:p w14:paraId="121F084F">
            <w:pPr>
              <w:pStyle w:val="127"/>
              <w:keepNext w:val="0"/>
              <w:keepLines w:val="0"/>
              <w:widowControl/>
              <w:suppressLineNumbers w:val="0"/>
              <w:spacing w:before="0" w:beforeAutospacing="0" w:after="0" w:afterAutospacing="0"/>
              <w:ind w:left="0" w:leftChars="0" w:right="0" w:rightChars="0"/>
              <w:jc w:val="both"/>
              <w:rPr>
                <w:rFonts w:hint="eastAsia"/>
                <w:color w:val="000000"/>
                <w:lang w:eastAsia="zh-CN"/>
              </w:rPr>
            </w:pPr>
            <w:r>
              <w:rPr>
                <w:rFonts w:hint="eastAsia"/>
                <w:color w:val="000000"/>
                <w:lang w:eastAsia="zh-CN"/>
              </w:rPr>
              <w:t>在空气中形成爆炸混合物</w:t>
            </w:r>
          </w:p>
        </w:tc>
      </w:tr>
      <w:tr w14:paraId="672CC9D5">
        <w:tblPrEx>
          <w:tblCellMar>
            <w:top w:w="0" w:type="dxa"/>
            <w:left w:w="0" w:type="dxa"/>
            <w:bottom w:w="0" w:type="dxa"/>
            <w:right w:w="0" w:type="dxa"/>
          </w:tblCellMar>
        </w:tblPrEx>
        <w:trPr>
          <w:trHeight w:val="397" w:hRule="atLeast"/>
        </w:trPr>
        <w:tc>
          <w:tcPr>
            <w:tcW w:w="284" w:type="pct"/>
            <w:vMerge w:val="continue"/>
            <w:tcBorders>
              <w:left w:val="single" w:color="000000" w:sz="4" w:space="0"/>
              <w:right w:val="single" w:color="000000" w:sz="4" w:space="0"/>
            </w:tcBorders>
            <w:noWrap w:val="0"/>
            <w:vAlign w:val="center"/>
          </w:tcPr>
          <w:p w14:paraId="44288D84">
            <w:pPr>
              <w:pStyle w:val="127"/>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499" w:type="pct"/>
            <w:vMerge w:val="continue"/>
            <w:tcBorders>
              <w:left w:val="single" w:color="000000" w:sz="4" w:space="0"/>
              <w:right w:val="single" w:color="000000" w:sz="4" w:space="0"/>
            </w:tcBorders>
            <w:noWrap w:val="0"/>
            <w:vAlign w:val="center"/>
          </w:tcPr>
          <w:p w14:paraId="2EE0E498">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959" w:type="pct"/>
            <w:tcBorders>
              <w:top w:val="single" w:color="000000" w:sz="4" w:space="0"/>
              <w:left w:val="single" w:color="000000" w:sz="4" w:space="0"/>
              <w:bottom w:val="single" w:color="000000" w:sz="4" w:space="0"/>
              <w:right w:val="single" w:color="000000" w:sz="4" w:space="0"/>
            </w:tcBorders>
            <w:noWrap w:val="0"/>
            <w:vAlign w:val="center"/>
          </w:tcPr>
          <w:p w14:paraId="0BDA89FC">
            <w:pPr>
              <w:pStyle w:val="127"/>
              <w:keepNext w:val="0"/>
              <w:keepLines w:val="0"/>
              <w:widowControl/>
              <w:suppressLineNumbers w:val="0"/>
              <w:spacing w:before="0" w:beforeAutospacing="0" w:after="0" w:afterAutospacing="0"/>
              <w:ind w:left="0" w:leftChars="0" w:right="0" w:rightChars="0"/>
              <w:rPr>
                <w:rFonts w:hint="eastAsia"/>
                <w:color w:val="000000"/>
                <w:lang w:eastAsia="zh-CN"/>
              </w:rPr>
            </w:pPr>
            <w:r>
              <w:rPr>
                <w:rFonts w:hint="eastAsia"/>
                <w:color w:val="000000"/>
                <w:lang w:eastAsia="zh-CN"/>
              </w:rPr>
              <w:t>氢氧化钠溶液</w:t>
            </w:r>
          </w:p>
        </w:tc>
        <w:tc>
          <w:tcPr>
            <w:tcW w:w="768" w:type="pct"/>
            <w:tcBorders>
              <w:top w:val="single" w:color="000000" w:sz="4" w:space="0"/>
              <w:left w:val="single" w:color="000000" w:sz="4" w:space="0"/>
              <w:bottom w:val="single" w:color="000000" w:sz="4" w:space="0"/>
              <w:right w:val="single" w:color="000000" w:sz="4" w:space="0"/>
            </w:tcBorders>
            <w:noWrap w:val="0"/>
            <w:vAlign w:val="center"/>
          </w:tcPr>
          <w:p w14:paraId="4D094781">
            <w:pPr>
              <w:pStyle w:val="127"/>
              <w:keepNext w:val="0"/>
              <w:keepLines w:val="0"/>
              <w:widowControl/>
              <w:suppressLineNumbers w:val="0"/>
              <w:spacing w:before="0" w:beforeAutospacing="0" w:after="0" w:afterAutospacing="0"/>
              <w:ind w:left="0" w:leftChars="0" w:right="0" w:rightChars="0"/>
              <w:rPr>
                <w:rFonts w:hint="eastAsia"/>
                <w:color w:val="000000"/>
                <w:lang w:eastAsia="zh-CN"/>
              </w:rPr>
            </w:pPr>
            <w:r>
              <w:rPr>
                <w:rFonts w:hint="eastAsia"/>
                <w:color w:val="000000"/>
                <w:lang w:eastAsia="zh-CN"/>
              </w:rPr>
              <w:t>氢氧化钠溶液</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F21F62">
            <w:pPr>
              <w:pStyle w:val="127"/>
              <w:keepNext w:val="0"/>
              <w:keepLines w:val="0"/>
              <w:widowControl/>
              <w:suppressLineNumbers w:val="0"/>
              <w:spacing w:before="0" w:beforeAutospacing="0" w:after="0" w:afterAutospacing="0"/>
              <w:ind w:left="0" w:leftChars="0" w:right="0" w:rightChars="0"/>
              <w:rPr>
                <w:rFonts w:hint="eastAsia" w:ascii="Times New Roman" w:hAnsi="Times New Roman" w:eastAsia="宋体" w:cs="Times New Roman"/>
                <w:color w:val="000000"/>
                <w:kern w:val="2"/>
                <w:sz w:val="21"/>
                <w:szCs w:val="21"/>
                <w:lang w:val="en-US" w:eastAsia="zh-CN" w:bidi="ar-SA"/>
              </w:rPr>
            </w:pPr>
            <w:r>
              <w:rPr>
                <w:rFonts w:hint="eastAsia"/>
                <w:color w:val="000000"/>
              </w:rPr>
              <w:t>泄露</w:t>
            </w:r>
          </w:p>
        </w:tc>
        <w:tc>
          <w:tcPr>
            <w:tcW w:w="658" w:type="pct"/>
            <w:vMerge w:val="continue"/>
            <w:tcBorders>
              <w:left w:val="single" w:color="000000" w:sz="4" w:space="0"/>
              <w:right w:val="single" w:color="000000" w:sz="4" w:space="0"/>
            </w:tcBorders>
            <w:noWrap w:val="0"/>
            <w:vAlign w:val="center"/>
          </w:tcPr>
          <w:p w14:paraId="46AFC182">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1118" w:type="pct"/>
            <w:tcBorders>
              <w:top w:val="single" w:color="auto" w:sz="4" w:space="0"/>
              <w:left w:val="single" w:color="000000" w:sz="4" w:space="0"/>
              <w:right w:val="single" w:color="000000" w:sz="4" w:space="0"/>
            </w:tcBorders>
            <w:noWrap w:val="0"/>
            <w:vAlign w:val="center"/>
          </w:tcPr>
          <w:p w14:paraId="2A8F7142">
            <w:pPr>
              <w:pStyle w:val="127"/>
              <w:keepNext w:val="0"/>
              <w:keepLines w:val="0"/>
              <w:widowControl/>
              <w:suppressLineNumbers w:val="0"/>
              <w:spacing w:before="0" w:beforeAutospacing="0" w:after="0" w:afterAutospacing="0"/>
              <w:ind w:left="0" w:leftChars="0" w:right="0" w:rightChars="0"/>
              <w:rPr>
                <w:rFonts w:hint="eastAsia"/>
                <w:color w:val="000000"/>
                <w:lang w:eastAsia="zh-CN"/>
              </w:rPr>
            </w:pPr>
            <w:r>
              <w:rPr>
                <w:rFonts w:hint="eastAsia" w:ascii="宋体" w:hAnsi="宋体" w:cs="宋体"/>
                <w:szCs w:val="21"/>
              </w:rPr>
              <w:t>不燃，具强腐蚀性、强刺激性</w:t>
            </w:r>
          </w:p>
        </w:tc>
      </w:tr>
      <w:tr w14:paraId="4DDD7D60">
        <w:tblPrEx>
          <w:tblCellMar>
            <w:top w:w="0" w:type="dxa"/>
            <w:left w:w="0" w:type="dxa"/>
            <w:bottom w:w="0" w:type="dxa"/>
            <w:right w:w="0" w:type="dxa"/>
          </w:tblCellMar>
        </w:tblPrEx>
        <w:trPr>
          <w:trHeight w:val="397" w:hRule="atLeast"/>
        </w:trPr>
        <w:tc>
          <w:tcPr>
            <w:tcW w:w="284" w:type="pct"/>
            <w:vMerge w:val="continue"/>
            <w:tcBorders>
              <w:left w:val="single" w:color="000000" w:sz="4" w:space="0"/>
              <w:right w:val="single" w:color="000000" w:sz="4" w:space="0"/>
            </w:tcBorders>
            <w:noWrap w:val="0"/>
            <w:vAlign w:val="center"/>
          </w:tcPr>
          <w:p w14:paraId="0FC0D775">
            <w:pPr>
              <w:pStyle w:val="127"/>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499" w:type="pct"/>
            <w:vMerge w:val="continue"/>
            <w:tcBorders>
              <w:left w:val="single" w:color="000000" w:sz="4" w:space="0"/>
              <w:right w:val="single" w:color="000000" w:sz="4" w:space="0"/>
            </w:tcBorders>
            <w:noWrap w:val="0"/>
            <w:vAlign w:val="center"/>
          </w:tcPr>
          <w:p w14:paraId="3EDC9373">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959" w:type="pct"/>
            <w:tcBorders>
              <w:top w:val="single" w:color="000000" w:sz="4" w:space="0"/>
              <w:left w:val="single" w:color="000000" w:sz="4" w:space="0"/>
              <w:bottom w:val="single" w:color="000000" w:sz="4" w:space="0"/>
              <w:right w:val="single" w:color="000000" w:sz="4" w:space="0"/>
            </w:tcBorders>
            <w:noWrap w:val="0"/>
            <w:vAlign w:val="center"/>
          </w:tcPr>
          <w:p w14:paraId="26167639">
            <w:pPr>
              <w:keepNext w:val="0"/>
              <w:keepLines w:val="0"/>
              <w:suppressLineNumbers w:val="0"/>
              <w:spacing w:before="0" w:beforeAutospacing="0" w:after="0" w:afterAutospacing="0" w:line="240" w:lineRule="auto"/>
              <w:ind w:left="0" w:leftChars="0" w:right="0" w:rightChars="0" w:firstLine="0" w:firstLineChars="0"/>
              <w:jc w:val="center"/>
              <w:rPr>
                <w:rFonts w:hint="eastAsia"/>
                <w:color w:val="000000"/>
                <w:lang w:eastAsia="zh-CN"/>
              </w:rPr>
            </w:pPr>
            <w:r>
              <w:rPr>
                <w:rFonts w:hint="eastAsia" w:ascii="宋体" w:hAnsi="宋体" w:cs="宋体"/>
                <w:sz w:val="21"/>
                <w:szCs w:val="21"/>
              </w:rPr>
              <w:t>氯苯</w:t>
            </w:r>
          </w:p>
        </w:tc>
        <w:tc>
          <w:tcPr>
            <w:tcW w:w="768" w:type="pct"/>
            <w:tcBorders>
              <w:top w:val="single" w:color="000000" w:sz="4" w:space="0"/>
              <w:left w:val="single" w:color="000000" w:sz="4" w:space="0"/>
              <w:bottom w:val="single" w:color="000000" w:sz="4" w:space="0"/>
              <w:right w:val="single" w:color="000000" w:sz="4" w:space="0"/>
            </w:tcBorders>
            <w:noWrap w:val="0"/>
            <w:vAlign w:val="center"/>
          </w:tcPr>
          <w:p w14:paraId="16845D75">
            <w:pPr>
              <w:keepNext w:val="0"/>
              <w:keepLines w:val="0"/>
              <w:suppressLineNumbers w:val="0"/>
              <w:spacing w:before="0" w:beforeAutospacing="0" w:after="0" w:afterAutospacing="0" w:line="240" w:lineRule="auto"/>
              <w:ind w:left="0" w:leftChars="0" w:right="0" w:rightChars="0" w:firstLine="0" w:firstLineChars="0"/>
              <w:jc w:val="center"/>
              <w:rPr>
                <w:rFonts w:hint="eastAsia"/>
                <w:color w:val="000000"/>
                <w:lang w:eastAsia="zh-CN"/>
              </w:rPr>
            </w:pPr>
            <w:r>
              <w:rPr>
                <w:rFonts w:hint="eastAsia" w:ascii="宋体" w:hAnsi="宋体" w:cs="宋体"/>
                <w:sz w:val="21"/>
                <w:szCs w:val="21"/>
              </w:rPr>
              <w:t>氯苯</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7F1C64">
            <w:pPr>
              <w:pStyle w:val="127"/>
              <w:keepNext w:val="0"/>
              <w:keepLines w:val="0"/>
              <w:widowControl/>
              <w:suppressLineNumbers w:val="0"/>
              <w:spacing w:before="0" w:beforeAutospacing="0" w:after="0" w:afterAutospacing="0"/>
              <w:ind w:left="0" w:leftChars="0" w:right="0" w:rightChars="0"/>
              <w:rPr>
                <w:rFonts w:hint="eastAsia" w:ascii="Times New Roman" w:hAnsi="Times New Roman" w:eastAsia="宋体" w:cs="Times New Roman"/>
                <w:color w:val="000000"/>
                <w:kern w:val="2"/>
                <w:sz w:val="21"/>
                <w:szCs w:val="21"/>
                <w:lang w:val="en-US" w:eastAsia="zh-CN" w:bidi="ar-SA"/>
              </w:rPr>
            </w:pPr>
            <w:r>
              <w:rPr>
                <w:rFonts w:hint="eastAsia"/>
                <w:color w:val="000000"/>
                <w:lang w:eastAsia="zh-CN"/>
              </w:rPr>
              <w:t>火灾、爆炸</w:t>
            </w:r>
          </w:p>
        </w:tc>
        <w:tc>
          <w:tcPr>
            <w:tcW w:w="658" w:type="pct"/>
            <w:vMerge w:val="continue"/>
            <w:tcBorders>
              <w:left w:val="single" w:color="000000" w:sz="4" w:space="0"/>
              <w:right w:val="single" w:color="000000" w:sz="4" w:space="0"/>
            </w:tcBorders>
            <w:noWrap w:val="0"/>
            <w:vAlign w:val="center"/>
          </w:tcPr>
          <w:p w14:paraId="47A9ABF0">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1118" w:type="pct"/>
            <w:tcBorders>
              <w:top w:val="single" w:color="auto" w:sz="4" w:space="0"/>
              <w:left w:val="single" w:color="000000" w:sz="4" w:space="0"/>
              <w:right w:val="single" w:color="000000" w:sz="4" w:space="0"/>
            </w:tcBorders>
            <w:noWrap w:val="0"/>
            <w:vAlign w:val="center"/>
          </w:tcPr>
          <w:p w14:paraId="0F034345">
            <w:pPr>
              <w:pStyle w:val="127"/>
              <w:keepNext w:val="0"/>
              <w:keepLines w:val="0"/>
              <w:widowControl/>
              <w:suppressLineNumbers w:val="0"/>
              <w:spacing w:before="0" w:beforeAutospacing="0" w:after="0" w:afterAutospacing="0"/>
              <w:ind w:left="0" w:leftChars="0" w:right="0" w:rightChars="0"/>
              <w:rPr>
                <w:rFonts w:hint="eastAsia"/>
                <w:color w:val="000000"/>
                <w:lang w:eastAsia="zh-CN"/>
              </w:rPr>
            </w:pPr>
            <w:r>
              <w:rPr>
                <w:rFonts w:hint="eastAsia" w:ascii="宋体" w:hAnsi="宋体" w:cs="宋体"/>
                <w:szCs w:val="21"/>
              </w:rPr>
              <w:t>遇明火、高热或与氧化剂接触，有引起燃烧爆炸的危险</w:t>
            </w:r>
          </w:p>
        </w:tc>
      </w:tr>
      <w:tr w14:paraId="3377FB86">
        <w:tblPrEx>
          <w:tblCellMar>
            <w:top w:w="0" w:type="dxa"/>
            <w:left w:w="0" w:type="dxa"/>
            <w:bottom w:w="0" w:type="dxa"/>
            <w:right w:w="0" w:type="dxa"/>
          </w:tblCellMar>
        </w:tblPrEx>
        <w:trPr>
          <w:trHeight w:val="397" w:hRule="atLeast"/>
        </w:trPr>
        <w:tc>
          <w:tcPr>
            <w:tcW w:w="284" w:type="pct"/>
            <w:vMerge w:val="continue"/>
            <w:tcBorders>
              <w:left w:val="single" w:color="000000" w:sz="4" w:space="0"/>
              <w:right w:val="single" w:color="000000" w:sz="4" w:space="0"/>
            </w:tcBorders>
            <w:noWrap w:val="0"/>
            <w:vAlign w:val="center"/>
          </w:tcPr>
          <w:p w14:paraId="5AC30E7D">
            <w:pPr>
              <w:pStyle w:val="127"/>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499" w:type="pct"/>
            <w:vMerge w:val="continue"/>
            <w:tcBorders>
              <w:left w:val="single" w:color="000000" w:sz="4" w:space="0"/>
              <w:right w:val="single" w:color="000000" w:sz="4" w:space="0"/>
            </w:tcBorders>
            <w:noWrap w:val="0"/>
            <w:vAlign w:val="center"/>
          </w:tcPr>
          <w:p w14:paraId="67103569">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959" w:type="pct"/>
            <w:tcBorders>
              <w:top w:val="single" w:color="000000" w:sz="4" w:space="0"/>
              <w:left w:val="single" w:color="000000" w:sz="4" w:space="0"/>
              <w:bottom w:val="single" w:color="000000" w:sz="4" w:space="0"/>
              <w:right w:val="single" w:color="000000" w:sz="4" w:space="0"/>
            </w:tcBorders>
            <w:noWrap w:val="0"/>
            <w:vAlign w:val="center"/>
          </w:tcPr>
          <w:p w14:paraId="26BBA52A">
            <w:pPr>
              <w:keepNext w:val="0"/>
              <w:keepLines w:val="0"/>
              <w:suppressLineNumbers w:val="0"/>
              <w:spacing w:before="0" w:beforeAutospacing="0" w:after="0" w:afterAutospacing="0" w:line="240" w:lineRule="auto"/>
              <w:ind w:left="0" w:leftChars="0" w:right="0" w:rightChars="0" w:firstLine="0" w:firstLineChars="0"/>
              <w:jc w:val="center"/>
              <w:rPr>
                <w:rFonts w:hint="eastAsia"/>
                <w:color w:val="000000"/>
                <w:lang w:eastAsia="zh-CN"/>
              </w:rPr>
            </w:pPr>
            <w:r>
              <w:rPr>
                <w:rFonts w:hint="eastAsia" w:ascii="宋体" w:hAnsi="宋体" w:cs="宋体"/>
                <w:sz w:val="21"/>
                <w:szCs w:val="21"/>
              </w:rPr>
              <w:t>氯</w:t>
            </w:r>
          </w:p>
        </w:tc>
        <w:tc>
          <w:tcPr>
            <w:tcW w:w="768" w:type="pct"/>
            <w:tcBorders>
              <w:top w:val="single" w:color="000000" w:sz="4" w:space="0"/>
              <w:left w:val="single" w:color="000000" w:sz="4" w:space="0"/>
              <w:bottom w:val="single" w:color="000000" w:sz="4" w:space="0"/>
              <w:right w:val="single" w:color="000000" w:sz="4" w:space="0"/>
            </w:tcBorders>
            <w:noWrap w:val="0"/>
            <w:vAlign w:val="center"/>
          </w:tcPr>
          <w:p w14:paraId="5C07C15C">
            <w:pPr>
              <w:keepNext w:val="0"/>
              <w:keepLines w:val="0"/>
              <w:suppressLineNumbers w:val="0"/>
              <w:spacing w:before="0" w:beforeAutospacing="0" w:after="0" w:afterAutospacing="0" w:line="240" w:lineRule="auto"/>
              <w:ind w:left="0" w:leftChars="0" w:right="0" w:rightChars="0" w:firstLine="0" w:firstLineChars="0"/>
              <w:jc w:val="center"/>
              <w:rPr>
                <w:rFonts w:hint="eastAsia"/>
                <w:color w:val="000000"/>
                <w:lang w:eastAsia="zh-CN"/>
              </w:rPr>
            </w:pPr>
            <w:r>
              <w:rPr>
                <w:rFonts w:hint="eastAsia" w:ascii="宋体" w:hAnsi="宋体" w:cs="宋体"/>
                <w:sz w:val="21"/>
                <w:szCs w:val="21"/>
              </w:rPr>
              <w:t>氯</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785D47">
            <w:pPr>
              <w:pStyle w:val="127"/>
              <w:keepNext w:val="0"/>
              <w:keepLines w:val="0"/>
              <w:widowControl/>
              <w:suppressLineNumbers w:val="0"/>
              <w:spacing w:before="0" w:beforeAutospacing="0" w:after="0" w:afterAutospacing="0"/>
              <w:ind w:left="0" w:leftChars="0" w:right="0" w:rightChars="0"/>
              <w:rPr>
                <w:rFonts w:hint="eastAsia" w:ascii="Times New Roman" w:hAnsi="Times New Roman" w:eastAsia="宋体" w:cs="Times New Roman"/>
                <w:color w:val="000000"/>
                <w:kern w:val="2"/>
                <w:sz w:val="21"/>
                <w:szCs w:val="21"/>
                <w:lang w:val="en-US" w:eastAsia="zh-CN" w:bidi="ar-SA"/>
              </w:rPr>
            </w:pPr>
            <w:r>
              <w:rPr>
                <w:rFonts w:hint="eastAsia"/>
                <w:color w:val="000000"/>
              </w:rPr>
              <w:t>泄露</w:t>
            </w:r>
          </w:p>
        </w:tc>
        <w:tc>
          <w:tcPr>
            <w:tcW w:w="658" w:type="pct"/>
            <w:vMerge w:val="continue"/>
            <w:tcBorders>
              <w:left w:val="single" w:color="000000" w:sz="4" w:space="0"/>
              <w:right w:val="single" w:color="000000" w:sz="4" w:space="0"/>
            </w:tcBorders>
            <w:noWrap w:val="0"/>
            <w:vAlign w:val="center"/>
          </w:tcPr>
          <w:p w14:paraId="0C181264">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1118" w:type="pct"/>
            <w:tcBorders>
              <w:top w:val="single" w:color="auto" w:sz="4" w:space="0"/>
              <w:left w:val="single" w:color="000000" w:sz="4" w:space="0"/>
              <w:right w:val="single" w:color="000000" w:sz="4" w:space="0"/>
            </w:tcBorders>
            <w:noWrap w:val="0"/>
            <w:vAlign w:val="center"/>
          </w:tcPr>
          <w:p w14:paraId="229067FC">
            <w:pPr>
              <w:pStyle w:val="127"/>
              <w:keepNext w:val="0"/>
              <w:keepLines w:val="0"/>
              <w:widowControl/>
              <w:suppressLineNumbers w:val="0"/>
              <w:spacing w:before="0" w:beforeAutospacing="0" w:after="0" w:afterAutospacing="0"/>
              <w:ind w:left="0" w:leftChars="0" w:right="0" w:rightChars="0"/>
              <w:rPr>
                <w:rFonts w:hint="eastAsia"/>
                <w:color w:val="000000"/>
                <w:lang w:eastAsia="zh-CN"/>
              </w:rPr>
            </w:pPr>
            <w:r>
              <w:rPr>
                <w:rFonts w:hint="eastAsia" w:ascii="宋体" w:hAnsi="宋体" w:cs="宋体"/>
                <w:szCs w:val="21"/>
              </w:rPr>
              <w:t>助燃，高毒</w:t>
            </w:r>
          </w:p>
        </w:tc>
      </w:tr>
      <w:tr w14:paraId="6476E1F6">
        <w:tblPrEx>
          <w:tblCellMar>
            <w:top w:w="0" w:type="dxa"/>
            <w:left w:w="0" w:type="dxa"/>
            <w:bottom w:w="0" w:type="dxa"/>
            <w:right w:w="0" w:type="dxa"/>
          </w:tblCellMar>
        </w:tblPrEx>
        <w:trPr>
          <w:trHeight w:val="397" w:hRule="atLeast"/>
        </w:trPr>
        <w:tc>
          <w:tcPr>
            <w:tcW w:w="284" w:type="pct"/>
            <w:vMerge w:val="continue"/>
            <w:tcBorders>
              <w:left w:val="single" w:color="000000" w:sz="4" w:space="0"/>
              <w:right w:val="single" w:color="000000" w:sz="4" w:space="0"/>
            </w:tcBorders>
            <w:noWrap w:val="0"/>
            <w:vAlign w:val="center"/>
          </w:tcPr>
          <w:p w14:paraId="6BFFD6BC">
            <w:pPr>
              <w:pStyle w:val="127"/>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499" w:type="pct"/>
            <w:vMerge w:val="continue"/>
            <w:tcBorders>
              <w:left w:val="single" w:color="000000" w:sz="4" w:space="0"/>
              <w:right w:val="single" w:color="000000" w:sz="4" w:space="0"/>
            </w:tcBorders>
            <w:noWrap w:val="0"/>
            <w:vAlign w:val="center"/>
          </w:tcPr>
          <w:p w14:paraId="313231F1">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959" w:type="pct"/>
            <w:tcBorders>
              <w:top w:val="single" w:color="000000" w:sz="4" w:space="0"/>
              <w:left w:val="single" w:color="000000" w:sz="4" w:space="0"/>
              <w:bottom w:val="single" w:color="000000" w:sz="4" w:space="0"/>
              <w:right w:val="single" w:color="000000" w:sz="4" w:space="0"/>
            </w:tcBorders>
            <w:noWrap w:val="0"/>
            <w:vAlign w:val="center"/>
          </w:tcPr>
          <w:p w14:paraId="1FC8F4D5">
            <w:pPr>
              <w:keepNext w:val="0"/>
              <w:keepLines w:val="0"/>
              <w:suppressLineNumbers w:val="0"/>
              <w:adjustRightInd w:val="0"/>
              <w:snapToGrid w:val="0"/>
              <w:spacing w:before="62" w:beforeLines="20" w:beforeAutospacing="0" w:after="62" w:afterLines="20" w:afterAutospacing="0"/>
              <w:ind w:left="0" w:right="0"/>
              <w:jc w:val="center"/>
              <w:rPr>
                <w:rFonts w:hint="eastAsia"/>
                <w:color w:val="000000"/>
                <w:lang w:eastAsia="zh-CN"/>
              </w:rPr>
            </w:pPr>
            <w:r>
              <w:rPr>
                <w:rFonts w:hint="eastAsia" w:ascii="宋体" w:hAnsi="宋体" w:cs="宋体"/>
                <w:sz w:val="21"/>
                <w:szCs w:val="21"/>
              </w:rPr>
              <w:t>三氯氧磷</w:t>
            </w:r>
          </w:p>
        </w:tc>
        <w:tc>
          <w:tcPr>
            <w:tcW w:w="768" w:type="pct"/>
            <w:tcBorders>
              <w:top w:val="single" w:color="000000" w:sz="4" w:space="0"/>
              <w:left w:val="single" w:color="000000" w:sz="4" w:space="0"/>
              <w:bottom w:val="single" w:color="000000" w:sz="4" w:space="0"/>
              <w:right w:val="single" w:color="000000" w:sz="4" w:space="0"/>
            </w:tcBorders>
            <w:noWrap w:val="0"/>
            <w:vAlign w:val="center"/>
          </w:tcPr>
          <w:p w14:paraId="25E0CC52">
            <w:pPr>
              <w:keepNext w:val="0"/>
              <w:keepLines w:val="0"/>
              <w:suppressLineNumbers w:val="0"/>
              <w:adjustRightInd w:val="0"/>
              <w:snapToGrid w:val="0"/>
              <w:spacing w:before="62" w:beforeLines="20" w:beforeAutospacing="0" w:after="62" w:afterLines="20" w:afterAutospacing="0"/>
              <w:ind w:left="0" w:right="0"/>
              <w:jc w:val="center"/>
              <w:rPr>
                <w:rFonts w:hint="eastAsia"/>
                <w:color w:val="000000"/>
                <w:lang w:eastAsia="zh-CN"/>
              </w:rPr>
            </w:pPr>
            <w:r>
              <w:rPr>
                <w:rFonts w:hint="eastAsia" w:ascii="宋体" w:hAnsi="宋体" w:cs="宋体"/>
                <w:sz w:val="21"/>
                <w:szCs w:val="21"/>
              </w:rPr>
              <w:t>三氯氧磷</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E062CA">
            <w:pPr>
              <w:pStyle w:val="127"/>
              <w:keepNext w:val="0"/>
              <w:keepLines w:val="0"/>
              <w:widowControl/>
              <w:suppressLineNumbers w:val="0"/>
              <w:spacing w:before="0" w:beforeAutospacing="0" w:after="0" w:afterAutospacing="0"/>
              <w:ind w:left="0" w:leftChars="0" w:right="0" w:rightChars="0"/>
              <w:rPr>
                <w:rFonts w:hint="eastAsia" w:ascii="Times New Roman" w:hAnsi="Times New Roman" w:eastAsia="宋体" w:cs="Times New Roman"/>
                <w:color w:val="000000"/>
                <w:kern w:val="2"/>
                <w:sz w:val="21"/>
                <w:szCs w:val="21"/>
                <w:lang w:val="en-US" w:eastAsia="zh-CN" w:bidi="ar-SA"/>
              </w:rPr>
            </w:pPr>
            <w:r>
              <w:rPr>
                <w:rFonts w:hint="eastAsia"/>
                <w:color w:val="000000"/>
              </w:rPr>
              <w:t>泄露</w:t>
            </w:r>
          </w:p>
        </w:tc>
        <w:tc>
          <w:tcPr>
            <w:tcW w:w="658" w:type="pct"/>
            <w:vMerge w:val="continue"/>
            <w:tcBorders>
              <w:left w:val="single" w:color="000000" w:sz="4" w:space="0"/>
              <w:right w:val="single" w:color="000000" w:sz="4" w:space="0"/>
            </w:tcBorders>
            <w:noWrap w:val="0"/>
            <w:vAlign w:val="center"/>
          </w:tcPr>
          <w:p w14:paraId="5503EA1F">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1118" w:type="pct"/>
            <w:tcBorders>
              <w:top w:val="single" w:color="auto" w:sz="4" w:space="0"/>
              <w:left w:val="single" w:color="000000" w:sz="4" w:space="0"/>
              <w:right w:val="single" w:color="000000" w:sz="4" w:space="0"/>
            </w:tcBorders>
            <w:noWrap w:val="0"/>
            <w:vAlign w:val="center"/>
          </w:tcPr>
          <w:p w14:paraId="555823E2">
            <w:pPr>
              <w:pStyle w:val="127"/>
              <w:keepNext w:val="0"/>
              <w:keepLines w:val="0"/>
              <w:widowControl/>
              <w:suppressLineNumbers w:val="0"/>
              <w:spacing w:before="0" w:beforeAutospacing="0" w:after="0" w:afterAutospacing="0"/>
              <w:ind w:left="0" w:leftChars="0" w:right="0" w:rightChars="0"/>
              <w:rPr>
                <w:rFonts w:hint="eastAsia"/>
                <w:color w:val="000000"/>
                <w:lang w:eastAsia="zh-CN"/>
              </w:rPr>
            </w:pPr>
            <w:r>
              <w:rPr>
                <w:rFonts w:hint="eastAsia" w:ascii="宋体" w:hAnsi="宋体" w:cs="宋体"/>
                <w:szCs w:val="21"/>
              </w:rPr>
              <w:t>不燃</w:t>
            </w:r>
            <w:r>
              <w:rPr>
                <w:rFonts w:hint="eastAsia" w:ascii="宋体" w:hAnsi="宋体" w:cs="宋体"/>
                <w:szCs w:val="21"/>
                <w:lang w:eastAsia="zh-CN"/>
              </w:rPr>
              <w:t>，有毒</w:t>
            </w:r>
          </w:p>
        </w:tc>
      </w:tr>
      <w:tr w14:paraId="7E6BAB51">
        <w:tblPrEx>
          <w:tblCellMar>
            <w:top w:w="0" w:type="dxa"/>
            <w:left w:w="0" w:type="dxa"/>
            <w:bottom w:w="0" w:type="dxa"/>
            <w:right w:w="0" w:type="dxa"/>
          </w:tblCellMar>
        </w:tblPrEx>
        <w:trPr>
          <w:trHeight w:val="397" w:hRule="atLeast"/>
        </w:trPr>
        <w:tc>
          <w:tcPr>
            <w:tcW w:w="284" w:type="pct"/>
            <w:vMerge w:val="continue"/>
            <w:tcBorders>
              <w:left w:val="single" w:color="000000" w:sz="4" w:space="0"/>
              <w:right w:val="single" w:color="000000" w:sz="4" w:space="0"/>
            </w:tcBorders>
            <w:noWrap w:val="0"/>
            <w:vAlign w:val="center"/>
          </w:tcPr>
          <w:p w14:paraId="508B9972">
            <w:pPr>
              <w:pStyle w:val="127"/>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499" w:type="pct"/>
            <w:vMerge w:val="continue"/>
            <w:tcBorders>
              <w:left w:val="single" w:color="000000" w:sz="4" w:space="0"/>
              <w:right w:val="single" w:color="000000" w:sz="4" w:space="0"/>
            </w:tcBorders>
            <w:noWrap w:val="0"/>
            <w:vAlign w:val="center"/>
          </w:tcPr>
          <w:p w14:paraId="00448EEE">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959" w:type="pct"/>
            <w:tcBorders>
              <w:top w:val="single" w:color="000000" w:sz="4" w:space="0"/>
              <w:left w:val="single" w:color="000000" w:sz="4" w:space="0"/>
              <w:bottom w:val="single" w:color="000000" w:sz="4" w:space="0"/>
              <w:right w:val="single" w:color="000000" w:sz="4" w:space="0"/>
            </w:tcBorders>
            <w:noWrap w:val="0"/>
            <w:vAlign w:val="center"/>
          </w:tcPr>
          <w:p w14:paraId="2D2FF9C5">
            <w:pPr>
              <w:keepNext w:val="0"/>
              <w:keepLines w:val="0"/>
              <w:suppressLineNumbers w:val="0"/>
              <w:adjustRightInd w:val="0"/>
              <w:snapToGrid w:val="0"/>
              <w:spacing w:before="62" w:beforeLines="20" w:beforeAutospacing="0" w:after="62" w:afterLines="20" w:afterAutospacing="0"/>
              <w:ind w:left="0" w:right="0"/>
              <w:jc w:val="center"/>
              <w:rPr>
                <w:rFonts w:hint="eastAsia"/>
                <w:color w:val="000000"/>
                <w:lang w:eastAsia="zh-CN"/>
              </w:rPr>
            </w:pPr>
            <w:r>
              <w:rPr>
                <w:rFonts w:hint="eastAsia" w:ascii="宋体" w:hAnsi="宋体" w:cs="宋体"/>
                <w:sz w:val="21"/>
                <w:szCs w:val="21"/>
              </w:rPr>
              <w:t>乙醇胺</w:t>
            </w:r>
          </w:p>
        </w:tc>
        <w:tc>
          <w:tcPr>
            <w:tcW w:w="768" w:type="pct"/>
            <w:tcBorders>
              <w:top w:val="single" w:color="000000" w:sz="4" w:space="0"/>
              <w:left w:val="single" w:color="000000" w:sz="4" w:space="0"/>
              <w:bottom w:val="single" w:color="000000" w:sz="4" w:space="0"/>
              <w:right w:val="single" w:color="000000" w:sz="4" w:space="0"/>
            </w:tcBorders>
            <w:noWrap w:val="0"/>
            <w:vAlign w:val="center"/>
          </w:tcPr>
          <w:p w14:paraId="778949DB">
            <w:pPr>
              <w:keepNext w:val="0"/>
              <w:keepLines w:val="0"/>
              <w:suppressLineNumbers w:val="0"/>
              <w:adjustRightInd w:val="0"/>
              <w:snapToGrid w:val="0"/>
              <w:spacing w:before="62" w:beforeLines="20" w:beforeAutospacing="0" w:after="62" w:afterLines="20" w:afterAutospacing="0"/>
              <w:ind w:left="0" w:right="0"/>
              <w:jc w:val="center"/>
              <w:rPr>
                <w:rFonts w:hint="eastAsia"/>
                <w:color w:val="000000"/>
                <w:lang w:eastAsia="zh-CN"/>
              </w:rPr>
            </w:pPr>
            <w:r>
              <w:rPr>
                <w:rFonts w:hint="eastAsia" w:ascii="宋体" w:hAnsi="宋体" w:cs="宋体"/>
                <w:sz w:val="21"/>
                <w:szCs w:val="21"/>
              </w:rPr>
              <w:t>乙醇胺</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C40CC9">
            <w:pPr>
              <w:pStyle w:val="127"/>
              <w:keepNext w:val="0"/>
              <w:keepLines w:val="0"/>
              <w:widowControl/>
              <w:suppressLineNumbers w:val="0"/>
              <w:spacing w:before="0" w:beforeAutospacing="0" w:after="0" w:afterAutospacing="0"/>
              <w:ind w:left="0" w:leftChars="0" w:right="0" w:rightChars="0"/>
              <w:rPr>
                <w:rFonts w:hint="eastAsia" w:ascii="Times New Roman" w:hAnsi="Times New Roman" w:eastAsia="宋体" w:cs="Times New Roman"/>
                <w:color w:val="000000"/>
                <w:kern w:val="2"/>
                <w:sz w:val="21"/>
                <w:szCs w:val="21"/>
                <w:lang w:val="en-US" w:eastAsia="zh-CN" w:bidi="ar-SA"/>
              </w:rPr>
            </w:pPr>
            <w:r>
              <w:rPr>
                <w:rFonts w:hint="eastAsia"/>
                <w:color w:val="000000"/>
              </w:rPr>
              <w:t>泄露</w:t>
            </w:r>
            <w:r>
              <w:rPr>
                <w:rFonts w:hint="eastAsia"/>
                <w:color w:val="000000"/>
                <w:lang w:eastAsia="zh-CN"/>
              </w:rPr>
              <w:t>、火灾</w:t>
            </w:r>
          </w:p>
        </w:tc>
        <w:tc>
          <w:tcPr>
            <w:tcW w:w="658" w:type="pct"/>
            <w:vMerge w:val="continue"/>
            <w:tcBorders>
              <w:left w:val="single" w:color="000000" w:sz="4" w:space="0"/>
              <w:right w:val="single" w:color="000000" w:sz="4" w:space="0"/>
            </w:tcBorders>
            <w:noWrap w:val="0"/>
            <w:vAlign w:val="center"/>
          </w:tcPr>
          <w:p w14:paraId="3CC058CA">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1118" w:type="pct"/>
            <w:tcBorders>
              <w:top w:val="single" w:color="auto" w:sz="4" w:space="0"/>
              <w:left w:val="single" w:color="000000" w:sz="4" w:space="0"/>
              <w:right w:val="single" w:color="000000" w:sz="4" w:space="0"/>
            </w:tcBorders>
            <w:noWrap w:val="0"/>
            <w:vAlign w:val="center"/>
          </w:tcPr>
          <w:p w14:paraId="14743523">
            <w:pPr>
              <w:pStyle w:val="127"/>
              <w:keepNext w:val="0"/>
              <w:keepLines w:val="0"/>
              <w:widowControl/>
              <w:suppressLineNumbers w:val="0"/>
              <w:spacing w:before="0" w:beforeAutospacing="0" w:after="0" w:afterAutospacing="0"/>
              <w:ind w:left="0" w:leftChars="0" w:right="0" w:rightChars="0"/>
              <w:rPr>
                <w:rFonts w:hint="eastAsia"/>
                <w:color w:val="000000"/>
                <w:lang w:eastAsia="zh-CN"/>
              </w:rPr>
            </w:pPr>
            <w:r>
              <w:rPr>
                <w:rFonts w:hint="eastAsia" w:ascii="宋体" w:hAnsi="宋体" w:cs="宋体"/>
                <w:szCs w:val="21"/>
              </w:rPr>
              <w:t>遇明火、高热可燃</w:t>
            </w:r>
          </w:p>
        </w:tc>
      </w:tr>
      <w:tr w14:paraId="4DECA862">
        <w:tblPrEx>
          <w:tblCellMar>
            <w:top w:w="0" w:type="dxa"/>
            <w:left w:w="0" w:type="dxa"/>
            <w:bottom w:w="0" w:type="dxa"/>
            <w:right w:w="0" w:type="dxa"/>
          </w:tblCellMar>
        </w:tblPrEx>
        <w:trPr>
          <w:trHeight w:val="397" w:hRule="atLeast"/>
        </w:trPr>
        <w:tc>
          <w:tcPr>
            <w:tcW w:w="284" w:type="pct"/>
            <w:vMerge w:val="continue"/>
            <w:tcBorders>
              <w:left w:val="single" w:color="000000" w:sz="4" w:space="0"/>
              <w:bottom w:val="single" w:color="auto" w:sz="4" w:space="0"/>
              <w:right w:val="single" w:color="000000" w:sz="4" w:space="0"/>
            </w:tcBorders>
            <w:noWrap w:val="0"/>
            <w:vAlign w:val="center"/>
          </w:tcPr>
          <w:p w14:paraId="3CBD09DB">
            <w:pPr>
              <w:pStyle w:val="127"/>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499" w:type="pct"/>
            <w:vMerge w:val="continue"/>
            <w:tcBorders>
              <w:left w:val="single" w:color="000000" w:sz="4" w:space="0"/>
              <w:right w:val="single" w:color="000000" w:sz="4" w:space="0"/>
            </w:tcBorders>
            <w:noWrap w:val="0"/>
            <w:vAlign w:val="center"/>
          </w:tcPr>
          <w:p w14:paraId="4AC7500C">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959" w:type="pct"/>
            <w:tcBorders>
              <w:top w:val="single" w:color="000000" w:sz="4" w:space="0"/>
              <w:left w:val="single" w:color="000000" w:sz="4" w:space="0"/>
              <w:bottom w:val="single" w:color="000000" w:sz="4" w:space="0"/>
              <w:right w:val="single" w:color="000000" w:sz="4" w:space="0"/>
            </w:tcBorders>
            <w:noWrap w:val="0"/>
            <w:vAlign w:val="center"/>
          </w:tcPr>
          <w:p w14:paraId="6872E6D2">
            <w:pPr>
              <w:pStyle w:val="127"/>
              <w:keepNext w:val="0"/>
              <w:keepLines w:val="0"/>
              <w:widowControl/>
              <w:suppressLineNumbers w:val="0"/>
              <w:spacing w:before="0" w:beforeAutospacing="0" w:after="0" w:afterAutospacing="0"/>
              <w:ind w:left="0" w:leftChars="0" w:right="0" w:rightChars="0"/>
              <w:rPr>
                <w:rFonts w:hint="eastAsia" w:ascii="Times New Roman" w:hAnsi="Times New Roman" w:eastAsia="宋体" w:cs="Times New Roman"/>
                <w:color w:val="000000"/>
                <w:kern w:val="2"/>
                <w:sz w:val="21"/>
                <w:szCs w:val="21"/>
                <w:lang w:val="en-US" w:eastAsia="zh-CN" w:bidi="ar-SA"/>
              </w:rPr>
            </w:pPr>
            <w:r>
              <w:rPr>
                <w:rFonts w:hint="eastAsia" w:ascii="宋体" w:hAnsi="宋体" w:cs="宋体"/>
                <w:sz w:val="21"/>
                <w:szCs w:val="21"/>
              </w:rPr>
              <w:t>氨</w:t>
            </w:r>
          </w:p>
        </w:tc>
        <w:tc>
          <w:tcPr>
            <w:tcW w:w="768" w:type="pct"/>
            <w:tcBorders>
              <w:top w:val="single" w:color="000000" w:sz="4" w:space="0"/>
              <w:left w:val="single" w:color="000000" w:sz="4" w:space="0"/>
              <w:bottom w:val="single" w:color="000000" w:sz="4" w:space="0"/>
              <w:right w:val="single" w:color="000000" w:sz="4" w:space="0"/>
            </w:tcBorders>
            <w:noWrap w:val="0"/>
            <w:vAlign w:val="center"/>
          </w:tcPr>
          <w:p w14:paraId="1EFA5E9A">
            <w:pPr>
              <w:pStyle w:val="127"/>
              <w:keepNext w:val="0"/>
              <w:keepLines w:val="0"/>
              <w:widowControl/>
              <w:suppressLineNumbers w:val="0"/>
              <w:spacing w:before="0" w:beforeAutospacing="0" w:after="0" w:afterAutospacing="0"/>
              <w:ind w:left="0" w:leftChars="0" w:right="0" w:rightChars="0"/>
              <w:rPr>
                <w:rFonts w:hint="eastAsia" w:ascii="Times New Roman" w:hAnsi="Times New Roman" w:eastAsia="宋体" w:cs="Times New Roman"/>
                <w:color w:val="000000"/>
                <w:kern w:val="2"/>
                <w:sz w:val="21"/>
                <w:szCs w:val="21"/>
                <w:lang w:val="en-US" w:eastAsia="zh-CN" w:bidi="ar-SA"/>
              </w:rPr>
            </w:pPr>
            <w:r>
              <w:rPr>
                <w:rFonts w:hint="eastAsia" w:ascii="宋体" w:hAnsi="宋体" w:cs="宋体"/>
                <w:sz w:val="21"/>
                <w:szCs w:val="21"/>
              </w:rPr>
              <w:t>氨</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DB9746">
            <w:pPr>
              <w:pStyle w:val="127"/>
              <w:keepNext w:val="0"/>
              <w:keepLines w:val="0"/>
              <w:widowControl/>
              <w:suppressLineNumbers w:val="0"/>
              <w:spacing w:before="0" w:beforeAutospacing="0" w:after="0" w:afterAutospacing="0"/>
              <w:ind w:left="0" w:leftChars="0" w:right="0" w:rightChars="0"/>
              <w:rPr>
                <w:rFonts w:hint="eastAsia" w:ascii="Times New Roman" w:hAnsi="Times New Roman" w:eastAsia="宋体" w:cs="Times New Roman"/>
                <w:color w:val="000000"/>
                <w:kern w:val="2"/>
                <w:sz w:val="21"/>
                <w:szCs w:val="21"/>
                <w:lang w:val="en-US" w:eastAsia="zh-CN" w:bidi="ar-SA"/>
              </w:rPr>
            </w:pPr>
            <w:r>
              <w:rPr>
                <w:rFonts w:hint="eastAsia"/>
                <w:color w:val="000000"/>
              </w:rPr>
              <w:t>泄露</w:t>
            </w:r>
            <w:r>
              <w:rPr>
                <w:rFonts w:hint="eastAsia"/>
                <w:color w:val="000000"/>
                <w:lang w:eastAsia="zh-CN"/>
              </w:rPr>
              <w:t>、火灾</w:t>
            </w:r>
          </w:p>
        </w:tc>
        <w:tc>
          <w:tcPr>
            <w:tcW w:w="658" w:type="pct"/>
            <w:vMerge w:val="continue"/>
            <w:tcBorders>
              <w:left w:val="single" w:color="000000" w:sz="4" w:space="0"/>
              <w:bottom w:val="single" w:color="auto" w:sz="4" w:space="0"/>
              <w:right w:val="single" w:color="000000" w:sz="4" w:space="0"/>
            </w:tcBorders>
            <w:noWrap w:val="0"/>
            <w:vAlign w:val="center"/>
          </w:tcPr>
          <w:p w14:paraId="16CBA7F7">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1118" w:type="pct"/>
            <w:tcBorders>
              <w:top w:val="single" w:color="auto" w:sz="4" w:space="0"/>
              <w:left w:val="single" w:color="000000" w:sz="4" w:space="0"/>
              <w:right w:val="single" w:color="000000" w:sz="4" w:space="0"/>
            </w:tcBorders>
            <w:noWrap w:val="0"/>
            <w:vAlign w:val="center"/>
          </w:tcPr>
          <w:p w14:paraId="70A8FC22">
            <w:pPr>
              <w:pStyle w:val="127"/>
              <w:keepNext w:val="0"/>
              <w:keepLines w:val="0"/>
              <w:widowControl/>
              <w:suppressLineNumbers w:val="0"/>
              <w:spacing w:before="0" w:beforeAutospacing="0" w:after="0" w:afterAutospacing="0"/>
              <w:ind w:left="0" w:leftChars="0" w:right="0" w:rightChars="0"/>
              <w:rPr>
                <w:rFonts w:hint="eastAsia"/>
                <w:color w:val="000000"/>
                <w:lang w:eastAsia="zh-CN"/>
              </w:rPr>
            </w:pPr>
            <w:r>
              <w:rPr>
                <w:rFonts w:hint="eastAsia" w:ascii="宋体" w:hAnsi="宋体" w:cs="宋体"/>
                <w:szCs w:val="21"/>
              </w:rPr>
              <w:t>易燃，有毒</w:t>
            </w:r>
          </w:p>
        </w:tc>
      </w:tr>
    </w:tbl>
    <w:p w14:paraId="64327960">
      <w:pPr>
        <w:autoSpaceDE w:val="0"/>
        <w:autoSpaceDN w:val="0"/>
        <w:adjustRightInd w:val="0"/>
        <w:snapToGrid w:val="0"/>
        <w:spacing w:line="360" w:lineRule="auto"/>
        <w:jc w:val="both"/>
        <w:rPr>
          <w:rFonts w:hint="default" w:ascii="Times New Roman" w:hAnsi="Times New Roman" w:cs="Times New Roman"/>
          <w:b/>
          <w:bCs/>
          <w:color w:val="FF0000"/>
          <w:kern w:val="0"/>
          <w:sz w:val="24"/>
          <w:highlight w:val="none"/>
        </w:rPr>
      </w:pPr>
    </w:p>
    <w:p w14:paraId="6BF004BB">
      <w:pPr>
        <w:adjustRightInd w:val="0"/>
        <w:snapToGrid w:val="0"/>
        <w:spacing w:line="360" w:lineRule="auto"/>
        <w:jc w:val="left"/>
        <w:outlineLvl w:val="1"/>
        <w:rPr>
          <w:rFonts w:hint="default" w:ascii="Times New Roman" w:hAnsi="Times New Roman" w:cs="Times New Roman"/>
          <w:color w:val="auto"/>
          <w:highlight w:val="none"/>
        </w:rPr>
      </w:pPr>
      <w:bookmarkStart w:id="52" w:name="_Toc24992"/>
      <w:bookmarkStart w:id="53" w:name="_Toc4637"/>
      <w:bookmarkStart w:id="54" w:name="_Toc3518"/>
      <w:bookmarkStart w:id="55" w:name="_Toc17263"/>
      <w:r>
        <w:rPr>
          <w:rFonts w:hint="default" w:ascii="Times New Roman" w:hAnsi="Times New Roman" w:cs="Times New Roman"/>
          <w:b/>
          <w:bCs/>
          <w:color w:val="auto"/>
          <w:sz w:val="28"/>
          <w:szCs w:val="28"/>
          <w:highlight w:val="none"/>
        </w:rPr>
        <w:t>3.4 生产工艺及设备</w:t>
      </w:r>
      <w:bookmarkEnd w:id="52"/>
      <w:bookmarkEnd w:id="53"/>
      <w:bookmarkEnd w:id="54"/>
      <w:bookmarkEnd w:id="55"/>
    </w:p>
    <w:p w14:paraId="52455613">
      <w:pPr>
        <w:spacing w:line="360" w:lineRule="auto"/>
        <w:outlineLvl w:val="9"/>
        <w:rPr>
          <w:rFonts w:hint="default" w:ascii="Times New Roman" w:hAnsi="Times New Roman" w:cs="Times New Roman"/>
          <w:b/>
          <w:sz w:val="24"/>
        </w:rPr>
      </w:pPr>
      <w:bookmarkStart w:id="56" w:name="OLE_LINK2"/>
      <w:bookmarkStart w:id="57" w:name="OLE_LINK1"/>
      <w:r>
        <w:rPr>
          <w:rFonts w:hint="default" w:ascii="Times New Roman" w:hAnsi="Times New Roman" w:cs="Times New Roman"/>
          <w:b/>
          <w:sz w:val="24"/>
        </w:rPr>
        <w:t>3.</w:t>
      </w:r>
      <w:r>
        <w:rPr>
          <w:rFonts w:hint="default" w:ascii="Times New Roman" w:hAnsi="Times New Roman" w:cs="Times New Roman"/>
          <w:b/>
          <w:sz w:val="24"/>
          <w:lang w:val="en-US" w:eastAsia="zh-CN"/>
        </w:rPr>
        <w:t>4</w:t>
      </w:r>
      <w:r>
        <w:rPr>
          <w:rFonts w:hint="default" w:ascii="Times New Roman" w:hAnsi="Times New Roman" w:cs="Times New Roman"/>
          <w:b/>
          <w:sz w:val="24"/>
        </w:rPr>
        <w:t>.1 水杨酸</w:t>
      </w:r>
    </w:p>
    <w:p w14:paraId="6B68C6BD">
      <w:pPr>
        <w:snapToGrid w:val="0"/>
        <w:spacing w:line="360" w:lineRule="auto"/>
        <w:ind w:firstLine="486" w:firstLineChars="200"/>
        <w:rPr>
          <w:sz w:val="24"/>
        </w:rPr>
      </w:pPr>
      <w:r>
        <w:rPr>
          <w:sz w:val="24"/>
        </w:rPr>
        <w:t>1</w:t>
      </w:r>
      <w:r>
        <w:rPr>
          <w:rFonts w:hAnsi="宋体"/>
          <w:sz w:val="24"/>
        </w:rPr>
        <w:t>、</w:t>
      </w:r>
      <w:r>
        <w:rPr>
          <w:rFonts w:hint="eastAsia" w:hAnsi="宋体"/>
          <w:sz w:val="24"/>
        </w:rPr>
        <w:t>酚钠配备</w:t>
      </w:r>
    </w:p>
    <w:p w14:paraId="6259E3D6">
      <w:pPr>
        <w:spacing w:line="360" w:lineRule="auto"/>
        <w:ind w:firstLine="486" w:firstLineChars="200"/>
        <w:contextualSpacing/>
        <w:rPr>
          <w:rFonts w:hint="eastAsia"/>
          <w:sz w:val="24"/>
        </w:rPr>
      </w:pPr>
      <w:r>
        <w:rPr>
          <w:rFonts w:hint="eastAsia"/>
          <w:sz w:val="24"/>
        </w:rPr>
        <w:t>将回收酚水（约65%）、液碱（48%）</w:t>
      </w:r>
      <w:r>
        <w:rPr>
          <w:sz w:val="24"/>
        </w:rPr>
        <w:t>经计量后</w:t>
      </w:r>
      <w:r>
        <w:rPr>
          <w:rFonts w:hint="eastAsia"/>
          <w:sz w:val="24"/>
        </w:rPr>
        <w:t>按顺序加入到配制釜中搅拌50min（常温常压，</w:t>
      </w:r>
      <w:r>
        <w:rPr>
          <w:rFonts w:hint="eastAsia" w:hAnsi="宋体"/>
          <w:sz w:val="24"/>
        </w:rPr>
        <w:t>搅拌过程中产生少量搅拌废气，主要成分为苯酚</w:t>
      </w:r>
      <w:r>
        <w:rPr>
          <w:rFonts w:hint="eastAsia"/>
          <w:sz w:val="24"/>
        </w:rPr>
        <w:t>）</w:t>
      </w:r>
      <w:r>
        <w:rPr>
          <w:rFonts w:hint="eastAsia" w:hAnsi="宋体"/>
          <w:sz w:val="24"/>
        </w:rPr>
        <w:t>。</w:t>
      </w:r>
    </w:p>
    <w:p w14:paraId="711EEC14">
      <w:pPr>
        <w:snapToGrid w:val="0"/>
        <w:spacing w:line="360" w:lineRule="auto"/>
        <w:ind w:firstLine="486" w:firstLineChars="200"/>
        <w:rPr>
          <w:sz w:val="24"/>
        </w:rPr>
      </w:pPr>
      <w:r>
        <w:rPr>
          <w:sz w:val="24"/>
        </w:rPr>
        <w:t>2</w:t>
      </w:r>
      <w:r>
        <w:rPr>
          <w:rFonts w:hAnsi="宋体"/>
          <w:sz w:val="24"/>
        </w:rPr>
        <w:t>、</w:t>
      </w:r>
      <w:r>
        <w:rPr>
          <w:rFonts w:hint="eastAsia" w:hAnsi="宋体"/>
          <w:sz w:val="24"/>
        </w:rPr>
        <w:t>干燥</w:t>
      </w:r>
    </w:p>
    <w:p w14:paraId="6661F986">
      <w:pPr>
        <w:snapToGrid w:val="0"/>
        <w:spacing w:line="360" w:lineRule="auto"/>
        <w:ind w:firstLine="486" w:firstLineChars="200"/>
        <w:rPr>
          <w:rFonts w:hint="eastAsia"/>
          <w:sz w:val="24"/>
        </w:rPr>
      </w:pPr>
      <w:r>
        <w:rPr>
          <w:rFonts w:hint="eastAsia" w:hAnsi="宋体"/>
          <w:sz w:val="24"/>
        </w:rPr>
        <w:t>将配制釜中的酚钠溶液</w:t>
      </w:r>
      <w:r>
        <w:rPr>
          <w:rFonts w:hint="eastAsia"/>
          <w:sz w:val="24"/>
        </w:rPr>
        <w:t>进行常压干燥约4~5h（温度控制在150℃，常压</w:t>
      </w:r>
      <w:r>
        <w:rPr>
          <w:rFonts w:hint="eastAsia" w:hAnsi="宋体"/>
          <w:sz w:val="24"/>
        </w:rPr>
        <w:t>干燥过程中产生常压干燥废气，主要成分为苯酚</w:t>
      </w:r>
      <w:r>
        <w:rPr>
          <w:rFonts w:hint="eastAsia"/>
          <w:sz w:val="24"/>
        </w:rPr>
        <w:t>）</w:t>
      </w:r>
      <w:r>
        <w:rPr>
          <w:rFonts w:hint="eastAsia" w:hAnsi="宋体"/>
          <w:sz w:val="24"/>
        </w:rPr>
        <w:t>，然后用压缩机压至羧化釜内。将苯酚（99%）</w:t>
      </w:r>
      <w:r>
        <w:rPr>
          <w:sz w:val="24"/>
        </w:rPr>
        <w:t>经计量后</w:t>
      </w:r>
      <w:r>
        <w:rPr>
          <w:rFonts w:hint="eastAsia"/>
          <w:sz w:val="24"/>
        </w:rPr>
        <w:t>加入到羧化釜中进行减压干燥约5~6h（温度控制在120℃，压力控制在0~-0.1MPa，常减压</w:t>
      </w:r>
      <w:r>
        <w:rPr>
          <w:rFonts w:hint="eastAsia" w:hAnsi="宋体"/>
          <w:sz w:val="24"/>
        </w:rPr>
        <w:t>干燥过程中产生常减压干燥废气，主要成分为苯酚</w:t>
      </w:r>
      <w:r>
        <w:rPr>
          <w:rFonts w:hint="eastAsia"/>
          <w:sz w:val="24"/>
        </w:rPr>
        <w:t>）。常压干燥回收的稀酚水送入萃取装置进行处理，减压干燥回收的酚水回用于酚钠配置。</w:t>
      </w:r>
    </w:p>
    <w:p w14:paraId="23BDD043">
      <w:pPr>
        <w:snapToGrid w:val="0"/>
        <w:spacing w:line="360" w:lineRule="auto"/>
        <w:ind w:firstLine="486" w:firstLineChars="200"/>
        <w:rPr>
          <w:sz w:val="24"/>
        </w:rPr>
      </w:pPr>
      <w:r>
        <w:rPr>
          <w:sz w:val="24"/>
        </w:rPr>
        <w:t>3</w:t>
      </w:r>
      <w:r>
        <w:rPr>
          <w:rFonts w:hAnsi="宋体"/>
          <w:sz w:val="24"/>
        </w:rPr>
        <w:t>、</w:t>
      </w:r>
      <w:r>
        <w:rPr>
          <w:rFonts w:hint="eastAsia" w:hAnsi="宋体"/>
          <w:sz w:val="24"/>
        </w:rPr>
        <w:t>羧化</w:t>
      </w:r>
    </w:p>
    <w:p w14:paraId="1271393C">
      <w:pPr>
        <w:snapToGrid w:val="0"/>
        <w:spacing w:line="360" w:lineRule="auto"/>
        <w:ind w:firstLine="486" w:firstLineChars="200"/>
        <w:rPr>
          <w:rFonts w:hint="eastAsia" w:hAnsi="宋体"/>
          <w:sz w:val="24"/>
        </w:rPr>
      </w:pPr>
      <w:r>
        <w:rPr>
          <w:rFonts w:hint="eastAsia" w:hAnsi="宋体"/>
          <w:sz w:val="24"/>
        </w:rPr>
        <w:t>向羧化釜中通入CO</w:t>
      </w:r>
      <w:r>
        <w:rPr>
          <w:rFonts w:hint="eastAsia" w:hAnsi="宋体"/>
          <w:sz w:val="24"/>
          <w:vertAlign w:val="subscript"/>
        </w:rPr>
        <w:t>2</w:t>
      </w:r>
      <w:r>
        <w:rPr>
          <w:rFonts w:hint="eastAsia" w:hAnsi="宋体"/>
          <w:sz w:val="24"/>
        </w:rPr>
        <w:t>气体进行羧化反应（</w:t>
      </w:r>
      <w:r>
        <w:rPr>
          <w:rFonts w:hint="eastAsia"/>
          <w:sz w:val="24"/>
        </w:rPr>
        <w:t>温度控制在200℃，压力控制在6~8MPa</w:t>
      </w:r>
      <w:r>
        <w:rPr>
          <w:rFonts w:hint="eastAsia" w:hAnsi="宋体"/>
          <w:sz w:val="24"/>
        </w:rPr>
        <w:t>），反应时间1.5h（羧化过程产生羧化废气，主要成分为苯酚、CO</w:t>
      </w:r>
      <w:r>
        <w:rPr>
          <w:rFonts w:hint="eastAsia" w:hAnsi="宋体"/>
          <w:sz w:val="24"/>
          <w:vertAlign w:val="subscript"/>
        </w:rPr>
        <w:t>2</w:t>
      </w:r>
      <w:r>
        <w:rPr>
          <w:rFonts w:hint="eastAsia" w:hAnsi="宋体"/>
          <w:sz w:val="24"/>
        </w:rPr>
        <w:t>）。反应完成后泄压降温（</w:t>
      </w:r>
      <w:r>
        <w:rPr>
          <w:rFonts w:hint="eastAsia"/>
          <w:sz w:val="24"/>
        </w:rPr>
        <w:t>温度控制在130℃，压力控制在-0.1MPa</w:t>
      </w:r>
      <w:r>
        <w:rPr>
          <w:rFonts w:hint="eastAsia" w:hAnsi="宋体"/>
          <w:sz w:val="24"/>
        </w:rPr>
        <w:t>）进行酚水回收（酚水回收过程中产生不凝气，主要成分为苯酚），回收的酚水</w:t>
      </w:r>
      <w:r>
        <w:rPr>
          <w:rFonts w:hint="eastAsia"/>
          <w:sz w:val="24"/>
        </w:rPr>
        <w:t>回用于酚钠配置。</w:t>
      </w:r>
    </w:p>
    <w:p w14:paraId="765DC151">
      <w:pPr>
        <w:snapToGrid w:val="0"/>
        <w:spacing w:line="360" w:lineRule="auto"/>
        <w:ind w:firstLine="486" w:firstLineChars="200"/>
        <w:rPr>
          <w:rFonts w:hint="eastAsia"/>
          <w:sz w:val="24"/>
        </w:rPr>
      </w:pPr>
      <w:r>
        <w:rPr>
          <w:rFonts w:hint="eastAsia" w:hAnsi="宋体"/>
          <w:sz w:val="24"/>
        </w:rPr>
        <w:t>再次通入CO</w:t>
      </w:r>
      <w:r>
        <w:rPr>
          <w:rFonts w:hint="eastAsia" w:hAnsi="宋体"/>
          <w:sz w:val="24"/>
          <w:vertAlign w:val="subscript"/>
        </w:rPr>
        <w:t>2</w:t>
      </w:r>
      <w:r>
        <w:rPr>
          <w:rFonts w:hint="eastAsia" w:hAnsi="宋体"/>
          <w:sz w:val="24"/>
        </w:rPr>
        <w:t>气体进行二次羧化反应（</w:t>
      </w:r>
      <w:r>
        <w:rPr>
          <w:rFonts w:hint="eastAsia"/>
          <w:sz w:val="24"/>
        </w:rPr>
        <w:t>温度控制在200℃，压力控制在6~8MPa</w:t>
      </w:r>
      <w:r>
        <w:rPr>
          <w:rFonts w:hint="eastAsia" w:hAnsi="宋体"/>
          <w:sz w:val="24"/>
        </w:rPr>
        <w:t>），反应时间4h（二次羧化过程产生羧化废气，主要成分为苯酚、CO</w:t>
      </w:r>
      <w:r>
        <w:rPr>
          <w:rFonts w:hint="eastAsia" w:hAnsi="宋体"/>
          <w:sz w:val="24"/>
          <w:vertAlign w:val="subscript"/>
        </w:rPr>
        <w:t>2</w:t>
      </w:r>
      <w:r>
        <w:rPr>
          <w:rFonts w:hint="eastAsia" w:hAnsi="宋体"/>
          <w:sz w:val="24"/>
        </w:rPr>
        <w:t>）。反应完成后泄压降温（</w:t>
      </w:r>
      <w:r>
        <w:rPr>
          <w:rFonts w:hint="eastAsia"/>
          <w:sz w:val="24"/>
        </w:rPr>
        <w:t>温度控制在130℃，压力控制在-0.1MPa</w:t>
      </w:r>
      <w:r>
        <w:rPr>
          <w:rFonts w:hint="eastAsia" w:hAnsi="宋体"/>
          <w:sz w:val="24"/>
        </w:rPr>
        <w:t>）进行酚水回收（酚水回收过程中产生不凝气，主要成分为苯酚），回收的酚水</w:t>
      </w:r>
      <w:r>
        <w:rPr>
          <w:rFonts w:hint="eastAsia"/>
          <w:sz w:val="24"/>
        </w:rPr>
        <w:t>回用于酚钠配置。</w:t>
      </w:r>
    </w:p>
    <w:p w14:paraId="706AEE48">
      <w:pPr>
        <w:snapToGrid w:val="0"/>
        <w:spacing w:line="360" w:lineRule="auto"/>
        <w:ind w:firstLine="486" w:firstLineChars="200"/>
        <w:rPr>
          <w:rFonts w:hint="eastAsia" w:hAnsi="宋体"/>
          <w:sz w:val="24"/>
        </w:rPr>
      </w:pPr>
      <w:r>
        <w:rPr>
          <w:rFonts w:hint="eastAsia"/>
          <w:sz w:val="24"/>
        </w:rPr>
        <w:t>羧化反应完成后，加入软水进行溶解，</w:t>
      </w:r>
      <w:r>
        <w:rPr>
          <w:rFonts w:hint="eastAsia" w:hAnsi="宋体"/>
          <w:sz w:val="24"/>
        </w:rPr>
        <w:t>然后用压缩机压至酸析釜中准备酸析。</w:t>
      </w:r>
    </w:p>
    <w:p w14:paraId="71B4CBBF">
      <w:pPr>
        <w:snapToGrid w:val="0"/>
        <w:spacing w:line="360" w:lineRule="auto"/>
        <w:ind w:firstLine="486" w:firstLineChars="200"/>
        <w:rPr>
          <w:rFonts w:hint="eastAsia" w:hAnsi="宋体"/>
          <w:sz w:val="24"/>
        </w:rPr>
      </w:pPr>
      <w:r>
        <w:rPr>
          <w:rFonts w:hint="eastAsia"/>
          <w:sz w:val="24"/>
        </w:rPr>
        <w:t>4</w:t>
      </w:r>
      <w:r>
        <w:rPr>
          <w:rFonts w:hAnsi="宋体"/>
          <w:sz w:val="24"/>
        </w:rPr>
        <w:t>、</w:t>
      </w:r>
      <w:r>
        <w:rPr>
          <w:rFonts w:hint="eastAsia" w:hAnsi="宋体"/>
          <w:sz w:val="24"/>
        </w:rPr>
        <w:t>酸析</w:t>
      </w:r>
    </w:p>
    <w:p w14:paraId="79D02C13">
      <w:pPr>
        <w:snapToGrid w:val="0"/>
        <w:spacing w:line="360" w:lineRule="auto"/>
        <w:ind w:firstLine="486" w:firstLineChars="200"/>
        <w:rPr>
          <w:rFonts w:hint="eastAsia"/>
          <w:sz w:val="24"/>
        </w:rPr>
      </w:pPr>
      <w:r>
        <w:rPr>
          <w:rFonts w:hint="eastAsia"/>
          <w:sz w:val="24"/>
        </w:rPr>
        <w:t>将配制好的稀硫酸溶液（30%），回用废水、废渣和来自其他装置的母液经计量</w:t>
      </w:r>
      <w:r>
        <w:rPr>
          <w:sz w:val="24"/>
        </w:rPr>
        <w:t>后</w:t>
      </w:r>
      <w:r>
        <w:rPr>
          <w:rFonts w:hint="eastAsia"/>
          <w:sz w:val="24"/>
        </w:rPr>
        <w:t>加入到酸析釜中进行酸析反应（酸析过程中产生酸析废气，主要成分为硫酸雾和非甲烷总烃）。</w:t>
      </w:r>
    </w:p>
    <w:p w14:paraId="6BA71023">
      <w:pPr>
        <w:snapToGrid w:val="0"/>
        <w:spacing w:line="360" w:lineRule="auto"/>
        <w:ind w:firstLine="486" w:firstLineChars="200"/>
        <w:rPr>
          <w:rFonts w:hint="eastAsia" w:hAnsi="宋体"/>
          <w:sz w:val="24"/>
        </w:rPr>
      </w:pPr>
      <w:r>
        <w:rPr>
          <w:rFonts w:hint="eastAsia"/>
          <w:sz w:val="24"/>
        </w:rPr>
        <w:t>5</w:t>
      </w:r>
      <w:r>
        <w:rPr>
          <w:rFonts w:hAnsi="宋体"/>
          <w:sz w:val="24"/>
        </w:rPr>
        <w:t>、</w:t>
      </w:r>
      <w:r>
        <w:rPr>
          <w:rFonts w:hint="eastAsia" w:hAnsi="宋体"/>
          <w:sz w:val="24"/>
        </w:rPr>
        <w:t>离心干燥</w:t>
      </w:r>
    </w:p>
    <w:p w14:paraId="2923B1E7">
      <w:pPr>
        <w:snapToGrid w:val="0"/>
        <w:spacing w:line="360" w:lineRule="auto"/>
        <w:ind w:firstLine="486" w:firstLineChars="200"/>
        <w:rPr>
          <w:rFonts w:hint="eastAsia" w:hAnsi="宋体"/>
          <w:sz w:val="24"/>
        </w:rPr>
      </w:pPr>
      <w:r>
        <w:rPr>
          <w:rFonts w:hint="eastAsia"/>
          <w:sz w:val="24"/>
        </w:rPr>
        <w:t>将反应完成的物料送入</w:t>
      </w:r>
      <w:r>
        <w:rPr>
          <w:rFonts w:hint="eastAsia" w:hAnsi="宋体"/>
          <w:sz w:val="24"/>
        </w:rPr>
        <w:t>离心机中进行离心，离心母液送入萃取装置进行处理。后将粗产品绞龙输送入干燥料仓进行干燥（干燥过程中产生少量干燥废气和，干燥废气主要成分为粉尘和非甲烷总烃；布袋除尘器产生除尘灰），除尘灰收集后用于升华工序。</w:t>
      </w:r>
    </w:p>
    <w:p w14:paraId="5767794A">
      <w:pPr>
        <w:snapToGrid w:val="0"/>
        <w:spacing w:line="360" w:lineRule="auto"/>
        <w:ind w:firstLine="486" w:firstLineChars="200"/>
        <w:rPr>
          <w:rFonts w:hint="eastAsia" w:hAnsi="宋体"/>
          <w:sz w:val="24"/>
        </w:rPr>
      </w:pPr>
      <w:r>
        <w:rPr>
          <w:rFonts w:hint="eastAsia" w:hAnsi="宋体"/>
          <w:sz w:val="24"/>
        </w:rPr>
        <w:t>6、升华</w:t>
      </w:r>
    </w:p>
    <w:p w14:paraId="7C8D4D6D">
      <w:pPr>
        <w:snapToGrid w:val="0"/>
        <w:spacing w:line="360" w:lineRule="auto"/>
        <w:ind w:firstLine="486" w:firstLineChars="200"/>
        <w:rPr>
          <w:rFonts w:hint="eastAsia"/>
          <w:sz w:val="24"/>
          <w:highlight w:val="yellow"/>
        </w:rPr>
      </w:pPr>
      <w:r>
        <w:rPr>
          <w:rFonts w:hint="eastAsia" w:hAnsi="宋体"/>
          <w:sz w:val="24"/>
        </w:rPr>
        <w:t>将干燥后的水杨酸经运输车辆运入升华车间，投料前对升华釜用少量水清洗（清洗过程产生刷罐水，主要成分为COD、SS），然后将物料投入升华釜中进行升华反应，反应时间5~6h</w:t>
      </w:r>
      <w:r>
        <w:rPr>
          <w:rFonts w:hint="eastAsia"/>
          <w:sz w:val="24"/>
        </w:rPr>
        <w:t>（温度控制在161~170℃）。反应完成后，利用真空泵将升华物料抽入结晶塔冷凝（结晶过程中产生结晶废气和</w:t>
      </w:r>
      <w:r>
        <w:rPr>
          <w:rFonts w:hint="eastAsia" w:hAnsi="宋体"/>
          <w:sz w:val="24"/>
        </w:rPr>
        <w:t>升华残渣</w:t>
      </w:r>
      <w:r>
        <w:rPr>
          <w:rFonts w:hint="eastAsia"/>
          <w:sz w:val="24"/>
        </w:rPr>
        <w:t>，主要成分为</w:t>
      </w:r>
      <w:r>
        <w:rPr>
          <w:rFonts w:hint="eastAsia" w:hAnsi="宋体"/>
          <w:sz w:val="24"/>
        </w:rPr>
        <w:t>粉尘和非甲烷总烃；布袋除尘器产生除尘灰</w:t>
      </w:r>
      <w:r>
        <w:rPr>
          <w:rFonts w:hint="eastAsia"/>
          <w:sz w:val="24"/>
        </w:rPr>
        <w:t>），冷凝时间5h。</w:t>
      </w:r>
      <w:r>
        <w:rPr>
          <w:rFonts w:hint="eastAsia" w:hAnsi="宋体"/>
          <w:sz w:val="24"/>
        </w:rPr>
        <w:t>升华过程中产生少量残渣、脉冲布袋除尘器除尘灰回用于酸析工序，刷罐产生刷罐水回用于酸析工序。</w:t>
      </w:r>
    </w:p>
    <w:p w14:paraId="4B68332A">
      <w:pPr>
        <w:snapToGrid w:val="0"/>
        <w:spacing w:line="360" w:lineRule="auto"/>
        <w:ind w:firstLine="486" w:firstLineChars="200"/>
        <w:rPr>
          <w:rFonts w:hint="eastAsia"/>
          <w:sz w:val="24"/>
        </w:rPr>
      </w:pPr>
      <w:r>
        <w:rPr>
          <w:rFonts w:hint="eastAsia"/>
          <w:sz w:val="24"/>
        </w:rPr>
        <w:t>升华完成的水杨酸经包装后得到产品水杨酸。</w:t>
      </w:r>
    </w:p>
    <w:p w14:paraId="78F8C60F">
      <w:pPr>
        <w:snapToGrid w:val="0"/>
        <w:spacing w:line="360" w:lineRule="auto"/>
        <w:ind w:firstLine="486" w:firstLineChars="200"/>
        <w:rPr>
          <w:rFonts w:hint="eastAsia" w:hAnsi="宋体"/>
          <w:sz w:val="24"/>
        </w:rPr>
      </w:pPr>
      <w:r>
        <w:rPr>
          <w:rFonts w:hint="eastAsia" w:hAnsi="宋体"/>
          <w:sz w:val="24"/>
        </w:rPr>
        <w:t>7、萃取</w:t>
      </w:r>
    </w:p>
    <w:p w14:paraId="384BF824">
      <w:pPr>
        <w:snapToGrid w:val="0"/>
        <w:spacing w:line="360" w:lineRule="auto"/>
        <w:ind w:firstLine="486" w:firstLineChars="200"/>
        <w:rPr>
          <w:rFonts w:hint="eastAsia" w:hAnsi="宋体"/>
          <w:sz w:val="24"/>
        </w:rPr>
      </w:pPr>
      <w:r>
        <w:rPr>
          <w:rFonts w:hint="eastAsia" w:hAnsi="宋体"/>
          <w:sz w:val="24"/>
        </w:rPr>
        <w:t>加入萃取剂，对常压干燥产生的稀酚水和离心母液进行萃取（萃取过程中产生废水，主要成分为COD、SS）。萃取完毕后，向萃取液中加入48%碱液进行反萃取，酚钠溶液经浓缩蒸发后</w:t>
      </w:r>
      <w:r>
        <w:rPr>
          <w:rFonts w:hint="eastAsia"/>
          <w:sz w:val="24"/>
        </w:rPr>
        <w:t>回用于酚钠配置（浓缩蒸发过程中产生浓缩蒸发废气，主要成分为苯酚和水蒸汽），</w:t>
      </w:r>
      <w:r>
        <w:rPr>
          <w:rFonts w:hint="eastAsia" w:hAnsi="宋体"/>
          <w:sz w:val="24"/>
        </w:rPr>
        <w:t>萃取废水排入废水收集池。</w:t>
      </w:r>
    </w:p>
    <w:p w14:paraId="751FDE88">
      <w:pPr>
        <w:snapToGrid w:val="0"/>
        <w:spacing w:line="360" w:lineRule="auto"/>
        <w:ind w:firstLine="486" w:firstLineChars="200"/>
        <w:rPr>
          <w:rFonts w:hint="eastAsia"/>
          <w:sz w:val="24"/>
        </w:rPr>
      </w:pPr>
      <w:r>
        <w:rPr>
          <w:rFonts w:hint="eastAsia"/>
          <w:sz w:val="24"/>
        </w:rPr>
        <w:t>生产工艺及产污环节流程图见</w:t>
      </w:r>
      <w:r>
        <w:rPr>
          <w:rFonts w:hint="eastAsia"/>
          <w:sz w:val="24"/>
          <w:lang w:val="en-US" w:eastAsia="zh-CN"/>
        </w:rPr>
        <w:t>3</w:t>
      </w:r>
      <w:r>
        <w:rPr>
          <w:rFonts w:hint="eastAsia"/>
          <w:sz w:val="24"/>
        </w:rPr>
        <w:t>.</w:t>
      </w:r>
      <w:r>
        <w:rPr>
          <w:rFonts w:hint="eastAsia"/>
          <w:sz w:val="24"/>
          <w:lang w:val="en-US" w:eastAsia="zh-CN"/>
        </w:rPr>
        <w:t>4</w:t>
      </w:r>
      <w:r>
        <w:rPr>
          <w:rFonts w:hint="eastAsia"/>
          <w:sz w:val="24"/>
        </w:rPr>
        <w:t>-1 。</w:t>
      </w:r>
    </w:p>
    <w:p w14:paraId="026FD3A1">
      <w:pPr>
        <w:spacing w:line="360" w:lineRule="auto"/>
        <w:jc w:val="center"/>
        <w:rPr>
          <w:rFonts w:hint="eastAsia"/>
        </w:rPr>
      </w:pPr>
      <w:r>
        <w:object>
          <v:shape id="_x0000_i1025" o:spt="75" type="#_x0000_t75" style="height:675.5pt;width:431.8pt;" o:ole="t" filled="f" o:preferrelative="t" stroked="f" coordsize="21600,21600">
            <v:path/>
            <v:fill on="f" alignshape="1" focussize="0,0"/>
            <v:stroke on="f"/>
            <v:imagedata r:id="rId13" o:title=""/>
            <o:lock v:ext="edit" aspectratio="t"/>
            <w10:wrap type="none"/>
            <w10:anchorlock/>
          </v:shape>
          <o:OLEObject Type="Embed" ProgID="Visio.Drawing.11" ShapeID="_x0000_i1025" DrawAspect="Content" ObjectID="_1468075725" r:id="rId12">
            <o:LockedField>false</o:LockedField>
          </o:OLEObject>
        </w:object>
      </w:r>
    </w:p>
    <w:p w14:paraId="69DEDC6A">
      <w:pPr>
        <w:spacing w:line="360" w:lineRule="auto"/>
        <w:jc w:val="center"/>
        <w:rPr>
          <w:b/>
          <w:sz w:val="24"/>
        </w:rPr>
      </w:pPr>
      <w:r>
        <w:rPr>
          <w:rFonts w:hint="eastAsia"/>
          <w:b/>
          <w:sz w:val="24"/>
        </w:rPr>
        <w:t>图</w:t>
      </w:r>
      <w:r>
        <w:rPr>
          <w:rFonts w:hint="eastAsia"/>
          <w:b/>
          <w:sz w:val="24"/>
          <w:lang w:val="en-US" w:eastAsia="zh-CN"/>
        </w:rPr>
        <w:t>3.4</w:t>
      </w:r>
      <w:r>
        <w:rPr>
          <w:rFonts w:hint="eastAsia"/>
          <w:b/>
          <w:sz w:val="24"/>
        </w:rPr>
        <w:t>-1  水杨酸装置生产工艺及产污环节流程图</w:t>
      </w:r>
    </w:p>
    <w:p w14:paraId="07C2D7E1">
      <w:pPr>
        <w:spacing w:line="360" w:lineRule="auto"/>
        <w:contextualSpacing/>
        <w:jc w:val="left"/>
        <w:outlineLvl w:val="9"/>
        <w:rPr>
          <w:rFonts w:hint="eastAsia"/>
          <w:b/>
          <w:bCs/>
          <w:color w:val="auto"/>
          <w:sz w:val="24"/>
        </w:rPr>
      </w:pPr>
      <w:r>
        <w:rPr>
          <w:rFonts w:hint="default" w:ascii="Times New Roman" w:hAnsi="Times New Roman" w:cs="Times New Roman"/>
          <w:b/>
          <w:bCs/>
          <w:color w:val="auto"/>
          <w:sz w:val="24"/>
          <w:szCs w:val="24"/>
          <w:highlight w:val="none"/>
          <w:lang w:val="en-US" w:eastAsia="zh-CN"/>
        </w:rPr>
        <w:t xml:space="preserve">  </w:t>
      </w:r>
      <w:r>
        <w:rPr>
          <w:rFonts w:hint="eastAsia" w:cs="Times New Roman"/>
          <w:b/>
          <w:bCs/>
          <w:color w:val="auto"/>
          <w:sz w:val="24"/>
          <w:szCs w:val="24"/>
          <w:highlight w:val="none"/>
          <w:lang w:val="en-US" w:eastAsia="zh-CN"/>
        </w:rPr>
        <w:t>3.4.2</w:t>
      </w:r>
      <w:r>
        <w:rPr>
          <w:rFonts w:hint="eastAsia"/>
          <w:b/>
          <w:bCs/>
          <w:color w:val="auto"/>
          <w:sz w:val="24"/>
        </w:rPr>
        <w:t xml:space="preserve"> 水杨酸钠装置</w:t>
      </w:r>
    </w:p>
    <w:p w14:paraId="69617FE0">
      <w:pPr>
        <w:snapToGrid w:val="0"/>
        <w:spacing w:line="360" w:lineRule="auto"/>
        <w:ind w:firstLine="486" w:firstLineChars="200"/>
        <w:rPr>
          <w:sz w:val="24"/>
        </w:rPr>
      </w:pPr>
      <w:r>
        <w:rPr>
          <w:sz w:val="24"/>
        </w:rPr>
        <w:t>1</w:t>
      </w:r>
      <w:r>
        <w:rPr>
          <w:rFonts w:hAnsi="宋体"/>
          <w:sz w:val="24"/>
        </w:rPr>
        <w:t>、</w:t>
      </w:r>
      <w:r>
        <w:rPr>
          <w:rFonts w:hint="eastAsia" w:hAnsi="宋体"/>
          <w:sz w:val="24"/>
        </w:rPr>
        <w:t>保温反应</w:t>
      </w:r>
    </w:p>
    <w:p w14:paraId="28B5D620">
      <w:pPr>
        <w:spacing w:line="360" w:lineRule="auto"/>
        <w:ind w:firstLine="486" w:firstLineChars="200"/>
        <w:contextualSpacing/>
        <w:rPr>
          <w:rFonts w:hint="eastAsia" w:hAnsi="宋体"/>
          <w:sz w:val="24"/>
        </w:rPr>
      </w:pPr>
      <w:r>
        <w:rPr>
          <w:rFonts w:hint="eastAsia"/>
          <w:sz w:val="24"/>
        </w:rPr>
        <w:t>将水杨酸（99%）、软水</w:t>
      </w:r>
      <w:r>
        <w:rPr>
          <w:sz w:val="24"/>
        </w:rPr>
        <w:t>经计量后</w:t>
      </w:r>
      <w:r>
        <w:rPr>
          <w:rFonts w:hint="eastAsia"/>
          <w:sz w:val="24"/>
        </w:rPr>
        <w:t>加入到水洗釜中搅拌30min（温度控制在90℃，</w:t>
      </w:r>
      <w:r>
        <w:rPr>
          <w:rFonts w:hint="eastAsia" w:hAnsi="宋体"/>
          <w:sz w:val="24"/>
        </w:rPr>
        <w:t>加温溶解过程中产生少量废气，主要成分为</w:t>
      </w:r>
      <w:r>
        <w:rPr>
          <w:rFonts w:hint="eastAsia" w:hAnsi="宋体"/>
          <w:sz w:val="24"/>
          <w:lang w:eastAsia="zh-CN"/>
        </w:rPr>
        <w:t>VOCs</w:t>
      </w:r>
      <w:r>
        <w:rPr>
          <w:rFonts w:hint="eastAsia"/>
          <w:sz w:val="24"/>
        </w:rPr>
        <w:t>）。停止加热后，经循环冷却水降温至30℃，静置90min。打开阀门，水洗后的物料经管道流至离心机进行离心，</w:t>
      </w:r>
      <w:r>
        <w:rPr>
          <w:rFonts w:hint="eastAsia" w:hAnsi="宋体"/>
          <w:sz w:val="24"/>
        </w:rPr>
        <w:t>离心母液送入水杨酸装置酸析套用。</w:t>
      </w:r>
    </w:p>
    <w:p w14:paraId="2B684439">
      <w:pPr>
        <w:spacing w:line="360" w:lineRule="auto"/>
        <w:ind w:firstLine="486" w:firstLineChars="200"/>
        <w:contextualSpacing/>
        <w:rPr>
          <w:rFonts w:hint="eastAsia"/>
          <w:sz w:val="24"/>
        </w:rPr>
      </w:pPr>
      <w:r>
        <w:rPr>
          <w:rFonts w:hint="eastAsia" w:hAnsi="宋体"/>
          <w:sz w:val="24"/>
        </w:rPr>
        <w:t>将水洗后的物料经料车运入中和釜中，同时加入碳酸氢钠（99%）、活性炭进行保温反应25min</w:t>
      </w:r>
      <w:r>
        <w:rPr>
          <w:rFonts w:hint="eastAsia"/>
          <w:sz w:val="24"/>
        </w:rPr>
        <w:t>（温度控制在90℃，</w:t>
      </w:r>
      <w:r>
        <w:rPr>
          <w:rFonts w:hint="eastAsia" w:hAnsi="宋体"/>
          <w:sz w:val="24"/>
        </w:rPr>
        <w:t>保温反应过程中产生少量废气，主要成分为</w:t>
      </w:r>
      <w:r>
        <w:rPr>
          <w:rFonts w:hint="eastAsia" w:hAnsi="宋体"/>
          <w:sz w:val="24"/>
          <w:lang w:eastAsia="zh-CN"/>
        </w:rPr>
        <w:t>VOCs</w:t>
      </w:r>
      <w:r>
        <w:rPr>
          <w:rFonts w:hint="eastAsia"/>
          <w:sz w:val="24"/>
        </w:rPr>
        <w:t>）。反应完成后，物料经过滤槽过滤出废活性炭（</w:t>
      </w:r>
      <w:r>
        <w:rPr>
          <w:rFonts w:hint="eastAsia" w:hAnsi="宋体"/>
          <w:sz w:val="24"/>
        </w:rPr>
        <w:t>产生废滤网和废活性炭</w:t>
      </w:r>
      <w:r>
        <w:rPr>
          <w:rFonts w:hint="eastAsia"/>
          <w:sz w:val="24"/>
        </w:rPr>
        <w:t>）。</w:t>
      </w:r>
    </w:p>
    <w:p w14:paraId="2718D229">
      <w:pPr>
        <w:snapToGrid w:val="0"/>
        <w:spacing w:line="360" w:lineRule="auto"/>
        <w:ind w:firstLine="486" w:firstLineChars="200"/>
        <w:rPr>
          <w:sz w:val="24"/>
        </w:rPr>
      </w:pPr>
      <w:r>
        <w:rPr>
          <w:sz w:val="24"/>
        </w:rPr>
        <w:t>2</w:t>
      </w:r>
      <w:r>
        <w:rPr>
          <w:rFonts w:hAnsi="宋体"/>
          <w:sz w:val="24"/>
        </w:rPr>
        <w:t>、</w:t>
      </w:r>
      <w:r>
        <w:rPr>
          <w:rFonts w:hint="eastAsia" w:hAnsi="宋体"/>
          <w:sz w:val="24"/>
        </w:rPr>
        <w:t>浓缩离心</w:t>
      </w:r>
    </w:p>
    <w:p w14:paraId="69793FCC">
      <w:pPr>
        <w:spacing w:line="360" w:lineRule="auto"/>
        <w:ind w:firstLine="486" w:firstLineChars="200"/>
        <w:contextualSpacing/>
        <w:rPr>
          <w:rFonts w:hint="eastAsia" w:hAnsi="宋体"/>
          <w:sz w:val="24"/>
        </w:rPr>
      </w:pPr>
      <w:r>
        <w:rPr>
          <w:rFonts w:hint="eastAsia" w:hAnsi="宋体"/>
          <w:sz w:val="24"/>
        </w:rPr>
        <w:t>物料经过滤后真空抽入浓缩釜中进行真空浓缩8~9h（</w:t>
      </w:r>
      <w:r>
        <w:rPr>
          <w:rFonts w:hint="eastAsia"/>
          <w:sz w:val="24"/>
        </w:rPr>
        <w:t>温度控制在60℃，压力控制在-0.08MPa，</w:t>
      </w:r>
      <w:r>
        <w:rPr>
          <w:rFonts w:hint="eastAsia" w:hAnsi="宋体"/>
          <w:sz w:val="24"/>
        </w:rPr>
        <w:t>浓缩过程中产生不凝气，主要成分为</w:t>
      </w:r>
      <w:r>
        <w:rPr>
          <w:rFonts w:hint="eastAsia" w:hAnsi="宋体"/>
          <w:sz w:val="24"/>
          <w:lang w:eastAsia="zh-CN"/>
        </w:rPr>
        <w:t>VOCs</w:t>
      </w:r>
      <w:r>
        <w:rPr>
          <w:rFonts w:hint="eastAsia" w:hAnsi="宋体"/>
          <w:sz w:val="24"/>
        </w:rPr>
        <w:t>），浓缩母液送入水杨酸装置酸析套用。</w:t>
      </w:r>
      <w:r>
        <w:rPr>
          <w:rFonts w:hint="eastAsia"/>
          <w:sz w:val="24"/>
        </w:rPr>
        <w:t>浓缩后的物料经管道流至离心机进行离心，</w:t>
      </w:r>
      <w:r>
        <w:rPr>
          <w:rFonts w:hint="eastAsia" w:hAnsi="宋体"/>
          <w:sz w:val="24"/>
        </w:rPr>
        <w:t>离心母液送入水杨酸装置酸析套用。</w:t>
      </w:r>
    </w:p>
    <w:p w14:paraId="13DE2825">
      <w:pPr>
        <w:snapToGrid w:val="0"/>
        <w:spacing w:line="360" w:lineRule="auto"/>
        <w:ind w:firstLine="486" w:firstLineChars="200"/>
        <w:rPr>
          <w:sz w:val="24"/>
        </w:rPr>
      </w:pPr>
      <w:r>
        <w:rPr>
          <w:sz w:val="24"/>
        </w:rPr>
        <w:t>3</w:t>
      </w:r>
      <w:r>
        <w:rPr>
          <w:rFonts w:hAnsi="宋体"/>
          <w:sz w:val="24"/>
        </w:rPr>
        <w:t>、</w:t>
      </w:r>
      <w:r>
        <w:rPr>
          <w:rFonts w:hint="eastAsia" w:hAnsi="宋体"/>
          <w:sz w:val="24"/>
        </w:rPr>
        <w:t>烘干包装</w:t>
      </w:r>
    </w:p>
    <w:p w14:paraId="7A9BFA22">
      <w:pPr>
        <w:snapToGrid w:val="0"/>
        <w:spacing w:line="360" w:lineRule="auto"/>
        <w:ind w:firstLine="486" w:firstLineChars="200"/>
        <w:rPr>
          <w:rFonts w:hint="eastAsia" w:hAnsi="宋体"/>
          <w:sz w:val="24"/>
        </w:rPr>
      </w:pPr>
      <w:r>
        <w:rPr>
          <w:rFonts w:hint="eastAsia"/>
          <w:sz w:val="24"/>
        </w:rPr>
        <w:t>浓缩离心后的物料经烘干（</w:t>
      </w:r>
      <w:r>
        <w:rPr>
          <w:rFonts w:hint="eastAsia" w:hAnsi="宋体"/>
          <w:sz w:val="24"/>
        </w:rPr>
        <w:t>烘干过程中产生少量废气，主要成分为</w:t>
      </w:r>
      <w:r>
        <w:rPr>
          <w:rFonts w:hint="eastAsia" w:hAnsi="宋体"/>
          <w:sz w:val="24"/>
          <w:lang w:eastAsia="zh-CN"/>
        </w:rPr>
        <w:t>VOCs</w:t>
      </w:r>
      <w:r>
        <w:rPr>
          <w:rFonts w:hint="eastAsia" w:hAnsi="宋体"/>
          <w:sz w:val="24"/>
        </w:rPr>
        <w:t>和粉尘</w:t>
      </w:r>
      <w:r>
        <w:rPr>
          <w:rFonts w:hint="eastAsia"/>
          <w:sz w:val="24"/>
        </w:rPr>
        <w:t>）、包装后得到产品水杨酸钠。</w:t>
      </w:r>
    </w:p>
    <w:p w14:paraId="1D2B2D5E">
      <w:pPr>
        <w:spacing w:line="360" w:lineRule="auto"/>
        <w:ind w:firstLine="486" w:firstLineChars="200"/>
        <w:jc w:val="left"/>
        <w:rPr>
          <w:rFonts w:hint="eastAsia"/>
          <w:sz w:val="24"/>
        </w:rPr>
      </w:pPr>
      <w:r>
        <w:rPr>
          <w:rFonts w:hint="eastAsia"/>
          <w:sz w:val="24"/>
        </w:rPr>
        <w:t>生产工艺及产污环节流程图见</w:t>
      </w:r>
      <w:r>
        <w:rPr>
          <w:rFonts w:hint="eastAsia"/>
          <w:sz w:val="24"/>
          <w:lang w:val="en-US" w:eastAsia="zh-CN"/>
        </w:rPr>
        <w:t>3.4</w:t>
      </w:r>
      <w:r>
        <w:rPr>
          <w:rFonts w:hint="eastAsia"/>
          <w:sz w:val="24"/>
        </w:rPr>
        <w:t>-2。</w:t>
      </w:r>
    </w:p>
    <w:p w14:paraId="5711652E">
      <w:pPr>
        <w:jc w:val="center"/>
        <w:rPr>
          <w:rFonts w:hint="eastAsia"/>
          <w:b/>
          <w:color w:val="FF0000"/>
          <w:sz w:val="24"/>
        </w:rPr>
      </w:pPr>
    </w:p>
    <w:p w14:paraId="5082F394">
      <w:pPr>
        <w:jc w:val="center"/>
        <w:rPr>
          <w:rFonts w:hint="eastAsia"/>
          <w:b/>
          <w:sz w:val="24"/>
        </w:rPr>
      </w:pPr>
      <w:r>
        <w:object>
          <v:shape id="_x0000_i1026" o:spt="75" type="#_x0000_t75" style="height:624.7pt;width:382.6pt;" o:ole="t" filled="f" o:preferrelative="t" stroked="f" coordsize="21600,21600">
            <v:path/>
            <v:fill on="f" focussize="0,0"/>
            <v:stroke on="f"/>
            <v:imagedata r:id="rId15" o:title=""/>
            <o:lock v:ext="edit" aspectratio="t"/>
            <w10:wrap type="none"/>
            <w10:anchorlock/>
          </v:shape>
          <o:OLEObject Type="Embed" ProgID="Visio.Drawing.11" ShapeID="_x0000_i1026" DrawAspect="Content" ObjectID="_1468075726" r:id="rId14">
            <o:LockedField>false</o:LockedField>
          </o:OLEObject>
        </w:object>
      </w:r>
    </w:p>
    <w:p w14:paraId="6017D901">
      <w:pPr>
        <w:jc w:val="center"/>
        <w:rPr>
          <w:rFonts w:hint="eastAsia"/>
          <w:b/>
          <w:sz w:val="24"/>
        </w:rPr>
      </w:pPr>
    </w:p>
    <w:p w14:paraId="5AF14D16">
      <w:pPr>
        <w:jc w:val="center"/>
        <w:rPr>
          <w:rFonts w:hint="eastAsia"/>
          <w:b/>
          <w:sz w:val="24"/>
        </w:rPr>
      </w:pPr>
      <w:r>
        <w:rPr>
          <w:rFonts w:hint="eastAsia"/>
          <w:b/>
          <w:sz w:val="24"/>
        </w:rPr>
        <w:t>图</w:t>
      </w:r>
      <w:r>
        <w:rPr>
          <w:rFonts w:hint="eastAsia"/>
          <w:b/>
          <w:sz w:val="24"/>
          <w:lang w:val="en-US" w:eastAsia="zh-CN"/>
        </w:rPr>
        <w:t>3.4-2</w:t>
      </w:r>
      <w:r>
        <w:rPr>
          <w:rFonts w:hint="eastAsia"/>
          <w:b/>
          <w:sz w:val="24"/>
        </w:rPr>
        <w:t xml:space="preserve"> 水杨酸钠装置生产工艺及产污环节流程图</w:t>
      </w:r>
    </w:p>
    <w:p w14:paraId="592F2A1B">
      <w:pPr>
        <w:spacing w:line="360" w:lineRule="auto"/>
        <w:contextualSpacing/>
        <w:jc w:val="left"/>
        <w:outlineLvl w:val="9"/>
        <w:rPr>
          <w:rFonts w:hint="eastAsia"/>
          <w:b/>
          <w:bCs/>
          <w:sz w:val="24"/>
        </w:rPr>
      </w:pPr>
      <w:r>
        <w:rPr>
          <w:rFonts w:hint="eastAsia"/>
          <w:b/>
          <w:bCs/>
          <w:sz w:val="24"/>
          <w:lang w:val="en-US" w:eastAsia="zh-CN"/>
        </w:rPr>
        <w:t>3.4.3</w:t>
      </w:r>
      <w:r>
        <w:rPr>
          <w:rFonts w:hint="eastAsia"/>
          <w:b/>
          <w:bCs/>
          <w:sz w:val="24"/>
        </w:rPr>
        <w:t xml:space="preserve"> 药用水杨酸装置</w:t>
      </w:r>
    </w:p>
    <w:p w14:paraId="61B85D3D">
      <w:pPr>
        <w:snapToGrid w:val="0"/>
        <w:spacing w:line="360" w:lineRule="auto"/>
        <w:ind w:firstLine="486" w:firstLineChars="200"/>
        <w:rPr>
          <w:sz w:val="24"/>
        </w:rPr>
      </w:pPr>
      <w:r>
        <w:rPr>
          <w:sz w:val="24"/>
        </w:rPr>
        <w:t>1</w:t>
      </w:r>
      <w:r>
        <w:rPr>
          <w:rFonts w:hAnsi="宋体"/>
          <w:sz w:val="24"/>
        </w:rPr>
        <w:t>、</w:t>
      </w:r>
      <w:r>
        <w:rPr>
          <w:rFonts w:hint="eastAsia" w:hAnsi="宋体"/>
          <w:sz w:val="24"/>
        </w:rPr>
        <w:t>加温水洗</w:t>
      </w:r>
    </w:p>
    <w:p w14:paraId="70179D71">
      <w:pPr>
        <w:snapToGrid w:val="0"/>
        <w:spacing w:line="360" w:lineRule="auto"/>
        <w:ind w:firstLine="486" w:firstLineChars="200"/>
        <w:rPr>
          <w:rFonts w:hint="eastAsia"/>
          <w:sz w:val="24"/>
        </w:rPr>
      </w:pPr>
      <w:r>
        <w:rPr>
          <w:rFonts w:hint="eastAsia"/>
          <w:sz w:val="24"/>
        </w:rPr>
        <w:t>将水杨酸（99%）、软水</w:t>
      </w:r>
      <w:r>
        <w:rPr>
          <w:sz w:val="24"/>
        </w:rPr>
        <w:t>经计量后</w:t>
      </w:r>
      <w:r>
        <w:rPr>
          <w:rFonts w:hint="eastAsia"/>
          <w:sz w:val="24"/>
        </w:rPr>
        <w:t>加入到水洗釜中搅拌30min（温度控制在90℃，</w:t>
      </w:r>
      <w:r>
        <w:rPr>
          <w:rFonts w:hint="eastAsia" w:hAnsi="宋体"/>
          <w:sz w:val="24"/>
        </w:rPr>
        <w:t>加温水洗过程中产生少量废气，主要成分为</w:t>
      </w:r>
      <w:r>
        <w:rPr>
          <w:rFonts w:hint="eastAsia" w:hAnsi="宋体"/>
          <w:sz w:val="24"/>
          <w:lang w:eastAsia="zh-CN"/>
        </w:rPr>
        <w:t>VOCs</w:t>
      </w:r>
      <w:r>
        <w:rPr>
          <w:rFonts w:hint="eastAsia"/>
          <w:sz w:val="24"/>
        </w:rPr>
        <w:t>）。停止加热后，经循环冷却水降温至30℃，静置90min。水洗后的物料经管道流至离心机进行离心，</w:t>
      </w:r>
      <w:r>
        <w:rPr>
          <w:rFonts w:hint="eastAsia" w:hAnsi="宋体"/>
          <w:sz w:val="24"/>
        </w:rPr>
        <w:t>离心母液送入水杨酸装置酸析套用。</w:t>
      </w:r>
    </w:p>
    <w:p w14:paraId="52EB19E1">
      <w:pPr>
        <w:snapToGrid w:val="0"/>
        <w:spacing w:line="360" w:lineRule="auto"/>
        <w:ind w:firstLine="486" w:firstLineChars="200"/>
        <w:rPr>
          <w:sz w:val="24"/>
        </w:rPr>
      </w:pPr>
      <w:r>
        <w:rPr>
          <w:rFonts w:hint="eastAsia"/>
          <w:sz w:val="24"/>
        </w:rPr>
        <w:t>2</w:t>
      </w:r>
      <w:r>
        <w:rPr>
          <w:rFonts w:hAnsi="宋体"/>
          <w:sz w:val="24"/>
        </w:rPr>
        <w:t>、</w:t>
      </w:r>
      <w:r>
        <w:rPr>
          <w:rFonts w:hint="eastAsia" w:hAnsi="宋体"/>
          <w:sz w:val="24"/>
        </w:rPr>
        <w:t>烘干包装</w:t>
      </w:r>
    </w:p>
    <w:p w14:paraId="1EF9FDBC">
      <w:pPr>
        <w:snapToGrid w:val="0"/>
        <w:spacing w:line="360" w:lineRule="auto"/>
        <w:ind w:firstLine="486" w:firstLineChars="200"/>
        <w:rPr>
          <w:rFonts w:hint="eastAsia" w:hAnsi="宋体"/>
          <w:sz w:val="24"/>
        </w:rPr>
      </w:pPr>
      <w:r>
        <w:rPr>
          <w:rFonts w:hint="eastAsia"/>
          <w:sz w:val="24"/>
        </w:rPr>
        <w:t>水洗物料经烘干（</w:t>
      </w:r>
      <w:r>
        <w:rPr>
          <w:rFonts w:hint="eastAsia" w:hAnsi="宋体"/>
          <w:sz w:val="24"/>
        </w:rPr>
        <w:t>烘干过程中产生少量废气，主要成分为</w:t>
      </w:r>
      <w:r>
        <w:rPr>
          <w:rFonts w:hint="eastAsia" w:hAnsi="宋体"/>
          <w:sz w:val="24"/>
          <w:lang w:eastAsia="zh-CN"/>
        </w:rPr>
        <w:t>VOCs</w:t>
      </w:r>
      <w:r>
        <w:rPr>
          <w:rFonts w:hint="eastAsia" w:hAnsi="宋体"/>
          <w:sz w:val="24"/>
        </w:rPr>
        <w:t>和粉尘</w:t>
      </w:r>
      <w:r>
        <w:rPr>
          <w:rFonts w:hint="eastAsia"/>
          <w:sz w:val="24"/>
        </w:rPr>
        <w:t>）、包装后得到产品药用水杨酸。</w:t>
      </w:r>
    </w:p>
    <w:p w14:paraId="5227B9FB">
      <w:pPr>
        <w:snapToGrid w:val="0"/>
        <w:spacing w:line="360" w:lineRule="auto"/>
        <w:ind w:firstLine="486" w:firstLineChars="200"/>
        <w:rPr>
          <w:rFonts w:hint="eastAsia" w:hAnsi="宋体"/>
          <w:sz w:val="24"/>
        </w:rPr>
      </w:pPr>
      <w:r>
        <w:rPr>
          <w:rFonts w:hint="eastAsia" w:hAnsi="宋体"/>
          <w:sz w:val="24"/>
        </w:rPr>
        <w:t>生产工艺及产污环节流程图见</w:t>
      </w:r>
      <w:r>
        <w:rPr>
          <w:rFonts w:hint="eastAsia" w:hAnsi="宋体"/>
          <w:sz w:val="24"/>
          <w:lang w:val="en-US" w:eastAsia="zh-CN"/>
        </w:rPr>
        <w:t>3.4</w:t>
      </w:r>
      <w:r>
        <w:rPr>
          <w:rFonts w:hint="eastAsia" w:hAnsi="宋体"/>
          <w:sz w:val="24"/>
        </w:rPr>
        <w:t>-3。</w:t>
      </w:r>
    </w:p>
    <w:p w14:paraId="6BAF23EA">
      <w:pPr>
        <w:snapToGrid w:val="0"/>
        <w:spacing w:line="360" w:lineRule="auto"/>
        <w:ind w:firstLine="426" w:firstLineChars="200"/>
        <w:rPr>
          <w:rFonts w:hint="eastAsia" w:hAnsi="宋体"/>
          <w:sz w:val="24"/>
        </w:rPr>
      </w:pPr>
      <w:r>
        <w:object>
          <v:shape id="_x0000_i1027" o:spt="75" type="#_x0000_t75" style="height:408.1pt;width:394.65pt;" o:ole="t" filled="f" o:preferrelative="t" stroked="f" coordsize="21600,21600">
            <v:path/>
            <v:fill on="f" alignshape="1" focussize="0,0"/>
            <v:stroke on="f"/>
            <v:imagedata r:id="rId17" o:title=""/>
            <o:lock v:ext="edit" aspectratio="t"/>
            <w10:wrap type="none"/>
            <w10:anchorlock/>
          </v:shape>
          <o:OLEObject Type="Embed" ProgID="Visio.Drawing.11" ShapeID="_x0000_i1027" DrawAspect="Content" ObjectID="_1468075727" r:id="rId16">
            <o:LockedField>false</o:LockedField>
          </o:OLEObject>
        </w:object>
      </w:r>
    </w:p>
    <w:p w14:paraId="24FAB2BA">
      <w:pPr>
        <w:jc w:val="center"/>
        <w:rPr>
          <w:rFonts w:hint="eastAsia"/>
          <w:b/>
          <w:sz w:val="24"/>
        </w:rPr>
      </w:pPr>
      <w:r>
        <w:rPr>
          <w:rFonts w:hint="eastAsia"/>
          <w:b/>
          <w:sz w:val="24"/>
        </w:rPr>
        <w:t>图</w:t>
      </w:r>
      <w:r>
        <w:rPr>
          <w:rFonts w:hint="eastAsia"/>
          <w:b/>
          <w:sz w:val="24"/>
          <w:lang w:val="en-US" w:eastAsia="zh-CN"/>
        </w:rPr>
        <w:t>3.4-3</w:t>
      </w:r>
      <w:r>
        <w:rPr>
          <w:rFonts w:hint="eastAsia"/>
          <w:b/>
          <w:sz w:val="24"/>
        </w:rPr>
        <w:t xml:space="preserve">  药用水杨酸装置生产工艺及产污环节流程图</w:t>
      </w:r>
    </w:p>
    <w:p w14:paraId="3DBACC0A">
      <w:pPr>
        <w:spacing w:line="360" w:lineRule="auto"/>
        <w:contextualSpacing/>
        <w:jc w:val="left"/>
        <w:outlineLvl w:val="3"/>
        <w:rPr>
          <w:rFonts w:hint="eastAsia"/>
          <w:sz w:val="24"/>
        </w:rPr>
      </w:pPr>
    </w:p>
    <w:p w14:paraId="61362DBC">
      <w:pPr>
        <w:spacing w:line="360" w:lineRule="auto"/>
        <w:contextualSpacing/>
        <w:jc w:val="left"/>
        <w:outlineLvl w:val="9"/>
        <w:rPr>
          <w:rFonts w:hint="eastAsia"/>
          <w:b/>
          <w:bCs/>
          <w:sz w:val="24"/>
        </w:rPr>
      </w:pPr>
      <w:r>
        <w:rPr>
          <w:rFonts w:hint="eastAsia"/>
          <w:b/>
          <w:bCs/>
          <w:sz w:val="24"/>
          <w:lang w:val="en-US" w:eastAsia="zh-CN"/>
        </w:rPr>
        <w:t>3.4.4</w:t>
      </w:r>
      <w:r>
        <w:rPr>
          <w:rFonts w:hint="eastAsia"/>
          <w:b/>
          <w:bCs/>
          <w:sz w:val="24"/>
        </w:rPr>
        <w:t xml:space="preserve"> 磺基水杨酸装置</w:t>
      </w:r>
    </w:p>
    <w:p w14:paraId="7866C0C7">
      <w:pPr>
        <w:snapToGrid w:val="0"/>
        <w:spacing w:line="360" w:lineRule="auto"/>
        <w:ind w:firstLine="486" w:firstLineChars="200"/>
        <w:rPr>
          <w:sz w:val="24"/>
          <w:highlight w:val="none"/>
        </w:rPr>
      </w:pPr>
      <w:r>
        <w:rPr>
          <w:sz w:val="24"/>
          <w:highlight w:val="none"/>
        </w:rPr>
        <w:t>1</w:t>
      </w:r>
      <w:r>
        <w:rPr>
          <w:rFonts w:hAnsi="宋体"/>
          <w:sz w:val="24"/>
          <w:highlight w:val="none"/>
        </w:rPr>
        <w:t>、</w:t>
      </w:r>
      <w:r>
        <w:rPr>
          <w:rFonts w:hint="eastAsia" w:hAnsi="宋体"/>
          <w:sz w:val="24"/>
          <w:highlight w:val="none"/>
        </w:rPr>
        <w:t>磺化反应</w:t>
      </w:r>
    </w:p>
    <w:p w14:paraId="3CA92838">
      <w:pPr>
        <w:spacing w:line="360" w:lineRule="auto"/>
        <w:ind w:firstLine="486" w:firstLineChars="200"/>
        <w:contextualSpacing/>
        <w:rPr>
          <w:rFonts w:hint="eastAsia"/>
          <w:sz w:val="24"/>
          <w:highlight w:val="none"/>
        </w:rPr>
      </w:pPr>
      <w:r>
        <w:rPr>
          <w:rFonts w:hint="eastAsia"/>
          <w:sz w:val="24"/>
          <w:highlight w:val="none"/>
        </w:rPr>
        <w:t>将水杨酸（99%）、硫酸（98%）</w:t>
      </w:r>
      <w:r>
        <w:rPr>
          <w:sz w:val="24"/>
          <w:highlight w:val="none"/>
        </w:rPr>
        <w:t>经计量后</w:t>
      </w:r>
      <w:r>
        <w:rPr>
          <w:rFonts w:hint="eastAsia"/>
          <w:sz w:val="24"/>
          <w:highlight w:val="none"/>
        </w:rPr>
        <w:t>加入到磺化釜中进行磺化反应</w:t>
      </w:r>
      <w:r>
        <w:rPr>
          <w:rFonts w:hint="eastAsia" w:hAnsi="宋体"/>
          <w:sz w:val="24"/>
          <w:highlight w:val="none"/>
        </w:rPr>
        <w:t>（</w:t>
      </w:r>
      <w:r>
        <w:rPr>
          <w:rFonts w:hint="eastAsia"/>
          <w:sz w:val="24"/>
          <w:highlight w:val="none"/>
        </w:rPr>
        <w:t>温度控制在115℃，</w:t>
      </w:r>
      <w:r>
        <w:rPr>
          <w:rFonts w:hint="eastAsia" w:hAnsi="宋体"/>
          <w:sz w:val="24"/>
          <w:highlight w:val="none"/>
        </w:rPr>
        <w:t>磺化反应过程中产生少量废气，主要成分为硫酸雾和</w:t>
      </w:r>
      <w:r>
        <w:rPr>
          <w:rFonts w:hint="eastAsia" w:hAnsi="宋体"/>
          <w:sz w:val="24"/>
          <w:highlight w:val="none"/>
          <w:lang w:eastAsia="zh-CN"/>
        </w:rPr>
        <w:t>VOCs</w:t>
      </w:r>
      <w:r>
        <w:rPr>
          <w:rFonts w:hint="eastAsia" w:hAnsi="宋体"/>
          <w:sz w:val="24"/>
          <w:highlight w:val="none"/>
        </w:rPr>
        <w:t>）</w:t>
      </w:r>
      <w:r>
        <w:rPr>
          <w:rFonts w:hint="eastAsia"/>
          <w:sz w:val="24"/>
          <w:highlight w:val="none"/>
        </w:rPr>
        <w:t>，反应时间4h。停止加热后，静置5~6h，经循环冷却水降温至40℃，用泵将物料打入抽滤槽进行抽滤，得到粗品磺基水杨酸。</w:t>
      </w:r>
      <w:r>
        <w:rPr>
          <w:rFonts w:hint="eastAsia" w:hAnsi="宋体"/>
          <w:sz w:val="24"/>
          <w:highlight w:val="none"/>
        </w:rPr>
        <w:t>母液部分回用于磺化反应，其余送入水杨酸装置酸析套用。</w:t>
      </w:r>
    </w:p>
    <w:p w14:paraId="51603793">
      <w:pPr>
        <w:snapToGrid w:val="0"/>
        <w:spacing w:line="360" w:lineRule="auto"/>
        <w:ind w:firstLine="486" w:firstLineChars="200"/>
        <w:rPr>
          <w:rFonts w:hint="eastAsia"/>
          <w:sz w:val="24"/>
        </w:rPr>
      </w:pPr>
      <w:r>
        <w:rPr>
          <w:rFonts w:hint="eastAsia"/>
          <w:sz w:val="24"/>
        </w:rPr>
        <w:t>2、精制</w:t>
      </w:r>
    </w:p>
    <w:p w14:paraId="47CD962C">
      <w:pPr>
        <w:spacing w:line="360" w:lineRule="auto"/>
        <w:ind w:firstLine="486" w:firstLineChars="200"/>
        <w:contextualSpacing/>
        <w:rPr>
          <w:rFonts w:hint="eastAsia" w:hAnsi="宋体"/>
          <w:sz w:val="24"/>
        </w:rPr>
      </w:pPr>
      <w:r>
        <w:rPr>
          <w:rFonts w:hint="eastAsia"/>
          <w:sz w:val="24"/>
        </w:rPr>
        <w:t>粗品水杨酸经泵打入精制釜，同时加入软水进行精制反应（温度控制在90℃），反应时间8h（</w:t>
      </w:r>
      <w:r>
        <w:rPr>
          <w:rFonts w:hint="eastAsia" w:hAnsi="宋体"/>
          <w:sz w:val="24"/>
        </w:rPr>
        <w:t>精制反应过程中产生少量废气，主要成分为硫酸雾和</w:t>
      </w:r>
      <w:r>
        <w:rPr>
          <w:rFonts w:hint="eastAsia" w:hAnsi="宋体"/>
          <w:sz w:val="24"/>
          <w:lang w:eastAsia="zh-CN"/>
        </w:rPr>
        <w:t>VOCs</w:t>
      </w:r>
      <w:r>
        <w:rPr>
          <w:rFonts w:hint="eastAsia"/>
          <w:sz w:val="24"/>
        </w:rPr>
        <w:t>）。停止加热后，经循环冷却水降温至60℃后，用泵将物料打入降温釜（冷冻水）进行降温至20℃。然后用泵将物料打入抽滤槽进行抽滤，得到产品磺基水杨酸。</w:t>
      </w:r>
      <w:r>
        <w:rPr>
          <w:rFonts w:hint="eastAsia" w:hAnsi="宋体"/>
          <w:sz w:val="24"/>
        </w:rPr>
        <w:t>母液部分回用于精制反应，其余送入水杨酸装置酸析套用。</w:t>
      </w:r>
    </w:p>
    <w:p w14:paraId="497A7710">
      <w:pPr>
        <w:snapToGrid w:val="0"/>
        <w:spacing w:line="360" w:lineRule="auto"/>
        <w:ind w:firstLine="486" w:firstLineChars="200"/>
        <w:rPr>
          <w:sz w:val="24"/>
        </w:rPr>
      </w:pPr>
      <w:r>
        <w:rPr>
          <w:rFonts w:hint="eastAsia"/>
          <w:sz w:val="24"/>
        </w:rPr>
        <w:t>3</w:t>
      </w:r>
      <w:r>
        <w:rPr>
          <w:rFonts w:hAnsi="宋体"/>
          <w:sz w:val="24"/>
        </w:rPr>
        <w:t>、</w:t>
      </w:r>
      <w:r>
        <w:rPr>
          <w:rFonts w:hint="eastAsia" w:hAnsi="宋体"/>
          <w:sz w:val="24"/>
        </w:rPr>
        <w:t>包装</w:t>
      </w:r>
    </w:p>
    <w:p w14:paraId="0E75DC9C">
      <w:pPr>
        <w:snapToGrid w:val="0"/>
        <w:spacing w:line="360" w:lineRule="auto"/>
        <w:ind w:firstLine="486" w:firstLineChars="200"/>
        <w:rPr>
          <w:rFonts w:hint="eastAsia" w:hAnsi="宋体"/>
          <w:sz w:val="24"/>
        </w:rPr>
      </w:pPr>
      <w:r>
        <w:rPr>
          <w:rFonts w:hint="eastAsia" w:hAnsi="宋体"/>
          <w:sz w:val="24"/>
        </w:rPr>
        <w:t>磺基水杨酸经包装后外售。</w:t>
      </w:r>
    </w:p>
    <w:p w14:paraId="285112E4">
      <w:pPr>
        <w:snapToGrid w:val="0"/>
        <w:spacing w:line="360" w:lineRule="auto"/>
        <w:ind w:firstLine="486" w:firstLineChars="200"/>
        <w:rPr>
          <w:rFonts w:hint="eastAsia" w:hAnsi="宋体"/>
          <w:sz w:val="24"/>
        </w:rPr>
      </w:pPr>
      <w:r>
        <w:rPr>
          <w:rFonts w:hint="eastAsia" w:hAnsi="宋体"/>
          <w:sz w:val="24"/>
        </w:rPr>
        <w:t>生产工艺及产污环节流程图见</w:t>
      </w:r>
      <w:r>
        <w:rPr>
          <w:rFonts w:hint="eastAsia" w:hAnsi="宋体"/>
          <w:sz w:val="24"/>
          <w:lang w:val="en-US" w:eastAsia="zh-CN"/>
        </w:rPr>
        <w:t>3.4</w:t>
      </w:r>
      <w:r>
        <w:rPr>
          <w:rFonts w:hint="eastAsia" w:hAnsi="宋体"/>
          <w:sz w:val="24"/>
        </w:rPr>
        <w:t>-4。</w:t>
      </w:r>
    </w:p>
    <w:p w14:paraId="774BD9C4">
      <w:pPr>
        <w:keepNext w:val="0"/>
        <w:keepLines w:val="0"/>
        <w:pageBreakBefore w:val="0"/>
        <w:widowControl w:val="0"/>
        <w:kinsoku/>
        <w:wordWrap/>
        <w:overflowPunct/>
        <w:topLinePunct w:val="0"/>
        <w:autoSpaceDE/>
        <w:autoSpaceDN/>
        <w:bidi w:val="0"/>
        <w:adjustRightInd/>
        <w:snapToGrid w:val="0"/>
        <w:spacing w:line="360" w:lineRule="auto"/>
        <w:ind w:firstLine="426" w:firstLineChars="200"/>
        <w:textAlignment w:val="auto"/>
        <w:rPr>
          <w:rFonts w:hint="eastAsia" w:hAnsi="宋体"/>
          <w:sz w:val="24"/>
        </w:rPr>
      </w:pPr>
      <w:r>
        <w:object>
          <v:shape id="_x0000_i1028" o:spt="75" type="#_x0000_t75" style="height:535.65pt;width:390.85pt;" o:ole="t" filled="f" o:preferrelative="t" stroked="f" coordsize="21600,21600">
            <v:path/>
            <v:fill on="f" alignshape="1" focussize="0,0"/>
            <v:stroke on="f"/>
            <v:imagedata r:id="rId19" o:title=""/>
            <o:lock v:ext="edit" aspectratio="t"/>
            <w10:wrap type="none"/>
            <w10:anchorlock/>
          </v:shape>
          <o:OLEObject Type="Embed" ProgID="Visio.Drawing.11" ShapeID="_x0000_i1028" DrawAspect="Content" ObjectID="_1468075728" r:id="rId18">
            <o:LockedField>false</o:LockedField>
          </o:OLEObject>
        </w:object>
      </w:r>
    </w:p>
    <w:p w14:paraId="3B522514">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b/>
          <w:sz w:val="24"/>
        </w:rPr>
      </w:pPr>
      <w:r>
        <w:rPr>
          <w:rFonts w:hint="eastAsia"/>
          <w:b/>
          <w:sz w:val="24"/>
        </w:rPr>
        <w:t>图</w:t>
      </w:r>
      <w:r>
        <w:rPr>
          <w:rFonts w:hint="eastAsia"/>
          <w:b/>
          <w:sz w:val="24"/>
          <w:lang w:val="en-US" w:eastAsia="zh-CN"/>
        </w:rPr>
        <w:t>3.4-4</w:t>
      </w:r>
      <w:r>
        <w:rPr>
          <w:rFonts w:hint="eastAsia"/>
          <w:b/>
          <w:sz w:val="24"/>
        </w:rPr>
        <w:t xml:space="preserve"> 磺基水杨酸装置生产工艺及产污环节流程图</w:t>
      </w:r>
    </w:p>
    <w:p w14:paraId="3E73AB43">
      <w:pPr>
        <w:keepNext w:val="0"/>
        <w:keepLines w:val="0"/>
        <w:pageBreakBefore w:val="0"/>
        <w:widowControl w:val="0"/>
        <w:kinsoku/>
        <w:wordWrap/>
        <w:overflowPunct/>
        <w:topLinePunct w:val="0"/>
        <w:autoSpaceDE/>
        <w:autoSpaceDN/>
        <w:bidi w:val="0"/>
        <w:adjustRightInd/>
        <w:spacing w:line="360" w:lineRule="auto"/>
        <w:contextualSpacing/>
        <w:jc w:val="left"/>
        <w:textAlignment w:val="auto"/>
        <w:outlineLvl w:val="9"/>
        <w:rPr>
          <w:rFonts w:hint="eastAsia"/>
          <w:b/>
          <w:bCs/>
          <w:sz w:val="24"/>
        </w:rPr>
      </w:pPr>
      <w:r>
        <w:rPr>
          <w:rFonts w:hint="eastAsia"/>
          <w:b/>
          <w:bCs/>
          <w:sz w:val="24"/>
          <w:lang w:val="en-US" w:eastAsia="zh-CN"/>
        </w:rPr>
        <w:t>3.4.5</w:t>
      </w:r>
      <w:r>
        <w:rPr>
          <w:rFonts w:hint="eastAsia"/>
          <w:b/>
          <w:bCs/>
          <w:sz w:val="24"/>
        </w:rPr>
        <w:t xml:space="preserve"> 水杨酸酰胺装置</w:t>
      </w:r>
    </w:p>
    <w:p w14:paraId="44868500">
      <w:pPr>
        <w:snapToGrid w:val="0"/>
        <w:spacing w:line="360" w:lineRule="auto"/>
        <w:ind w:firstLine="486" w:firstLineChars="200"/>
        <w:rPr>
          <w:sz w:val="24"/>
        </w:rPr>
      </w:pPr>
      <w:r>
        <w:rPr>
          <w:sz w:val="24"/>
        </w:rPr>
        <w:t>1、氨水制备</w:t>
      </w:r>
    </w:p>
    <w:p w14:paraId="1A2FE3FA">
      <w:pPr>
        <w:pStyle w:val="124"/>
        <w:spacing w:line="360" w:lineRule="auto"/>
        <w:ind w:firstLine="480"/>
        <w:rPr>
          <w:rFonts w:ascii="Times New Roman" w:hAnsi="Times New Roman"/>
          <w:sz w:val="24"/>
          <w:szCs w:val="24"/>
        </w:rPr>
      </w:pPr>
      <w:r>
        <w:rPr>
          <w:rFonts w:ascii="Times New Roman" w:hAnsi="Times New Roman"/>
          <w:sz w:val="24"/>
          <w:szCs w:val="24"/>
        </w:rPr>
        <w:t>利用</w:t>
      </w:r>
      <w:r>
        <w:rPr>
          <w:rFonts w:hint="eastAsia" w:ascii="Times New Roman" w:hAnsi="Times New Roman"/>
          <w:sz w:val="24"/>
          <w:szCs w:val="24"/>
        </w:rPr>
        <w:t>喷淋吸收塔</w:t>
      </w:r>
      <w:r>
        <w:rPr>
          <w:rFonts w:ascii="Times New Roman" w:hAnsi="Times New Roman"/>
          <w:sz w:val="24"/>
          <w:szCs w:val="24"/>
        </w:rPr>
        <w:t>稀氨水、</w:t>
      </w:r>
      <w:r>
        <w:rPr>
          <w:rFonts w:hint="eastAsia" w:ascii="Times New Roman" w:hAnsi="Times New Roman"/>
          <w:sz w:val="24"/>
          <w:szCs w:val="24"/>
        </w:rPr>
        <w:t>真空泵循环水池稀氨水、</w:t>
      </w:r>
      <w:r>
        <w:rPr>
          <w:rFonts w:ascii="Times New Roman" w:hAnsi="Times New Roman"/>
          <w:sz w:val="24"/>
          <w:szCs w:val="24"/>
        </w:rPr>
        <w:t>外购氨水（28%）配制氨水（20%），制氨水过程控制温度小于25</w:t>
      </w:r>
      <w:r>
        <w:rPr>
          <w:rFonts w:ascii="Times New Roman" w:hAnsi="宋体"/>
          <w:sz w:val="24"/>
          <w:szCs w:val="24"/>
        </w:rPr>
        <w:t>℃</w:t>
      </w:r>
      <w:r>
        <w:rPr>
          <w:rFonts w:ascii="Times New Roman" w:hAnsi="Times New Roman"/>
          <w:sz w:val="24"/>
          <w:szCs w:val="24"/>
        </w:rPr>
        <w:t>，制得的氨水浓度约20%</w:t>
      </w:r>
      <w:r>
        <w:rPr>
          <w:rFonts w:hint="eastAsia" w:ascii="Times New Roman" w:hAnsi="Times New Roman"/>
          <w:sz w:val="24"/>
          <w:szCs w:val="24"/>
        </w:rPr>
        <w:t>（</w:t>
      </w:r>
      <w:r>
        <w:rPr>
          <w:rFonts w:ascii="Times New Roman" w:hAnsi="Times New Roman"/>
          <w:sz w:val="24"/>
        </w:rPr>
        <w:t>制氨水过程中产生少量废气（G</w:t>
      </w:r>
      <w:r>
        <w:rPr>
          <w:rFonts w:ascii="Times New Roman" w:hAnsi="Times New Roman"/>
          <w:sz w:val="24"/>
          <w:vertAlign w:val="subscript"/>
        </w:rPr>
        <w:t>19</w:t>
      </w:r>
      <w:r>
        <w:rPr>
          <w:rFonts w:ascii="Times New Roman" w:hAnsi="Times New Roman"/>
          <w:sz w:val="24"/>
        </w:rPr>
        <w:t>），主要成分为NH</w:t>
      </w:r>
      <w:r>
        <w:rPr>
          <w:rFonts w:ascii="Times New Roman" w:hAnsi="Times New Roman"/>
          <w:sz w:val="24"/>
          <w:vertAlign w:val="subscript"/>
        </w:rPr>
        <w:t>3</w:t>
      </w:r>
      <w:r>
        <w:rPr>
          <w:rFonts w:hint="eastAsia" w:ascii="Times New Roman" w:hAnsi="Times New Roman"/>
          <w:sz w:val="24"/>
          <w:szCs w:val="24"/>
        </w:rPr>
        <w:t>）</w:t>
      </w:r>
      <w:r>
        <w:rPr>
          <w:rFonts w:ascii="Times New Roman" w:hAnsi="Times New Roman"/>
          <w:sz w:val="24"/>
          <w:szCs w:val="24"/>
        </w:rPr>
        <w:t>。</w:t>
      </w:r>
    </w:p>
    <w:p w14:paraId="57729F9B">
      <w:pPr>
        <w:snapToGrid w:val="0"/>
        <w:spacing w:line="360" w:lineRule="auto"/>
        <w:ind w:firstLine="486" w:firstLineChars="200"/>
        <w:rPr>
          <w:sz w:val="24"/>
        </w:rPr>
      </w:pPr>
      <w:r>
        <w:rPr>
          <w:sz w:val="24"/>
        </w:rPr>
        <w:t>2、氨化反应</w:t>
      </w:r>
    </w:p>
    <w:p w14:paraId="5E3FF7DE">
      <w:pPr>
        <w:spacing w:line="360" w:lineRule="auto"/>
        <w:ind w:firstLine="486" w:firstLineChars="200"/>
        <w:rPr>
          <w:sz w:val="24"/>
        </w:rPr>
      </w:pPr>
      <w:r>
        <w:rPr>
          <w:sz w:val="24"/>
        </w:rPr>
        <w:t>检查氨化釜干净无异物，将阀门关闭，开启搅拌，定量加入氨水（20%）、水杨酸甲酯（99%）和抗氧剂（焦亚硫酸钠）进行氨化反应（温度控制在25~30℃），反应时间5~7h</w:t>
      </w:r>
      <w:r>
        <w:rPr>
          <w:rFonts w:hint="eastAsia"/>
          <w:sz w:val="24"/>
        </w:rPr>
        <w:t>（</w:t>
      </w:r>
      <w:r>
        <w:rPr>
          <w:sz w:val="24"/>
        </w:rPr>
        <w:t>氨化反应过程中产生少量废气，主要成分为NH</w:t>
      </w:r>
      <w:r>
        <w:rPr>
          <w:sz w:val="24"/>
          <w:vertAlign w:val="subscript"/>
        </w:rPr>
        <w:t>3</w:t>
      </w:r>
      <w:r>
        <w:rPr>
          <w:sz w:val="24"/>
        </w:rPr>
        <w:t>、甲醇和</w:t>
      </w:r>
      <w:r>
        <w:rPr>
          <w:rFonts w:hint="eastAsia"/>
          <w:sz w:val="24"/>
          <w:lang w:eastAsia="zh-CN"/>
        </w:rPr>
        <w:t>VOCs</w:t>
      </w:r>
      <w:r>
        <w:rPr>
          <w:rFonts w:hint="eastAsia"/>
          <w:sz w:val="24"/>
        </w:rPr>
        <w:t>）</w:t>
      </w:r>
      <w:r>
        <w:rPr>
          <w:sz w:val="24"/>
        </w:rPr>
        <w:t>。反应期间，补加氨水三次，待罐内清澈，反应结束，将物料过滤到蒸氨釜</w:t>
      </w:r>
      <w:r>
        <w:rPr>
          <w:rFonts w:hint="eastAsia"/>
          <w:sz w:val="24"/>
        </w:rPr>
        <w:t>（产生废滤网和过滤残渣）</w:t>
      </w:r>
      <w:r>
        <w:rPr>
          <w:sz w:val="24"/>
        </w:rPr>
        <w:t>。</w:t>
      </w:r>
    </w:p>
    <w:p w14:paraId="59259FC1">
      <w:pPr>
        <w:snapToGrid w:val="0"/>
        <w:spacing w:line="360" w:lineRule="auto"/>
        <w:ind w:firstLine="486" w:firstLineChars="200"/>
        <w:rPr>
          <w:sz w:val="24"/>
        </w:rPr>
      </w:pPr>
      <w:r>
        <w:rPr>
          <w:sz w:val="24"/>
        </w:rPr>
        <w:t>3、蒸氨</w:t>
      </w:r>
    </w:p>
    <w:p w14:paraId="6F76EDEF">
      <w:pPr>
        <w:pStyle w:val="124"/>
        <w:spacing w:line="360" w:lineRule="auto"/>
        <w:ind w:firstLine="480"/>
        <w:rPr>
          <w:rFonts w:ascii="Times New Roman" w:hAnsi="Times New Roman"/>
          <w:sz w:val="24"/>
        </w:rPr>
      </w:pPr>
      <w:r>
        <w:rPr>
          <w:rFonts w:ascii="Times New Roman" w:hAnsi="Times New Roman"/>
          <w:sz w:val="24"/>
          <w:szCs w:val="24"/>
        </w:rPr>
        <w:t>氨化反应结束后，通过反应釜夹套通入蒸汽加热进行蒸氨气</w:t>
      </w:r>
      <w:r>
        <w:rPr>
          <w:rFonts w:ascii="Times New Roman" w:hAnsi="Times New Roman"/>
          <w:sz w:val="24"/>
        </w:rPr>
        <w:t>（温度控制70</w:t>
      </w:r>
      <w:r>
        <w:rPr>
          <w:rFonts w:ascii="Times New Roman"/>
          <w:sz w:val="24"/>
        </w:rPr>
        <w:t>℃</w:t>
      </w:r>
      <w:r>
        <w:rPr>
          <w:rFonts w:ascii="Times New Roman" w:hAnsi="Times New Roman"/>
          <w:sz w:val="24"/>
        </w:rPr>
        <w:t>）</w:t>
      </w:r>
      <w:r>
        <w:rPr>
          <w:rFonts w:ascii="Times New Roman" w:hAnsi="Times New Roman"/>
          <w:sz w:val="24"/>
          <w:szCs w:val="24"/>
        </w:rPr>
        <w:t>，反应时间3h</w:t>
      </w:r>
      <w:r>
        <w:rPr>
          <w:rFonts w:hint="eastAsia" w:ascii="Times New Roman" w:hAnsi="Times New Roman"/>
          <w:sz w:val="24"/>
          <w:szCs w:val="24"/>
        </w:rPr>
        <w:t>（</w:t>
      </w:r>
      <w:r>
        <w:rPr>
          <w:sz w:val="24"/>
        </w:rPr>
        <w:t>蒸氨过程中产生不凝气，主</w:t>
      </w:r>
      <w:r>
        <w:rPr>
          <w:rFonts w:ascii="Times New Roman" w:hAnsi="Times New Roman"/>
          <w:sz w:val="24"/>
        </w:rPr>
        <w:t>要成分为NH</w:t>
      </w:r>
      <w:r>
        <w:rPr>
          <w:rFonts w:ascii="Times New Roman" w:hAnsi="Times New Roman"/>
          <w:sz w:val="24"/>
          <w:vertAlign w:val="subscript"/>
        </w:rPr>
        <w:t>3</w:t>
      </w:r>
      <w:r>
        <w:rPr>
          <w:rFonts w:ascii="Times New Roman" w:hAnsi="Times New Roman"/>
          <w:sz w:val="24"/>
        </w:rPr>
        <w:t>、甲醇和</w:t>
      </w:r>
      <w:r>
        <w:rPr>
          <w:rFonts w:hint="eastAsia" w:ascii="Times New Roman" w:hAnsi="Times New Roman"/>
          <w:sz w:val="24"/>
          <w:lang w:eastAsia="zh-CN"/>
        </w:rPr>
        <w:t>VOCs</w:t>
      </w:r>
      <w:r>
        <w:rPr>
          <w:rFonts w:hint="eastAsia" w:ascii="Times New Roman" w:hAnsi="Times New Roman"/>
          <w:sz w:val="24"/>
          <w:szCs w:val="24"/>
        </w:rPr>
        <w:t>）</w:t>
      </w:r>
      <w:r>
        <w:rPr>
          <w:rFonts w:ascii="Times New Roman" w:hAnsi="Times New Roman"/>
          <w:sz w:val="24"/>
          <w:szCs w:val="24"/>
        </w:rPr>
        <w:t>。待少量液体流出时，反应结束，向蒸氨釜中加入适量软化水，降温至30</w:t>
      </w:r>
      <w:r>
        <w:rPr>
          <w:rFonts w:ascii="Times New Roman"/>
          <w:sz w:val="24"/>
        </w:rPr>
        <w:t>℃</w:t>
      </w:r>
      <w:r>
        <w:rPr>
          <w:rFonts w:ascii="Times New Roman" w:hAnsi="Times New Roman"/>
          <w:sz w:val="24"/>
        </w:rPr>
        <w:t>以下</w:t>
      </w:r>
      <w:r>
        <w:rPr>
          <w:rFonts w:ascii="Times New Roman"/>
          <w:sz w:val="24"/>
        </w:rPr>
        <w:t>。</w:t>
      </w:r>
    </w:p>
    <w:p w14:paraId="54ED9EE1">
      <w:pPr>
        <w:snapToGrid w:val="0"/>
        <w:spacing w:line="360" w:lineRule="auto"/>
        <w:ind w:firstLine="486" w:firstLineChars="200"/>
        <w:rPr>
          <w:sz w:val="24"/>
        </w:rPr>
      </w:pPr>
      <w:r>
        <w:rPr>
          <w:sz w:val="24"/>
        </w:rPr>
        <w:t>4、结晶离心</w:t>
      </w:r>
    </w:p>
    <w:p w14:paraId="15F45D9A">
      <w:pPr>
        <w:pStyle w:val="124"/>
        <w:spacing w:line="360" w:lineRule="auto"/>
        <w:ind w:firstLine="480"/>
        <w:rPr>
          <w:rFonts w:hint="eastAsia" w:hAnsi="宋体"/>
          <w:sz w:val="24"/>
        </w:rPr>
      </w:pPr>
      <w:r>
        <w:rPr>
          <w:rFonts w:hint="eastAsia"/>
          <w:sz w:val="24"/>
        </w:rPr>
        <w:t>打开</w:t>
      </w:r>
      <w:r>
        <w:rPr>
          <w:rFonts w:hint="eastAsia" w:ascii="Times New Roman" w:hAnsi="Times New Roman"/>
          <w:sz w:val="24"/>
          <w:szCs w:val="24"/>
        </w:rPr>
        <w:t>蒸氨釜</w:t>
      </w:r>
      <w:r>
        <w:rPr>
          <w:rFonts w:hint="eastAsia"/>
          <w:sz w:val="24"/>
        </w:rPr>
        <w:t>阀门，物料经管道流至离心机进行离心，脱母液后用软化水洗涤</w:t>
      </w:r>
      <w:r>
        <w:rPr>
          <w:rFonts w:ascii="Times New Roman" w:hAnsi="Times New Roman"/>
          <w:sz w:val="24"/>
        </w:rPr>
        <w:t>1~2min</w:t>
      </w:r>
      <w:r>
        <w:rPr>
          <w:rFonts w:hint="eastAsia" w:ascii="Times New Roman" w:hAnsi="Times New Roman"/>
          <w:sz w:val="24"/>
        </w:rPr>
        <w:t>。</w:t>
      </w:r>
      <w:r>
        <w:rPr>
          <w:rFonts w:hint="eastAsia" w:hAnsi="宋体"/>
          <w:sz w:val="24"/>
        </w:rPr>
        <w:t>离心母液送入水杨酸装置酸析套用。</w:t>
      </w:r>
    </w:p>
    <w:p w14:paraId="64DA0647">
      <w:pPr>
        <w:snapToGrid w:val="0"/>
        <w:spacing w:line="360" w:lineRule="auto"/>
        <w:ind w:firstLine="486" w:firstLineChars="200"/>
        <w:rPr>
          <w:rFonts w:hint="eastAsia"/>
          <w:sz w:val="24"/>
        </w:rPr>
      </w:pPr>
      <w:r>
        <w:rPr>
          <w:rFonts w:hint="eastAsia"/>
          <w:sz w:val="24"/>
        </w:rPr>
        <w:t>5、</w:t>
      </w:r>
      <w:r>
        <w:rPr>
          <w:sz w:val="24"/>
        </w:rPr>
        <w:t>干燥</w:t>
      </w:r>
    </w:p>
    <w:p w14:paraId="4B3090D5">
      <w:pPr>
        <w:pStyle w:val="124"/>
        <w:spacing w:line="360" w:lineRule="auto"/>
        <w:ind w:firstLine="480"/>
        <w:rPr>
          <w:rFonts w:hint="eastAsia" w:ascii="Times New Roman" w:hAnsi="宋体"/>
          <w:sz w:val="24"/>
          <w:szCs w:val="24"/>
        </w:rPr>
      </w:pPr>
      <w:r>
        <w:rPr>
          <w:rFonts w:hint="eastAsia"/>
          <w:sz w:val="24"/>
        </w:rPr>
        <w:t>离心后的物料经烘干（</w:t>
      </w:r>
      <w:r>
        <w:rPr>
          <w:rFonts w:hint="eastAsia" w:hAnsi="宋体"/>
          <w:sz w:val="24"/>
        </w:rPr>
        <w:t>烘干过程中产生少量废气，主要成分为</w:t>
      </w:r>
      <w:r>
        <w:rPr>
          <w:rFonts w:hint="eastAsia" w:hAnsi="宋体"/>
          <w:sz w:val="24"/>
          <w:lang w:eastAsia="zh-CN"/>
        </w:rPr>
        <w:t>VOCs</w:t>
      </w:r>
      <w:r>
        <w:rPr>
          <w:rFonts w:hint="eastAsia" w:hAnsi="宋体"/>
          <w:sz w:val="24"/>
        </w:rPr>
        <w:t>和粉尘</w:t>
      </w:r>
      <w:r>
        <w:rPr>
          <w:rFonts w:hint="eastAsia"/>
          <w:sz w:val="24"/>
        </w:rPr>
        <w:t>）、包装后得到产品水杨酸酰胺。</w:t>
      </w:r>
    </w:p>
    <w:p w14:paraId="5028E2CA">
      <w:pPr>
        <w:pStyle w:val="124"/>
        <w:spacing w:line="360" w:lineRule="auto"/>
        <w:ind w:firstLine="480"/>
        <w:rPr>
          <w:rFonts w:hint="eastAsia" w:ascii="Times New Roman" w:hAnsi="宋体"/>
          <w:sz w:val="24"/>
          <w:szCs w:val="24"/>
        </w:rPr>
      </w:pPr>
      <w:r>
        <w:rPr>
          <w:rFonts w:hint="eastAsia" w:hAnsi="宋体"/>
          <w:sz w:val="24"/>
        </w:rPr>
        <w:t>此工序在烘干过程中产生少量废气（G</w:t>
      </w:r>
      <w:r>
        <w:rPr>
          <w:rFonts w:hint="eastAsia" w:hAnsi="宋体"/>
          <w:sz w:val="24"/>
          <w:vertAlign w:val="subscript"/>
        </w:rPr>
        <w:t>22</w:t>
      </w:r>
      <w:r>
        <w:rPr>
          <w:rFonts w:hint="eastAsia" w:hAnsi="宋体"/>
          <w:sz w:val="24"/>
        </w:rPr>
        <w:t>），主要污染物为</w:t>
      </w:r>
      <w:r>
        <w:rPr>
          <w:rFonts w:hint="eastAsia" w:hAnsi="宋体"/>
          <w:sz w:val="24"/>
          <w:lang w:eastAsia="zh-CN"/>
        </w:rPr>
        <w:t>VOCs</w:t>
      </w:r>
      <w:r>
        <w:rPr>
          <w:rFonts w:hint="eastAsia" w:hAnsi="宋体"/>
          <w:sz w:val="24"/>
        </w:rPr>
        <w:t>和粉尘。</w:t>
      </w:r>
    </w:p>
    <w:p w14:paraId="3D40D3A2">
      <w:pPr>
        <w:snapToGrid w:val="0"/>
        <w:spacing w:line="360" w:lineRule="auto"/>
        <w:ind w:firstLine="570"/>
        <w:rPr>
          <w:rFonts w:hint="eastAsia"/>
          <w:sz w:val="24"/>
        </w:rPr>
      </w:pPr>
      <w:r>
        <w:rPr>
          <w:rFonts w:hint="eastAsia"/>
          <w:sz w:val="24"/>
        </w:rPr>
        <w:t>生产工艺及产污环节流程图见</w:t>
      </w:r>
      <w:r>
        <w:rPr>
          <w:rFonts w:hint="eastAsia"/>
          <w:sz w:val="24"/>
          <w:lang w:val="en-US" w:eastAsia="zh-CN"/>
        </w:rPr>
        <w:t>3.4-5</w:t>
      </w:r>
      <w:r>
        <w:rPr>
          <w:rFonts w:hint="eastAsia"/>
          <w:sz w:val="24"/>
        </w:rPr>
        <w:t>。</w:t>
      </w:r>
    </w:p>
    <w:p w14:paraId="6EE5E966">
      <w:pPr>
        <w:jc w:val="center"/>
        <w:rPr>
          <w:rFonts w:hint="eastAsia"/>
          <w:b/>
          <w:color w:val="FF0000"/>
          <w:sz w:val="24"/>
        </w:rPr>
      </w:pPr>
    </w:p>
    <w:p w14:paraId="52943500">
      <w:pPr>
        <w:jc w:val="center"/>
        <w:rPr>
          <w:rFonts w:hint="eastAsia"/>
          <w:b/>
          <w:color w:val="FF0000"/>
          <w:sz w:val="24"/>
        </w:rPr>
      </w:pPr>
      <w:r>
        <w:object>
          <v:shape id="_x0000_i1029" o:spt="75" type="#_x0000_t75" style="height:499.3pt;width:315.05pt;" o:ole="t" filled="f" o:preferrelative="t" stroked="f" coordsize="21600,21600">
            <v:path/>
            <v:fill on="f" alignshape="1" focussize="0,0"/>
            <v:stroke on="f"/>
            <v:imagedata r:id="rId21" o:title=""/>
            <o:lock v:ext="edit" aspectratio="t"/>
            <w10:wrap type="none"/>
            <w10:anchorlock/>
          </v:shape>
          <o:OLEObject Type="Embed" ProgID="Visio.Drawing.11" ShapeID="_x0000_i1029" DrawAspect="Content" ObjectID="_1468075729" r:id="rId20">
            <o:LockedField>false</o:LockedField>
          </o:OLEObject>
        </w:object>
      </w:r>
    </w:p>
    <w:p w14:paraId="27B39115">
      <w:pPr>
        <w:jc w:val="center"/>
        <w:rPr>
          <w:rFonts w:hint="eastAsia"/>
          <w:b/>
          <w:sz w:val="24"/>
        </w:rPr>
      </w:pPr>
      <w:r>
        <w:rPr>
          <w:rFonts w:hint="eastAsia"/>
          <w:b/>
          <w:sz w:val="24"/>
        </w:rPr>
        <w:t>图</w:t>
      </w:r>
      <w:r>
        <w:rPr>
          <w:rFonts w:hint="eastAsia"/>
          <w:b/>
          <w:sz w:val="24"/>
          <w:lang w:val="en-US" w:eastAsia="zh-CN"/>
        </w:rPr>
        <w:t>3.4-5</w:t>
      </w:r>
      <w:r>
        <w:rPr>
          <w:rFonts w:hint="eastAsia"/>
          <w:b/>
          <w:sz w:val="24"/>
        </w:rPr>
        <w:t xml:space="preserve">  水杨酸酰胺装置生产工艺及产污环节流程图</w:t>
      </w:r>
    </w:p>
    <w:p w14:paraId="0DDE2761">
      <w:pPr>
        <w:snapToGrid w:val="0"/>
        <w:spacing w:line="360" w:lineRule="auto"/>
        <w:ind w:firstLine="486" w:firstLineChars="200"/>
        <w:rPr>
          <w:rFonts w:hint="default" w:ascii="Times New Roman" w:hAnsi="Times New Roman" w:cs="Times New Roman"/>
          <w:sz w:val="24"/>
          <w:lang w:val="en-US" w:eastAsia="zh-CN"/>
        </w:rPr>
      </w:pPr>
      <w:r>
        <w:rPr>
          <w:rFonts w:hint="default" w:ascii="Times New Roman" w:hAnsi="Times New Roman" w:cs="Times New Roman"/>
          <w:color w:val="auto"/>
          <w:sz w:val="24"/>
          <w:szCs w:val="24"/>
          <w:highlight w:val="none"/>
          <w:lang w:val="en-US" w:eastAsia="zh-CN"/>
        </w:rPr>
        <w:t xml:space="preserve"> </w:t>
      </w:r>
      <w:bookmarkEnd w:id="56"/>
      <w:bookmarkEnd w:id="57"/>
    </w:p>
    <w:p w14:paraId="041E4885">
      <w:pPr>
        <w:spacing w:line="360" w:lineRule="auto"/>
        <w:outlineLvl w:val="9"/>
        <w:rPr>
          <w:rFonts w:hint="default" w:ascii="Times New Roman" w:hAnsi="Times New Roman" w:cs="Times New Roman"/>
          <w:b/>
          <w:sz w:val="24"/>
        </w:rPr>
      </w:pPr>
      <w:r>
        <w:rPr>
          <w:rFonts w:hint="default" w:ascii="Times New Roman" w:hAnsi="Times New Roman" w:cs="Times New Roman"/>
          <w:b/>
          <w:sz w:val="24"/>
        </w:rPr>
        <w:t>3.</w:t>
      </w:r>
      <w:r>
        <w:rPr>
          <w:rFonts w:hint="default" w:ascii="Times New Roman" w:hAnsi="Times New Roman" w:cs="Times New Roman"/>
          <w:b/>
          <w:sz w:val="24"/>
          <w:lang w:val="en-US" w:eastAsia="zh-CN"/>
        </w:rPr>
        <w:t>4</w:t>
      </w:r>
      <w:r>
        <w:rPr>
          <w:rFonts w:hint="default" w:ascii="Times New Roman" w:hAnsi="Times New Roman" w:cs="Times New Roman"/>
          <w:b/>
          <w:sz w:val="24"/>
        </w:rPr>
        <w:t>.</w:t>
      </w:r>
      <w:r>
        <w:rPr>
          <w:rFonts w:hint="eastAsia" w:ascii="Times New Roman" w:hAnsi="Times New Roman" w:cs="Times New Roman"/>
          <w:b/>
          <w:sz w:val="24"/>
          <w:lang w:val="en-US" w:eastAsia="zh-CN"/>
        </w:rPr>
        <w:t>6</w:t>
      </w:r>
      <w:r>
        <w:rPr>
          <w:rFonts w:hint="default" w:ascii="Times New Roman" w:hAnsi="Times New Roman" w:cs="Times New Roman"/>
          <w:b/>
          <w:sz w:val="24"/>
        </w:rPr>
        <w:t xml:space="preserve"> 水杨酸甲酯</w:t>
      </w:r>
    </w:p>
    <w:p w14:paraId="04D2A423">
      <w:pPr>
        <w:snapToGrid w:val="0"/>
        <w:spacing w:line="360" w:lineRule="auto"/>
        <w:ind w:firstLine="486" w:firstLineChars="200"/>
        <w:rPr>
          <w:rFonts w:hint="eastAsia" w:ascii="Times New Roman" w:hAnsi="Times New Roman" w:eastAsia="宋体" w:cs="Times New Roman"/>
          <w:sz w:val="24"/>
          <w:lang w:eastAsia="zh-CN"/>
        </w:rPr>
      </w:pPr>
      <w:bookmarkStart w:id="58" w:name="_Toc427338953"/>
      <w:r>
        <w:rPr>
          <w:rFonts w:hint="eastAsia" w:ascii="Times New Roman" w:hAnsi="Times New Roman" w:cs="Times New Roman"/>
          <w:sz w:val="24"/>
          <w:lang w:eastAsia="zh-CN"/>
        </w:rPr>
        <w:t>本厂以水杨酸为原料生产水杨酸甲酯，水杨酸为本厂自产，且生产水杨酸甲酯所用的水杨酸工艺与厂内</w:t>
      </w:r>
      <w:r>
        <w:rPr>
          <w:rFonts w:hint="eastAsia" w:ascii="Times New Roman" w:hAnsi="Times New Roman" w:cs="Times New Roman"/>
          <w:sz w:val="24"/>
          <w:lang w:val="en-US" w:eastAsia="zh-CN"/>
        </w:rPr>
        <w:t>2万t/a水杨酸装置生产工艺不同</w:t>
      </w:r>
      <w:r>
        <w:rPr>
          <w:rFonts w:hint="eastAsia" w:ascii="Times New Roman" w:hAnsi="Times New Roman" w:cs="Times New Roman"/>
          <w:sz w:val="24"/>
          <w:lang w:eastAsia="zh-CN"/>
        </w:rPr>
        <w:t>。</w:t>
      </w:r>
    </w:p>
    <w:p w14:paraId="442956ED">
      <w:pPr>
        <w:snapToGrid w:val="0"/>
        <w:spacing w:line="360" w:lineRule="auto"/>
        <w:ind w:firstLine="486" w:firstLineChars="200"/>
        <w:rPr>
          <w:rFonts w:hint="eastAsia" w:ascii="Times New Roman" w:hAnsi="Times New Roman" w:eastAsia="宋体" w:cs="Times New Roman"/>
          <w:sz w:val="24"/>
          <w:lang w:eastAsia="zh-CN"/>
        </w:rPr>
      </w:pPr>
      <w:r>
        <w:rPr>
          <w:rFonts w:hint="eastAsia" w:ascii="Times New Roman" w:hAnsi="Times New Roman" w:cs="Times New Roman"/>
          <w:sz w:val="24"/>
          <w:lang w:eastAsia="zh-CN"/>
        </w:rPr>
        <w:t>（一）水杨酸的生产</w:t>
      </w:r>
    </w:p>
    <w:p w14:paraId="6042A7C0">
      <w:pPr>
        <w:snapToGrid w:val="0"/>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lang w:val="en-US" w:eastAsia="zh-CN"/>
        </w:rPr>
        <w:t>1</w:t>
      </w:r>
      <w:r>
        <w:rPr>
          <w:rFonts w:hint="default" w:ascii="Times New Roman" w:hAnsi="Times New Roman" w:cs="Times New Roman"/>
          <w:sz w:val="24"/>
        </w:rPr>
        <w:t>、酚钠配备</w:t>
      </w:r>
    </w:p>
    <w:p w14:paraId="6D07555A">
      <w:pPr>
        <w:snapToGrid w:val="0"/>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将回收酚水、液碱（48%）经计量后按顺序加入到配制釜中搅拌50min（常温常压），配置酚钠溶液（搅拌过程中产生搅拌废气，主要成分为苯酚）。</w:t>
      </w:r>
    </w:p>
    <w:p w14:paraId="75FC0D76">
      <w:pPr>
        <w:snapToGrid w:val="0"/>
        <w:spacing w:line="360" w:lineRule="auto"/>
        <w:ind w:firstLine="486" w:firstLineChars="200"/>
        <w:rPr>
          <w:rFonts w:hint="default" w:ascii="Times New Roman" w:hAnsi="Times New Roman" w:cs="Times New Roman"/>
          <w:b w:val="0"/>
          <w:bCs/>
          <w:sz w:val="24"/>
        </w:rPr>
      </w:pPr>
      <w:r>
        <w:rPr>
          <w:rFonts w:hint="default" w:ascii="Times New Roman" w:hAnsi="Times New Roman" w:cs="Times New Roman"/>
          <w:b w:val="0"/>
          <w:bCs/>
          <w:sz w:val="24"/>
        </w:rPr>
        <w:t>此工序主要产污环节为：搅拌废气（G</w:t>
      </w:r>
      <w:r>
        <w:rPr>
          <w:rFonts w:hint="default" w:ascii="Times New Roman" w:hAnsi="Times New Roman" w:cs="Times New Roman"/>
          <w:b w:val="0"/>
          <w:bCs/>
          <w:sz w:val="24"/>
          <w:vertAlign w:val="subscript"/>
        </w:rPr>
        <w:t>1-1</w:t>
      </w:r>
      <w:r>
        <w:rPr>
          <w:rFonts w:hint="default" w:ascii="Times New Roman" w:hAnsi="Times New Roman" w:cs="Times New Roman"/>
          <w:b w:val="0"/>
          <w:bCs/>
          <w:sz w:val="24"/>
        </w:rPr>
        <w:t>），主要污染物为苯酚，经反应釜的排空口进入废气收集管道，进入有机废气处理装置处理。</w:t>
      </w:r>
    </w:p>
    <w:p w14:paraId="5630FC8A">
      <w:pPr>
        <w:spacing w:line="360" w:lineRule="auto"/>
        <w:ind w:firstLine="477" w:firstLineChars="197"/>
        <w:rPr>
          <w:rFonts w:hint="default" w:ascii="Times New Roman" w:hAnsi="Times New Roman" w:cs="Times New Roman"/>
          <w:sz w:val="24"/>
        </w:rPr>
      </w:pPr>
      <w:r>
        <w:rPr>
          <w:rFonts w:hint="default" w:ascii="Times New Roman" w:hAnsi="Times New Roman" w:cs="Times New Roman"/>
          <w:sz w:val="24"/>
        </w:rPr>
        <w:t>酚钠配备反应方程式：</w:t>
      </w:r>
    </w:p>
    <w:p w14:paraId="3BD81558">
      <w:pPr>
        <w:spacing w:line="360" w:lineRule="auto"/>
        <w:ind w:firstLine="418" w:firstLineChars="197"/>
        <w:jc w:val="center"/>
        <w:rPr>
          <w:rFonts w:hint="default" w:ascii="Times New Roman" w:hAnsi="Times New Roman" w:cs="Times New Roman"/>
          <w:sz w:val="24"/>
        </w:rPr>
      </w:pPr>
      <w:r>
        <w:rPr>
          <w:rFonts w:hint="default" w:ascii="Times New Roman" w:hAnsi="Times New Roman" w:cs="Times New Roman"/>
        </w:rPr>
        <w:object>
          <v:shape id="_x0000_i1030" o:spt="75" type="#_x0000_t75" style="height:84.75pt;width:230.25pt;" o:ole="t" filled="f" stroked="f" coordsize="21600,21600">
            <v:path/>
            <v:fill on="f" focussize="0,0"/>
            <v:stroke on="f"/>
            <v:imagedata r:id="rId23" o:title=""/>
            <o:lock v:ext="edit" aspectratio="t"/>
            <w10:wrap type="none"/>
            <w10:anchorlock/>
          </v:shape>
          <o:OLEObject Type="Embed" ProgID="ISISServer" ShapeID="_x0000_i1030" DrawAspect="Content" ObjectID="_1468075730" r:id="rId22">
            <o:LockedField>false</o:LockedField>
          </o:OLEObject>
        </w:object>
      </w:r>
    </w:p>
    <w:p w14:paraId="279ED319">
      <w:pPr>
        <w:snapToGrid w:val="0"/>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lang w:val="en-US" w:eastAsia="zh-CN"/>
        </w:rPr>
        <w:t>2</w:t>
      </w:r>
      <w:r>
        <w:rPr>
          <w:rFonts w:hint="default" w:ascii="Times New Roman" w:hAnsi="Times New Roman" w:cs="Times New Roman"/>
          <w:sz w:val="24"/>
        </w:rPr>
        <w:t>、干燥</w:t>
      </w:r>
    </w:p>
    <w:p w14:paraId="70CAF5D6">
      <w:pPr>
        <w:snapToGrid w:val="0"/>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将配制釜中的酚钠溶液进行常压干燥约4~5h（温度控制在150℃，常压干燥过程中产生干燥废气，主要成分为苯酚），然后用压缩机压至羧化釜内。将苯酚经计量后加入到羧化釜中进行减压干燥约5~6h（温度控制在120℃，压力控制在0~-0.1MPa，减压干燥过程中产生干燥废气，主要成分为苯酚）。干燥过程中，苯酚冷凝回收，常压干燥回收的稀酚水（1%）送入萃取装置进行处理，减压干燥回收的酚水（45%）回用于酚钠配置。</w:t>
      </w:r>
    </w:p>
    <w:p w14:paraId="4AE99930">
      <w:pPr>
        <w:snapToGrid w:val="0"/>
        <w:spacing w:line="360" w:lineRule="auto"/>
        <w:ind w:firstLine="486" w:firstLineChars="200"/>
        <w:rPr>
          <w:rFonts w:hint="default" w:ascii="Times New Roman" w:hAnsi="Times New Roman" w:cs="Times New Roman"/>
          <w:b w:val="0"/>
          <w:bCs/>
          <w:sz w:val="24"/>
        </w:rPr>
      </w:pPr>
      <w:r>
        <w:rPr>
          <w:rFonts w:hint="default" w:ascii="Times New Roman" w:hAnsi="Times New Roman" w:cs="Times New Roman"/>
          <w:b w:val="0"/>
          <w:bCs/>
          <w:sz w:val="24"/>
        </w:rPr>
        <w:t>此工序主要产污环节为：常压干燥废气（G</w:t>
      </w:r>
      <w:r>
        <w:rPr>
          <w:rFonts w:hint="default" w:ascii="Times New Roman" w:hAnsi="Times New Roman" w:cs="Times New Roman"/>
          <w:b w:val="0"/>
          <w:bCs/>
          <w:sz w:val="24"/>
          <w:vertAlign w:val="subscript"/>
        </w:rPr>
        <w:t>1-2</w:t>
      </w:r>
      <w:r>
        <w:rPr>
          <w:rFonts w:hint="default" w:ascii="Times New Roman" w:hAnsi="Times New Roman" w:cs="Times New Roman"/>
          <w:b w:val="0"/>
          <w:bCs/>
          <w:sz w:val="24"/>
        </w:rPr>
        <w:t>）、减压干燥废气（G</w:t>
      </w:r>
      <w:r>
        <w:rPr>
          <w:rFonts w:hint="default" w:ascii="Times New Roman" w:hAnsi="Times New Roman" w:cs="Times New Roman"/>
          <w:b w:val="0"/>
          <w:bCs/>
          <w:sz w:val="24"/>
          <w:vertAlign w:val="subscript"/>
        </w:rPr>
        <w:t>1-3</w:t>
      </w:r>
      <w:r>
        <w:rPr>
          <w:rFonts w:hint="default" w:ascii="Times New Roman" w:hAnsi="Times New Roman" w:cs="Times New Roman"/>
          <w:b w:val="0"/>
          <w:bCs/>
          <w:sz w:val="24"/>
        </w:rPr>
        <w:t>），主要污染物均为苯酚，经反应釜的排空口进入废气收集管道，进入有机废气处理装置处理。</w:t>
      </w:r>
    </w:p>
    <w:p w14:paraId="78E9D198">
      <w:pPr>
        <w:snapToGrid w:val="0"/>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lang w:val="en-US" w:eastAsia="zh-CN"/>
        </w:rPr>
        <w:t>3</w:t>
      </w:r>
      <w:r>
        <w:rPr>
          <w:rFonts w:hint="default" w:ascii="Times New Roman" w:hAnsi="Times New Roman" w:cs="Times New Roman"/>
          <w:sz w:val="24"/>
        </w:rPr>
        <w:t>、羧化反应</w:t>
      </w:r>
    </w:p>
    <w:p w14:paraId="2DEBFCC8">
      <w:pPr>
        <w:snapToGrid w:val="0"/>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向羧化釜中通入CO</w:t>
      </w:r>
      <w:r>
        <w:rPr>
          <w:rFonts w:hint="default" w:ascii="Times New Roman" w:hAnsi="Times New Roman" w:cs="Times New Roman"/>
          <w:sz w:val="24"/>
          <w:vertAlign w:val="subscript"/>
        </w:rPr>
        <w:t>2</w:t>
      </w:r>
      <w:r>
        <w:rPr>
          <w:rFonts w:hint="default" w:ascii="Times New Roman" w:hAnsi="Times New Roman" w:cs="Times New Roman"/>
          <w:sz w:val="24"/>
        </w:rPr>
        <w:t>气体进行羧化反应（温度控制在200℃，压力控制在6~8MPa），反应时间1.5h（羧化反应过程中产生羧化废气，主要成分为苯酚和二氧化碳）。反应完成后泄压降温（温度控制在130℃，压力控制在-0.1MPa）进行酚水回收，回收的酚水（90%）回用于酚钠配置。</w:t>
      </w:r>
    </w:p>
    <w:p w14:paraId="55998511">
      <w:pPr>
        <w:snapToGrid w:val="0"/>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再次通入CO</w:t>
      </w:r>
      <w:r>
        <w:rPr>
          <w:rFonts w:hint="default" w:ascii="Times New Roman" w:hAnsi="Times New Roman" w:cs="Times New Roman"/>
          <w:sz w:val="24"/>
          <w:vertAlign w:val="subscript"/>
        </w:rPr>
        <w:t>2</w:t>
      </w:r>
      <w:r>
        <w:rPr>
          <w:rFonts w:hint="default" w:ascii="Times New Roman" w:hAnsi="Times New Roman" w:cs="Times New Roman"/>
          <w:sz w:val="24"/>
        </w:rPr>
        <w:t>气体进行二次羧化反应（温度控制在200℃，压力控制在6~8MPa），反应时间4h（羧化反应过程中产生羧化废气，主要成分为苯酚和二氧化碳）。反应完成后泄压降温（温度控制在130℃，压力控制在-0.1MPa）进行酚水回收，回收的酚水（60%）回用于酚钠配置。</w:t>
      </w:r>
    </w:p>
    <w:p w14:paraId="143B82A2">
      <w:pPr>
        <w:snapToGrid w:val="0"/>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羧化反应完成后，加水进行溶解，然后用压缩机压至酸析釜中准备酸析。</w:t>
      </w:r>
    </w:p>
    <w:p w14:paraId="3B1E6BB4">
      <w:pPr>
        <w:snapToGrid w:val="0"/>
        <w:spacing w:line="360" w:lineRule="auto"/>
        <w:ind w:firstLine="486" w:firstLineChars="200"/>
        <w:rPr>
          <w:rFonts w:hint="default" w:ascii="Times New Roman" w:hAnsi="Times New Roman" w:cs="Times New Roman"/>
          <w:b w:val="0"/>
          <w:bCs/>
          <w:sz w:val="24"/>
        </w:rPr>
      </w:pPr>
      <w:r>
        <w:rPr>
          <w:rFonts w:hint="default" w:ascii="Times New Roman" w:hAnsi="Times New Roman" w:cs="Times New Roman"/>
          <w:b w:val="0"/>
          <w:bCs/>
          <w:sz w:val="24"/>
        </w:rPr>
        <w:t>此工序主要产污环节为：羧化废气（G</w:t>
      </w:r>
      <w:r>
        <w:rPr>
          <w:rFonts w:hint="default" w:ascii="Times New Roman" w:hAnsi="Times New Roman" w:cs="Times New Roman"/>
          <w:b w:val="0"/>
          <w:bCs/>
          <w:sz w:val="24"/>
          <w:vertAlign w:val="subscript"/>
        </w:rPr>
        <w:t>1-4</w:t>
      </w:r>
      <w:r>
        <w:rPr>
          <w:rFonts w:hint="default" w:ascii="Times New Roman" w:hAnsi="Times New Roman" w:cs="Times New Roman"/>
          <w:b w:val="0"/>
          <w:bCs/>
          <w:sz w:val="24"/>
        </w:rPr>
        <w:t>）、二次羧化废气（G</w:t>
      </w:r>
      <w:r>
        <w:rPr>
          <w:rFonts w:hint="default" w:ascii="Times New Roman" w:hAnsi="Times New Roman" w:cs="Times New Roman"/>
          <w:b w:val="0"/>
          <w:bCs/>
          <w:sz w:val="24"/>
          <w:vertAlign w:val="subscript"/>
        </w:rPr>
        <w:t>1-5</w:t>
      </w:r>
      <w:r>
        <w:rPr>
          <w:rFonts w:hint="default" w:ascii="Times New Roman" w:hAnsi="Times New Roman" w:cs="Times New Roman"/>
          <w:b w:val="0"/>
          <w:bCs/>
          <w:sz w:val="24"/>
        </w:rPr>
        <w:t>），主要污染物均为苯酚，经反应釜的排空口进入废气收集管道，进入有机废气处理装置处理。</w:t>
      </w:r>
    </w:p>
    <w:p w14:paraId="4395E196">
      <w:pPr>
        <w:spacing w:line="360" w:lineRule="auto"/>
        <w:rPr>
          <w:rFonts w:hint="default" w:ascii="Times New Roman" w:hAnsi="Times New Roman" w:cs="Times New Roman"/>
          <w:sz w:val="24"/>
        </w:rPr>
      </w:pPr>
      <w:r>
        <w:rPr>
          <w:rFonts w:hint="default" w:ascii="Times New Roman" w:hAnsi="Times New Roman" w:cs="Times New Roman"/>
          <w:b w:val="0"/>
          <w:bCs/>
        </w:rPr>
        <w:t xml:space="preserve">  </w:t>
      </w:r>
      <w:r>
        <w:rPr>
          <w:rFonts w:hint="default" w:ascii="Times New Roman" w:hAnsi="Times New Roman" w:cs="Times New Roman"/>
          <w:b w:val="0"/>
          <w:bCs/>
          <w:sz w:val="24"/>
        </w:rPr>
        <w:t xml:space="preserve">  </w:t>
      </w:r>
      <w:r>
        <w:rPr>
          <w:rFonts w:hint="default" w:ascii="Times New Roman" w:hAnsi="Times New Roman" w:cs="Times New Roman"/>
          <w:sz w:val="24"/>
        </w:rPr>
        <w:t>羧化反应方程式：</w:t>
      </w:r>
    </w:p>
    <w:p w14:paraId="6E8200E8">
      <w:pPr>
        <w:spacing w:line="360" w:lineRule="auto"/>
        <w:ind w:firstLine="418" w:firstLineChars="197"/>
        <w:jc w:val="center"/>
        <w:rPr>
          <w:rFonts w:hint="default" w:ascii="Times New Roman" w:hAnsi="Times New Roman" w:cs="Times New Roman"/>
        </w:rPr>
      </w:pPr>
      <w:r>
        <w:rPr>
          <w:rFonts w:hint="default" w:ascii="Times New Roman" w:hAnsi="Times New Roman" w:cs="Times New Roman"/>
        </w:rPr>
        <w:object>
          <v:shape id="_x0000_i1031" o:spt="75" type="#_x0000_t75" style="height:81.7pt;width:253.45pt;" o:ole="t" filled="f" stroked="f" coordsize="21600,21600">
            <v:path/>
            <v:fill on="f" focussize="0,0"/>
            <v:stroke on="f"/>
            <v:imagedata r:id="rId25" o:title=""/>
            <o:lock v:ext="edit" aspectratio="t"/>
            <w10:wrap type="none"/>
            <w10:anchorlock/>
          </v:shape>
          <o:OLEObject Type="Embed" ProgID="ISISServer" ShapeID="_x0000_i1031" DrawAspect="Content" ObjectID="_1468075731" r:id="rId24">
            <o:LockedField>false</o:LockedField>
          </o:OLEObject>
        </w:object>
      </w:r>
    </w:p>
    <w:p w14:paraId="1723564C">
      <w:pPr>
        <w:snapToGrid w:val="0"/>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lang w:val="en-US" w:eastAsia="zh-CN"/>
        </w:rPr>
        <w:t>4</w:t>
      </w:r>
      <w:r>
        <w:rPr>
          <w:rFonts w:hint="default" w:ascii="Times New Roman" w:hAnsi="Times New Roman" w:cs="Times New Roman"/>
          <w:sz w:val="24"/>
        </w:rPr>
        <w:t>、酸析反应</w:t>
      </w:r>
    </w:p>
    <w:p w14:paraId="010FF061">
      <w:pPr>
        <w:snapToGrid w:val="0"/>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将配制好的稀硫酸溶液（30%）、水杨酸甲酯装置回用液经计量后加入到酸析釜中进行酸析反应（酸析反应过程中产生酸析废气，主要成分为苯酚和硫酸雾）。</w:t>
      </w:r>
    </w:p>
    <w:p w14:paraId="615A3045">
      <w:pPr>
        <w:snapToGrid w:val="0"/>
        <w:spacing w:line="360" w:lineRule="auto"/>
        <w:ind w:firstLine="486" w:firstLineChars="200"/>
        <w:rPr>
          <w:rFonts w:hint="default" w:ascii="Times New Roman" w:hAnsi="Times New Roman" w:cs="Times New Roman"/>
          <w:b w:val="0"/>
          <w:bCs/>
          <w:sz w:val="24"/>
        </w:rPr>
      </w:pPr>
      <w:r>
        <w:rPr>
          <w:rFonts w:hint="default" w:ascii="Times New Roman" w:hAnsi="Times New Roman" w:cs="Times New Roman"/>
          <w:b w:val="0"/>
          <w:bCs/>
          <w:sz w:val="24"/>
        </w:rPr>
        <w:t>此工序主要产污环节为：酸析废气（G</w:t>
      </w:r>
      <w:r>
        <w:rPr>
          <w:rFonts w:hint="default" w:ascii="Times New Roman" w:hAnsi="Times New Roman" w:cs="Times New Roman"/>
          <w:b w:val="0"/>
          <w:bCs/>
          <w:sz w:val="24"/>
          <w:vertAlign w:val="subscript"/>
        </w:rPr>
        <w:t>1-6</w:t>
      </w:r>
      <w:r>
        <w:rPr>
          <w:rFonts w:hint="default" w:ascii="Times New Roman" w:hAnsi="Times New Roman" w:cs="Times New Roman"/>
          <w:b w:val="0"/>
          <w:bCs/>
          <w:sz w:val="24"/>
        </w:rPr>
        <w:t>），主要污染物为硫酸雾、苯酚，经反应釜的排空口进入废气收集管道，进入有机废气处理装置处理。</w:t>
      </w:r>
    </w:p>
    <w:p w14:paraId="5D7DD07D">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酸析反应方程式：</w:t>
      </w:r>
    </w:p>
    <w:p w14:paraId="37AA918E">
      <w:pPr>
        <w:snapToGrid w:val="0"/>
        <w:spacing w:line="360" w:lineRule="auto"/>
        <w:ind w:firstLine="426" w:firstLineChars="200"/>
        <w:rPr>
          <w:rFonts w:hint="default" w:ascii="Times New Roman" w:hAnsi="Times New Roman" w:cs="Times New Roman"/>
          <w:sz w:val="24"/>
        </w:rPr>
      </w:pPr>
      <w:r>
        <w:rPr>
          <w:rFonts w:hint="default" w:ascii="Times New Roman" w:hAnsi="Times New Roman" w:cs="Times New Roman"/>
        </w:rPr>
        <w:object>
          <v:shape id="_x0000_i1032" o:spt="75" type="#_x0000_t75" style="height:83.25pt;width:399pt;" o:ole="t" filled="f" stroked="f" coordsize="21600,21600">
            <v:path/>
            <v:fill on="f" focussize="0,0"/>
            <v:stroke on="f"/>
            <v:imagedata r:id="rId27" o:title=""/>
            <o:lock v:ext="edit" aspectratio="t"/>
            <w10:wrap type="none"/>
            <w10:anchorlock/>
          </v:shape>
          <o:OLEObject Type="Embed" ProgID="ISISServer" ShapeID="_x0000_i1032" DrawAspect="Content" ObjectID="_1468075732" r:id="rId26">
            <o:LockedField>false</o:LockedField>
          </o:OLEObject>
        </w:object>
      </w:r>
    </w:p>
    <w:p w14:paraId="15136A94">
      <w:pPr>
        <w:snapToGrid w:val="0"/>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lang w:val="en-US" w:eastAsia="zh-CN"/>
        </w:rPr>
        <w:t>5</w:t>
      </w:r>
      <w:r>
        <w:rPr>
          <w:rFonts w:hint="default" w:ascii="Times New Roman" w:hAnsi="Times New Roman" w:cs="Times New Roman"/>
          <w:sz w:val="24"/>
        </w:rPr>
        <w:t>、离心、干燥</w:t>
      </w:r>
    </w:p>
    <w:p w14:paraId="4ECC08CE">
      <w:pPr>
        <w:snapToGrid w:val="0"/>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将反应完成的物料送入离心机中进行离心，离心母液送入萃取装置进行处理。后将粗产品绞龙输送入干燥料仓进行干燥（干燥过程中产生干燥废气，主要成分为粉尘、苯酚、其他VOC和水蒸汽）。</w:t>
      </w:r>
    </w:p>
    <w:p w14:paraId="2B5AEEDB">
      <w:pPr>
        <w:spacing w:line="360" w:lineRule="auto"/>
        <w:ind w:firstLine="486" w:firstLineChars="200"/>
        <w:rPr>
          <w:rFonts w:hint="default" w:ascii="Times New Roman" w:hAnsi="Times New Roman" w:cs="Times New Roman"/>
          <w:b w:val="0"/>
          <w:bCs/>
          <w:sz w:val="24"/>
        </w:rPr>
      </w:pPr>
      <w:r>
        <w:rPr>
          <w:rFonts w:hint="default" w:ascii="Times New Roman" w:hAnsi="Times New Roman" w:cs="Times New Roman"/>
          <w:b w:val="0"/>
          <w:bCs/>
          <w:sz w:val="24"/>
        </w:rPr>
        <w:t>此工序主要产污环节为：干燥废气（G</w:t>
      </w:r>
      <w:r>
        <w:rPr>
          <w:rFonts w:hint="default" w:ascii="Times New Roman" w:hAnsi="Times New Roman" w:cs="Times New Roman"/>
          <w:b w:val="0"/>
          <w:bCs/>
          <w:sz w:val="24"/>
          <w:vertAlign w:val="subscript"/>
        </w:rPr>
        <w:t>1-7</w:t>
      </w:r>
      <w:r>
        <w:rPr>
          <w:rFonts w:hint="default" w:ascii="Times New Roman" w:hAnsi="Times New Roman" w:cs="Times New Roman"/>
          <w:b w:val="0"/>
          <w:bCs/>
          <w:sz w:val="24"/>
        </w:rPr>
        <w:t>），主要污染物为粉尘、苯酚等，经反应釜的排空口进入废气收集管道，经布袋除尘器除尘后进入有机废气处理装置处理。</w:t>
      </w:r>
    </w:p>
    <w:p w14:paraId="6D085E8A">
      <w:pPr>
        <w:tabs>
          <w:tab w:val="left" w:pos="2280"/>
        </w:tabs>
        <w:spacing w:line="360" w:lineRule="auto"/>
        <w:ind w:firstLine="486" w:firstLineChars="200"/>
        <w:rPr>
          <w:rFonts w:hint="default" w:ascii="Times New Roman" w:hAnsi="Times New Roman" w:cs="Times New Roman"/>
          <w:b w:val="0"/>
          <w:bCs/>
          <w:sz w:val="24"/>
        </w:rPr>
      </w:pPr>
      <w:r>
        <w:rPr>
          <w:rFonts w:hint="default" w:ascii="Times New Roman" w:hAnsi="Times New Roman" w:cs="Times New Roman"/>
          <w:b w:val="0"/>
          <w:bCs/>
          <w:sz w:val="24"/>
          <w:lang w:val="en-US" w:eastAsia="zh-CN"/>
        </w:rPr>
        <w:t>6</w:t>
      </w:r>
      <w:r>
        <w:rPr>
          <w:rFonts w:hint="default" w:ascii="Times New Roman" w:hAnsi="Times New Roman" w:cs="Times New Roman"/>
          <w:b w:val="0"/>
          <w:bCs/>
          <w:sz w:val="24"/>
        </w:rPr>
        <w:t>、包装</w:t>
      </w:r>
    </w:p>
    <w:p w14:paraId="0660A13A">
      <w:pPr>
        <w:tabs>
          <w:tab w:val="left" w:pos="2280"/>
        </w:tabs>
        <w:spacing w:line="360" w:lineRule="auto"/>
        <w:ind w:firstLine="486" w:firstLineChars="200"/>
        <w:rPr>
          <w:rFonts w:hint="default" w:ascii="Times New Roman" w:hAnsi="Times New Roman" w:cs="Times New Roman"/>
          <w:b w:val="0"/>
          <w:bCs/>
          <w:sz w:val="24"/>
        </w:rPr>
      </w:pPr>
      <w:r>
        <w:rPr>
          <w:rFonts w:hint="default" w:ascii="Times New Roman" w:hAnsi="Times New Roman" w:cs="Times New Roman"/>
          <w:b w:val="0"/>
          <w:bCs/>
          <w:sz w:val="24"/>
        </w:rPr>
        <w:t>干燥后产品进行包装（包装过程中产生包装废气，主要成分为粉尘）。</w:t>
      </w:r>
    </w:p>
    <w:p w14:paraId="7F016DA4">
      <w:pPr>
        <w:tabs>
          <w:tab w:val="left" w:pos="2280"/>
        </w:tabs>
        <w:spacing w:line="360" w:lineRule="auto"/>
        <w:ind w:firstLine="486" w:firstLineChars="200"/>
        <w:rPr>
          <w:rFonts w:hint="default" w:ascii="Times New Roman" w:hAnsi="Times New Roman" w:cs="Times New Roman"/>
          <w:b w:val="0"/>
          <w:bCs/>
          <w:sz w:val="24"/>
        </w:rPr>
      </w:pPr>
      <w:r>
        <w:rPr>
          <w:rFonts w:hint="default" w:ascii="Times New Roman" w:hAnsi="Times New Roman" w:cs="Times New Roman"/>
          <w:b w:val="0"/>
          <w:bCs/>
          <w:sz w:val="24"/>
        </w:rPr>
        <w:t>此工序主要产污环节为：包装废气（G</w:t>
      </w:r>
      <w:r>
        <w:rPr>
          <w:rFonts w:hint="default" w:ascii="Times New Roman" w:hAnsi="Times New Roman" w:cs="Times New Roman"/>
          <w:b w:val="0"/>
          <w:bCs/>
          <w:sz w:val="24"/>
          <w:vertAlign w:val="subscript"/>
        </w:rPr>
        <w:t>1-8</w:t>
      </w:r>
      <w:r>
        <w:rPr>
          <w:rFonts w:hint="default" w:ascii="Times New Roman" w:hAnsi="Times New Roman" w:cs="Times New Roman"/>
          <w:b w:val="0"/>
          <w:bCs/>
          <w:sz w:val="24"/>
        </w:rPr>
        <w:t>），主要污染物为粉尘。包装车间密闭，顶部设置集气罩，废气变无组织为有组织，引入布袋除尘器处理。</w:t>
      </w:r>
    </w:p>
    <w:p w14:paraId="738C6293">
      <w:pPr>
        <w:snapToGrid w:val="0"/>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七、萃取</w:t>
      </w:r>
    </w:p>
    <w:p w14:paraId="164F07A3">
      <w:pPr>
        <w:snapToGrid w:val="0"/>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加入萃取剂，对常压干燥产生的稀酚水和离心母液进行萃取（萃取过程中产生萃取废水，主要成分为水杨酸钠、硫酸、苯酚钠等）。萃取完毕后，向萃取液中加入48%碱液进行反萃取（萃取剂为酯类，不参与反应，循环使用，年消耗补充量为7t），反萃液（苯酚钠溶液）经浓缩蒸发后回用于酚钠配置（浓缩蒸发过程中产生浓缩蒸发废气，主要成分为水蒸汽和苯酚。萃取液与过量48%碱液反应，反萃液为苯酚钠溶液，苯酚含量极少。因此，蒸发浓缩蒸发过程中产生浓缩蒸发废气污染物苯酚产生量极少，可忽略不计）。</w:t>
      </w:r>
    </w:p>
    <w:p w14:paraId="14EABB75">
      <w:pPr>
        <w:snapToGrid w:val="0"/>
        <w:spacing w:line="360" w:lineRule="auto"/>
        <w:ind w:firstLine="486" w:firstLineChars="200"/>
        <w:rPr>
          <w:rFonts w:hint="default" w:ascii="Times New Roman" w:hAnsi="Times New Roman" w:cs="Times New Roman"/>
          <w:sz w:val="24"/>
        </w:rPr>
      </w:pPr>
      <w:r>
        <w:rPr>
          <w:rFonts w:hint="default" w:ascii="Times New Roman" w:hAnsi="Times New Roman" w:cs="Times New Roman"/>
          <w:b w:val="0"/>
          <w:bCs/>
          <w:sz w:val="24"/>
        </w:rPr>
        <w:t>此工序主要产污环节为：萃取废水（W</w:t>
      </w:r>
      <w:r>
        <w:rPr>
          <w:rFonts w:hint="default" w:ascii="Times New Roman" w:hAnsi="Times New Roman" w:cs="Times New Roman"/>
          <w:b w:val="0"/>
          <w:bCs/>
          <w:sz w:val="24"/>
          <w:vertAlign w:val="subscript"/>
        </w:rPr>
        <w:t>1-1</w:t>
      </w:r>
      <w:r>
        <w:rPr>
          <w:rFonts w:hint="default" w:ascii="Times New Roman" w:hAnsi="Times New Roman" w:cs="Times New Roman"/>
          <w:b w:val="0"/>
          <w:bCs/>
          <w:sz w:val="24"/>
        </w:rPr>
        <w:t>），经管线送至废水罐处理。生产工艺及</w:t>
      </w:r>
      <w:r>
        <w:rPr>
          <w:rFonts w:hint="default" w:ascii="Times New Roman" w:hAnsi="Times New Roman" w:cs="Times New Roman"/>
          <w:sz w:val="24"/>
        </w:rPr>
        <w:t>产污环节流程见图3.</w:t>
      </w:r>
      <w:r>
        <w:rPr>
          <w:rFonts w:hint="default" w:ascii="Times New Roman" w:hAnsi="Times New Roman" w:cs="Times New Roman"/>
          <w:sz w:val="24"/>
          <w:lang w:val="en-US" w:eastAsia="zh-CN"/>
        </w:rPr>
        <w:t>4</w:t>
      </w:r>
      <w:r>
        <w:rPr>
          <w:rFonts w:hint="default" w:ascii="Times New Roman" w:hAnsi="Times New Roman" w:cs="Times New Roman"/>
          <w:sz w:val="24"/>
        </w:rPr>
        <w:t>-</w:t>
      </w:r>
      <w:r>
        <w:rPr>
          <w:rFonts w:hint="eastAsia" w:ascii="Times New Roman" w:hAnsi="Times New Roman" w:cs="Times New Roman"/>
          <w:sz w:val="24"/>
          <w:lang w:val="en-US" w:eastAsia="zh-CN"/>
        </w:rPr>
        <w:t>6</w:t>
      </w:r>
      <w:r>
        <w:rPr>
          <w:rFonts w:hint="default" w:ascii="Times New Roman" w:hAnsi="Times New Roman" w:cs="Times New Roman"/>
          <w:sz w:val="24"/>
        </w:rPr>
        <w:t>。</w:t>
      </w:r>
    </w:p>
    <w:p w14:paraId="348DD1C6">
      <w:pPr>
        <w:spacing w:line="360" w:lineRule="auto"/>
        <w:jc w:val="center"/>
        <w:rPr>
          <w:rFonts w:hint="default" w:ascii="Times New Roman" w:hAnsi="Times New Roman" w:cs="Times New Roman"/>
        </w:rPr>
      </w:pPr>
      <w:r>
        <w:rPr>
          <w:rFonts w:hint="default" w:ascii="Times New Roman" w:hAnsi="Times New Roman" w:cs="Times New Roman"/>
        </w:rPr>
        <w:object>
          <v:shape id="_x0000_i1033" o:spt="75" type="#_x0000_t75" style="height:590.6pt;width:362.55pt;" o:ole="t" filled="f" o:preferrelative="t" stroked="f" coordsize="21600,21600">
            <v:path/>
            <v:fill on="f" focussize="0,0"/>
            <v:stroke on="f"/>
            <v:imagedata r:id="rId29" o:title=""/>
            <o:lock v:ext="edit" aspectratio="t"/>
            <w10:wrap type="none"/>
            <w10:anchorlock/>
          </v:shape>
          <o:OLEObject Type="Embed" ProgID="Visio.Drawing.11" ShapeID="_x0000_i1033" DrawAspect="Content" ObjectID="_1468075733" r:id="rId28">
            <o:LockedField>false</o:LockedField>
          </o:OLEObject>
        </w:object>
      </w:r>
    </w:p>
    <w:p w14:paraId="2598326C">
      <w:pPr>
        <w:snapToGrid w:val="0"/>
        <w:spacing w:line="360" w:lineRule="auto"/>
        <w:rPr>
          <w:rFonts w:hint="eastAsia" w:ascii="Times New Roman" w:hAnsi="Times New Roman" w:eastAsia="宋体" w:cs="Times New Roman"/>
          <w:sz w:val="24"/>
          <w:lang w:eastAsia="zh-CN"/>
        </w:rPr>
      </w:pPr>
      <w:r>
        <w:rPr>
          <w:rFonts w:hint="eastAsia" w:ascii="Times New Roman" w:hAnsi="Times New Roman" w:cs="Times New Roman"/>
          <w:sz w:val="24"/>
          <w:lang w:eastAsia="zh-CN"/>
        </w:rPr>
        <w:t>（二）以水杨酸为原料生产水杨酸甲酯</w:t>
      </w:r>
    </w:p>
    <w:p w14:paraId="6CDF5A0B">
      <w:pPr>
        <w:snapToGrid w:val="0"/>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一、酯化</w:t>
      </w:r>
      <w:bookmarkEnd w:id="58"/>
      <w:r>
        <w:rPr>
          <w:rFonts w:hint="default" w:ascii="Times New Roman" w:hAnsi="Times New Roman" w:cs="Times New Roman"/>
          <w:sz w:val="24"/>
        </w:rPr>
        <w:t>反应</w:t>
      </w:r>
    </w:p>
    <w:p w14:paraId="6A4130D7">
      <w:pPr>
        <w:snapToGrid w:val="0"/>
        <w:spacing w:line="360" w:lineRule="auto"/>
        <w:ind w:firstLine="486" w:firstLineChars="200"/>
        <w:rPr>
          <w:rFonts w:hint="default" w:ascii="Times New Roman" w:hAnsi="Times New Roman" w:cs="Times New Roman"/>
          <w:sz w:val="24"/>
        </w:rPr>
      </w:pPr>
      <w:bookmarkStart w:id="59" w:name="_Toc427338954"/>
      <w:r>
        <w:rPr>
          <w:rFonts w:hint="default" w:ascii="Times New Roman" w:hAnsi="Times New Roman" w:cs="Times New Roman"/>
          <w:sz w:val="24"/>
        </w:rPr>
        <w:t>1、备料</w:t>
      </w:r>
      <w:bookmarkEnd w:id="59"/>
    </w:p>
    <w:p w14:paraId="24B9EF8F">
      <w:pPr>
        <w:snapToGrid w:val="0"/>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将甲醇、硫酸（98%）分别从储罐用泵打入车间三楼中间罐，水杨酸用行吊吊至二楼平台备用。</w:t>
      </w:r>
    </w:p>
    <w:p w14:paraId="4435170D">
      <w:pPr>
        <w:snapToGrid w:val="0"/>
        <w:spacing w:line="360" w:lineRule="auto"/>
        <w:ind w:firstLine="486" w:firstLineChars="200"/>
        <w:rPr>
          <w:rFonts w:hint="default" w:ascii="Times New Roman" w:hAnsi="Times New Roman" w:cs="Times New Roman"/>
          <w:sz w:val="24"/>
        </w:rPr>
      </w:pPr>
      <w:bookmarkStart w:id="60" w:name="_Toc427338955"/>
      <w:r>
        <w:rPr>
          <w:rFonts w:hint="default" w:ascii="Times New Roman" w:hAnsi="Times New Roman" w:cs="Times New Roman"/>
          <w:sz w:val="24"/>
        </w:rPr>
        <w:t>2、投料</w:t>
      </w:r>
      <w:bookmarkEnd w:id="60"/>
    </w:p>
    <w:p w14:paraId="5EC282C2">
      <w:pPr>
        <w:snapToGrid w:val="0"/>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真空条件下将水杨酸投入酯化釜内，然后将甲醇通过流量计、切断阀放入酯化釜内。如有回收水杨酸，甲醇则加入相应的甲醇蒸馏釜，通过过滤器循环，使水杨酸完全溶于甲醇中，再改阀门打入酯化釜，点开搅拌。搅拌5~10min后，降温条件下通过硫酸调节阀、流量计匀速加入硫酸。</w:t>
      </w:r>
    </w:p>
    <w:p w14:paraId="488BABAD">
      <w:pPr>
        <w:snapToGrid w:val="0"/>
        <w:spacing w:line="360" w:lineRule="auto"/>
        <w:ind w:firstLine="486" w:firstLineChars="200"/>
        <w:rPr>
          <w:rFonts w:hint="default" w:ascii="Times New Roman" w:hAnsi="Times New Roman" w:cs="Times New Roman"/>
          <w:sz w:val="24"/>
        </w:rPr>
      </w:pPr>
      <w:bookmarkStart w:id="61" w:name="_Toc427338956"/>
      <w:r>
        <w:rPr>
          <w:rFonts w:hint="default" w:ascii="Times New Roman" w:hAnsi="Times New Roman" w:cs="Times New Roman"/>
          <w:sz w:val="24"/>
        </w:rPr>
        <w:t>3、酯化反应</w:t>
      </w:r>
      <w:bookmarkEnd w:id="61"/>
    </w:p>
    <w:p w14:paraId="3765B3B6">
      <w:pPr>
        <w:snapToGrid w:val="0"/>
        <w:spacing w:line="360" w:lineRule="auto"/>
        <w:ind w:firstLine="486" w:firstLineChars="200"/>
        <w:rPr>
          <w:rFonts w:hint="default" w:ascii="Times New Roman" w:hAnsi="Times New Roman" w:cs="Times New Roman"/>
          <w:b w:val="0"/>
          <w:bCs w:val="0"/>
          <w:sz w:val="24"/>
        </w:rPr>
      </w:pPr>
      <w:r>
        <w:rPr>
          <w:rFonts w:hint="default" w:ascii="Times New Roman" w:hAnsi="Times New Roman" w:cs="Times New Roman"/>
          <w:sz w:val="24"/>
        </w:rPr>
        <w:t>滴加完浓硫酸后，保温反应11h（温度控制在92~105℃，压力控制在0.075~0.08MPa，酯化反应过程中产生酯化废气，主要成分为甲醇、硫酸雾和其他VOC）。反应结束后关蒸汽，开循环水降温至60℃时停搅拌，开始静置分层，釜内温</w:t>
      </w:r>
      <w:r>
        <w:rPr>
          <w:rFonts w:hint="default" w:ascii="Times New Roman" w:hAnsi="Times New Roman" w:cs="Times New Roman"/>
          <w:b w:val="0"/>
          <w:bCs w:val="0"/>
          <w:sz w:val="24"/>
        </w:rPr>
        <w:t>度降至45℃以下时，开始放料。</w:t>
      </w:r>
    </w:p>
    <w:p w14:paraId="715FE795">
      <w:pPr>
        <w:snapToGrid w:val="0"/>
        <w:spacing w:line="360" w:lineRule="auto"/>
        <w:ind w:firstLine="486" w:firstLineChars="200"/>
        <w:rPr>
          <w:rFonts w:hint="default" w:ascii="Times New Roman" w:hAnsi="Times New Roman" w:cs="Times New Roman"/>
          <w:b w:val="0"/>
          <w:bCs w:val="0"/>
          <w:sz w:val="24"/>
        </w:rPr>
      </w:pPr>
      <w:r>
        <w:rPr>
          <w:rFonts w:hint="default" w:ascii="Times New Roman" w:hAnsi="Times New Roman" w:cs="Times New Roman"/>
          <w:b w:val="0"/>
          <w:bCs w:val="0"/>
          <w:sz w:val="24"/>
        </w:rPr>
        <w:t>此工序主要产污环节为：酯化废气（G</w:t>
      </w:r>
      <w:r>
        <w:rPr>
          <w:rFonts w:hint="default" w:ascii="Times New Roman" w:hAnsi="Times New Roman" w:cs="Times New Roman"/>
          <w:b w:val="0"/>
          <w:bCs w:val="0"/>
          <w:sz w:val="24"/>
          <w:vertAlign w:val="subscript"/>
        </w:rPr>
        <w:t>2-1</w:t>
      </w:r>
      <w:r>
        <w:rPr>
          <w:rFonts w:hint="default" w:ascii="Times New Roman" w:hAnsi="Times New Roman" w:cs="Times New Roman"/>
          <w:b w:val="0"/>
          <w:bCs w:val="0"/>
          <w:sz w:val="24"/>
        </w:rPr>
        <w:t>），主要污染物均为甲醇、硫酸雾等，经反应釜的排空口进入废气收集管道，进入有机废气处理装置处理。</w:t>
      </w:r>
    </w:p>
    <w:p w14:paraId="116D0C33">
      <w:pPr>
        <w:snapToGrid w:val="0"/>
        <w:spacing w:line="360" w:lineRule="auto"/>
        <w:ind w:firstLine="486" w:firstLineChars="200"/>
        <w:rPr>
          <w:rFonts w:hint="default" w:ascii="Times New Roman" w:hAnsi="Times New Roman" w:cs="Times New Roman"/>
          <w:sz w:val="24"/>
        </w:rPr>
      </w:pPr>
      <w:bookmarkStart w:id="62" w:name="_Toc427338959"/>
      <w:r>
        <w:rPr>
          <w:rFonts w:hint="default" w:ascii="Times New Roman" w:hAnsi="Times New Roman" w:cs="Times New Roman"/>
          <w:b w:val="0"/>
          <w:bCs w:val="0"/>
          <w:sz w:val="24"/>
        </w:rPr>
        <w:t>酯化反</w:t>
      </w:r>
      <w:r>
        <w:rPr>
          <w:rFonts w:hint="default" w:ascii="Times New Roman" w:hAnsi="Times New Roman" w:cs="Times New Roman"/>
          <w:sz w:val="24"/>
        </w:rPr>
        <w:t>应方程式：</w:t>
      </w:r>
    </w:p>
    <w:p w14:paraId="6D4693E7">
      <w:pPr>
        <w:snapToGrid w:val="0"/>
        <w:spacing w:line="360" w:lineRule="auto"/>
        <w:jc w:val="center"/>
        <w:rPr>
          <w:rFonts w:hint="default" w:ascii="Times New Roman" w:hAnsi="Times New Roman" w:cs="Times New Roman"/>
          <w:sz w:val="24"/>
        </w:rPr>
      </w:pPr>
      <w:r>
        <w:rPr>
          <w:rFonts w:hint="default" w:ascii="Times New Roman" w:hAnsi="Times New Roman" w:cs="Times New Roman"/>
          <w:sz w:val="24"/>
        </w:rPr>
        <w:drawing>
          <wp:inline distT="0" distB="0" distL="114300" distR="114300">
            <wp:extent cx="4271010" cy="1109345"/>
            <wp:effectExtent l="0" t="0" r="15240" b="14605"/>
            <wp:docPr id="33" name="图片 11" descr="QQ截图20160318093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1" descr="QQ截图20160318093555"/>
                    <pic:cNvPicPr>
                      <a:picLocks noChangeAspect="1"/>
                    </pic:cNvPicPr>
                  </pic:nvPicPr>
                  <pic:blipFill>
                    <a:blip r:embed="rId30"/>
                    <a:stretch>
                      <a:fillRect/>
                    </a:stretch>
                  </pic:blipFill>
                  <pic:spPr>
                    <a:xfrm>
                      <a:off x="0" y="0"/>
                      <a:ext cx="4271010" cy="1109345"/>
                    </a:xfrm>
                    <a:prstGeom prst="rect">
                      <a:avLst/>
                    </a:prstGeom>
                    <a:noFill/>
                    <a:ln>
                      <a:noFill/>
                    </a:ln>
                  </pic:spPr>
                </pic:pic>
              </a:graphicData>
            </a:graphic>
          </wp:inline>
        </w:drawing>
      </w:r>
    </w:p>
    <w:p w14:paraId="0A418021">
      <w:pPr>
        <w:snapToGrid w:val="0"/>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二、水洗</w:t>
      </w:r>
      <w:bookmarkEnd w:id="62"/>
    </w:p>
    <w:p w14:paraId="5858DBDD">
      <w:pPr>
        <w:snapToGrid w:val="0"/>
        <w:spacing w:line="360" w:lineRule="auto"/>
        <w:ind w:firstLine="486" w:firstLineChars="200"/>
        <w:rPr>
          <w:rFonts w:hint="default" w:ascii="Times New Roman" w:hAnsi="Times New Roman" w:cs="Times New Roman"/>
          <w:sz w:val="24"/>
        </w:rPr>
      </w:pPr>
      <w:bookmarkStart w:id="63" w:name="_Toc427338960"/>
      <w:r>
        <w:rPr>
          <w:rFonts w:hint="default" w:ascii="Times New Roman" w:hAnsi="Times New Roman" w:cs="Times New Roman"/>
          <w:sz w:val="24"/>
        </w:rPr>
        <w:t>1、配碱</w:t>
      </w:r>
      <w:bookmarkEnd w:id="63"/>
    </w:p>
    <w:p w14:paraId="45FD80C7">
      <w:pPr>
        <w:snapToGrid w:val="0"/>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将碳酸钠和水按比例投入配碱罐内，开启搅拌，加温溶解后备用（浓度≤10%）。</w:t>
      </w:r>
    </w:p>
    <w:p w14:paraId="52D75232">
      <w:pPr>
        <w:snapToGrid w:val="0"/>
        <w:spacing w:line="360" w:lineRule="auto"/>
        <w:ind w:firstLine="486" w:firstLineChars="200"/>
        <w:rPr>
          <w:rFonts w:hint="default" w:ascii="Times New Roman" w:hAnsi="Times New Roman" w:cs="Times New Roman"/>
          <w:sz w:val="24"/>
        </w:rPr>
      </w:pPr>
      <w:bookmarkStart w:id="64" w:name="_Toc427338961"/>
      <w:r>
        <w:rPr>
          <w:rFonts w:hint="default" w:ascii="Times New Roman" w:hAnsi="Times New Roman" w:cs="Times New Roman"/>
          <w:sz w:val="24"/>
        </w:rPr>
        <w:t>2、碱洗</w:t>
      </w:r>
      <w:bookmarkEnd w:id="64"/>
    </w:p>
    <w:p w14:paraId="3FE100C9">
      <w:pPr>
        <w:snapToGrid w:val="0"/>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用泵通过碱液流量计将一定量的碱液打入水洗釜内，关闭进碱阀，用泵将粗酯Ⅰ罐中的粗酯打入水洗釜内，边进边搅拌。进料完毕，在搅拌状态下缓慢向水洗釜内加碱液，边加碱边搅拌，PH值为8~9时，停止加碱，静置分层30min后，放到水洗罐内。碱洗液放入水杨酸钠池，用泵送至水杨酸车间套用。</w:t>
      </w:r>
    </w:p>
    <w:p w14:paraId="204BDCB9">
      <w:pPr>
        <w:snapToGrid w:val="0"/>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碱洗反应方程式：</w:t>
      </w:r>
    </w:p>
    <w:p w14:paraId="25B3B9D2">
      <w:pPr>
        <w:rPr>
          <w:rFonts w:hint="default" w:ascii="Times New Roman" w:hAnsi="Times New Roman" w:cs="Times New Roman"/>
          <w:kern w:val="0"/>
          <w:sz w:val="24"/>
        </w:rPr>
      </w:pPr>
      <w:r>
        <w:rPr>
          <w:rFonts w:hint="default" w:ascii="Times New Roman" w:hAnsi="Times New Roman" w:cs="Times New Roman"/>
        </w:rPr>
        <w:drawing>
          <wp:anchor distT="0" distB="0" distL="114300" distR="114300" simplePos="0" relativeHeight="251664384" behindDoc="0" locked="0" layoutInCell="1" allowOverlap="1">
            <wp:simplePos x="0" y="0"/>
            <wp:positionH relativeFrom="column">
              <wp:posOffset>4456430</wp:posOffset>
            </wp:positionH>
            <wp:positionV relativeFrom="paragraph">
              <wp:posOffset>393700</wp:posOffset>
            </wp:positionV>
            <wp:extent cx="632460" cy="626110"/>
            <wp:effectExtent l="0" t="0" r="15240" b="2540"/>
            <wp:wrapNone/>
            <wp:docPr id="3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2"/>
                    <pic:cNvPicPr>
                      <a:picLocks noChangeAspect="1"/>
                    </pic:cNvPicPr>
                  </pic:nvPicPr>
                  <pic:blipFill>
                    <a:blip r:embed="rId31" r:link="rId32"/>
                    <a:stretch>
                      <a:fillRect/>
                    </a:stretch>
                  </pic:blipFill>
                  <pic:spPr>
                    <a:xfrm>
                      <a:off x="0" y="0"/>
                      <a:ext cx="632460" cy="626110"/>
                    </a:xfrm>
                    <a:prstGeom prst="rect">
                      <a:avLst/>
                    </a:prstGeom>
                    <a:noFill/>
                    <a:ln>
                      <a:noFill/>
                    </a:ln>
                  </pic:spPr>
                </pic:pic>
              </a:graphicData>
            </a:graphic>
          </wp:anchor>
        </w:drawing>
      </w:r>
      <w:r>
        <w:rPr>
          <w:rFonts w:hint="default" w:ascii="Times New Roman" w:hAnsi="Times New Roman" w:cs="Times New Roman"/>
        </w:rPr>
        <w:drawing>
          <wp:anchor distT="0" distB="0" distL="114300" distR="114300" simplePos="0" relativeHeight="251663360" behindDoc="0" locked="0" layoutInCell="1" allowOverlap="1">
            <wp:simplePos x="0" y="0"/>
            <wp:positionH relativeFrom="column">
              <wp:posOffset>3906520</wp:posOffset>
            </wp:positionH>
            <wp:positionV relativeFrom="paragraph">
              <wp:posOffset>434975</wp:posOffset>
            </wp:positionV>
            <wp:extent cx="845820" cy="550545"/>
            <wp:effectExtent l="0" t="0" r="11430" b="1905"/>
            <wp:wrapNone/>
            <wp:docPr id="2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3"/>
                    <pic:cNvPicPr>
                      <a:picLocks noChangeAspect="1"/>
                    </pic:cNvPicPr>
                  </pic:nvPicPr>
                  <pic:blipFill>
                    <a:blip r:embed="rId33" r:link="rId34"/>
                    <a:stretch>
                      <a:fillRect/>
                    </a:stretch>
                  </pic:blipFill>
                  <pic:spPr>
                    <a:xfrm>
                      <a:off x="0" y="0"/>
                      <a:ext cx="845820" cy="550545"/>
                    </a:xfrm>
                    <a:prstGeom prst="rect">
                      <a:avLst/>
                    </a:prstGeom>
                    <a:noFill/>
                    <a:ln>
                      <a:noFill/>
                    </a:ln>
                  </pic:spPr>
                </pic:pic>
              </a:graphicData>
            </a:graphic>
          </wp:anchor>
        </w:drawing>
      </w:r>
      <w:r>
        <w:rPr>
          <w:rFonts w:hint="default" w:ascii="Times New Roman" w:hAnsi="Times New Roman" w:cs="Times New Roman"/>
        </w:rPr>
        <w:drawing>
          <wp:anchor distT="0" distB="0" distL="114300" distR="114300" simplePos="0" relativeHeight="251662336" behindDoc="0" locked="0" layoutInCell="1" allowOverlap="1">
            <wp:simplePos x="0" y="0"/>
            <wp:positionH relativeFrom="column">
              <wp:posOffset>2555240</wp:posOffset>
            </wp:positionH>
            <wp:positionV relativeFrom="paragraph">
              <wp:posOffset>54610</wp:posOffset>
            </wp:positionV>
            <wp:extent cx="1325245" cy="914400"/>
            <wp:effectExtent l="0" t="0" r="8255" b="0"/>
            <wp:wrapNone/>
            <wp:docPr id="2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4"/>
                    <pic:cNvPicPr>
                      <a:picLocks noChangeAspect="1"/>
                    </pic:cNvPicPr>
                  </pic:nvPicPr>
                  <pic:blipFill>
                    <a:blip r:embed="rId35" r:link="rId36"/>
                    <a:srcRect l="11642"/>
                    <a:stretch>
                      <a:fillRect/>
                    </a:stretch>
                  </pic:blipFill>
                  <pic:spPr>
                    <a:xfrm>
                      <a:off x="0" y="0"/>
                      <a:ext cx="1325245" cy="914400"/>
                    </a:xfrm>
                    <a:prstGeom prst="rect">
                      <a:avLst/>
                    </a:prstGeom>
                    <a:noFill/>
                    <a:ln>
                      <a:noFill/>
                    </a:ln>
                  </pic:spPr>
                </pic:pic>
              </a:graphicData>
            </a:graphic>
          </wp:anchor>
        </w:drawing>
      </w:r>
      <w:r>
        <w:rPr>
          <w:rFonts w:hint="default" w:ascii="Times New Roman" w:hAnsi="Times New Roman" w:cs="Times New Roman"/>
          <w:kern w:val="0"/>
          <w:sz w:val="24"/>
        </w:rPr>
        <mc:AlternateContent>
          <mc:Choice Requires="wps">
            <w:drawing>
              <wp:anchor distT="0" distB="0" distL="114300" distR="114300" simplePos="0" relativeHeight="251660288" behindDoc="0" locked="0" layoutInCell="1" allowOverlap="1">
                <wp:simplePos x="0" y="0"/>
                <wp:positionH relativeFrom="column">
                  <wp:posOffset>2182495</wp:posOffset>
                </wp:positionH>
                <wp:positionV relativeFrom="paragraph">
                  <wp:posOffset>673735</wp:posOffset>
                </wp:positionV>
                <wp:extent cx="372745" cy="635"/>
                <wp:effectExtent l="0" t="37465" r="8255" b="38100"/>
                <wp:wrapNone/>
                <wp:docPr id="27" name="直接箭头连接符 27"/>
                <wp:cNvGraphicFramePr/>
                <a:graphic xmlns:a="http://schemas.openxmlformats.org/drawingml/2006/main">
                  <a:graphicData uri="http://schemas.microsoft.com/office/word/2010/wordprocessingShape">
                    <wps:wsp>
                      <wps:cNvCnPr/>
                      <wps:spPr>
                        <a:xfrm>
                          <a:off x="0" y="0"/>
                          <a:ext cx="372745" cy="63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71.85pt;margin-top:53.05pt;height:0.05pt;width:29.35pt;z-index:251660288;mso-width-relative:page;mso-height-relative:page;" filled="f" stroked="t" coordsize="21600,21600" o:gfxdata="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lvdfZNoAAAALAQAADwAAAAAAAAABACAAAAAiAAAA&#10;ZHJzL2Rvd25yZXYueG1sUEsBAhQAFAAAAAgAh07iQP8wRB8FAgAA8wMAAA4AAAAAAAAAAQAgAAAA&#10;KQEAAGRycy9lMm9Eb2MueG1sUEsFBgAAAAAGAAYAWQEAAKAFAAAAAA==&#10;">
                <v:fill on="f" focussize="0,0"/>
                <v:stroke color="#000000" joinstyle="round" endarrow="block"/>
                <v:imagedata o:title=""/>
                <o:lock v:ext="edit" aspectratio="f"/>
              </v:shape>
            </w:pict>
          </mc:Fallback>
        </mc:AlternateContent>
      </w:r>
      <w:r>
        <w:rPr>
          <w:rFonts w:hint="default" w:ascii="Times New Roman" w:hAnsi="Times New Roman" w:cs="Times New Roman"/>
          <w:kern w:val="0"/>
          <w:sz w:val="24"/>
        </w:rPr>
        <mc:AlternateContent>
          <mc:Choice Requires="wps">
            <w:drawing>
              <wp:anchor distT="0" distB="0" distL="114300" distR="114300" simplePos="0" relativeHeight="251661312" behindDoc="0" locked="0" layoutInCell="1" allowOverlap="1">
                <wp:simplePos x="0" y="0"/>
                <wp:positionH relativeFrom="column">
                  <wp:posOffset>1452880</wp:posOffset>
                </wp:positionH>
                <wp:positionV relativeFrom="paragraph">
                  <wp:posOffset>554355</wp:posOffset>
                </wp:positionV>
                <wp:extent cx="838200" cy="313055"/>
                <wp:effectExtent l="0" t="0" r="0" b="10795"/>
                <wp:wrapNone/>
                <wp:docPr id="13" name="文本框 13"/>
                <wp:cNvGraphicFramePr/>
                <a:graphic xmlns:a="http://schemas.openxmlformats.org/drawingml/2006/main">
                  <a:graphicData uri="http://schemas.microsoft.com/office/word/2010/wordprocessingShape">
                    <wps:wsp>
                      <wps:cNvSpPr txBox="1"/>
                      <wps:spPr>
                        <a:xfrm>
                          <a:off x="0" y="0"/>
                          <a:ext cx="838200" cy="313055"/>
                        </a:xfrm>
                        <a:prstGeom prst="rect">
                          <a:avLst/>
                        </a:prstGeom>
                        <a:solidFill>
                          <a:srgbClr val="FFFFFF"/>
                        </a:solidFill>
                        <a:ln>
                          <a:noFill/>
                        </a:ln>
                      </wps:spPr>
                      <wps:txbx>
                        <w:txbxContent>
                          <w:p w14:paraId="5C3C7E0A">
                            <w:pPr>
                              <w:rPr>
                                <w:sz w:val="28"/>
                                <w:szCs w:val="28"/>
                              </w:rPr>
                            </w:pPr>
                            <w:r>
                              <w:rPr>
                                <w:rFonts w:hint="eastAsia"/>
                                <w:sz w:val="28"/>
                                <w:szCs w:val="28"/>
                              </w:rPr>
                              <w:t>Na</w:t>
                            </w:r>
                            <w:r>
                              <w:rPr>
                                <w:rFonts w:hint="eastAsia"/>
                                <w:sz w:val="28"/>
                                <w:szCs w:val="28"/>
                                <w:vertAlign w:val="subscript"/>
                              </w:rPr>
                              <w:t>2</w:t>
                            </w:r>
                            <w:r>
                              <w:rPr>
                                <w:rFonts w:hint="eastAsia"/>
                                <w:sz w:val="28"/>
                                <w:szCs w:val="28"/>
                              </w:rPr>
                              <w:t>CO</w:t>
                            </w:r>
                            <w:r>
                              <w:rPr>
                                <w:rFonts w:hint="eastAsia"/>
                                <w:sz w:val="28"/>
                                <w:szCs w:val="28"/>
                                <w:vertAlign w:val="subscript"/>
                              </w:rPr>
                              <w:t>3</w:t>
                            </w:r>
                          </w:p>
                        </w:txbxContent>
                      </wps:txbx>
                      <wps:bodyPr upright="1"/>
                    </wps:wsp>
                  </a:graphicData>
                </a:graphic>
              </wp:anchor>
            </w:drawing>
          </mc:Choice>
          <mc:Fallback>
            <w:pict>
              <v:shape id="_x0000_s1026" o:spid="_x0000_s1026" o:spt="202" type="#_x0000_t202" style="position:absolute;left:0pt;margin-left:114.4pt;margin-top:43.65pt;height:24.65pt;width:66pt;z-index:251661312;mso-width-relative:page;mso-height-relative:page;" fillcolor="#FFFFFF" filled="t" stroked="f" coordsize="21600,21600" o:gfxdata="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RXNWb1wAAAAoBAAAPAAAAAAAAAAEAIAAAACIAAABkcnMvZG93bnJldi54bWxQ&#10;SwECFAAUAAAACACHTuJAclA7kr8BAAB4AwAADgAAAAAAAAABACAAAAAmAQAAZHJzL2Uyb0RvYy54&#10;bWxQSwUGAAAAAAYABgBZAQAAVwUAAAAA&#10;">
                <v:fill on="t" focussize="0,0"/>
                <v:stroke on="f"/>
                <v:imagedata o:title=""/>
                <o:lock v:ext="edit" aspectratio="f"/>
                <v:textbox>
                  <w:txbxContent>
                    <w:p w14:paraId="5C3C7E0A">
                      <w:pPr>
                        <w:rPr>
                          <w:sz w:val="28"/>
                          <w:szCs w:val="28"/>
                        </w:rPr>
                      </w:pPr>
                      <w:r>
                        <w:rPr>
                          <w:rFonts w:hint="eastAsia"/>
                          <w:sz w:val="28"/>
                          <w:szCs w:val="28"/>
                        </w:rPr>
                        <w:t>Na</w:t>
                      </w:r>
                      <w:r>
                        <w:rPr>
                          <w:rFonts w:hint="eastAsia"/>
                          <w:sz w:val="28"/>
                          <w:szCs w:val="28"/>
                          <w:vertAlign w:val="subscript"/>
                        </w:rPr>
                        <w:t>2</w:t>
                      </w:r>
                      <w:r>
                        <w:rPr>
                          <w:rFonts w:hint="eastAsia"/>
                          <w:sz w:val="28"/>
                          <w:szCs w:val="28"/>
                        </w:rPr>
                        <w:t>CO</w:t>
                      </w:r>
                      <w:r>
                        <w:rPr>
                          <w:rFonts w:hint="eastAsia"/>
                          <w:sz w:val="28"/>
                          <w:szCs w:val="28"/>
                          <w:vertAlign w:val="subscript"/>
                        </w:rPr>
                        <w:t>3</w:t>
                      </w:r>
                    </w:p>
                  </w:txbxContent>
                </v:textbox>
              </v:shape>
            </w:pict>
          </mc:Fallback>
        </mc:AlternateContent>
      </w:r>
      <w:r>
        <w:rPr>
          <w:rFonts w:hint="default" w:ascii="Times New Roman" w:hAnsi="Times New Roman" w:cs="Times New Roman"/>
          <w:kern w:val="0"/>
          <w:sz w:val="24"/>
        </w:rPr>
        <w:fldChar w:fldCharType="begin"/>
      </w:r>
      <w:r>
        <w:rPr>
          <w:rFonts w:hint="default" w:ascii="Times New Roman" w:hAnsi="Times New Roman" w:cs="Times New Roman"/>
          <w:kern w:val="0"/>
          <w:sz w:val="24"/>
        </w:rPr>
        <w:instrText xml:space="preserve"> INCLUDEPICTURE "C:\\Documents and Settings\\Administrator\\Application Data\\Tencent\\Users\\289678171\\QQ\\WinTemp\\RichOle\\FIOTL%Q{_4OA_W7FX3N8_2J.png" \* MERGEFORMATINET </w:instrText>
      </w:r>
      <w:r>
        <w:rPr>
          <w:rFonts w:hint="default" w:ascii="Times New Roman" w:hAnsi="Times New Roman" w:cs="Times New Roman"/>
          <w:kern w:val="0"/>
          <w:sz w:val="24"/>
        </w:rPr>
        <w:fldChar w:fldCharType="separate"/>
      </w:r>
      <w:r>
        <w:rPr>
          <w:rFonts w:hint="default" w:ascii="Times New Roman" w:hAnsi="Times New Roman" w:cs="Times New Roman"/>
          <w:kern w:val="0"/>
          <w:sz w:val="24"/>
        </w:rPr>
        <w:drawing>
          <wp:inline distT="0" distB="0" distL="114300" distR="114300">
            <wp:extent cx="2150745" cy="1089025"/>
            <wp:effectExtent l="0" t="0" r="1905" b="15875"/>
            <wp:docPr id="31" name="图片 12" descr="FIOTL%Q{_4OA_W7FX3N8_2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2" descr="FIOTL%Q{_4OA_W7FX3N8_2J"/>
                    <pic:cNvPicPr>
                      <a:picLocks noChangeAspect="1"/>
                    </pic:cNvPicPr>
                  </pic:nvPicPr>
                  <pic:blipFill>
                    <a:blip r:embed="rId37"/>
                    <a:stretch>
                      <a:fillRect/>
                    </a:stretch>
                  </pic:blipFill>
                  <pic:spPr>
                    <a:xfrm>
                      <a:off x="0" y="0"/>
                      <a:ext cx="2150745" cy="1089025"/>
                    </a:xfrm>
                    <a:prstGeom prst="rect">
                      <a:avLst/>
                    </a:prstGeom>
                    <a:noFill/>
                    <a:ln>
                      <a:noFill/>
                    </a:ln>
                  </pic:spPr>
                </pic:pic>
              </a:graphicData>
            </a:graphic>
          </wp:inline>
        </w:drawing>
      </w:r>
      <w:r>
        <w:rPr>
          <w:rFonts w:hint="default" w:ascii="Times New Roman" w:hAnsi="Times New Roman" w:cs="Times New Roman"/>
          <w:kern w:val="0"/>
          <w:sz w:val="24"/>
        </w:rPr>
        <w:fldChar w:fldCharType="end"/>
      </w:r>
    </w:p>
    <w:p w14:paraId="666AC3F8">
      <w:pPr>
        <w:snapToGrid w:val="0"/>
        <w:spacing w:line="360" w:lineRule="auto"/>
        <w:ind w:firstLine="486" w:firstLineChars="200"/>
        <w:rPr>
          <w:rFonts w:hint="default" w:ascii="Times New Roman" w:hAnsi="Times New Roman" w:cs="Times New Roman"/>
          <w:sz w:val="24"/>
        </w:rPr>
      </w:pPr>
      <w:bookmarkStart w:id="65" w:name="_Toc427338962"/>
      <w:r>
        <w:rPr>
          <w:rFonts w:hint="default" w:ascii="Times New Roman" w:hAnsi="Times New Roman" w:cs="Times New Roman"/>
          <w:sz w:val="24"/>
        </w:rPr>
        <w:t>3、水洗</w:t>
      </w:r>
      <w:bookmarkEnd w:id="65"/>
    </w:p>
    <w:p w14:paraId="7DA76E3D">
      <w:pPr>
        <w:snapToGrid w:val="0"/>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向水洗釜内加水，搅拌15min后静置分层30min，后将粗酯放入粗酯2罐内。水洗液放入水洗池，用泵送至水杨酸车间套用。</w:t>
      </w:r>
    </w:p>
    <w:p w14:paraId="406CA142">
      <w:pPr>
        <w:snapToGrid w:val="0"/>
        <w:spacing w:line="360" w:lineRule="auto"/>
        <w:ind w:firstLine="486" w:firstLineChars="200"/>
        <w:rPr>
          <w:rFonts w:hint="default" w:ascii="Times New Roman" w:hAnsi="Times New Roman" w:cs="Times New Roman"/>
          <w:sz w:val="24"/>
        </w:rPr>
      </w:pPr>
      <w:bookmarkStart w:id="66" w:name="_Toc427338963"/>
      <w:r>
        <w:rPr>
          <w:rFonts w:hint="default" w:ascii="Times New Roman" w:hAnsi="Times New Roman" w:cs="Times New Roman"/>
          <w:sz w:val="24"/>
        </w:rPr>
        <w:t>三、蒸馏</w:t>
      </w:r>
      <w:bookmarkEnd w:id="66"/>
    </w:p>
    <w:p w14:paraId="5D08EC52">
      <w:pPr>
        <w:snapToGrid w:val="0"/>
        <w:spacing w:line="360" w:lineRule="auto"/>
        <w:ind w:firstLine="486" w:firstLineChars="200"/>
        <w:rPr>
          <w:rFonts w:hint="default" w:ascii="Times New Roman" w:hAnsi="Times New Roman" w:cs="Times New Roman"/>
          <w:sz w:val="24"/>
        </w:rPr>
      </w:pPr>
      <w:bookmarkStart w:id="67" w:name="_Toc427338964"/>
      <w:r>
        <w:rPr>
          <w:rFonts w:hint="default" w:ascii="Times New Roman" w:hAnsi="Times New Roman" w:cs="Times New Roman"/>
          <w:sz w:val="24"/>
        </w:rPr>
        <w:t>1、甲酯</w:t>
      </w:r>
      <w:bookmarkEnd w:id="67"/>
      <w:r>
        <w:rPr>
          <w:rFonts w:hint="default" w:ascii="Times New Roman" w:hAnsi="Times New Roman" w:cs="Times New Roman"/>
          <w:sz w:val="24"/>
        </w:rPr>
        <w:t>精馏</w:t>
      </w:r>
    </w:p>
    <w:p w14:paraId="0832B7B7">
      <w:pPr>
        <w:snapToGrid w:val="0"/>
        <w:spacing w:line="360" w:lineRule="auto"/>
        <w:ind w:firstLine="486" w:firstLineChars="200"/>
        <w:rPr>
          <w:rFonts w:hint="default" w:ascii="Times New Roman" w:hAnsi="Times New Roman" w:cs="Times New Roman"/>
          <w:b w:val="0"/>
          <w:bCs w:val="0"/>
          <w:sz w:val="24"/>
        </w:rPr>
      </w:pPr>
      <w:r>
        <w:rPr>
          <w:rFonts w:hint="default" w:ascii="Times New Roman" w:hAnsi="Times New Roman" w:cs="Times New Roman"/>
          <w:sz w:val="24"/>
        </w:rPr>
        <w:t>将粗酯2罐内粗酯自流入蒸馏釜内，不得超过蒸馏釜体积的80%，开蒸汽升温，减压蒸馏（精馏过程中产生不凝气，主要成分为甲醇和其他VOC）。缓慢加温，当釜内温度达到80~85℃时，前期水分出完（流量计开至最大），此时开大蒸汽阀门（压力≤0.5MPa），继续升温，当温度升至110~120℃左右时，开始有少量成品流出，此时关闭采出流量计阀门，使之回流30min左右，当成品出酚含量降</w:t>
      </w:r>
      <w:r>
        <w:rPr>
          <w:rFonts w:hint="default" w:ascii="Times New Roman" w:hAnsi="Times New Roman" w:cs="Times New Roman"/>
          <w:b w:val="0"/>
          <w:bCs w:val="0"/>
          <w:sz w:val="24"/>
        </w:rPr>
        <w:t>至400ppm左右时，打开成品采出阀收集成品（精馏过程中产生残渣）。</w:t>
      </w:r>
    </w:p>
    <w:p w14:paraId="31B54F01">
      <w:pPr>
        <w:snapToGrid w:val="0"/>
        <w:spacing w:line="360" w:lineRule="auto"/>
        <w:ind w:firstLine="486" w:firstLineChars="200"/>
        <w:rPr>
          <w:rFonts w:hint="default" w:ascii="Times New Roman" w:hAnsi="Times New Roman" w:cs="Times New Roman"/>
          <w:b w:val="0"/>
          <w:bCs w:val="0"/>
          <w:sz w:val="24"/>
        </w:rPr>
      </w:pPr>
      <w:bookmarkStart w:id="68" w:name="_Toc427338965"/>
      <w:r>
        <w:rPr>
          <w:rFonts w:hint="default" w:ascii="Times New Roman" w:hAnsi="Times New Roman" w:cs="Times New Roman"/>
          <w:b w:val="0"/>
          <w:bCs w:val="0"/>
          <w:sz w:val="24"/>
        </w:rPr>
        <w:t>此工序主要产污环节为：精馏废气（G</w:t>
      </w:r>
      <w:r>
        <w:rPr>
          <w:rFonts w:hint="default" w:ascii="Times New Roman" w:hAnsi="Times New Roman" w:cs="Times New Roman"/>
          <w:b w:val="0"/>
          <w:bCs w:val="0"/>
          <w:sz w:val="24"/>
          <w:vertAlign w:val="subscript"/>
        </w:rPr>
        <w:t>2-2</w:t>
      </w:r>
      <w:r>
        <w:rPr>
          <w:rFonts w:hint="default" w:ascii="Times New Roman" w:hAnsi="Times New Roman" w:cs="Times New Roman"/>
          <w:b w:val="0"/>
          <w:bCs w:val="0"/>
          <w:sz w:val="24"/>
        </w:rPr>
        <w:t>）、蒸馏残渣（S</w:t>
      </w:r>
      <w:r>
        <w:rPr>
          <w:rFonts w:hint="default" w:ascii="Times New Roman" w:hAnsi="Times New Roman" w:cs="Times New Roman"/>
          <w:b w:val="0"/>
          <w:bCs w:val="0"/>
          <w:sz w:val="24"/>
          <w:vertAlign w:val="subscript"/>
        </w:rPr>
        <w:t>2-1</w:t>
      </w:r>
      <w:r>
        <w:rPr>
          <w:rFonts w:hint="default" w:ascii="Times New Roman" w:hAnsi="Times New Roman" w:cs="Times New Roman"/>
          <w:b w:val="0"/>
          <w:bCs w:val="0"/>
          <w:sz w:val="24"/>
        </w:rPr>
        <w:t>）。精馏废气（G</w:t>
      </w:r>
      <w:r>
        <w:rPr>
          <w:rFonts w:hint="default" w:ascii="Times New Roman" w:hAnsi="Times New Roman" w:cs="Times New Roman"/>
          <w:b w:val="0"/>
          <w:bCs w:val="0"/>
          <w:sz w:val="24"/>
          <w:vertAlign w:val="subscript"/>
        </w:rPr>
        <w:t>2-2</w:t>
      </w:r>
      <w:r>
        <w:rPr>
          <w:rFonts w:hint="default" w:ascii="Times New Roman" w:hAnsi="Times New Roman" w:cs="Times New Roman"/>
          <w:b w:val="0"/>
          <w:bCs w:val="0"/>
          <w:sz w:val="24"/>
        </w:rPr>
        <w:t>）主要污染物为甲醇等，经蒸馏釜的排空口进入废气收集管道，进入有机废气处理装置处理；蒸馏残渣（S</w:t>
      </w:r>
      <w:r>
        <w:rPr>
          <w:rFonts w:hint="default" w:ascii="Times New Roman" w:hAnsi="Times New Roman" w:cs="Times New Roman"/>
          <w:b w:val="0"/>
          <w:bCs w:val="0"/>
          <w:sz w:val="24"/>
          <w:vertAlign w:val="subscript"/>
        </w:rPr>
        <w:t>2-1</w:t>
      </w:r>
      <w:r>
        <w:rPr>
          <w:rFonts w:hint="default" w:ascii="Times New Roman" w:hAnsi="Times New Roman" w:cs="Times New Roman"/>
          <w:b w:val="0"/>
          <w:bCs w:val="0"/>
          <w:sz w:val="24"/>
        </w:rPr>
        <w:t>）属于危险废物，委托资质单位处理。</w:t>
      </w:r>
    </w:p>
    <w:p w14:paraId="156BA5A9">
      <w:pPr>
        <w:snapToGrid w:val="0"/>
        <w:spacing w:line="360" w:lineRule="auto"/>
        <w:ind w:firstLine="486" w:firstLineChars="200"/>
        <w:rPr>
          <w:rFonts w:hint="default" w:ascii="Times New Roman" w:hAnsi="Times New Roman" w:cs="Times New Roman"/>
          <w:b w:val="0"/>
          <w:bCs w:val="0"/>
          <w:sz w:val="24"/>
        </w:rPr>
      </w:pPr>
      <w:r>
        <w:rPr>
          <w:rFonts w:hint="default" w:ascii="Times New Roman" w:hAnsi="Times New Roman" w:cs="Times New Roman"/>
          <w:b w:val="0"/>
          <w:bCs w:val="0"/>
          <w:sz w:val="24"/>
        </w:rPr>
        <w:t>2、甲醇蒸馏</w:t>
      </w:r>
      <w:bookmarkEnd w:id="68"/>
    </w:p>
    <w:p w14:paraId="6968A105">
      <w:pPr>
        <w:snapToGrid w:val="0"/>
        <w:spacing w:line="360" w:lineRule="auto"/>
        <w:ind w:firstLine="486" w:firstLineChars="200"/>
        <w:rPr>
          <w:rFonts w:hint="default" w:ascii="Times New Roman" w:hAnsi="Times New Roman" w:cs="Times New Roman"/>
          <w:b w:val="0"/>
          <w:bCs w:val="0"/>
          <w:sz w:val="24"/>
        </w:rPr>
      </w:pPr>
      <w:r>
        <w:rPr>
          <w:rFonts w:hint="default" w:ascii="Times New Roman" w:hAnsi="Times New Roman" w:cs="Times New Roman"/>
          <w:b w:val="0"/>
          <w:bCs w:val="0"/>
          <w:sz w:val="24"/>
        </w:rPr>
        <w:t>将酸醇溶液用泵打入甲醇蒸馏釜至2/3处，开启搅拌，用蒸汽加温（压力控制在0.2~0.4MPa，精馏过程中产生精馏不凝气，主要成分为甲醇和其他VOC），温度升至130℃时，甲醇回收完毕，停止加温，降温至45℃以下，将酸放入待回收硫酸罐待用。</w:t>
      </w:r>
    </w:p>
    <w:p w14:paraId="2638B914">
      <w:pPr>
        <w:snapToGrid w:val="0"/>
        <w:spacing w:line="360" w:lineRule="auto"/>
        <w:ind w:firstLine="486" w:firstLineChars="200"/>
        <w:rPr>
          <w:rFonts w:hint="default" w:ascii="Times New Roman" w:hAnsi="Times New Roman" w:cs="Times New Roman"/>
          <w:b w:val="0"/>
          <w:bCs w:val="0"/>
          <w:sz w:val="24"/>
        </w:rPr>
      </w:pPr>
      <w:r>
        <w:rPr>
          <w:rFonts w:hint="default" w:ascii="Times New Roman" w:hAnsi="Times New Roman" w:cs="Times New Roman"/>
          <w:b w:val="0"/>
          <w:bCs w:val="0"/>
          <w:sz w:val="24"/>
        </w:rPr>
        <w:t>再沸器内待回收甲醇达到一定量时，蒸汽加温（温度控制在100℃以下，顶温控制在55~62℃），进行内回流，检测合格后，回收至甲醇罐。再沸器降温至45℃，将水分批放入待回收硫酸罐内。</w:t>
      </w:r>
    </w:p>
    <w:p w14:paraId="60CDB070">
      <w:pPr>
        <w:snapToGrid w:val="0"/>
        <w:spacing w:line="360" w:lineRule="auto"/>
        <w:ind w:firstLine="486" w:firstLineChars="200"/>
        <w:rPr>
          <w:rFonts w:hint="default" w:ascii="Times New Roman" w:hAnsi="Times New Roman" w:cs="Times New Roman"/>
          <w:b w:val="0"/>
          <w:bCs w:val="0"/>
          <w:sz w:val="24"/>
        </w:rPr>
      </w:pPr>
      <w:r>
        <w:rPr>
          <w:rFonts w:hint="default" w:ascii="Times New Roman" w:hAnsi="Times New Roman" w:cs="Times New Roman"/>
          <w:b w:val="0"/>
          <w:bCs w:val="0"/>
          <w:sz w:val="24"/>
        </w:rPr>
        <w:t>此工序主要产污环节为：蒸馏废气（G</w:t>
      </w:r>
      <w:r>
        <w:rPr>
          <w:rFonts w:hint="default" w:ascii="Times New Roman" w:hAnsi="Times New Roman" w:cs="Times New Roman"/>
          <w:b w:val="0"/>
          <w:bCs w:val="0"/>
          <w:sz w:val="24"/>
          <w:vertAlign w:val="subscript"/>
        </w:rPr>
        <w:t>2-3</w:t>
      </w:r>
      <w:r>
        <w:rPr>
          <w:rFonts w:hint="default" w:ascii="Times New Roman" w:hAnsi="Times New Roman" w:cs="Times New Roman"/>
          <w:b w:val="0"/>
          <w:bCs w:val="0"/>
          <w:sz w:val="24"/>
        </w:rPr>
        <w:t>），主要污染物为甲醇等，经蒸馏釜的排空口进入废气收集管道，进入有机废气处理装置处理。</w:t>
      </w:r>
    </w:p>
    <w:p w14:paraId="242BCA71">
      <w:pPr>
        <w:snapToGrid w:val="0"/>
        <w:spacing w:line="360" w:lineRule="auto"/>
        <w:ind w:firstLine="486" w:firstLineChars="200"/>
        <w:rPr>
          <w:rFonts w:hint="default" w:ascii="Times New Roman" w:hAnsi="Times New Roman" w:cs="Times New Roman"/>
          <w:b w:val="0"/>
          <w:bCs w:val="0"/>
          <w:sz w:val="24"/>
        </w:rPr>
      </w:pPr>
      <w:bookmarkStart w:id="69" w:name="_Toc427338966"/>
      <w:r>
        <w:rPr>
          <w:rFonts w:hint="default" w:ascii="Times New Roman" w:hAnsi="Times New Roman" w:cs="Times New Roman"/>
          <w:b w:val="0"/>
          <w:bCs w:val="0"/>
          <w:sz w:val="24"/>
        </w:rPr>
        <w:t>3、萃取</w:t>
      </w:r>
      <w:bookmarkEnd w:id="69"/>
    </w:p>
    <w:p w14:paraId="1C9A10D6">
      <w:pPr>
        <w:snapToGrid w:val="0"/>
        <w:spacing w:line="360" w:lineRule="auto"/>
        <w:ind w:firstLine="486" w:firstLineChars="200"/>
        <w:rPr>
          <w:rFonts w:hint="default" w:ascii="Times New Roman" w:hAnsi="Times New Roman" w:cs="Times New Roman"/>
          <w:b w:val="0"/>
          <w:bCs w:val="0"/>
          <w:sz w:val="24"/>
        </w:rPr>
      </w:pPr>
      <w:r>
        <w:rPr>
          <w:rFonts w:hint="default" w:ascii="Times New Roman" w:hAnsi="Times New Roman" w:cs="Times New Roman"/>
          <w:b w:val="0"/>
          <w:bCs w:val="0"/>
          <w:sz w:val="24"/>
        </w:rPr>
        <w:t>将待回收硫酸罐中的稀硫酸用泵打入萃取釜内，加入萃取剂，搅拌15min，静置20min，将硫酸放入萃取硫酸罐内，送至水杨酸车间套用。萃取完毕后，开搅拌，向萃取液中加入稀碱水进行反萃取（萃取剂为酯类，不参与反应，循环使用，年消耗补充量为1t），调至PH值12~13.5后继续搅拌10min，静置10min。反萃液放入水杨酸钠池，用泵送至水杨酸车间套用。</w:t>
      </w:r>
    </w:p>
    <w:p w14:paraId="7840CDE5">
      <w:pPr>
        <w:tabs>
          <w:tab w:val="left" w:pos="2280"/>
        </w:tabs>
        <w:spacing w:line="360" w:lineRule="auto"/>
        <w:ind w:firstLine="486" w:firstLineChars="200"/>
        <w:rPr>
          <w:rFonts w:hint="default" w:ascii="Times New Roman" w:hAnsi="Times New Roman" w:cs="Times New Roman"/>
          <w:b w:val="0"/>
          <w:bCs w:val="0"/>
          <w:sz w:val="24"/>
        </w:rPr>
      </w:pPr>
      <w:r>
        <w:rPr>
          <w:rFonts w:hint="default" w:ascii="Times New Roman" w:hAnsi="Times New Roman" w:cs="Times New Roman"/>
          <w:b w:val="0"/>
          <w:bCs w:val="0"/>
          <w:sz w:val="24"/>
        </w:rPr>
        <w:t>四、包装</w:t>
      </w:r>
    </w:p>
    <w:p w14:paraId="5578DE0C">
      <w:pPr>
        <w:tabs>
          <w:tab w:val="left" w:pos="2280"/>
        </w:tabs>
        <w:spacing w:line="360" w:lineRule="auto"/>
        <w:ind w:firstLine="486" w:firstLineChars="200"/>
        <w:rPr>
          <w:rFonts w:hint="default" w:ascii="Times New Roman" w:hAnsi="Times New Roman" w:cs="Times New Roman"/>
          <w:b w:val="0"/>
          <w:bCs w:val="0"/>
          <w:sz w:val="24"/>
        </w:rPr>
      </w:pPr>
      <w:r>
        <w:rPr>
          <w:rFonts w:hint="default" w:ascii="Times New Roman" w:hAnsi="Times New Roman" w:cs="Times New Roman"/>
          <w:b w:val="0"/>
          <w:bCs w:val="0"/>
          <w:sz w:val="24"/>
        </w:rPr>
        <w:t>将产品进行包装。</w:t>
      </w:r>
    </w:p>
    <w:p w14:paraId="31083ECC">
      <w:pPr>
        <w:snapToGrid w:val="0"/>
        <w:spacing w:line="360" w:lineRule="auto"/>
        <w:ind w:firstLine="486" w:firstLineChars="200"/>
        <w:rPr>
          <w:rFonts w:hint="default" w:ascii="Times New Roman" w:hAnsi="Times New Roman" w:cs="Times New Roman"/>
          <w:b w:val="0"/>
          <w:bCs w:val="0"/>
          <w:sz w:val="24"/>
        </w:rPr>
      </w:pPr>
      <w:r>
        <w:rPr>
          <w:rFonts w:hint="default" w:ascii="Times New Roman" w:hAnsi="Times New Roman" w:cs="Times New Roman"/>
          <w:b w:val="0"/>
          <w:bCs w:val="0"/>
          <w:sz w:val="24"/>
        </w:rPr>
        <w:t>生产工艺及产污环节流程见图3.6-6。</w:t>
      </w:r>
    </w:p>
    <w:p w14:paraId="21D05F60">
      <w:pPr>
        <w:jc w:val="center"/>
        <w:rPr>
          <w:rFonts w:hint="default" w:ascii="Times New Roman" w:hAnsi="Times New Roman" w:cs="Times New Roman"/>
          <w:b w:val="0"/>
          <w:bCs w:val="0"/>
        </w:rPr>
      </w:pPr>
      <w:r>
        <w:rPr>
          <w:rFonts w:hint="default" w:ascii="Times New Roman" w:hAnsi="Times New Roman" w:cs="Times New Roman"/>
          <w:b w:val="0"/>
          <w:bCs w:val="0"/>
        </w:rPr>
        <w:object>
          <v:shape id="_x0000_i1034" o:spt="75" type="#_x0000_t75" style="height:453.35pt;width:457.6pt;" o:ole="t" filled="f" o:preferrelative="t" stroked="f" coordsize="21600,21600">
            <v:path/>
            <v:fill on="f" alignshape="1" focussize="0,0"/>
            <v:stroke on="f"/>
            <v:imagedata r:id="rId39" grayscale="f" bilevel="f" o:title=""/>
            <o:lock v:ext="edit" aspectratio="t"/>
            <w10:wrap type="none"/>
            <w10:anchorlock/>
          </v:shape>
          <o:OLEObject Type="Embed" ProgID="Visio.Drawing.11" ShapeID="_x0000_i1034" DrawAspect="Content" ObjectID="_1468075734" r:id="rId38">
            <o:LockedField>false</o:LockedField>
          </o:OLEObject>
        </w:object>
      </w:r>
    </w:p>
    <w:p w14:paraId="7763BFF6">
      <w:pPr>
        <w:jc w:val="center"/>
        <w:rPr>
          <w:rFonts w:hint="default" w:ascii="Times New Roman" w:hAnsi="Times New Roman" w:cs="Times New Roman"/>
          <w:b/>
          <w:bCs/>
          <w:sz w:val="24"/>
        </w:rPr>
      </w:pPr>
      <w:r>
        <w:rPr>
          <w:rFonts w:hint="default" w:ascii="Times New Roman" w:hAnsi="Times New Roman" w:cs="Times New Roman"/>
          <w:b/>
          <w:bCs/>
          <w:sz w:val="24"/>
        </w:rPr>
        <w:t>图3.</w:t>
      </w:r>
      <w:r>
        <w:rPr>
          <w:rFonts w:hint="default" w:ascii="Times New Roman" w:hAnsi="Times New Roman" w:cs="Times New Roman"/>
          <w:b/>
          <w:bCs/>
          <w:sz w:val="24"/>
          <w:lang w:val="en-US" w:eastAsia="zh-CN"/>
        </w:rPr>
        <w:t>4-</w:t>
      </w:r>
      <w:r>
        <w:rPr>
          <w:rFonts w:hint="eastAsia" w:ascii="Times New Roman" w:hAnsi="Times New Roman" w:cs="Times New Roman"/>
          <w:b/>
          <w:bCs/>
          <w:sz w:val="24"/>
          <w:lang w:val="en-US" w:eastAsia="zh-CN"/>
        </w:rPr>
        <w:t>7</w:t>
      </w:r>
      <w:r>
        <w:rPr>
          <w:rFonts w:hint="default" w:ascii="Times New Roman" w:hAnsi="Times New Roman" w:cs="Times New Roman"/>
          <w:b/>
          <w:bCs/>
          <w:sz w:val="24"/>
        </w:rPr>
        <w:t xml:space="preserve"> 水杨酸甲酯生产工艺及产污环节流程图</w:t>
      </w:r>
    </w:p>
    <w:p w14:paraId="5A4D7E9B">
      <w:pPr>
        <w:pStyle w:val="8"/>
        <w:spacing w:before="0" w:after="0"/>
        <w:rPr>
          <w:rFonts w:hint="default" w:ascii="Times New Roman" w:hAnsi="Times New Roman" w:cs="Times New Roman"/>
          <w:color w:val="auto"/>
          <w:highlight w:val="none"/>
          <w:lang w:val="en-US" w:eastAsia="zh-CN"/>
        </w:rPr>
      </w:pPr>
    </w:p>
    <w:p w14:paraId="7B43E022">
      <w:pPr>
        <w:rPr>
          <w:rFonts w:hint="default"/>
          <w:lang w:val="en-US" w:eastAsia="zh-CN"/>
        </w:rPr>
      </w:pPr>
    </w:p>
    <w:p w14:paraId="2AED39BF">
      <w:pPr>
        <w:snapToGrid w:val="0"/>
        <w:spacing w:line="360" w:lineRule="auto"/>
        <w:outlineLvl w:val="9"/>
        <w:rPr>
          <w:rFonts w:hint="default" w:ascii="Times New Roman" w:hAnsi="Times New Roman" w:cs="Times New Roman"/>
          <w:b/>
          <w:sz w:val="24"/>
        </w:rPr>
      </w:pPr>
      <w:r>
        <w:rPr>
          <w:rFonts w:hint="eastAsia" w:cs="Times New Roman"/>
          <w:b/>
          <w:bCs/>
          <w:sz w:val="24"/>
          <w:lang w:val="en-US" w:eastAsia="zh-CN"/>
        </w:rPr>
        <w:t>3.4.7</w:t>
      </w:r>
      <w:r>
        <w:rPr>
          <w:rFonts w:hint="eastAsia" w:ascii="Times New Roman" w:hAnsi="Times New Roman" w:cs="Times New Roman"/>
          <w:b/>
          <w:bCs/>
          <w:sz w:val="24"/>
          <w:lang w:val="en-US" w:eastAsia="zh-CN"/>
        </w:rPr>
        <w:t xml:space="preserve"> 5-氯</w:t>
      </w:r>
      <w:r>
        <w:rPr>
          <w:rFonts w:hint="default" w:ascii="Times New Roman" w:hAnsi="Times New Roman" w:cs="Times New Roman"/>
          <w:b/>
          <w:sz w:val="24"/>
        </w:rPr>
        <w:t>水杨酸</w:t>
      </w:r>
    </w:p>
    <w:p w14:paraId="39985C06">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426" w:firstLineChars="200"/>
        <w:textAlignment w:val="auto"/>
        <w:rPr>
          <w:rFonts w:hint="eastAsia" w:ascii="新宋体" w:hAnsi="新宋体" w:eastAsia="新宋体" w:cs="新宋体"/>
          <w:sz w:val="24"/>
          <w:szCs w:val="24"/>
          <w:lang w:val="en-US" w:eastAsia="zh-CN"/>
        </w:rPr>
      </w:pPr>
      <w:r>
        <w:rPr>
          <w:rFonts w:hint="eastAsia"/>
        </w:rPr>
        <w:t>1、</w:t>
      </w:r>
      <w:r>
        <w:rPr>
          <w:rFonts w:hint="eastAsia" w:ascii="新宋体" w:hAnsi="新宋体" w:eastAsia="新宋体" w:cs="新宋体"/>
          <w:sz w:val="24"/>
          <w:szCs w:val="24"/>
          <w:highlight w:val="none"/>
          <w:lang w:val="en-US" w:eastAsia="zh-CN"/>
        </w:rPr>
        <w:t>通过气流输送系统将物料送至氯化釜上部料仓，气体经布袋除尘回收水杨酸 后直接排放。开启水喷射微真空系统，打开真空阀门，保持系统处于微负压状态，打开进料阀门，升华水杨酸通过管道进入氯化釜，真空泵抽出气体经过水喷射器混合后进入水箱，水杨酸粉尘进入水箱中，定期换水，将含有水 杨酸的废水返回工业水杨酸套用回收水杨酸。</w:t>
      </w:r>
      <w:r>
        <w:rPr>
          <w:rFonts w:hint="eastAsia" w:ascii="新宋体" w:hAnsi="新宋体" w:eastAsia="新宋体" w:cs="新宋体"/>
          <w:sz w:val="24"/>
          <w:szCs w:val="24"/>
          <w:lang w:val="en-US" w:eastAsia="zh-CN"/>
        </w:rPr>
        <w:t>升华水杨酸进料完毕（1500Kg）后，关闭进料阀门。</w:t>
      </w:r>
    </w:p>
    <w:p w14:paraId="635955E1">
      <w:pPr>
        <w:keepNext w:val="0"/>
        <w:keepLines w:val="0"/>
        <w:pageBreakBefore w:val="0"/>
        <w:widowControl w:val="0"/>
        <w:kinsoku/>
        <w:wordWrap/>
        <w:overflowPunct/>
        <w:topLinePunct w:val="0"/>
        <w:autoSpaceDE/>
        <w:autoSpaceDN/>
        <w:bidi w:val="0"/>
        <w:adjustRightInd/>
        <w:snapToGrid/>
        <w:spacing w:line="360" w:lineRule="auto"/>
        <w:ind w:firstLine="486" w:firstLineChars="200"/>
        <w:textAlignment w:val="auto"/>
        <w:rPr>
          <w:rFonts w:hint="eastAsia" w:ascii="新宋体" w:hAnsi="新宋体" w:eastAsia="新宋体" w:cs="新宋体"/>
          <w:sz w:val="24"/>
          <w:szCs w:val="24"/>
          <w:highlight w:val="none"/>
          <w:lang w:val="en-US" w:eastAsia="zh-CN"/>
        </w:rPr>
      </w:pPr>
      <w:r>
        <w:rPr>
          <w:rFonts w:hint="eastAsia" w:ascii="新宋体" w:hAnsi="新宋体" w:eastAsia="新宋体" w:cs="新宋体"/>
          <w:sz w:val="24"/>
          <w:szCs w:val="24"/>
          <w:highlight w:val="none"/>
          <w:lang w:val="en-US" w:eastAsia="zh-CN"/>
        </w:rPr>
        <w:t>2、打开夹套蒸汽开始升温，升温至108--115℃，回流脱水，水蒸汽与氯苯蒸汽一同挥发，经过一级循环水冷凝器，冷凝成液体，液体温度40</w:t>
      </w:r>
      <w:r>
        <w:rPr>
          <w:rFonts w:hint="eastAsia" w:ascii="宋体" w:hAnsi="宋体" w:eastAsia="宋体" w:cs="宋体"/>
          <w:sz w:val="24"/>
          <w:szCs w:val="24"/>
          <w:highlight w:val="none"/>
          <w:lang w:val="en-US" w:eastAsia="zh-CN"/>
        </w:rPr>
        <w:t>℃</w:t>
      </w:r>
      <w:r>
        <w:rPr>
          <w:rFonts w:hint="eastAsia" w:ascii="新宋体" w:hAnsi="新宋体" w:eastAsia="新宋体" w:cs="新宋体"/>
          <w:sz w:val="24"/>
          <w:szCs w:val="24"/>
          <w:highlight w:val="none"/>
          <w:lang w:val="en-US" w:eastAsia="zh-CN"/>
        </w:rPr>
        <w:t>以下，调整采出量，前期水较多，直接去蒸发水接收罐，一定数量后精制套用。后期水少后，氯苯回流，下层的水放掉。当试镜观察没有水珠后，脱水结束。</w:t>
      </w:r>
    </w:p>
    <w:p w14:paraId="1D1172AA">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426" w:firstLineChars="200"/>
        <w:textAlignment w:val="auto"/>
        <w:rPr>
          <w:rFonts w:hint="eastAsia"/>
          <w:lang w:val="en-US" w:eastAsia="zh-CN"/>
        </w:rPr>
      </w:pPr>
      <w:r>
        <w:rPr>
          <w:rFonts w:hint="eastAsia"/>
          <w:lang w:val="en-US" w:eastAsia="zh-CN"/>
        </w:rPr>
        <w:t>3、</w:t>
      </w:r>
      <w:r>
        <w:rPr>
          <w:rFonts w:hint="default"/>
          <w:lang w:val="en-US" w:eastAsia="zh-CN"/>
        </w:rPr>
        <w:t>打开进氯气阀门，调整进氯气的量，开始通氯反应，反应过程为放热反应，用夹套循环水温度维持112℃±2℃，</w:t>
      </w:r>
      <w:r>
        <w:rPr>
          <w:rFonts w:hint="eastAsia"/>
          <w:lang w:val="en-US" w:eastAsia="zh-CN"/>
        </w:rPr>
        <w:t>通氯时间为</w:t>
      </w:r>
      <w:r>
        <w:rPr>
          <w:rFonts w:hint="default"/>
          <w:lang w:val="en-US" w:eastAsia="zh-CN"/>
        </w:rPr>
        <w:t>5h</w:t>
      </w:r>
      <w:r>
        <w:rPr>
          <w:rFonts w:hint="eastAsia"/>
          <w:lang w:val="en-US" w:eastAsia="zh-CN"/>
        </w:rPr>
        <w:t>。通氯结束后，保温 1 h，然后打开夹套循环水开始降温，降温至50℃以下。</w:t>
      </w:r>
    </w:p>
    <w:p w14:paraId="282BFF53">
      <w:pPr>
        <w:keepNext w:val="0"/>
        <w:keepLines w:val="0"/>
        <w:pageBreakBefore w:val="0"/>
        <w:widowControl w:val="0"/>
        <w:kinsoku/>
        <w:wordWrap/>
        <w:overflowPunct/>
        <w:topLinePunct w:val="0"/>
        <w:autoSpaceDE/>
        <w:autoSpaceDN/>
        <w:bidi w:val="0"/>
        <w:adjustRightInd/>
        <w:snapToGrid/>
        <w:spacing w:line="360" w:lineRule="auto"/>
        <w:ind w:firstLine="486" w:firstLineChars="200"/>
        <w:textAlignment w:val="auto"/>
        <w:rPr>
          <w:rFonts w:hint="eastAsia" w:ascii="新宋体" w:hAnsi="新宋体" w:eastAsia="新宋体" w:cs="新宋体"/>
          <w:sz w:val="24"/>
          <w:szCs w:val="24"/>
          <w:lang w:val="en-US" w:eastAsia="zh-CN"/>
        </w:rPr>
      </w:pPr>
      <w:r>
        <w:rPr>
          <w:rFonts w:hint="eastAsia" w:ascii="新宋体" w:hAnsi="新宋体" w:eastAsia="新宋体" w:cs="新宋体"/>
          <w:sz w:val="24"/>
          <w:szCs w:val="24"/>
          <w:lang w:val="en-US" w:eastAsia="zh-CN"/>
        </w:rPr>
        <w:t>4、打开三合一压滤机进料阀，用泵将物料送入压滤机，压滤后固体5-氯水杨酸通过螺旋输送机密闭管道进入精制釜。</w:t>
      </w:r>
    </w:p>
    <w:p w14:paraId="2C50C26B">
      <w:pPr>
        <w:pStyle w:val="2"/>
        <w:spacing w:line="360" w:lineRule="auto"/>
        <w:ind w:left="0" w:leftChars="0" w:firstLine="486" w:firstLineChars="200"/>
        <w:rPr>
          <w:rFonts w:hint="eastAsia" w:ascii="新宋体" w:hAnsi="新宋体" w:eastAsia="新宋体" w:cs="新宋体"/>
          <w:sz w:val="24"/>
          <w:szCs w:val="24"/>
          <w:lang w:val="en-US" w:eastAsia="zh-CN"/>
        </w:rPr>
      </w:pPr>
      <w:r>
        <w:rPr>
          <w:rFonts w:hint="eastAsia" w:ascii="新宋体" w:hAnsi="新宋体" w:eastAsia="新宋体" w:cs="新宋体"/>
          <w:sz w:val="24"/>
          <w:szCs w:val="24"/>
          <w:lang w:val="en-US" w:eastAsia="zh-CN"/>
        </w:rPr>
        <w:t>5、精制釜中加入10000L热水，再打开釜外盘管蒸汽给釜内物料升温，水和氯苯一同蒸发，再经一级循环水冷凝器冷凝成液体进入氯苯回收罐，通过分层回收氯苯,分离出的水返回精制套用，少量不凝气进入废气总管。当氯苯回收干净后，停止加热，将物料用泵送入结晶釜，打开夹套冷却水开始降温，降温至40℃以下，用泵打入密闭压滤机脱水，得到成品5-氯水杨酸。</w:t>
      </w:r>
    </w:p>
    <w:p w14:paraId="0B514EE2">
      <w:pPr>
        <w:rPr>
          <w:rFonts w:hint="eastAsia" w:ascii="新宋体" w:hAnsi="新宋体" w:eastAsia="新宋体" w:cs="新宋体"/>
          <w:sz w:val="24"/>
          <w:szCs w:val="24"/>
          <w:lang w:val="en-US" w:eastAsia="zh-CN"/>
        </w:rPr>
      </w:pPr>
      <w:r>
        <w:rPr>
          <w:rFonts w:hint="eastAsia" w:ascii="新宋体" w:hAnsi="新宋体" w:eastAsia="新宋体" w:cs="新宋体"/>
          <w:sz w:val="24"/>
          <w:szCs w:val="24"/>
          <w:lang w:val="en-US" w:eastAsia="zh-CN"/>
        </w:rPr>
        <w:t>反应方程式：</w:t>
      </w:r>
    </w:p>
    <w:p w14:paraId="0F347AE6">
      <w:pPr>
        <w:pStyle w:val="2"/>
        <w:rPr>
          <w:rFonts w:hint="eastAsia"/>
          <w:lang w:val="en-US" w:eastAsia="zh-CN"/>
        </w:rPr>
      </w:pPr>
      <w:r>
        <w:drawing>
          <wp:inline distT="0" distB="0" distL="114300" distR="114300">
            <wp:extent cx="5483225" cy="1687830"/>
            <wp:effectExtent l="0" t="0" r="3175" b="7620"/>
            <wp:docPr id="22"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33"/>
                    <pic:cNvPicPr>
                      <a:picLocks noChangeAspect="1"/>
                    </pic:cNvPicPr>
                  </pic:nvPicPr>
                  <pic:blipFill>
                    <a:blip r:embed="rId40"/>
                    <a:stretch>
                      <a:fillRect/>
                    </a:stretch>
                  </pic:blipFill>
                  <pic:spPr>
                    <a:xfrm>
                      <a:off x="0" y="0"/>
                      <a:ext cx="5483225" cy="1687830"/>
                    </a:xfrm>
                    <a:prstGeom prst="rect">
                      <a:avLst/>
                    </a:prstGeom>
                    <a:noFill/>
                    <a:ln>
                      <a:noFill/>
                    </a:ln>
                  </pic:spPr>
                </pic:pic>
              </a:graphicData>
            </a:graphic>
          </wp:inline>
        </w:drawing>
      </w:r>
    </w:p>
    <w:p w14:paraId="6C064924">
      <w:pPr>
        <w:spacing w:line="360" w:lineRule="auto"/>
        <w:ind w:firstLine="426" w:firstLineChars="200"/>
        <w:rPr>
          <w:rFonts w:hint="eastAsia"/>
        </w:rPr>
      </w:pPr>
    </w:p>
    <w:p w14:paraId="0CB83F7F">
      <w:pPr>
        <w:spacing w:line="360" w:lineRule="auto"/>
        <w:ind w:firstLine="426" w:firstLineChars="200"/>
        <w:rPr>
          <w:rFonts w:hint="eastAsia"/>
        </w:rPr>
      </w:pPr>
    </w:p>
    <w:p w14:paraId="38958C2F">
      <w:pPr>
        <w:spacing w:line="360" w:lineRule="auto"/>
        <w:ind w:firstLine="426" w:firstLineChars="200"/>
        <w:rPr>
          <w:rFonts w:hint="eastAsia"/>
        </w:rPr>
      </w:pPr>
      <w:r>
        <w:drawing>
          <wp:inline distT="0" distB="0" distL="114300" distR="114300">
            <wp:extent cx="5490210" cy="1678305"/>
            <wp:effectExtent l="0" t="0" r="15240" b="17145"/>
            <wp:docPr id="11"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4"/>
                    <pic:cNvPicPr>
                      <a:picLocks noChangeAspect="1"/>
                    </pic:cNvPicPr>
                  </pic:nvPicPr>
                  <pic:blipFill>
                    <a:blip r:embed="rId41"/>
                    <a:stretch>
                      <a:fillRect/>
                    </a:stretch>
                  </pic:blipFill>
                  <pic:spPr>
                    <a:xfrm>
                      <a:off x="0" y="0"/>
                      <a:ext cx="5490210" cy="1678305"/>
                    </a:xfrm>
                    <a:prstGeom prst="rect">
                      <a:avLst/>
                    </a:prstGeom>
                    <a:noFill/>
                    <a:ln>
                      <a:noFill/>
                    </a:ln>
                  </pic:spPr>
                </pic:pic>
              </a:graphicData>
            </a:graphic>
          </wp:inline>
        </w:drawing>
      </w:r>
    </w:p>
    <w:p w14:paraId="5C2E2AEC">
      <w:pPr>
        <w:spacing w:line="360" w:lineRule="auto"/>
        <w:ind w:firstLine="426" w:firstLineChars="200"/>
        <w:rPr>
          <w:rFonts w:hint="eastAsia"/>
          <w:lang w:val="en-US" w:eastAsia="zh-CN"/>
        </w:rPr>
      </w:pPr>
      <w:r>
        <w:rPr>
          <w:rFonts w:hint="eastAsia"/>
        </w:rPr>
        <w:t>项目工艺流程及产污环节图见图</w:t>
      </w:r>
      <w:r>
        <w:rPr>
          <w:rFonts w:hint="eastAsia"/>
          <w:lang w:val="en-US" w:eastAsia="zh-CN"/>
        </w:rPr>
        <w:t>2.3.7</w:t>
      </w:r>
    </w:p>
    <w:p w14:paraId="5D307D4F">
      <w:pPr>
        <w:rPr>
          <w:rFonts w:hint="eastAsia"/>
          <w:lang w:val="en-US" w:eastAsia="zh-CN"/>
        </w:rPr>
      </w:pPr>
      <w:r>
        <w:rPr>
          <w:color w:val="auto"/>
        </w:rPr>
        <w:object>
          <v:shape id="_x0000_i1035" o:spt="75" type="#_x0000_t75" style="height:492.55pt;width:443.95pt;" o:ole="t" filled="f" o:preferrelative="t" stroked="f" coordsize="21600,21600">
            <v:path/>
            <v:fill on="f" focussize="0,0"/>
            <v:stroke on="f"/>
            <v:imagedata r:id="rId43" o:title=""/>
            <o:lock v:ext="edit" aspectratio="t"/>
            <w10:wrap type="none"/>
            <w10:anchorlock/>
          </v:shape>
          <o:OLEObject Type="Embed" ProgID="Visio.Drawing.11" ShapeID="_x0000_i1035" DrawAspect="Content" ObjectID="_1468075735" r:id="rId42">
            <o:LockedField>false</o:LockedField>
          </o:OLEObject>
        </w:object>
      </w:r>
    </w:p>
    <w:p w14:paraId="03BEB2AF">
      <w:pPr>
        <w:spacing w:line="360" w:lineRule="auto"/>
        <w:ind w:firstLine="1917" w:firstLineChars="900"/>
        <w:jc w:val="both"/>
        <w:rPr>
          <w:rFonts w:hint="eastAsia"/>
          <w:lang w:val="en-US" w:eastAsia="zh-CN"/>
        </w:rPr>
      </w:pPr>
      <w:r>
        <w:rPr>
          <w:rFonts w:hint="eastAsia"/>
          <w:b/>
        </w:rPr>
        <w:t xml:space="preserve"> 5-氯水杨酸工艺流程及产污环节图</w:t>
      </w:r>
      <w:r>
        <w:rPr>
          <w:rFonts w:hint="eastAsia"/>
          <w:b/>
          <w:lang w:val="en-US" w:eastAsia="zh-CN"/>
        </w:rPr>
        <w:t>2.3-7</w:t>
      </w:r>
    </w:p>
    <w:p w14:paraId="3F0737DC">
      <w:pPr>
        <w:snapToGrid w:val="0"/>
        <w:spacing w:line="360" w:lineRule="auto"/>
        <w:outlineLvl w:val="9"/>
        <w:rPr>
          <w:rFonts w:hint="eastAsia" w:ascii="Times New Roman" w:hAnsi="Times New Roman" w:eastAsia="宋体" w:cs="Times New Roman"/>
          <w:b/>
          <w:bCs/>
          <w:sz w:val="24"/>
          <w:lang w:val="en-US" w:eastAsia="zh-CN"/>
        </w:rPr>
      </w:pPr>
      <w:r>
        <w:rPr>
          <w:rFonts w:hint="eastAsia" w:ascii="Times New Roman" w:hAnsi="Times New Roman" w:eastAsia="宋体" w:cs="Times New Roman"/>
          <w:b/>
          <w:bCs/>
          <w:sz w:val="24"/>
          <w:lang w:val="en-US" w:eastAsia="zh-CN"/>
        </w:rPr>
        <w:t>3.4.8 氯硝柳胺</w:t>
      </w:r>
    </w:p>
    <w:p w14:paraId="2220AEE5">
      <w:pPr>
        <w:keepNext w:val="0"/>
        <w:keepLines w:val="0"/>
        <w:pageBreakBefore w:val="0"/>
        <w:widowControl w:val="0"/>
        <w:kinsoku/>
        <w:wordWrap/>
        <w:overflowPunct/>
        <w:topLinePunct w:val="0"/>
        <w:autoSpaceDE/>
        <w:autoSpaceDN/>
        <w:bidi w:val="0"/>
        <w:adjustRightInd/>
        <w:snapToGrid/>
        <w:spacing w:line="360" w:lineRule="auto"/>
        <w:ind w:firstLine="426" w:firstLineChars="200"/>
        <w:textAlignment w:val="auto"/>
        <w:rPr>
          <w:rFonts w:hint="eastAsia" w:cs="Times New Roman"/>
          <w:lang w:val="en-US" w:eastAsia="zh-CN"/>
        </w:rPr>
      </w:pPr>
      <w:r>
        <w:rPr>
          <w:rFonts w:hint="eastAsia" w:cs="Times New Roman"/>
          <w:lang w:val="en-US" w:eastAsia="zh-CN"/>
        </w:rPr>
        <w:t>1、</w:t>
      </w:r>
      <w:r>
        <w:rPr>
          <w:rFonts w:cs="Times New Roman"/>
        </w:rPr>
        <w:t>通过行车将物料送至缩合釜上部，打开进料阀门</w:t>
      </w:r>
      <w:r>
        <w:rPr>
          <w:rFonts w:hint="eastAsia" w:cs="Times New Roman"/>
          <w:lang w:eastAsia="zh-CN"/>
        </w:rPr>
        <w:t>，</w:t>
      </w:r>
      <w:r>
        <w:rPr>
          <w:rFonts w:cs="Times New Roman"/>
        </w:rPr>
        <w:t>5</w:t>
      </w:r>
      <w:r>
        <w:rPr>
          <w:rFonts w:hint="eastAsia" w:cs="Times New Roman"/>
        </w:rPr>
        <w:t>-</w:t>
      </w:r>
      <w:r>
        <w:rPr>
          <w:rFonts w:cs="Times New Roman"/>
        </w:rPr>
        <w:t>氯水杨酸</w:t>
      </w:r>
      <w:r>
        <w:rPr>
          <w:rFonts w:hint="eastAsia" w:cs="Times New Roman"/>
          <w:lang w:eastAsia="zh-CN"/>
        </w:rPr>
        <w:t>通过管道进入缩合釜内。在按照重量比例投入</w:t>
      </w:r>
      <w:r>
        <w:rPr>
          <w:rFonts w:hint="eastAsia" w:cs="Times New Roman"/>
          <w:lang w:val="en-US" w:eastAsia="zh-CN"/>
        </w:rPr>
        <w:t>2-氯、4-硝基苯胺，进料完毕后，关闭进料阀门。</w:t>
      </w:r>
    </w:p>
    <w:p w14:paraId="53DBADF8">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426" w:firstLineChars="200"/>
        <w:textAlignment w:val="auto"/>
        <w:rPr>
          <w:rFonts w:hint="eastAsia" w:cs="Times New Roman"/>
          <w:lang w:val="en-US" w:eastAsia="zh-CN"/>
        </w:rPr>
      </w:pPr>
      <w:r>
        <w:rPr>
          <w:rFonts w:hint="eastAsia" w:cs="Times New Roman"/>
          <w:lang w:val="en-US" w:eastAsia="zh-CN"/>
        </w:rPr>
        <w:t>2、打开夹套蒸汽阀门， 开始升温，升温至108--115℃，回流脱水，水蒸汽与氯苯蒸汽一同挥发，经过 一级冷凝器，冷凝成液体，通过底部分水设施，将水分走，氯苯回流。当试镜观察没有水珠后，脱水结束。</w:t>
      </w:r>
    </w:p>
    <w:p w14:paraId="64739C58">
      <w:pPr>
        <w:keepNext w:val="0"/>
        <w:keepLines w:val="0"/>
        <w:pageBreakBefore w:val="0"/>
        <w:widowControl w:val="0"/>
        <w:kinsoku/>
        <w:wordWrap/>
        <w:overflowPunct/>
        <w:topLinePunct w:val="0"/>
        <w:autoSpaceDE/>
        <w:autoSpaceDN/>
        <w:bidi w:val="0"/>
        <w:adjustRightInd/>
        <w:snapToGrid/>
        <w:spacing w:line="360" w:lineRule="auto"/>
        <w:ind w:firstLine="426" w:firstLineChars="200"/>
        <w:textAlignment w:val="auto"/>
        <w:rPr>
          <w:rFonts w:hint="eastAsia"/>
          <w:color w:val="auto"/>
          <w:highlight w:val="none"/>
          <w:lang w:eastAsia="zh-CN"/>
        </w:rPr>
      </w:pPr>
      <w:r>
        <w:rPr>
          <w:rFonts w:hint="eastAsia"/>
          <w:lang w:val="en-US" w:eastAsia="zh-CN"/>
        </w:rPr>
        <w:t>3、</w:t>
      </w:r>
      <w:r>
        <w:t>打开三氯氧磷进料阀门，调整进料量，开始缩合反应，温度维持112℃±2℃，滴加</w:t>
      </w:r>
      <w:r>
        <w:rPr>
          <w:color w:val="auto"/>
          <w:highlight w:val="none"/>
        </w:rPr>
        <w:t>5h</w:t>
      </w:r>
      <w:r>
        <w:rPr>
          <w:rFonts w:hint="eastAsia"/>
          <w:color w:val="auto"/>
          <w:highlight w:val="none"/>
          <w:lang w:eastAsia="zh-CN"/>
        </w:rPr>
        <w:t>。</w:t>
      </w:r>
    </w:p>
    <w:p w14:paraId="6ABE44CC">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426" w:firstLineChars="200"/>
        <w:textAlignment w:val="auto"/>
      </w:pPr>
      <w:r>
        <w:rPr>
          <w:rFonts w:hint="eastAsia"/>
          <w:lang w:val="en-US" w:eastAsia="zh-CN"/>
        </w:rPr>
        <w:t>4、</w:t>
      </w:r>
      <w:r>
        <w:t>三氯氧磷滴加结束后，保温12 h，然后开始降温，</w:t>
      </w:r>
      <w:r>
        <w:rPr>
          <w:rFonts w:hint="eastAsia"/>
          <w:lang w:val="en-US" w:eastAsia="zh-CN"/>
        </w:rPr>
        <w:t xml:space="preserve"> </w:t>
      </w:r>
      <w:r>
        <w:t>降温至50℃以下，在搅拌状态下滴加液碱中和</w:t>
      </w:r>
      <w:r>
        <w:rPr>
          <w:rFonts w:hint="eastAsia"/>
        </w:rPr>
        <w:t>至</w:t>
      </w:r>
      <w:r>
        <w:t>p H=</w:t>
      </w:r>
      <w:r>
        <w:rPr>
          <w:rFonts w:hint="eastAsia"/>
        </w:rPr>
        <w:t>6.5~8</w:t>
      </w:r>
      <w:r>
        <w:t>。</w:t>
      </w:r>
    </w:p>
    <w:p w14:paraId="7828122B">
      <w:pPr>
        <w:keepNext w:val="0"/>
        <w:keepLines w:val="0"/>
        <w:pageBreakBefore w:val="0"/>
        <w:widowControl w:val="0"/>
        <w:kinsoku/>
        <w:wordWrap/>
        <w:overflowPunct/>
        <w:topLinePunct w:val="0"/>
        <w:autoSpaceDE/>
        <w:autoSpaceDN/>
        <w:bidi w:val="0"/>
        <w:adjustRightInd/>
        <w:snapToGrid/>
        <w:spacing w:line="360" w:lineRule="auto"/>
        <w:ind w:firstLine="426" w:firstLineChars="200"/>
        <w:textAlignment w:val="auto"/>
        <w:rPr>
          <w:rFonts w:hint="eastAsia"/>
          <w:lang w:val="en-US" w:eastAsia="zh-CN"/>
        </w:rPr>
      </w:pPr>
      <w:r>
        <w:rPr>
          <w:rFonts w:hint="eastAsia"/>
          <w:lang w:val="en-US" w:eastAsia="zh-CN"/>
        </w:rPr>
        <w:t>5、</w:t>
      </w:r>
      <w:r>
        <w:rPr>
          <w:rFonts w:cs="Times New Roman"/>
        </w:rPr>
        <w:t>在搅拌状态下将缩合釜中物料一分为二，分别加入2台氯苯蒸馏釜中，蒸馏釜中分别加入热水，</w:t>
      </w:r>
      <w:r>
        <w:rPr>
          <w:rFonts w:hint="eastAsia" w:cs="Times New Roman"/>
          <w:lang w:val="en-US" w:eastAsia="zh-CN"/>
        </w:rPr>
        <w:t>打开夹套蒸汽阀门</w:t>
      </w:r>
      <w:r>
        <w:rPr>
          <w:rFonts w:cs="Times New Roman"/>
        </w:rPr>
        <w:t>再继续升温，水和氯苯一同蒸发</w:t>
      </w:r>
      <w:r>
        <w:rPr>
          <w:rFonts w:hint="eastAsia" w:cs="Times New Roman"/>
          <w:lang w:eastAsia="zh-CN"/>
        </w:rPr>
        <w:t>。</w:t>
      </w:r>
      <w:r>
        <w:rPr>
          <w:rFonts w:hint="eastAsia"/>
        </w:rPr>
        <w:t>蒸馏</w:t>
      </w:r>
      <w:r>
        <w:rPr>
          <w:rFonts w:hint="eastAsia"/>
          <w:lang w:val="en-US" w:eastAsia="zh-CN"/>
        </w:rPr>
        <w:t>釜温保持100</w:t>
      </w:r>
      <w:r>
        <w:rPr>
          <w:rFonts w:hint="eastAsia" w:ascii="宋体" w:hAnsi="宋体" w:eastAsia="宋体" w:cs="宋体"/>
          <w:lang w:val="en-US" w:eastAsia="zh-CN"/>
        </w:rPr>
        <w:t>℃</w:t>
      </w:r>
      <w:r>
        <w:rPr>
          <w:rFonts w:hint="eastAsia"/>
          <w:lang w:val="en-US" w:eastAsia="zh-CN"/>
        </w:rPr>
        <w:t>以上，水蒸气大量蒸发与</w:t>
      </w:r>
      <w:r>
        <w:t>氯苯蒸汽经配套冷凝器冷凝</w:t>
      </w:r>
      <w:r>
        <w:rPr>
          <w:rFonts w:hint="eastAsia"/>
        </w:rPr>
        <w:t>后进入氯苯回收槽静置分层，</w:t>
      </w:r>
      <w:r>
        <w:rPr>
          <w:rFonts w:hint="eastAsia"/>
          <w:lang w:val="en-US" w:eastAsia="zh-CN"/>
        </w:rPr>
        <w:t>回收过程为常压回收。</w:t>
      </w:r>
      <w:r>
        <w:t>冷凝下的氯苯回流到</w:t>
      </w:r>
      <w:r>
        <w:rPr>
          <w:rFonts w:hint="eastAsia"/>
        </w:rPr>
        <w:t>氯苯接收罐</w:t>
      </w:r>
      <w:r>
        <w:rPr>
          <w:rFonts w:hint="eastAsia"/>
          <w:lang w:val="en-US" w:eastAsia="zh-CN"/>
        </w:rPr>
        <w:t>返回氯苯循环槽</w:t>
      </w:r>
      <w:r>
        <w:rPr>
          <w:rFonts w:hint="eastAsia"/>
        </w:rPr>
        <w:t>回用，</w:t>
      </w:r>
      <w:r>
        <w:rPr>
          <w:rFonts w:hint="eastAsia"/>
          <w:lang w:val="en-US" w:eastAsia="zh-CN"/>
        </w:rPr>
        <w:t>水集中收集返回下一批氯苯蒸馏回用。</w:t>
      </w:r>
    </w:p>
    <w:p w14:paraId="5F609B01">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426" w:firstLineChars="200"/>
        <w:textAlignment w:val="auto"/>
        <w:rPr>
          <w:rFonts w:hint="eastAsia" w:cs="Times New Roman"/>
          <w:lang w:eastAsia="zh-CN"/>
        </w:rPr>
      </w:pPr>
      <w:r>
        <w:rPr>
          <w:rFonts w:hint="eastAsia"/>
          <w:lang w:val="en-US" w:eastAsia="zh-CN"/>
        </w:rPr>
        <w:t>6、</w:t>
      </w:r>
      <w:r>
        <w:rPr>
          <w:rFonts w:cs="Times New Roman"/>
        </w:rPr>
        <w:t>压滤后的一次母液进入一次母液槽，通过自流进入一次母液浓缩，浓缩的水返回</w:t>
      </w:r>
      <w:r>
        <w:rPr>
          <w:rFonts w:hint="eastAsia" w:cs="Times New Roman"/>
        </w:rPr>
        <w:t>氯苯</w:t>
      </w:r>
      <w:r>
        <w:rPr>
          <w:rFonts w:cs="Times New Roman"/>
        </w:rPr>
        <w:t>蒸馏套用</w:t>
      </w:r>
      <w:r>
        <w:rPr>
          <w:rFonts w:hint="eastAsia" w:cs="Times New Roman"/>
          <w:lang w:eastAsia="zh-CN"/>
        </w:rPr>
        <w:t>。</w:t>
      </w:r>
    </w:p>
    <w:p w14:paraId="36B08CF5">
      <w:pPr>
        <w:keepNext w:val="0"/>
        <w:keepLines w:val="0"/>
        <w:pageBreakBefore w:val="0"/>
        <w:widowControl w:val="0"/>
        <w:kinsoku/>
        <w:wordWrap/>
        <w:overflowPunct/>
        <w:topLinePunct w:val="0"/>
        <w:autoSpaceDE/>
        <w:autoSpaceDN/>
        <w:bidi w:val="0"/>
        <w:adjustRightInd/>
        <w:snapToGrid/>
        <w:spacing w:line="360" w:lineRule="auto"/>
        <w:ind w:firstLine="426" w:firstLineChars="200"/>
        <w:textAlignment w:val="auto"/>
        <w:rPr>
          <w:rFonts w:hint="eastAsia" w:cs="Times New Roman"/>
        </w:rPr>
      </w:pPr>
      <w:r>
        <w:rPr>
          <w:rFonts w:hint="eastAsia" w:cs="Times New Roman"/>
          <w:lang w:val="en-US" w:eastAsia="zh-CN"/>
        </w:rPr>
        <w:t>7、</w:t>
      </w:r>
      <w:r>
        <w:rPr>
          <w:rFonts w:cs="Times New Roman"/>
        </w:rPr>
        <w:t>中间压滤机中的物料进入精制釜，精制釜再加入来自一次母液回收的冷凝水，搅拌状态下升温至60℃—65℃，</w:t>
      </w:r>
      <w:r>
        <w:rPr>
          <w:rFonts w:hint="eastAsia" w:cs="Times New Roman"/>
          <w:lang w:val="en-US" w:eastAsia="zh-CN"/>
        </w:rPr>
        <w:t>将物料中的磷酸盐完全溶于水中，</w:t>
      </w:r>
      <w:r>
        <w:rPr>
          <w:rFonts w:cs="Times New Roman"/>
        </w:rPr>
        <w:t>打开夹套冷却水开始降温，降温至40℃以下，进入压滤机脱水，得成品氯硝柳胺</w:t>
      </w:r>
      <w:r>
        <w:rPr>
          <w:rFonts w:hint="eastAsia" w:cs="Times New Roman"/>
        </w:rPr>
        <w:t>。</w:t>
      </w:r>
    </w:p>
    <w:p w14:paraId="7D628D77">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426" w:firstLineChars="200"/>
        <w:textAlignment w:val="auto"/>
        <w:rPr>
          <w:rFonts w:hint="eastAsia"/>
          <w:lang w:eastAsia="zh-CN"/>
        </w:rPr>
      </w:pPr>
      <w:r>
        <w:rPr>
          <w:rFonts w:hint="eastAsia"/>
          <w:lang w:val="en-US" w:eastAsia="zh-CN"/>
        </w:rPr>
        <w:t>8、</w:t>
      </w:r>
      <w:r>
        <w:rPr>
          <w:rFonts w:hint="eastAsia"/>
        </w:rPr>
        <w:t>压滤后的产品</w:t>
      </w:r>
      <w:r>
        <w:t>经</w:t>
      </w:r>
      <w:r>
        <w:rPr>
          <w:rFonts w:hint="eastAsia"/>
          <w:lang w:val="en-US" w:eastAsia="zh-CN"/>
        </w:rPr>
        <w:t>双锥干燥机</w:t>
      </w:r>
      <w:r>
        <w:t>干燥、包装、入库</w:t>
      </w:r>
      <w:r>
        <w:rPr>
          <w:rFonts w:hint="eastAsia"/>
          <w:lang w:eastAsia="zh-CN"/>
        </w:rPr>
        <w:t>。</w:t>
      </w:r>
    </w:p>
    <w:p w14:paraId="3ACA79BA">
      <w:pPr>
        <w:rPr>
          <w:rFonts w:hint="eastAsia"/>
          <w:lang w:eastAsia="zh-CN"/>
        </w:rPr>
      </w:pPr>
      <w:r>
        <w:rPr>
          <w:rFonts w:hint="eastAsia"/>
          <w:lang w:eastAsia="zh-CN"/>
        </w:rPr>
        <w:t>反应方程式：</w:t>
      </w:r>
    </w:p>
    <w:p w14:paraId="50E18F13">
      <w:pPr>
        <w:pStyle w:val="2"/>
        <w:rPr>
          <w:rFonts w:hint="eastAsia"/>
          <w:lang w:eastAsia="zh-CN"/>
        </w:rPr>
      </w:pPr>
      <w:r>
        <w:drawing>
          <wp:anchor distT="0" distB="0" distL="114300" distR="114300" simplePos="0" relativeHeight="251670528" behindDoc="0" locked="0" layoutInCell="1" allowOverlap="1">
            <wp:simplePos x="0" y="0"/>
            <wp:positionH relativeFrom="column">
              <wp:posOffset>3085465</wp:posOffset>
            </wp:positionH>
            <wp:positionV relativeFrom="paragraph">
              <wp:posOffset>-2411095</wp:posOffset>
            </wp:positionV>
            <wp:extent cx="943610" cy="5888355"/>
            <wp:effectExtent l="0" t="0" r="0" b="8890"/>
            <wp:wrapSquare wrapText="bothSides"/>
            <wp:docPr id="10" name="图片 3" descr="氯硝柳胺反应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descr="氯硝柳胺反应式"/>
                    <pic:cNvPicPr>
                      <a:picLocks noChangeAspect="1"/>
                    </pic:cNvPicPr>
                  </pic:nvPicPr>
                  <pic:blipFill>
                    <a:blip r:embed="rId44"/>
                    <a:srcRect l="39534" t="-1329" r="36859" b="-2982"/>
                    <a:stretch>
                      <a:fillRect/>
                    </a:stretch>
                  </pic:blipFill>
                  <pic:spPr>
                    <a:xfrm rot="-5400000">
                      <a:off x="0" y="0"/>
                      <a:ext cx="943610" cy="5888355"/>
                    </a:xfrm>
                    <a:prstGeom prst="rect">
                      <a:avLst/>
                    </a:prstGeom>
                    <a:noFill/>
                    <a:ln>
                      <a:noFill/>
                    </a:ln>
                  </pic:spPr>
                </pic:pic>
              </a:graphicData>
            </a:graphic>
          </wp:anchor>
        </w:drawing>
      </w:r>
    </w:p>
    <w:p w14:paraId="14482CBF">
      <w:pPr>
        <w:pStyle w:val="2"/>
        <w:rPr>
          <w:rFonts w:hint="eastAsia"/>
          <w:lang w:eastAsia="zh-CN"/>
        </w:rPr>
      </w:pPr>
    </w:p>
    <w:p w14:paraId="45D7ECBA">
      <w:pPr>
        <w:rPr>
          <w:rFonts w:hint="eastAsia"/>
          <w:lang w:val="en-US" w:eastAsia="zh-CN"/>
        </w:rPr>
      </w:pPr>
    </w:p>
    <w:p w14:paraId="276D10A8">
      <w:pPr>
        <w:pStyle w:val="2"/>
        <w:ind w:left="0" w:leftChars="0" w:firstLine="639" w:firstLineChars="300"/>
        <w:rPr>
          <w:rFonts w:hint="eastAsia"/>
        </w:rPr>
      </w:pPr>
      <w:r>
        <w:rPr>
          <w:rFonts w:hint="eastAsia"/>
        </w:rPr>
        <w:t>项</w:t>
      </w:r>
    </w:p>
    <w:p w14:paraId="3CD28EA3">
      <w:pPr>
        <w:pStyle w:val="2"/>
        <w:ind w:left="0" w:leftChars="0" w:firstLine="426" w:firstLineChars="200"/>
        <w:rPr>
          <w:rFonts w:hint="default" w:eastAsia="宋体"/>
          <w:lang w:val="en-US" w:eastAsia="zh-CN"/>
        </w:rPr>
      </w:pPr>
      <w:r>
        <w:rPr>
          <w:rFonts w:hint="eastAsia"/>
          <w:lang w:eastAsia="zh-CN"/>
        </w:rPr>
        <w:t>项</w:t>
      </w:r>
      <w:r>
        <w:rPr>
          <w:rFonts w:hint="eastAsia"/>
        </w:rPr>
        <w:t>目工艺流程及产污环节图见图</w:t>
      </w:r>
      <w:r>
        <w:rPr>
          <w:rFonts w:hint="eastAsia"/>
          <w:lang w:val="en-US" w:eastAsia="zh-CN"/>
        </w:rPr>
        <w:t>2.3-8</w:t>
      </w:r>
    </w:p>
    <w:p w14:paraId="3655F69B">
      <w:pPr>
        <w:rPr>
          <w:rFonts w:hint="default" w:eastAsia="宋体"/>
          <w:b/>
          <w:bCs/>
          <w:lang w:val="en-US" w:eastAsia="zh-CN"/>
        </w:rPr>
      </w:pPr>
      <w:r>
        <w:object>
          <v:shape id="_x0000_i1036" o:spt="75" type="#_x0000_t75" style="height:641.65pt;width:473.2pt;" o:ole="t" filled="f" o:preferrelative="t" stroked="f" coordsize="21600,21600">
            <v:path/>
            <v:fill on="f" focussize="0,0"/>
            <v:stroke on="f"/>
            <v:imagedata r:id="rId46" o:title=""/>
            <o:lock v:ext="edit" aspectratio="t"/>
            <w10:wrap type="none"/>
            <w10:anchorlock/>
          </v:shape>
          <o:OLEObject Type="Embed" ProgID="Visio.Drawing.11" ShapeID="_x0000_i1036" DrawAspect="Content" ObjectID="_1468075736" r:id="rId45">
            <o:LockedField>false</o:LockedField>
          </o:OLEObject>
        </w:object>
      </w:r>
      <w:r>
        <w:rPr>
          <w:rFonts w:hint="eastAsia"/>
          <w:lang w:val="en-US" w:eastAsia="zh-CN"/>
        </w:rPr>
        <w:t xml:space="preserve">                     </w:t>
      </w:r>
      <w:r>
        <w:rPr>
          <w:rFonts w:hint="eastAsia"/>
          <w:b/>
          <w:bCs/>
          <w:lang w:eastAsia="zh-CN"/>
        </w:rPr>
        <w:t>氯硝柳胺工艺流程及产污环节图</w:t>
      </w:r>
      <w:r>
        <w:rPr>
          <w:rFonts w:hint="eastAsia"/>
          <w:b/>
          <w:bCs/>
          <w:lang w:val="en-US" w:eastAsia="zh-CN"/>
        </w:rPr>
        <w:t>2.3-8</w:t>
      </w:r>
    </w:p>
    <w:p w14:paraId="56C6A43E">
      <w:pPr>
        <w:pStyle w:val="2"/>
        <w:ind w:left="0" w:leftChars="0" w:firstLine="0" w:firstLineChars="0"/>
        <w:rPr>
          <w:rFonts w:hint="eastAsia" w:ascii="宋体" w:hAnsi="宋体" w:eastAsia="宋体" w:cs="宋体"/>
          <w:b/>
          <w:bCs/>
          <w:sz w:val="22"/>
          <w:szCs w:val="28"/>
          <w:lang w:eastAsia="zh-CN"/>
        </w:rPr>
      </w:pPr>
      <w:r>
        <w:rPr>
          <w:rFonts w:hint="eastAsia" w:ascii="宋体" w:hAnsi="宋体" w:eastAsia="宋体" w:cs="宋体"/>
          <w:b/>
          <w:bCs/>
          <w:sz w:val="22"/>
          <w:szCs w:val="28"/>
          <w:lang w:val="en-US" w:eastAsia="zh-CN"/>
        </w:rPr>
        <w:t xml:space="preserve">3.4.9 </w:t>
      </w:r>
      <w:r>
        <w:rPr>
          <w:rFonts w:hint="eastAsia" w:ascii="宋体" w:hAnsi="宋体" w:eastAsia="宋体" w:cs="宋体"/>
          <w:b/>
          <w:bCs/>
          <w:sz w:val="22"/>
          <w:szCs w:val="28"/>
          <w:lang w:eastAsia="zh-CN"/>
        </w:rPr>
        <w:t>氯硝柳胺乙醇胺盐</w:t>
      </w:r>
    </w:p>
    <w:p w14:paraId="6FB882EE">
      <w:pPr>
        <w:pStyle w:val="82"/>
        <w:keepNext w:val="0"/>
        <w:keepLines w:val="0"/>
        <w:pageBreakBefore w:val="0"/>
        <w:widowControl w:val="0"/>
        <w:kinsoku/>
        <w:wordWrap/>
        <w:overflowPunct/>
        <w:topLinePunct w:val="0"/>
        <w:autoSpaceDE/>
        <w:autoSpaceDN/>
        <w:bidi w:val="0"/>
        <w:adjustRightInd/>
        <w:snapToGrid/>
        <w:spacing w:line="360" w:lineRule="auto"/>
        <w:ind w:left="0" w:leftChars="0" w:firstLine="426" w:firstLineChars="200"/>
        <w:textAlignment w:val="auto"/>
        <w:rPr>
          <w:rFonts w:cs="Times New Roman"/>
        </w:rPr>
      </w:pPr>
      <w:r>
        <w:rPr>
          <w:rFonts w:hint="eastAsia" w:cs="Times New Roman"/>
          <w:lang w:val="en-US" w:eastAsia="zh-CN"/>
        </w:rPr>
        <w:t>1、</w:t>
      </w:r>
      <w:r>
        <w:rPr>
          <w:rFonts w:cs="Times New Roman"/>
        </w:rPr>
        <w:t>通过行车将</w:t>
      </w:r>
      <w:r>
        <w:rPr>
          <w:rFonts w:hint="eastAsia" w:cs="Times New Roman"/>
          <w:lang w:eastAsia="zh-CN"/>
        </w:rPr>
        <w:t>氯硝柳胺</w:t>
      </w:r>
      <w:r>
        <w:rPr>
          <w:rFonts w:cs="Times New Roman"/>
        </w:rPr>
        <w:t>大包物料送至成盐釜上部，解开大包</w:t>
      </w:r>
      <w:r>
        <w:rPr>
          <w:rFonts w:hint="eastAsia" w:cs="Times New Roman"/>
        </w:rPr>
        <w:t>，</w:t>
      </w:r>
      <w:r>
        <w:rPr>
          <w:rFonts w:cs="Times New Roman"/>
        </w:rPr>
        <w:t>缓慢将物料</w:t>
      </w:r>
      <w:r>
        <w:rPr>
          <w:rFonts w:hint="eastAsia" w:cs="Times New Roman"/>
          <w:lang w:val="en-US" w:eastAsia="zh-CN"/>
        </w:rPr>
        <w:t xml:space="preserve"> </w:t>
      </w:r>
      <w:r>
        <w:rPr>
          <w:rFonts w:cs="Times New Roman"/>
        </w:rPr>
        <w:t>加入成盐釜，封闭</w:t>
      </w:r>
      <w:r>
        <w:rPr>
          <w:rFonts w:hint="eastAsia" w:cs="Times New Roman"/>
        </w:rPr>
        <w:t>投料</w:t>
      </w:r>
      <w:r>
        <w:rPr>
          <w:rFonts w:cs="Times New Roman"/>
        </w:rPr>
        <w:t>口顶盖。</w:t>
      </w:r>
    </w:p>
    <w:p w14:paraId="71B6EC4D">
      <w:pPr>
        <w:pStyle w:val="82"/>
        <w:keepNext w:val="0"/>
        <w:keepLines w:val="0"/>
        <w:pageBreakBefore w:val="0"/>
        <w:widowControl w:val="0"/>
        <w:kinsoku/>
        <w:wordWrap/>
        <w:overflowPunct/>
        <w:topLinePunct w:val="0"/>
        <w:autoSpaceDE/>
        <w:autoSpaceDN/>
        <w:bidi w:val="0"/>
        <w:adjustRightInd/>
        <w:snapToGrid/>
        <w:spacing w:line="360" w:lineRule="auto"/>
        <w:ind w:left="0" w:leftChars="0" w:firstLine="426" w:firstLineChars="200"/>
        <w:textAlignment w:val="auto"/>
        <w:rPr>
          <w:rFonts w:hint="eastAsia"/>
        </w:rPr>
      </w:pPr>
      <w:r>
        <w:rPr>
          <w:rFonts w:hint="eastAsia" w:cs="Times New Roman"/>
          <w:lang w:val="en-US" w:eastAsia="zh-CN"/>
        </w:rPr>
        <w:t>2、</w:t>
      </w:r>
      <w:r>
        <w:rPr>
          <w:rFonts w:cs="Times New Roman"/>
        </w:rPr>
        <w:t>打开甲醇加料阀，关闭加料阀</w:t>
      </w:r>
      <w:r>
        <w:rPr>
          <w:rFonts w:hint="eastAsia" w:cs="Times New Roman"/>
        </w:rPr>
        <w:t>，</w:t>
      </w:r>
      <w:r>
        <w:rPr>
          <w:rFonts w:hint="eastAsia"/>
        </w:rPr>
        <w:t>整个投料过程保持系统微负压。</w:t>
      </w:r>
    </w:p>
    <w:p w14:paraId="2709366F">
      <w:pPr>
        <w:pStyle w:val="82"/>
        <w:keepNext w:val="0"/>
        <w:keepLines w:val="0"/>
        <w:pageBreakBefore w:val="0"/>
        <w:widowControl w:val="0"/>
        <w:kinsoku/>
        <w:wordWrap/>
        <w:overflowPunct/>
        <w:topLinePunct w:val="0"/>
        <w:autoSpaceDE/>
        <w:autoSpaceDN/>
        <w:bidi w:val="0"/>
        <w:adjustRightInd/>
        <w:snapToGrid/>
        <w:spacing w:line="360" w:lineRule="auto"/>
        <w:textAlignment w:val="auto"/>
        <w:rPr>
          <w:rFonts w:cs="Times New Roman"/>
        </w:rPr>
      </w:pPr>
      <w:r>
        <w:rPr>
          <w:rFonts w:hint="eastAsia" w:cs="Times New Roman"/>
        </w:rPr>
        <w:t>3、</w:t>
      </w:r>
      <w:r>
        <w:rPr>
          <w:rFonts w:cs="Times New Roman"/>
        </w:rPr>
        <w:t>打开乙醇胺进料阀，开始滴加乙醇胺，滴加2h，回流2h，期间</w:t>
      </w:r>
      <w:r>
        <w:rPr>
          <w:rFonts w:hint="eastAsia" w:cs="Times New Roman"/>
          <w:lang w:val="en-US" w:eastAsia="zh-CN"/>
        </w:rPr>
        <w:t>用夹套蒸汽</w:t>
      </w:r>
      <w:r>
        <w:rPr>
          <w:rFonts w:cs="Times New Roman"/>
        </w:rPr>
        <w:t>保持成盐釜内温度65℃—67℃。保温结束，降温至40℃以下。</w:t>
      </w:r>
    </w:p>
    <w:p w14:paraId="3A965585">
      <w:pPr>
        <w:keepNext w:val="0"/>
        <w:keepLines w:val="0"/>
        <w:pageBreakBefore w:val="0"/>
        <w:widowControl w:val="0"/>
        <w:kinsoku/>
        <w:wordWrap/>
        <w:overflowPunct/>
        <w:topLinePunct w:val="0"/>
        <w:autoSpaceDE/>
        <w:autoSpaceDN/>
        <w:bidi w:val="0"/>
        <w:adjustRightInd/>
        <w:snapToGrid/>
        <w:spacing w:line="360" w:lineRule="auto"/>
        <w:ind w:firstLine="426" w:firstLineChars="200"/>
        <w:textAlignment w:val="auto"/>
        <w:rPr>
          <w:rFonts w:hint="eastAsia" w:cs="Times New Roman"/>
          <w:lang w:eastAsia="zh-CN"/>
        </w:rPr>
      </w:pPr>
      <w:r>
        <w:rPr>
          <w:rFonts w:hint="eastAsia" w:cs="Times New Roman"/>
        </w:rPr>
        <w:t>4、</w:t>
      </w:r>
      <w:r>
        <w:rPr>
          <w:rFonts w:cs="Times New Roman"/>
        </w:rPr>
        <w:t>用泵将物料送入三合一压滤机分离，分离后的</w:t>
      </w:r>
      <w:r>
        <w:rPr>
          <w:rFonts w:hint="eastAsia" w:cs="Times New Roman"/>
          <w:lang w:val="en-US" w:eastAsia="zh-CN"/>
        </w:rPr>
        <w:t>母液</w:t>
      </w:r>
      <w:r>
        <w:rPr>
          <w:rFonts w:cs="Times New Roman"/>
        </w:rPr>
        <w:t>甲醇</w:t>
      </w:r>
      <w:r>
        <w:rPr>
          <w:rFonts w:hint="eastAsia" w:cs="Times New Roman"/>
          <w:lang w:eastAsia="zh-CN"/>
        </w:rPr>
        <w:t>溶液蒸馏浓缩回收，回收后的甲醇回用。</w:t>
      </w:r>
    </w:p>
    <w:p w14:paraId="2F04F15B">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426" w:firstLineChars="200"/>
        <w:textAlignment w:val="auto"/>
        <w:rPr>
          <w:rFonts w:hint="default"/>
          <w:lang w:val="en-US" w:eastAsia="zh-CN"/>
        </w:rPr>
      </w:pPr>
      <w:r>
        <w:rPr>
          <w:rFonts w:hint="eastAsia" w:cs="Times New Roman"/>
          <w:lang w:val="en-US" w:eastAsia="zh-CN"/>
        </w:rPr>
        <w:t>5、</w:t>
      </w:r>
      <w:r>
        <w:rPr>
          <w:rFonts w:hint="eastAsia" w:cs="Times New Roman"/>
        </w:rPr>
        <w:t>压滤后</w:t>
      </w:r>
      <w:r>
        <w:rPr>
          <w:rFonts w:cs="Times New Roman"/>
        </w:rPr>
        <w:t>的物料直接进入精制釜，加入水，</w:t>
      </w:r>
      <w:r>
        <w:rPr>
          <w:rFonts w:hint="eastAsia" w:cs="Times New Roman"/>
          <w:lang w:val="en-US" w:eastAsia="zh-CN"/>
        </w:rPr>
        <w:t>用夹套蒸汽</w:t>
      </w:r>
      <w:r>
        <w:rPr>
          <w:rFonts w:cs="Times New Roman"/>
        </w:rPr>
        <w:t>升温至</w:t>
      </w:r>
      <w:r>
        <w:rPr>
          <w:rFonts w:hint="eastAsia" w:cs="Times New Roman"/>
          <w:lang w:val="en-US" w:eastAsia="zh-CN"/>
        </w:rPr>
        <w:t>55</w:t>
      </w:r>
      <w:r>
        <w:rPr>
          <w:rFonts w:hint="eastAsia" w:ascii="宋体" w:hAnsi="宋体" w:eastAsia="宋体" w:cs="宋体"/>
          <w:lang w:val="en-US" w:eastAsia="zh-CN"/>
        </w:rPr>
        <w:t>℃</w:t>
      </w:r>
      <w:r>
        <w:rPr>
          <w:rFonts w:hint="eastAsia" w:cs="Times New Roman"/>
          <w:lang w:val="en-US" w:eastAsia="zh-CN"/>
        </w:rPr>
        <w:t>—</w:t>
      </w:r>
      <w:r>
        <w:rPr>
          <w:rFonts w:cs="Times New Roman"/>
        </w:rPr>
        <w:t>60℃，</w:t>
      </w:r>
      <w:r>
        <w:rPr>
          <w:rFonts w:hint="eastAsia" w:cs="Times New Roman"/>
          <w:lang w:val="en-US" w:eastAsia="zh-CN"/>
        </w:rPr>
        <w:t>使物料中的少量甲醇完全溶于水中，</w:t>
      </w:r>
      <w:r>
        <w:rPr>
          <w:rFonts w:cs="Times New Roman"/>
        </w:rPr>
        <w:t>然后降温至40℃，开始离心。</w:t>
      </w:r>
    </w:p>
    <w:p w14:paraId="576D4014">
      <w:pPr>
        <w:keepNext w:val="0"/>
        <w:keepLines w:val="0"/>
        <w:pageBreakBefore w:val="0"/>
        <w:widowControl w:val="0"/>
        <w:kinsoku/>
        <w:wordWrap/>
        <w:overflowPunct/>
        <w:topLinePunct w:val="0"/>
        <w:autoSpaceDE/>
        <w:autoSpaceDN/>
        <w:bidi w:val="0"/>
        <w:adjustRightInd/>
        <w:snapToGrid/>
        <w:spacing w:line="360" w:lineRule="auto"/>
        <w:ind w:firstLine="426" w:firstLineChars="200"/>
        <w:textAlignment w:val="auto"/>
        <w:rPr>
          <w:rFonts w:hint="eastAsia"/>
          <w:lang w:eastAsia="zh-CN"/>
        </w:rPr>
      </w:pPr>
      <w:r>
        <w:rPr>
          <w:rFonts w:hint="eastAsia"/>
        </w:rPr>
        <w:t>6、</w:t>
      </w:r>
      <w:r>
        <w:t>离心物料去</w:t>
      </w:r>
      <w:r>
        <w:rPr>
          <w:rFonts w:hint="eastAsia"/>
          <w:lang w:val="en-US" w:eastAsia="zh-CN"/>
        </w:rPr>
        <w:t>双锥干燥机</w:t>
      </w:r>
      <w:r>
        <w:t>干燥、包装，得成品</w:t>
      </w:r>
      <w:r>
        <w:rPr>
          <w:rFonts w:hint="eastAsia"/>
          <w:lang w:eastAsia="zh-CN"/>
        </w:rPr>
        <w:t>。</w:t>
      </w:r>
    </w:p>
    <w:p w14:paraId="62F4B38F">
      <w:pPr>
        <w:pStyle w:val="2"/>
        <w:ind w:left="0" w:leftChars="0" w:firstLine="213" w:firstLineChars="100"/>
        <w:rPr>
          <w:rFonts w:hint="eastAsia"/>
          <w:lang w:eastAsia="zh-CN"/>
        </w:rPr>
      </w:pPr>
      <w:r>
        <w:rPr>
          <w:rFonts w:hint="eastAsia"/>
          <w:lang w:eastAsia="zh-CN"/>
        </w:rPr>
        <w:t>反应方程式：</w:t>
      </w:r>
    </w:p>
    <w:p w14:paraId="54F12539">
      <w:pPr>
        <w:rPr>
          <w:rFonts w:hint="eastAsia"/>
          <w:lang w:val="en-US" w:eastAsia="zh-CN"/>
        </w:rPr>
      </w:pPr>
      <w:r>
        <w:drawing>
          <wp:inline distT="0" distB="0" distL="114300" distR="114300">
            <wp:extent cx="5480050" cy="1162685"/>
            <wp:effectExtent l="0" t="0" r="6350" b="18415"/>
            <wp:docPr id="23"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37"/>
                    <pic:cNvPicPr>
                      <a:picLocks noChangeAspect="1"/>
                    </pic:cNvPicPr>
                  </pic:nvPicPr>
                  <pic:blipFill>
                    <a:blip r:embed="rId47"/>
                    <a:stretch>
                      <a:fillRect/>
                    </a:stretch>
                  </pic:blipFill>
                  <pic:spPr>
                    <a:xfrm>
                      <a:off x="0" y="0"/>
                      <a:ext cx="5480050" cy="1162685"/>
                    </a:xfrm>
                    <a:prstGeom prst="rect">
                      <a:avLst/>
                    </a:prstGeom>
                    <a:noFill/>
                    <a:ln>
                      <a:noFill/>
                    </a:ln>
                  </pic:spPr>
                </pic:pic>
              </a:graphicData>
            </a:graphic>
          </wp:inline>
        </w:drawing>
      </w:r>
    </w:p>
    <w:p w14:paraId="61FB6D32">
      <w:pPr>
        <w:pStyle w:val="2"/>
        <w:rPr>
          <w:rFonts w:hint="eastAsia" w:cs="Times New Roman"/>
          <w:lang w:val="en-US" w:eastAsia="zh-CN"/>
        </w:rPr>
      </w:pPr>
      <w:r>
        <w:rPr>
          <w:rFonts w:hint="eastAsia" w:cs="Times New Roman"/>
        </w:rPr>
        <w:t>项目工艺流程及产污环节图见图</w:t>
      </w:r>
      <w:r>
        <w:rPr>
          <w:rFonts w:hint="eastAsia" w:cs="Times New Roman"/>
          <w:lang w:val="en-US" w:eastAsia="zh-CN"/>
        </w:rPr>
        <w:t>2.3-9</w:t>
      </w:r>
    </w:p>
    <w:p w14:paraId="4117DF61">
      <w:pPr>
        <w:rPr>
          <w:rFonts w:hint="eastAsia" w:cs="Times New Roman"/>
          <w:lang w:val="en-US" w:eastAsia="zh-CN"/>
        </w:rPr>
      </w:pPr>
    </w:p>
    <w:p w14:paraId="598000E7">
      <w:pPr>
        <w:pStyle w:val="2"/>
        <w:rPr>
          <w:rFonts w:hint="eastAsia" w:cs="Times New Roman"/>
          <w:lang w:val="en-US" w:eastAsia="zh-CN"/>
        </w:rPr>
      </w:pPr>
    </w:p>
    <w:p w14:paraId="2D042334">
      <w:pPr>
        <w:rPr>
          <w:rFonts w:hint="eastAsia" w:cs="Times New Roman"/>
          <w:lang w:val="en-US" w:eastAsia="zh-CN"/>
        </w:rPr>
      </w:pPr>
    </w:p>
    <w:p w14:paraId="4C3065CA">
      <w:pPr>
        <w:pStyle w:val="2"/>
        <w:rPr>
          <w:rFonts w:hint="eastAsia" w:cs="Times New Roman"/>
          <w:lang w:val="en-US" w:eastAsia="zh-CN"/>
        </w:rPr>
      </w:pPr>
    </w:p>
    <w:p w14:paraId="6E263128">
      <w:pPr>
        <w:rPr>
          <w:rFonts w:hint="eastAsia" w:cs="Times New Roman"/>
          <w:lang w:val="en-US" w:eastAsia="zh-CN"/>
        </w:rPr>
      </w:pPr>
    </w:p>
    <w:p w14:paraId="0520E881">
      <w:pPr>
        <w:pStyle w:val="2"/>
        <w:rPr>
          <w:rFonts w:hint="eastAsia" w:cs="Times New Roman"/>
          <w:lang w:val="en-US" w:eastAsia="zh-CN"/>
        </w:rPr>
      </w:pPr>
    </w:p>
    <w:p w14:paraId="57891639">
      <w:pPr>
        <w:rPr>
          <w:rFonts w:hint="eastAsia" w:cs="Times New Roman"/>
          <w:lang w:val="en-US" w:eastAsia="zh-CN"/>
        </w:rPr>
      </w:pPr>
    </w:p>
    <w:p w14:paraId="17C4E883">
      <w:pPr>
        <w:pStyle w:val="2"/>
        <w:rPr>
          <w:rFonts w:hint="eastAsia" w:cs="Times New Roman"/>
          <w:lang w:val="en-US" w:eastAsia="zh-CN"/>
        </w:rPr>
      </w:pPr>
    </w:p>
    <w:p w14:paraId="12C8CDA8">
      <w:pPr>
        <w:rPr>
          <w:rFonts w:hint="eastAsia" w:cs="Times New Roman"/>
          <w:lang w:val="en-US" w:eastAsia="zh-CN"/>
        </w:rPr>
      </w:pPr>
    </w:p>
    <w:p w14:paraId="2F8E41CD">
      <w:pPr>
        <w:pStyle w:val="2"/>
        <w:rPr>
          <w:rFonts w:hint="eastAsia" w:cs="Times New Roman"/>
          <w:lang w:val="en-US" w:eastAsia="zh-CN"/>
        </w:rPr>
      </w:pPr>
    </w:p>
    <w:p w14:paraId="32B13691">
      <w:pPr>
        <w:rPr>
          <w:rFonts w:hint="eastAsia" w:cs="Times New Roman"/>
          <w:lang w:val="en-US" w:eastAsia="zh-CN"/>
        </w:rPr>
      </w:pPr>
    </w:p>
    <w:p w14:paraId="568DDA4B">
      <w:pPr>
        <w:pStyle w:val="2"/>
        <w:rPr>
          <w:rFonts w:hint="eastAsia" w:cs="Times New Roman"/>
          <w:lang w:val="en-US" w:eastAsia="zh-CN"/>
        </w:rPr>
      </w:pPr>
    </w:p>
    <w:p w14:paraId="438C3EC7">
      <w:pPr>
        <w:rPr>
          <w:rFonts w:hint="eastAsia" w:cs="Times New Roman"/>
          <w:lang w:val="en-US" w:eastAsia="zh-CN"/>
        </w:rPr>
      </w:pPr>
    </w:p>
    <w:p w14:paraId="69B0F21A">
      <w:pPr>
        <w:pStyle w:val="2"/>
        <w:rPr>
          <w:rFonts w:hint="eastAsia" w:cs="Times New Roman"/>
          <w:lang w:val="en-US" w:eastAsia="zh-CN"/>
        </w:rPr>
      </w:pPr>
    </w:p>
    <w:p w14:paraId="7D9C86B3">
      <w:pPr>
        <w:rPr>
          <w:rFonts w:hint="eastAsia" w:cs="Times New Roman"/>
          <w:lang w:val="en-US" w:eastAsia="zh-CN"/>
        </w:rPr>
      </w:pPr>
      <w:r>
        <w:object>
          <v:shape id="_x0000_i1037" o:spt="75" type="#_x0000_t75" style="height:661.5pt;width:453.4pt;" o:ole="t" filled="f" o:preferrelative="t" stroked="f" coordsize="21600,21600">
            <v:path/>
            <v:fill on="f" alignshape="1" focussize="0,0"/>
            <v:stroke on="f"/>
            <v:imagedata r:id="rId49" o:title=""/>
            <o:lock v:ext="edit" aspectratio="t"/>
            <w10:wrap type="none"/>
            <w10:anchorlock/>
          </v:shape>
          <o:OLEObject Type="Embed" ProgID="Visio.Drawing.11" ShapeID="_x0000_i1037" DrawAspect="Content" ObjectID="_1468075737" r:id="rId48">
            <o:LockedField>false</o:LockedField>
          </o:OLEObject>
        </w:object>
      </w:r>
    </w:p>
    <w:p w14:paraId="46BB3D40">
      <w:pPr>
        <w:ind w:firstLine="1917" w:firstLineChars="900"/>
        <w:rPr>
          <w:rFonts w:hint="default" w:ascii="Times New Roman" w:hAnsi="Times New Roman" w:cs="Times New Roman"/>
          <w:color w:val="auto"/>
          <w:highlight w:val="none"/>
          <w:lang w:val="en-US" w:eastAsia="zh-CN"/>
        </w:rPr>
      </w:pPr>
      <w:r>
        <w:rPr>
          <w:rFonts w:hint="eastAsia"/>
          <w:b/>
          <w:bCs/>
          <w:lang w:val="en-US" w:eastAsia="zh-CN"/>
        </w:rPr>
        <w:t>氯硝柳胺乙醇铵盐工艺流程及产污环节图2.3-9</w:t>
      </w:r>
    </w:p>
    <w:p w14:paraId="4DD5B837">
      <w:pPr>
        <w:spacing w:before="0" w:after="0"/>
        <w:outlineLvl w:val="9"/>
        <w:rPr>
          <w:rFonts w:hint="default" w:ascii="Times New Roman" w:hAnsi="Times New Roman" w:cs="Times New Roman"/>
          <w:b/>
          <w:bCs/>
          <w:color w:val="auto"/>
          <w:sz w:val="24"/>
          <w:szCs w:val="32"/>
          <w:highlight w:val="none"/>
        </w:rPr>
      </w:pPr>
      <w:r>
        <w:rPr>
          <w:rFonts w:hint="default" w:ascii="Times New Roman" w:hAnsi="Times New Roman" w:cs="Times New Roman"/>
          <w:b/>
          <w:bCs/>
          <w:color w:val="auto"/>
          <w:sz w:val="24"/>
          <w:szCs w:val="32"/>
          <w:highlight w:val="none"/>
          <w:lang w:val="en-US" w:eastAsia="zh-CN"/>
        </w:rPr>
        <w:t>3.4.2生产</w:t>
      </w:r>
      <w:r>
        <w:rPr>
          <w:rFonts w:hint="default" w:ascii="Times New Roman" w:hAnsi="Times New Roman" w:cs="Times New Roman"/>
          <w:b/>
          <w:bCs/>
          <w:color w:val="auto"/>
          <w:sz w:val="24"/>
          <w:szCs w:val="32"/>
          <w:highlight w:val="none"/>
        </w:rPr>
        <w:t>设备</w:t>
      </w:r>
    </w:p>
    <w:p w14:paraId="68574D1B">
      <w:pPr>
        <w:keepNext/>
        <w:keepLines/>
        <w:pageBreakBefore w:val="0"/>
        <w:widowControl w:val="0"/>
        <w:kinsoku/>
        <w:wordWrap/>
        <w:overflowPunct/>
        <w:topLinePunct w:val="0"/>
        <w:autoSpaceDE/>
        <w:autoSpaceDN/>
        <w:bidi w:val="0"/>
        <w:adjustRightInd w:val="0"/>
        <w:snapToGrid w:val="0"/>
        <w:spacing w:before="0" w:after="0"/>
        <w:ind w:firstLine="486" w:firstLineChars="200"/>
        <w:textAlignment w:val="auto"/>
        <w:outlineLvl w:val="9"/>
        <w:rPr>
          <w:rFonts w:hint="default" w:ascii="Times New Roman" w:hAnsi="Times New Roman" w:cs="Times New Roman"/>
          <w:b w:val="0"/>
          <w:bCs w:val="0"/>
          <w:color w:val="auto"/>
          <w:sz w:val="24"/>
          <w:szCs w:val="24"/>
          <w:highlight w:val="none"/>
        </w:rPr>
      </w:pPr>
      <w:r>
        <w:rPr>
          <w:rFonts w:hint="default" w:ascii="Times New Roman" w:hAnsi="Times New Roman" w:cs="Times New Roman"/>
          <w:b w:val="0"/>
          <w:bCs w:val="0"/>
          <w:color w:val="auto"/>
          <w:sz w:val="24"/>
          <w:szCs w:val="24"/>
          <w:highlight w:val="none"/>
          <w:lang w:eastAsia="zh-CN"/>
        </w:rPr>
        <w:t>项目主要生产设备</w:t>
      </w:r>
      <w:r>
        <w:rPr>
          <w:rFonts w:hint="default" w:ascii="Times New Roman" w:hAnsi="Times New Roman" w:cs="Times New Roman"/>
          <w:b w:val="0"/>
          <w:bCs w:val="0"/>
          <w:color w:val="auto"/>
          <w:sz w:val="24"/>
          <w:szCs w:val="24"/>
          <w:highlight w:val="none"/>
        </w:rPr>
        <w:t>见</w:t>
      </w:r>
      <w:r>
        <w:rPr>
          <w:rFonts w:hint="default" w:ascii="Times New Roman" w:hAnsi="Times New Roman" w:cs="Times New Roman"/>
          <w:b w:val="0"/>
          <w:bCs w:val="0"/>
          <w:color w:val="auto"/>
          <w:sz w:val="24"/>
          <w:szCs w:val="24"/>
          <w:highlight w:val="none"/>
          <w:lang w:eastAsia="zh-CN"/>
        </w:rPr>
        <w:t>下表</w:t>
      </w:r>
      <w:r>
        <w:rPr>
          <w:rFonts w:hint="default" w:ascii="Times New Roman" w:hAnsi="Times New Roman" w:cs="Times New Roman"/>
          <w:b w:val="0"/>
          <w:bCs w:val="0"/>
          <w:color w:val="auto"/>
          <w:sz w:val="24"/>
          <w:szCs w:val="24"/>
          <w:highlight w:val="none"/>
        </w:rPr>
        <w:t>。</w:t>
      </w:r>
    </w:p>
    <w:p w14:paraId="6EED204E">
      <w:pPr>
        <w:keepNext/>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Times New Roman" w:hAnsi="Times New Roman" w:cs="Times New Roman" w:eastAsiaTheme="minorEastAsia"/>
          <w:b/>
          <w:bCs/>
          <w:color w:val="auto"/>
          <w:sz w:val="24"/>
          <w:szCs w:val="24"/>
          <w:highlight w:val="none"/>
        </w:rPr>
      </w:pPr>
      <w:r>
        <w:rPr>
          <w:rFonts w:hint="default" w:ascii="Times New Roman" w:hAnsi="Times New Roman" w:cs="Times New Roman" w:eastAsiaTheme="minorEastAsia"/>
          <w:b/>
          <w:bCs/>
          <w:color w:val="auto"/>
          <w:sz w:val="24"/>
          <w:szCs w:val="24"/>
          <w:highlight w:val="none"/>
        </w:rPr>
        <w:t>表</w:t>
      </w:r>
      <w:r>
        <w:rPr>
          <w:rFonts w:hint="default" w:ascii="Times New Roman" w:hAnsi="Times New Roman" w:cs="Times New Roman" w:eastAsiaTheme="minorEastAsia"/>
          <w:b/>
          <w:bCs/>
          <w:color w:val="auto"/>
          <w:sz w:val="24"/>
          <w:szCs w:val="24"/>
          <w:highlight w:val="none"/>
          <w:lang w:val="en-US" w:eastAsia="zh-CN"/>
        </w:rPr>
        <w:t>3.4</w:t>
      </w:r>
      <w:r>
        <w:rPr>
          <w:rFonts w:hint="eastAsia" w:cs="Times New Roman" w:eastAsiaTheme="minorEastAsia"/>
          <w:b/>
          <w:bCs/>
          <w:color w:val="auto"/>
          <w:sz w:val="24"/>
          <w:szCs w:val="24"/>
          <w:highlight w:val="none"/>
          <w:lang w:val="en-US" w:eastAsia="zh-CN"/>
        </w:rPr>
        <w:t>.2</w:t>
      </w:r>
      <w:r>
        <w:rPr>
          <w:rFonts w:hint="default" w:ascii="Times New Roman" w:hAnsi="Times New Roman" w:cs="Times New Roman" w:eastAsiaTheme="minorEastAsia"/>
          <w:b/>
          <w:bCs/>
          <w:color w:val="auto"/>
          <w:sz w:val="24"/>
          <w:szCs w:val="24"/>
          <w:highlight w:val="none"/>
          <w:lang w:val="en-US" w:eastAsia="zh-CN"/>
        </w:rPr>
        <w:t>-1</w:t>
      </w:r>
      <w:r>
        <w:rPr>
          <w:rFonts w:hint="default" w:ascii="Times New Roman" w:hAnsi="Times New Roman" w:cs="Times New Roman" w:eastAsiaTheme="minorEastAsia"/>
          <w:b/>
          <w:bCs/>
          <w:color w:val="auto"/>
          <w:sz w:val="24"/>
          <w:szCs w:val="24"/>
          <w:highlight w:val="none"/>
        </w:rPr>
        <w:t xml:space="preserve"> 主要生产设备一览表</w:t>
      </w:r>
    </w:p>
    <w:tbl>
      <w:tblPr>
        <w:tblStyle w:val="33"/>
        <w:tblW w:w="481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8"/>
        <w:gridCol w:w="2300"/>
        <w:gridCol w:w="2660"/>
        <w:gridCol w:w="2838"/>
        <w:gridCol w:w="792"/>
      </w:tblGrid>
      <w:tr w14:paraId="0AFAB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30D09E9A">
            <w:pPr>
              <w:keepNext w:val="0"/>
              <w:keepLines w:val="0"/>
              <w:suppressLineNumbers w:val="0"/>
              <w:spacing w:before="0" w:beforeAutospacing="0" w:after="0" w:afterAutospacing="0" w:line="360" w:lineRule="exact"/>
              <w:ind w:left="0" w:right="0"/>
              <w:jc w:val="center"/>
              <w:rPr>
                <w:rFonts w:hint="default"/>
                <w:bCs/>
                <w:szCs w:val="21"/>
              </w:rPr>
            </w:pPr>
            <w:r>
              <w:rPr>
                <w:rFonts w:hint="default"/>
                <w:bCs/>
                <w:szCs w:val="21"/>
              </w:rPr>
              <w:t>序号</w:t>
            </w:r>
          </w:p>
        </w:tc>
        <w:tc>
          <w:tcPr>
            <w:tcW w:w="1245" w:type="pct"/>
            <w:noWrap w:val="0"/>
            <w:vAlign w:val="center"/>
          </w:tcPr>
          <w:p w14:paraId="375FD659">
            <w:pPr>
              <w:keepNext w:val="0"/>
              <w:keepLines w:val="0"/>
              <w:suppressLineNumbers w:val="0"/>
              <w:spacing w:before="0" w:beforeAutospacing="0" w:after="0" w:afterAutospacing="0" w:line="360" w:lineRule="exact"/>
              <w:ind w:left="0" w:right="0"/>
              <w:jc w:val="center"/>
              <w:rPr>
                <w:rFonts w:hint="default"/>
                <w:bCs/>
                <w:szCs w:val="21"/>
              </w:rPr>
            </w:pPr>
            <w:r>
              <w:rPr>
                <w:rFonts w:hint="default"/>
                <w:bCs/>
                <w:szCs w:val="21"/>
              </w:rPr>
              <w:t>设备名称</w:t>
            </w:r>
          </w:p>
        </w:tc>
        <w:tc>
          <w:tcPr>
            <w:tcW w:w="1412" w:type="pct"/>
            <w:noWrap w:val="0"/>
            <w:vAlign w:val="center"/>
          </w:tcPr>
          <w:p w14:paraId="4D85D80A">
            <w:pPr>
              <w:keepNext w:val="0"/>
              <w:keepLines w:val="0"/>
              <w:suppressLineNumbers w:val="0"/>
              <w:spacing w:before="0" w:beforeAutospacing="0" w:after="0" w:afterAutospacing="0" w:line="360" w:lineRule="exact"/>
              <w:ind w:left="0" w:right="0"/>
              <w:jc w:val="center"/>
              <w:rPr>
                <w:rFonts w:hint="default"/>
                <w:bCs/>
                <w:szCs w:val="21"/>
              </w:rPr>
            </w:pPr>
            <w:r>
              <w:rPr>
                <w:rFonts w:hint="default"/>
                <w:bCs/>
                <w:szCs w:val="21"/>
              </w:rPr>
              <w:t>规格</w:t>
            </w:r>
          </w:p>
        </w:tc>
        <w:tc>
          <w:tcPr>
            <w:tcW w:w="1535" w:type="pct"/>
            <w:noWrap w:val="0"/>
            <w:vAlign w:val="center"/>
          </w:tcPr>
          <w:p w14:paraId="1E82C085">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材质</w:t>
            </w:r>
          </w:p>
        </w:tc>
        <w:tc>
          <w:tcPr>
            <w:tcW w:w="430" w:type="pct"/>
            <w:noWrap w:val="0"/>
            <w:vAlign w:val="center"/>
          </w:tcPr>
          <w:p w14:paraId="5F198B79">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数量</w:t>
            </w:r>
          </w:p>
        </w:tc>
      </w:tr>
      <w:tr w14:paraId="16C31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5"/>
            <w:tcBorders>
              <w:right w:val="single" w:color="auto" w:sz="2" w:space="0"/>
            </w:tcBorders>
            <w:noWrap w:val="0"/>
            <w:vAlign w:val="center"/>
          </w:tcPr>
          <w:p w14:paraId="6FA93673">
            <w:pPr>
              <w:keepNext w:val="0"/>
              <w:keepLines w:val="0"/>
              <w:suppressLineNumbers w:val="0"/>
              <w:spacing w:before="0" w:beforeAutospacing="0" w:after="0" w:afterAutospacing="0" w:line="360" w:lineRule="exact"/>
              <w:ind w:left="0" w:right="0"/>
              <w:jc w:val="center"/>
              <w:rPr>
                <w:rFonts w:hint="eastAsia"/>
                <w:bCs/>
                <w:szCs w:val="21"/>
              </w:rPr>
            </w:pPr>
            <w:r>
              <w:rPr>
                <w:rFonts w:hint="eastAsia"/>
                <w:bCs/>
                <w:szCs w:val="21"/>
              </w:rPr>
              <w:t>水杨酸装置</w:t>
            </w:r>
          </w:p>
        </w:tc>
      </w:tr>
      <w:tr w14:paraId="3BDAC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74CFCADA">
            <w:pPr>
              <w:keepNext w:val="0"/>
              <w:keepLines w:val="0"/>
              <w:suppressLineNumbers w:val="0"/>
              <w:spacing w:before="0" w:beforeAutospacing="0" w:after="0" w:afterAutospacing="0"/>
              <w:ind w:left="0" w:right="0"/>
              <w:jc w:val="center"/>
              <w:rPr>
                <w:rFonts w:hint="default"/>
                <w:szCs w:val="21"/>
              </w:rPr>
            </w:pPr>
            <w:r>
              <w:rPr>
                <w:rFonts w:hint="default"/>
                <w:szCs w:val="21"/>
              </w:rPr>
              <w:t>1</w:t>
            </w:r>
          </w:p>
        </w:tc>
        <w:tc>
          <w:tcPr>
            <w:tcW w:w="1245" w:type="pct"/>
            <w:noWrap w:val="0"/>
            <w:vAlign w:val="center"/>
          </w:tcPr>
          <w:p w14:paraId="0F97F0BB">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配制釜</w:t>
            </w:r>
          </w:p>
        </w:tc>
        <w:tc>
          <w:tcPr>
            <w:tcW w:w="1412" w:type="pct"/>
            <w:noWrap w:val="0"/>
            <w:vAlign w:val="center"/>
          </w:tcPr>
          <w:p w14:paraId="09C1D468">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12m</w:t>
            </w:r>
            <w:r>
              <w:rPr>
                <w:rFonts w:hint="eastAsia"/>
                <w:vertAlign w:val="superscript"/>
              </w:rPr>
              <w:t>3</w:t>
            </w:r>
          </w:p>
        </w:tc>
        <w:tc>
          <w:tcPr>
            <w:tcW w:w="1535" w:type="pct"/>
            <w:noWrap w:val="0"/>
            <w:vAlign w:val="center"/>
          </w:tcPr>
          <w:p w14:paraId="3CD35CFF">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碳钢</w:t>
            </w:r>
          </w:p>
        </w:tc>
        <w:tc>
          <w:tcPr>
            <w:tcW w:w="430" w:type="pct"/>
            <w:noWrap w:val="0"/>
            <w:vAlign w:val="center"/>
          </w:tcPr>
          <w:p w14:paraId="2FDA92D8">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4台</w:t>
            </w:r>
          </w:p>
        </w:tc>
      </w:tr>
      <w:tr w14:paraId="174E3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65365AE0">
            <w:pPr>
              <w:keepNext w:val="0"/>
              <w:keepLines w:val="0"/>
              <w:suppressLineNumbers w:val="0"/>
              <w:spacing w:before="0" w:beforeAutospacing="0" w:after="0" w:afterAutospacing="0"/>
              <w:ind w:left="0" w:right="0"/>
              <w:jc w:val="center"/>
              <w:rPr>
                <w:rFonts w:hint="default"/>
                <w:szCs w:val="21"/>
              </w:rPr>
            </w:pPr>
            <w:r>
              <w:rPr>
                <w:rFonts w:hint="default"/>
                <w:szCs w:val="21"/>
              </w:rPr>
              <w:t>2</w:t>
            </w:r>
          </w:p>
        </w:tc>
        <w:tc>
          <w:tcPr>
            <w:tcW w:w="1245" w:type="pct"/>
            <w:noWrap w:val="0"/>
            <w:vAlign w:val="center"/>
          </w:tcPr>
          <w:p w14:paraId="06389E3E">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出水釜</w:t>
            </w:r>
          </w:p>
        </w:tc>
        <w:tc>
          <w:tcPr>
            <w:tcW w:w="1412" w:type="pct"/>
            <w:noWrap w:val="0"/>
            <w:vAlign w:val="center"/>
          </w:tcPr>
          <w:p w14:paraId="6522B9CE">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3.8 m</w:t>
            </w:r>
            <w:r>
              <w:rPr>
                <w:rFonts w:hint="eastAsia"/>
                <w:vertAlign w:val="superscript"/>
              </w:rPr>
              <w:t>3</w:t>
            </w:r>
          </w:p>
        </w:tc>
        <w:tc>
          <w:tcPr>
            <w:tcW w:w="1535" w:type="pct"/>
            <w:noWrap w:val="0"/>
            <w:vAlign w:val="center"/>
          </w:tcPr>
          <w:p w14:paraId="48B9482A">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碳钢</w:t>
            </w:r>
          </w:p>
        </w:tc>
        <w:tc>
          <w:tcPr>
            <w:tcW w:w="430" w:type="pct"/>
            <w:noWrap w:val="0"/>
            <w:vAlign w:val="center"/>
          </w:tcPr>
          <w:p w14:paraId="702263AC">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8台</w:t>
            </w:r>
          </w:p>
        </w:tc>
      </w:tr>
      <w:tr w14:paraId="04328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6A5402FF">
            <w:pPr>
              <w:keepNext w:val="0"/>
              <w:keepLines w:val="0"/>
              <w:suppressLineNumbers w:val="0"/>
              <w:spacing w:before="0" w:beforeAutospacing="0" w:after="0" w:afterAutospacing="0"/>
              <w:ind w:left="0" w:right="0"/>
              <w:jc w:val="center"/>
              <w:rPr>
                <w:rFonts w:hint="default"/>
                <w:szCs w:val="21"/>
              </w:rPr>
            </w:pPr>
            <w:r>
              <w:rPr>
                <w:rFonts w:hint="default"/>
                <w:szCs w:val="21"/>
              </w:rPr>
              <w:t>3</w:t>
            </w:r>
          </w:p>
        </w:tc>
        <w:tc>
          <w:tcPr>
            <w:tcW w:w="1245" w:type="pct"/>
            <w:noWrap w:val="0"/>
            <w:vAlign w:val="center"/>
          </w:tcPr>
          <w:p w14:paraId="1A89522C">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出水釜</w:t>
            </w:r>
          </w:p>
        </w:tc>
        <w:tc>
          <w:tcPr>
            <w:tcW w:w="1412" w:type="pct"/>
            <w:noWrap w:val="0"/>
            <w:vAlign w:val="center"/>
          </w:tcPr>
          <w:p w14:paraId="2493790B">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6.8 m</w:t>
            </w:r>
            <w:r>
              <w:rPr>
                <w:rFonts w:hint="eastAsia"/>
                <w:vertAlign w:val="superscript"/>
              </w:rPr>
              <w:t>3</w:t>
            </w:r>
          </w:p>
        </w:tc>
        <w:tc>
          <w:tcPr>
            <w:tcW w:w="1535" w:type="pct"/>
            <w:noWrap w:val="0"/>
            <w:vAlign w:val="center"/>
          </w:tcPr>
          <w:p w14:paraId="7A7F40CA">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碳钢</w:t>
            </w:r>
          </w:p>
        </w:tc>
        <w:tc>
          <w:tcPr>
            <w:tcW w:w="430" w:type="pct"/>
            <w:noWrap w:val="0"/>
            <w:vAlign w:val="center"/>
          </w:tcPr>
          <w:p w14:paraId="57FB16E9">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5台</w:t>
            </w:r>
          </w:p>
        </w:tc>
      </w:tr>
      <w:tr w14:paraId="43771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48E5EDEE">
            <w:pPr>
              <w:keepNext w:val="0"/>
              <w:keepLines w:val="0"/>
              <w:suppressLineNumbers w:val="0"/>
              <w:spacing w:before="0" w:beforeAutospacing="0" w:after="0" w:afterAutospacing="0"/>
              <w:ind w:left="0" w:right="0"/>
              <w:jc w:val="center"/>
              <w:rPr>
                <w:rFonts w:hint="default"/>
                <w:szCs w:val="21"/>
              </w:rPr>
            </w:pPr>
            <w:r>
              <w:rPr>
                <w:rFonts w:hint="default"/>
                <w:szCs w:val="21"/>
              </w:rPr>
              <w:t>4</w:t>
            </w:r>
          </w:p>
        </w:tc>
        <w:tc>
          <w:tcPr>
            <w:tcW w:w="1245" w:type="pct"/>
            <w:noWrap w:val="0"/>
            <w:vAlign w:val="center"/>
          </w:tcPr>
          <w:p w14:paraId="7B09CC2D">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出水冷凝器</w:t>
            </w:r>
          </w:p>
        </w:tc>
        <w:tc>
          <w:tcPr>
            <w:tcW w:w="1412" w:type="pct"/>
            <w:noWrap w:val="0"/>
            <w:vAlign w:val="center"/>
          </w:tcPr>
          <w:p w14:paraId="5B32D0FB">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58.4 m</w:t>
            </w:r>
            <w:r>
              <w:rPr>
                <w:rFonts w:hint="eastAsia"/>
                <w:vertAlign w:val="superscript"/>
              </w:rPr>
              <w:t>3</w:t>
            </w:r>
          </w:p>
        </w:tc>
        <w:tc>
          <w:tcPr>
            <w:tcW w:w="1535" w:type="pct"/>
            <w:noWrap w:val="0"/>
            <w:vAlign w:val="center"/>
          </w:tcPr>
          <w:p w14:paraId="6A01386E">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碳钢</w:t>
            </w:r>
          </w:p>
        </w:tc>
        <w:tc>
          <w:tcPr>
            <w:tcW w:w="430" w:type="pct"/>
            <w:noWrap w:val="0"/>
            <w:vAlign w:val="center"/>
          </w:tcPr>
          <w:p w14:paraId="682F6BAE">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13台</w:t>
            </w:r>
          </w:p>
        </w:tc>
      </w:tr>
      <w:tr w14:paraId="4DA45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13DA5AB5">
            <w:pPr>
              <w:keepNext w:val="0"/>
              <w:keepLines w:val="0"/>
              <w:suppressLineNumbers w:val="0"/>
              <w:spacing w:before="0" w:beforeAutospacing="0" w:after="0" w:afterAutospacing="0"/>
              <w:ind w:left="0" w:right="0"/>
              <w:jc w:val="center"/>
              <w:rPr>
                <w:rFonts w:hint="default"/>
                <w:szCs w:val="21"/>
              </w:rPr>
            </w:pPr>
            <w:r>
              <w:rPr>
                <w:rFonts w:hint="default"/>
                <w:szCs w:val="21"/>
              </w:rPr>
              <w:t>5</w:t>
            </w:r>
          </w:p>
        </w:tc>
        <w:tc>
          <w:tcPr>
            <w:tcW w:w="1245" w:type="pct"/>
            <w:noWrap w:val="0"/>
            <w:vAlign w:val="center"/>
          </w:tcPr>
          <w:p w14:paraId="5BE3DE9E">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出水受器</w:t>
            </w:r>
          </w:p>
        </w:tc>
        <w:tc>
          <w:tcPr>
            <w:tcW w:w="1412" w:type="pct"/>
            <w:noWrap w:val="0"/>
            <w:vAlign w:val="center"/>
          </w:tcPr>
          <w:p w14:paraId="55D128AF">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1500L</w:t>
            </w:r>
          </w:p>
        </w:tc>
        <w:tc>
          <w:tcPr>
            <w:tcW w:w="1535" w:type="pct"/>
            <w:noWrap w:val="0"/>
            <w:vAlign w:val="center"/>
          </w:tcPr>
          <w:p w14:paraId="6F492582">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碳钢</w:t>
            </w:r>
          </w:p>
        </w:tc>
        <w:tc>
          <w:tcPr>
            <w:tcW w:w="430" w:type="pct"/>
            <w:noWrap w:val="0"/>
            <w:vAlign w:val="center"/>
          </w:tcPr>
          <w:p w14:paraId="555B8550">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8台</w:t>
            </w:r>
          </w:p>
        </w:tc>
      </w:tr>
      <w:tr w14:paraId="332F5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430CDA50">
            <w:pPr>
              <w:keepNext w:val="0"/>
              <w:keepLines w:val="0"/>
              <w:suppressLineNumbers w:val="0"/>
              <w:spacing w:before="0" w:beforeAutospacing="0" w:after="0" w:afterAutospacing="0"/>
              <w:ind w:left="0" w:right="0"/>
              <w:jc w:val="center"/>
              <w:rPr>
                <w:rFonts w:hint="default"/>
                <w:szCs w:val="21"/>
              </w:rPr>
            </w:pPr>
            <w:r>
              <w:rPr>
                <w:rFonts w:hint="default"/>
                <w:szCs w:val="21"/>
              </w:rPr>
              <w:t>6</w:t>
            </w:r>
          </w:p>
        </w:tc>
        <w:tc>
          <w:tcPr>
            <w:tcW w:w="1245" w:type="pct"/>
            <w:noWrap w:val="0"/>
            <w:vAlign w:val="center"/>
          </w:tcPr>
          <w:p w14:paraId="6C61521C">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出水受器</w:t>
            </w:r>
          </w:p>
        </w:tc>
        <w:tc>
          <w:tcPr>
            <w:tcW w:w="1412" w:type="pct"/>
            <w:noWrap w:val="0"/>
            <w:vAlign w:val="center"/>
          </w:tcPr>
          <w:p w14:paraId="40D5B261">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2500L</w:t>
            </w:r>
          </w:p>
        </w:tc>
        <w:tc>
          <w:tcPr>
            <w:tcW w:w="1535" w:type="pct"/>
            <w:noWrap w:val="0"/>
            <w:vAlign w:val="center"/>
          </w:tcPr>
          <w:p w14:paraId="012C0153">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碳钢</w:t>
            </w:r>
          </w:p>
        </w:tc>
        <w:tc>
          <w:tcPr>
            <w:tcW w:w="430" w:type="pct"/>
            <w:noWrap w:val="0"/>
            <w:vAlign w:val="center"/>
          </w:tcPr>
          <w:p w14:paraId="2EA88DC8">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5台</w:t>
            </w:r>
          </w:p>
        </w:tc>
      </w:tr>
      <w:tr w14:paraId="7BF2F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41D52D49">
            <w:pPr>
              <w:keepNext w:val="0"/>
              <w:keepLines w:val="0"/>
              <w:suppressLineNumbers w:val="0"/>
              <w:spacing w:before="0" w:beforeAutospacing="0" w:after="0" w:afterAutospacing="0"/>
              <w:ind w:left="0" w:right="0"/>
              <w:jc w:val="center"/>
              <w:rPr>
                <w:rFonts w:hint="default"/>
                <w:szCs w:val="21"/>
              </w:rPr>
            </w:pPr>
            <w:r>
              <w:rPr>
                <w:rFonts w:hint="default"/>
                <w:szCs w:val="21"/>
              </w:rPr>
              <w:t>7</w:t>
            </w:r>
          </w:p>
        </w:tc>
        <w:tc>
          <w:tcPr>
            <w:tcW w:w="1245" w:type="pct"/>
            <w:noWrap w:val="0"/>
            <w:vAlign w:val="center"/>
          </w:tcPr>
          <w:p w14:paraId="641B4128">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羧化釜</w:t>
            </w:r>
          </w:p>
        </w:tc>
        <w:tc>
          <w:tcPr>
            <w:tcW w:w="1412" w:type="pct"/>
            <w:noWrap w:val="0"/>
            <w:vAlign w:val="center"/>
          </w:tcPr>
          <w:p w14:paraId="08822641">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7 m</w:t>
            </w:r>
            <w:r>
              <w:rPr>
                <w:rFonts w:hint="eastAsia"/>
                <w:vertAlign w:val="superscript"/>
              </w:rPr>
              <w:t>3</w:t>
            </w:r>
          </w:p>
        </w:tc>
        <w:tc>
          <w:tcPr>
            <w:tcW w:w="1535" w:type="pct"/>
            <w:noWrap w:val="0"/>
            <w:vAlign w:val="center"/>
          </w:tcPr>
          <w:p w14:paraId="718F8725">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碳钢</w:t>
            </w:r>
          </w:p>
        </w:tc>
        <w:tc>
          <w:tcPr>
            <w:tcW w:w="430" w:type="pct"/>
            <w:noWrap w:val="0"/>
            <w:vAlign w:val="center"/>
          </w:tcPr>
          <w:p w14:paraId="5739B31C">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24台</w:t>
            </w:r>
          </w:p>
        </w:tc>
      </w:tr>
      <w:tr w14:paraId="7073A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5F542063">
            <w:pPr>
              <w:keepNext w:val="0"/>
              <w:keepLines w:val="0"/>
              <w:suppressLineNumbers w:val="0"/>
              <w:spacing w:before="0" w:beforeAutospacing="0" w:after="0" w:afterAutospacing="0"/>
              <w:ind w:left="0" w:right="0"/>
              <w:jc w:val="center"/>
              <w:rPr>
                <w:rFonts w:hint="default"/>
                <w:szCs w:val="21"/>
              </w:rPr>
            </w:pPr>
            <w:r>
              <w:rPr>
                <w:rFonts w:hint="default"/>
                <w:szCs w:val="21"/>
              </w:rPr>
              <w:t>8</w:t>
            </w:r>
          </w:p>
        </w:tc>
        <w:tc>
          <w:tcPr>
            <w:tcW w:w="1245" w:type="pct"/>
            <w:noWrap w:val="0"/>
            <w:vAlign w:val="center"/>
          </w:tcPr>
          <w:p w14:paraId="54DB9EDA">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羧化釜受器</w:t>
            </w:r>
          </w:p>
        </w:tc>
        <w:tc>
          <w:tcPr>
            <w:tcW w:w="1412" w:type="pct"/>
            <w:noWrap w:val="0"/>
            <w:vAlign w:val="center"/>
          </w:tcPr>
          <w:p w14:paraId="0DAEBAAE">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2000L</w:t>
            </w:r>
          </w:p>
        </w:tc>
        <w:tc>
          <w:tcPr>
            <w:tcW w:w="1535" w:type="pct"/>
            <w:noWrap w:val="0"/>
            <w:vAlign w:val="center"/>
          </w:tcPr>
          <w:p w14:paraId="20034F33">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碳钢</w:t>
            </w:r>
          </w:p>
        </w:tc>
        <w:tc>
          <w:tcPr>
            <w:tcW w:w="430" w:type="pct"/>
            <w:noWrap w:val="0"/>
            <w:vAlign w:val="center"/>
          </w:tcPr>
          <w:p w14:paraId="1A3535AA">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24台</w:t>
            </w:r>
          </w:p>
        </w:tc>
      </w:tr>
      <w:tr w14:paraId="6FCE1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5C17A4F6">
            <w:pPr>
              <w:keepNext w:val="0"/>
              <w:keepLines w:val="0"/>
              <w:suppressLineNumbers w:val="0"/>
              <w:spacing w:before="0" w:beforeAutospacing="0" w:after="0" w:afterAutospacing="0"/>
              <w:ind w:left="0" w:right="0"/>
              <w:jc w:val="center"/>
              <w:rPr>
                <w:rFonts w:hint="default"/>
                <w:szCs w:val="21"/>
              </w:rPr>
            </w:pPr>
            <w:r>
              <w:rPr>
                <w:rFonts w:hint="default"/>
                <w:szCs w:val="21"/>
              </w:rPr>
              <w:t>9</w:t>
            </w:r>
          </w:p>
        </w:tc>
        <w:tc>
          <w:tcPr>
            <w:tcW w:w="1245" w:type="pct"/>
            <w:noWrap w:val="0"/>
            <w:vAlign w:val="center"/>
          </w:tcPr>
          <w:p w14:paraId="3B69D419">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羧化冷凝器</w:t>
            </w:r>
          </w:p>
        </w:tc>
        <w:tc>
          <w:tcPr>
            <w:tcW w:w="1412" w:type="pct"/>
            <w:noWrap w:val="0"/>
            <w:vAlign w:val="center"/>
          </w:tcPr>
          <w:p w14:paraId="6E0EEDB0">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40 m</w:t>
            </w:r>
            <w:r>
              <w:rPr>
                <w:rFonts w:hint="eastAsia"/>
                <w:vertAlign w:val="superscript"/>
              </w:rPr>
              <w:t>3</w:t>
            </w:r>
          </w:p>
        </w:tc>
        <w:tc>
          <w:tcPr>
            <w:tcW w:w="1535" w:type="pct"/>
            <w:noWrap w:val="0"/>
            <w:vAlign w:val="center"/>
          </w:tcPr>
          <w:p w14:paraId="770A85A1">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碳钢</w:t>
            </w:r>
          </w:p>
        </w:tc>
        <w:tc>
          <w:tcPr>
            <w:tcW w:w="430" w:type="pct"/>
            <w:noWrap w:val="0"/>
            <w:vAlign w:val="center"/>
          </w:tcPr>
          <w:p w14:paraId="645904E2">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24台</w:t>
            </w:r>
          </w:p>
        </w:tc>
      </w:tr>
      <w:tr w14:paraId="62AB4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16681556">
            <w:pPr>
              <w:keepNext w:val="0"/>
              <w:keepLines w:val="0"/>
              <w:suppressLineNumbers w:val="0"/>
              <w:spacing w:before="0" w:beforeAutospacing="0" w:after="0" w:afterAutospacing="0"/>
              <w:ind w:left="0" w:right="0"/>
              <w:jc w:val="center"/>
              <w:rPr>
                <w:rFonts w:hint="default"/>
                <w:szCs w:val="21"/>
              </w:rPr>
            </w:pPr>
            <w:r>
              <w:rPr>
                <w:rFonts w:hint="default"/>
                <w:szCs w:val="21"/>
              </w:rPr>
              <w:t>10</w:t>
            </w:r>
          </w:p>
        </w:tc>
        <w:tc>
          <w:tcPr>
            <w:tcW w:w="1245" w:type="pct"/>
            <w:noWrap w:val="0"/>
            <w:vAlign w:val="center"/>
          </w:tcPr>
          <w:p w14:paraId="7AAB13E6">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回收酚罐</w:t>
            </w:r>
          </w:p>
        </w:tc>
        <w:tc>
          <w:tcPr>
            <w:tcW w:w="1412" w:type="pct"/>
            <w:noWrap w:val="0"/>
            <w:vAlign w:val="center"/>
          </w:tcPr>
          <w:p w14:paraId="5108DE08">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2500L</w:t>
            </w:r>
          </w:p>
        </w:tc>
        <w:tc>
          <w:tcPr>
            <w:tcW w:w="1535" w:type="pct"/>
            <w:noWrap w:val="0"/>
            <w:vAlign w:val="center"/>
          </w:tcPr>
          <w:p w14:paraId="574B13F9">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碳钢</w:t>
            </w:r>
          </w:p>
        </w:tc>
        <w:tc>
          <w:tcPr>
            <w:tcW w:w="430" w:type="pct"/>
            <w:noWrap w:val="0"/>
            <w:vAlign w:val="center"/>
          </w:tcPr>
          <w:p w14:paraId="5784D571">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4个</w:t>
            </w:r>
          </w:p>
        </w:tc>
      </w:tr>
      <w:tr w14:paraId="4E441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5075DDD2">
            <w:pPr>
              <w:keepNext w:val="0"/>
              <w:keepLines w:val="0"/>
              <w:suppressLineNumbers w:val="0"/>
              <w:spacing w:before="0" w:beforeAutospacing="0" w:after="0" w:afterAutospacing="0"/>
              <w:ind w:left="0" w:right="0"/>
              <w:jc w:val="center"/>
              <w:rPr>
                <w:rFonts w:hint="default"/>
                <w:szCs w:val="21"/>
              </w:rPr>
            </w:pPr>
            <w:r>
              <w:rPr>
                <w:rFonts w:hint="default"/>
                <w:szCs w:val="21"/>
              </w:rPr>
              <w:t>11</w:t>
            </w:r>
          </w:p>
        </w:tc>
        <w:tc>
          <w:tcPr>
            <w:tcW w:w="1245" w:type="pct"/>
            <w:noWrap w:val="0"/>
            <w:vAlign w:val="center"/>
          </w:tcPr>
          <w:p w14:paraId="14BC1FCA">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回收酚钠罐</w:t>
            </w:r>
          </w:p>
        </w:tc>
        <w:tc>
          <w:tcPr>
            <w:tcW w:w="1412" w:type="pct"/>
            <w:noWrap w:val="0"/>
            <w:vAlign w:val="center"/>
          </w:tcPr>
          <w:p w14:paraId="21F06127">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1100L</w:t>
            </w:r>
          </w:p>
        </w:tc>
        <w:tc>
          <w:tcPr>
            <w:tcW w:w="1535" w:type="pct"/>
            <w:noWrap w:val="0"/>
            <w:vAlign w:val="center"/>
          </w:tcPr>
          <w:p w14:paraId="105106FB">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碳钢</w:t>
            </w:r>
          </w:p>
        </w:tc>
        <w:tc>
          <w:tcPr>
            <w:tcW w:w="430" w:type="pct"/>
            <w:noWrap w:val="0"/>
            <w:vAlign w:val="center"/>
          </w:tcPr>
          <w:p w14:paraId="02611080">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1个</w:t>
            </w:r>
          </w:p>
        </w:tc>
      </w:tr>
      <w:tr w14:paraId="68448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67976A1C">
            <w:pPr>
              <w:keepNext w:val="0"/>
              <w:keepLines w:val="0"/>
              <w:suppressLineNumbers w:val="0"/>
              <w:spacing w:before="0" w:beforeAutospacing="0" w:after="0" w:afterAutospacing="0"/>
              <w:ind w:left="0" w:right="0"/>
              <w:jc w:val="center"/>
              <w:rPr>
                <w:rFonts w:hint="default"/>
                <w:szCs w:val="21"/>
              </w:rPr>
            </w:pPr>
            <w:r>
              <w:rPr>
                <w:rFonts w:hint="default"/>
                <w:szCs w:val="21"/>
              </w:rPr>
              <w:t>12</w:t>
            </w:r>
          </w:p>
        </w:tc>
        <w:tc>
          <w:tcPr>
            <w:tcW w:w="1245" w:type="pct"/>
            <w:noWrap w:val="0"/>
            <w:vAlign w:val="center"/>
          </w:tcPr>
          <w:p w14:paraId="37FC692E">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稠酚水罐</w:t>
            </w:r>
          </w:p>
        </w:tc>
        <w:tc>
          <w:tcPr>
            <w:tcW w:w="1412" w:type="pct"/>
            <w:noWrap w:val="0"/>
            <w:vAlign w:val="center"/>
          </w:tcPr>
          <w:p w14:paraId="64F4BEE6">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3000L</w:t>
            </w:r>
          </w:p>
        </w:tc>
        <w:tc>
          <w:tcPr>
            <w:tcW w:w="1535" w:type="pct"/>
            <w:noWrap w:val="0"/>
            <w:vAlign w:val="center"/>
          </w:tcPr>
          <w:p w14:paraId="6F84612F">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碳钢</w:t>
            </w:r>
          </w:p>
        </w:tc>
        <w:tc>
          <w:tcPr>
            <w:tcW w:w="430" w:type="pct"/>
            <w:noWrap w:val="0"/>
            <w:vAlign w:val="center"/>
          </w:tcPr>
          <w:p w14:paraId="2B586F6D">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4个</w:t>
            </w:r>
          </w:p>
        </w:tc>
      </w:tr>
      <w:tr w14:paraId="4675C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0EB2BD4B">
            <w:pPr>
              <w:keepNext w:val="0"/>
              <w:keepLines w:val="0"/>
              <w:suppressLineNumbers w:val="0"/>
              <w:spacing w:before="0" w:beforeAutospacing="0" w:after="0" w:afterAutospacing="0"/>
              <w:ind w:left="0" w:right="0"/>
              <w:jc w:val="center"/>
              <w:rPr>
                <w:rFonts w:hint="default"/>
                <w:szCs w:val="21"/>
              </w:rPr>
            </w:pPr>
            <w:r>
              <w:rPr>
                <w:rFonts w:hint="default"/>
                <w:szCs w:val="21"/>
              </w:rPr>
              <w:t>13</w:t>
            </w:r>
          </w:p>
        </w:tc>
        <w:tc>
          <w:tcPr>
            <w:tcW w:w="1245" w:type="pct"/>
            <w:noWrap w:val="0"/>
            <w:vAlign w:val="center"/>
          </w:tcPr>
          <w:p w14:paraId="5B316776">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羧化冷凝水罐</w:t>
            </w:r>
          </w:p>
        </w:tc>
        <w:tc>
          <w:tcPr>
            <w:tcW w:w="1412" w:type="pct"/>
            <w:noWrap w:val="0"/>
            <w:vAlign w:val="center"/>
          </w:tcPr>
          <w:p w14:paraId="7163138C">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12 m</w:t>
            </w:r>
            <w:r>
              <w:rPr>
                <w:rFonts w:hint="eastAsia"/>
                <w:vertAlign w:val="superscript"/>
              </w:rPr>
              <w:t>3</w:t>
            </w:r>
          </w:p>
        </w:tc>
        <w:tc>
          <w:tcPr>
            <w:tcW w:w="1535" w:type="pct"/>
            <w:noWrap w:val="0"/>
            <w:vAlign w:val="center"/>
          </w:tcPr>
          <w:p w14:paraId="5FF3C83D">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碳钢</w:t>
            </w:r>
          </w:p>
        </w:tc>
        <w:tc>
          <w:tcPr>
            <w:tcW w:w="430" w:type="pct"/>
            <w:noWrap w:val="0"/>
            <w:vAlign w:val="center"/>
          </w:tcPr>
          <w:p w14:paraId="1412E768">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2个</w:t>
            </w:r>
          </w:p>
        </w:tc>
      </w:tr>
      <w:tr w14:paraId="2E205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2A24D09F">
            <w:pPr>
              <w:keepNext w:val="0"/>
              <w:keepLines w:val="0"/>
              <w:suppressLineNumbers w:val="0"/>
              <w:spacing w:before="0" w:beforeAutospacing="0" w:after="0" w:afterAutospacing="0"/>
              <w:ind w:left="0" w:right="0"/>
              <w:jc w:val="center"/>
              <w:rPr>
                <w:rFonts w:hint="default"/>
                <w:szCs w:val="21"/>
              </w:rPr>
            </w:pPr>
            <w:r>
              <w:rPr>
                <w:rFonts w:hint="eastAsia"/>
                <w:szCs w:val="21"/>
              </w:rPr>
              <w:t>14</w:t>
            </w:r>
          </w:p>
        </w:tc>
        <w:tc>
          <w:tcPr>
            <w:tcW w:w="1245" w:type="pct"/>
            <w:noWrap w:val="0"/>
            <w:vAlign w:val="center"/>
          </w:tcPr>
          <w:p w14:paraId="78202ABA">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纯酚计量罐</w:t>
            </w:r>
          </w:p>
        </w:tc>
        <w:tc>
          <w:tcPr>
            <w:tcW w:w="1412" w:type="pct"/>
            <w:noWrap w:val="0"/>
            <w:vAlign w:val="center"/>
          </w:tcPr>
          <w:p w14:paraId="069F1F7D">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7000L</w:t>
            </w:r>
          </w:p>
        </w:tc>
        <w:tc>
          <w:tcPr>
            <w:tcW w:w="1535" w:type="pct"/>
            <w:noWrap w:val="0"/>
            <w:vAlign w:val="center"/>
          </w:tcPr>
          <w:p w14:paraId="22878A7F">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碳钢</w:t>
            </w:r>
          </w:p>
        </w:tc>
        <w:tc>
          <w:tcPr>
            <w:tcW w:w="430" w:type="pct"/>
            <w:noWrap w:val="0"/>
            <w:vAlign w:val="center"/>
          </w:tcPr>
          <w:p w14:paraId="4E76843E">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2个</w:t>
            </w:r>
          </w:p>
        </w:tc>
      </w:tr>
      <w:tr w14:paraId="3E90F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6417B3BD">
            <w:pPr>
              <w:keepNext w:val="0"/>
              <w:keepLines w:val="0"/>
              <w:suppressLineNumbers w:val="0"/>
              <w:spacing w:before="0" w:beforeAutospacing="0" w:after="0" w:afterAutospacing="0"/>
              <w:ind w:left="0" w:right="0"/>
              <w:jc w:val="center"/>
              <w:rPr>
                <w:rFonts w:hint="default"/>
                <w:szCs w:val="21"/>
              </w:rPr>
            </w:pPr>
            <w:r>
              <w:rPr>
                <w:rFonts w:hint="eastAsia"/>
                <w:szCs w:val="21"/>
              </w:rPr>
              <w:t>15</w:t>
            </w:r>
          </w:p>
        </w:tc>
        <w:tc>
          <w:tcPr>
            <w:tcW w:w="1245" w:type="pct"/>
            <w:noWrap w:val="0"/>
            <w:vAlign w:val="center"/>
          </w:tcPr>
          <w:p w14:paraId="0BA6D0E4">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苯酚储罐</w:t>
            </w:r>
          </w:p>
        </w:tc>
        <w:tc>
          <w:tcPr>
            <w:tcW w:w="1412" w:type="pct"/>
            <w:noWrap w:val="0"/>
            <w:vAlign w:val="center"/>
          </w:tcPr>
          <w:p w14:paraId="54748151">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220 m</w:t>
            </w:r>
            <w:r>
              <w:rPr>
                <w:rFonts w:hint="eastAsia"/>
                <w:vertAlign w:val="superscript"/>
              </w:rPr>
              <w:t>3</w:t>
            </w:r>
          </w:p>
        </w:tc>
        <w:tc>
          <w:tcPr>
            <w:tcW w:w="1535" w:type="pct"/>
            <w:noWrap w:val="0"/>
            <w:vAlign w:val="center"/>
          </w:tcPr>
          <w:p w14:paraId="3A302117">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碳钢</w:t>
            </w:r>
          </w:p>
        </w:tc>
        <w:tc>
          <w:tcPr>
            <w:tcW w:w="430" w:type="pct"/>
            <w:noWrap w:val="0"/>
            <w:vAlign w:val="center"/>
          </w:tcPr>
          <w:p w14:paraId="5590D9CE">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2个</w:t>
            </w:r>
          </w:p>
        </w:tc>
      </w:tr>
      <w:tr w14:paraId="54707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6282D6A6">
            <w:pPr>
              <w:keepNext w:val="0"/>
              <w:keepLines w:val="0"/>
              <w:suppressLineNumbers w:val="0"/>
              <w:spacing w:before="0" w:beforeAutospacing="0" w:after="0" w:afterAutospacing="0"/>
              <w:ind w:left="0" w:right="0"/>
              <w:jc w:val="center"/>
              <w:rPr>
                <w:rFonts w:hint="default"/>
                <w:szCs w:val="21"/>
              </w:rPr>
            </w:pPr>
            <w:r>
              <w:rPr>
                <w:rFonts w:hint="eastAsia"/>
                <w:szCs w:val="21"/>
              </w:rPr>
              <w:t>16</w:t>
            </w:r>
          </w:p>
        </w:tc>
        <w:tc>
          <w:tcPr>
            <w:tcW w:w="1245" w:type="pct"/>
            <w:noWrap w:val="0"/>
            <w:vAlign w:val="center"/>
          </w:tcPr>
          <w:p w14:paraId="64F186A1">
            <w:pPr>
              <w:keepNext w:val="0"/>
              <w:keepLines w:val="0"/>
              <w:suppressLineNumbers w:val="0"/>
              <w:spacing w:before="0" w:beforeAutospacing="0" w:after="0" w:afterAutospacing="0"/>
              <w:ind w:left="0" w:right="0"/>
              <w:jc w:val="center"/>
              <w:rPr>
                <w:rFonts w:hint="eastAsia"/>
              </w:rPr>
            </w:pPr>
            <w:r>
              <w:rPr>
                <w:rFonts w:hint="eastAsia"/>
              </w:rPr>
              <w:t>苯酚储罐</w:t>
            </w:r>
          </w:p>
        </w:tc>
        <w:tc>
          <w:tcPr>
            <w:tcW w:w="1412" w:type="pct"/>
            <w:noWrap w:val="0"/>
            <w:vAlign w:val="center"/>
          </w:tcPr>
          <w:p w14:paraId="2E932CE5">
            <w:pPr>
              <w:keepNext w:val="0"/>
              <w:keepLines w:val="0"/>
              <w:suppressLineNumbers w:val="0"/>
              <w:spacing w:before="0" w:beforeAutospacing="0" w:after="0" w:afterAutospacing="0"/>
              <w:ind w:left="0" w:right="0"/>
              <w:jc w:val="center"/>
              <w:rPr>
                <w:rFonts w:hint="eastAsia"/>
              </w:rPr>
            </w:pPr>
            <w:r>
              <w:rPr>
                <w:rFonts w:hint="eastAsia"/>
              </w:rPr>
              <w:t>500 m</w:t>
            </w:r>
            <w:r>
              <w:rPr>
                <w:rFonts w:hint="eastAsia"/>
                <w:vertAlign w:val="superscript"/>
              </w:rPr>
              <w:t>3</w:t>
            </w:r>
          </w:p>
        </w:tc>
        <w:tc>
          <w:tcPr>
            <w:tcW w:w="1535" w:type="pct"/>
            <w:noWrap w:val="0"/>
            <w:vAlign w:val="center"/>
          </w:tcPr>
          <w:p w14:paraId="5D17E5C1">
            <w:pPr>
              <w:keepNext w:val="0"/>
              <w:keepLines w:val="0"/>
              <w:suppressLineNumbers w:val="0"/>
              <w:spacing w:before="0" w:beforeAutospacing="0" w:after="0" w:afterAutospacing="0" w:line="360" w:lineRule="exact"/>
              <w:ind w:left="0" w:right="0"/>
              <w:jc w:val="center"/>
              <w:rPr>
                <w:rFonts w:hint="eastAsia"/>
                <w:bCs/>
                <w:szCs w:val="21"/>
              </w:rPr>
            </w:pPr>
            <w:r>
              <w:rPr>
                <w:rFonts w:hint="eastAsia"/>
                <w:bCs/>
                <w:szCs w:val="21"/>
              </w:rPr>
              <w:t>碳钢</w:t>
            </w:r>
          </w:p>
        </w:tc>
        <w:tc>
          <w:tcPr>
            <w:tcW w:w="430" w:type="pct"/>
            <w:noWrap w:val="0"/>
            <w:vAlign w:val="center"/>
          </w:tcPr>
          <w:p w14:paraId="63E368C7">
            <w:pPr>
              <w:keepNext w:val="0"/>
              <w:keepLines w:val="0"/>
              <w:suppressLineNumbers w:val="0"/>
              <w:spacing w:before="0" w:beforeAutospacing="0" w:after="0" w:afterAutospacing="0"/>
              <w:ind w:left="0" w:right="0"/>
              <w:jc w:val="center"/>
              <w:rPr>
                <w:rFonts w:hint="eastAsia"/>
              </w:rPr>
            </w:pPr>
            <w:r>
              <w:rPr>
                <w:rFonts w:hint="eastAsia"/>
              </w:rPr>
              <w:t>2个</w:t>
            </w:r>
          </w:p>
        </w:tc>
      </w:tr>
      <w:tr w14:paraId="1BE59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5F159758">
            <w:pPr>
              <w:keepNext w:val="0"/>
              <w:keepLines w:val="0"/>
              <w:suppressLineNumbers w:val="0"/>
              <w:spacing w:before="0" w:beforeAutospacing="0" w:after="0" w:afterAutospacing="0"/>
              <w:ind w:left="0" w:right="0"/>
              <w:jc w:val="center"/>
              <w:rPr>
                <w:rFonts w:hint="default"/>
                <w:szCs w:val="21"/>
              </w:rPr>
            </w:pPr>
            <w:r>
              <w:rPr>
                <w:rFonts w:hint="eastAsia"/>
                <w:szCs w:val="21"/>
              </w:rPr>
              <w:t>17</w:t>
            </w:r>
          </w:p>
        </w:tc>
        <w:tc>
          <w:tcPr>
            <w:tcW w:w="1245" w:type="pct"/>
            <w:noWrap w:val="0"/>
            <w:vAlign w:val="center"/>
          </w:tcPr>
          <w:p w14:paraId="47451619">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放空罐</w:t>
            </w:r>
          </w:p>
        </w:tc>
        <w:tc>
          <w:tcPr>
            <w:tcW w:w="1412" w:type="pct"/>
            <w:noWrap w:val="0"/>
            <w:vAlign w:val="center"/>
          </w:tcPr>
          <w:p w14:paraId="34C5C78F">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1700L</w:t>
            </w:r>
          </w:p>
        </w:tc>
        <w:tc>
          <w:tcPr>
            <w:tcW w:w="1535" w:type="pct"/>
            <w:noWrap w:val="0"/>
            <w:vAlign w:val="center"/>
          </w:tcPr>
          <w:p w14:paraId="369D4AEB">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碳钢</w:t>
            </w:r>
          </w:p>
        </w:tc>
        <w:tc>
          <w:tcPr>
            <w:tcW w:w="430" w:type="pct"/>
            <w:noWrap w:val="0"/>
            <w:vAlign w:val="center"/>
          </w:tcPr>
          <w:p w14:paraId="2FE8A335">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4个</w:t>
            </w:r>
          </w:p>
        </w:tc>
      </w:tr>
      <w:tr w14:paraId="4D979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2BD815B2">
            <w:pPr>
              <w:keepNext w:val="0"/>
              <w:keepLines w:val="0"/>
              <w:suppressLineNumbers w:val="0"/>
              <w:spacing w:before="0" w:beforeAutospacing="0" w:after="0" w:afterAutospacing="0"/>
              <w:ind w:left="0" w:right="0"/>
              <w:jc w:val="center"/>
              <w:rPr>
                <w:rFonts w:hint="default"/>
                <w:szCs w:val="21"/>
              </w:rPr>
            </w:pPr>
            <w:r>
              <w:rPr>
                <w:rFonts w:hint="eastAsia"/>
                <w:szCs w:val="21"/>
              </w:rPr>
              <w:t>18</w:t>
            </w:r>
          </w:p>
        </w:tc>
        <w:tc>
          <w:tcPr>
            <w:tcW w:w="1245" w:type="pct"/>
            <w:noWrap w:val="0"/>
            <w:vAlign w:val="center"/>
          </w:tcPr>
          <w:p w14:paraId="0B4D8048">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萃取罐</w:t>
            </w:r>
          </w:p>
        </w:tc>
        <w:tc>
          <w:tcPr>
            <w:tcW w:w="1412" w:type="pct"/>
            <w:noWrap w:val="0"/>
            <w:vAlign w:val="center"/>
          </w:tcPr>
          <w:p w14:paraId="5B944BB0">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16 m</w:t>
            </w:r>
            <w:r>
              <w:rPr>
                <w:rFonts w:hint="eastAsia"/>
                <w:vertAlign w:val="superscript"/>
              </w:rPr>
              <w:t>3</w:t>
            </w:r>
          </w:p>
        </w:tc>
        <w:tc>
          <w:tcPr>
            <w:tcW w:w="1535" w:type="pct"/>
            <w:noWrap w:val="0"/>
            <w:vAlign w:val="center"/>
          </w:tcPr>
          <w:p w14:paraId="6F60E612">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不锈钢</w:t>
            </w:r>
          </w:p>
        </w:tc>
        <w:tc>
          <w:tcPr>
            <w:tcW w:w="430" w:type="pct"/>
            <w:noWrap w:val="0"/>
            <w:vAlign w:val="center"/>
          </w:tcPr>
          <w:p w14:paraId="1F2A4A97">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3个</w:t>
            </w:r>
          </w:p>
        </w:tc>
      </w:tr>
      <w:tr w14:paraId="2E3C1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35684D63">
            <w:pPr>
              <w:keepNext w:val="0"/>
              <w:keepLines w:val="0"/>
              <w:suppressLineNumbers w:val="0"/>
              <w:spacing w:before="0" w:beforeAutospacing="0" w:after="0" w:afterAutospacing="0"/>
              <w:ind w:left="0" w:right="0"/>
              <w:jc w:val="center"/>
              <w:rPr>
                <w:rFonts w:hint="default"/>
                <w:szCs w:val="21"/>
              </w:rPr>
            </w:pPr>
            <w:r>
              <w:rPr>
                <w:rFonts w:hint="eastAsia"/>
                <w:szCs w:val="21"/>
              </w:rPr>
              <w:t>19</w:t>
            </w:r>
          </w:p>
        </w:tc>
        <w:tc>
          <w:tcPr>
            <w:tcW w:w="1245" w:type="pct"/>
            <w:noWrap w:val="0"/>
            <w:vAlign w:val="center"/>
          </w:tcPr>
          <w:p w14:paraId="122A49FC">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蒸发器</w:t>
            </w:r>
          </w:p>
        </w:tc>
        <w:tc>
          <w:tcPr>
            <w:tcW w:w="1412" w:type="pct"/>
            <w:noWrap w:val="0"/>
            <w:vAlign w:val="center"/>
          </w:tcPr>
          <w:p w14:paraId="1ED54A0E">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35 m</w:t>
            </w:r>
            <w:r>
              <w:rPr>
                <w:rFonts w:hint="eastAsia"/>
                <w:vertAlign w:val="superscript"/>
              </w:rPr>
              <w:t>3</w:t>
            </w:r>
          </w:p>
        </w:tc>
        <w:tc>
          <w:tcPr>
            <w:tcW w:w="1535" w:type="pct"/>
            <w:noWrap w:val="0"/>
            <w:vAlign w:val="center"/>
          </w:tcPr>
          <w:p w14:paraId="7CE6A1E5">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碳钢</w:t>
            </w:r>
          </w:p>
        </w:tc>
        <w:tc>
          <w:tcPr>
            <w:tcW w:w="430" w:type="pct"/>
            <w:noWrap w:val="0"/>
            <w:vAlign w:val="center"/>
          </w:tcPr>
          <w:p w14:paraId="1DA6297D">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3台</w:t>
            </w:r>
          </w:p>
        </w:tc>
      </w:tr>
      <w:tr w14:paraId="3FA31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193E8410">
            <w:pPr>
              <w:keepNext w:val="0"/>
              <w:keepLines w:val="0"/>
              <w:suppressLineNumbers w:val="0"/>
              <w:spacing w:before="0" w:beforeAutospacing="0" w:after="0" w:afterAutospacing="0"/>
              <w:ind w:left="0" w:right="0"/>
              <w:jc w:val="center"/>
              <w:rPr>
                <w:rFonts w:hint="default"/>
                <w:szCs w:val="21"/>
              </w:rPr>
            </w:pPr>
            <w:r>
              <w:rPr>
                <w:rFonts w:hint="eastAsia"/>
                <w:szCs w:val="21"/>
              </w:rPr>
              <w:t>20</w:t>
            </w:r>
          </w:p>
        </w:tc>
        <w:tc>
          <w:tcPr>
            <w:tcW w:w="1245" w:type="pct"/>
            <w:noWrap w:val="0"/>
            <w:vAlign w:val="center"/>
          </w:tcPr>
          <w:p w14:paraId="6CB51BE9">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受器</w:t>
            </w:r>
          </w:p>
        </w:tc>
        <w:tc>
          <w:tcPr>
            <w:tcW w:w="1412" w:type="pct"/>
            <w:noWrap w:val="0"/>
            <w:vAlign w:val="center"/>
          </w:tcPr>
          <w:p w14:paraId="6C9FBDDF">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1100L</w:t>
            </w:r>
          </w:p>
        </w:tc>
        <w:tc>
          <w:tcPr>
            <w:tcW w:w="1535" w:type="pct"/>
            <w:noWrap w:val="0"/>
            <w:vAlign w:val="center"/>
          </w:tcPr>
          <w:p w14:paraId="49044AE5">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碳钢</w:t>
            </w:r>
          </w:p>
        </w:tc>
        <w:tc>
          <w:tcPr>
            <w:tcW w:w="430" w:type="pct"/>
            <w:noWrap w:val="0"/>
            <w:vAlign w:val="center"/>
          </w:tcPr>
          <w:p w14:paraId="3845B3D3">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3台</w:t>
            </w:r>
          </w:p>
        </w:tc>
      </w:tr>
      <w:tr w14:paraId="5F5B6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4AFF087F">
            <w:pPr>
              <w:keepNext w:val="0"/>
              <w:keepLines w:val="0"/>
              <w:suppressLineNumbers w:val="0"/>
              <w:spacing w:before="0" w:beforeAutospacing="0" w:after="0" w:afterAutospacing="0"/>
              <w:ind w:left="0" w:right="0"/>
              <w:jc w:val="center"/>
              <w:rPr>
                <w:rFonts w:hint="default"/>
                <w:szCs w:val="21"/>
              </w:rPr>
            </w:pPr>
            <w:r>
              <w:rPr>
                <w:rFonts w:hint="eastAsia"/>
                <w:szCs w:val="21"/>
              </w:rPr>
              <w:t>21</w:t>
            </w:r>
          </w:p>
        </w:tc>
        <w:tc>
          <w:tcPr>
            <w:tcW w:w="1245" w:type="pct"/>
            <w:noWrap w:val="0"/>
            <w:vAlign w:val="center"/>
          </w:tcPr>
          <w:p w14:paraId="3C906C4D">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真空泵循环水池</w:t>
            </w:r>
          </w:p>
        </w:tc>
        <w:tc>
          <w:tcPr>
            <w:tcW w:w="1412" w:type="pct"/>
            <w:noWrap w:val="0"/>
            <w:vAlign w:val="center"/>
          </w:tcPr>
          <w:p w14:paraId="0109E339">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19 m</w:t>
            </w:r>
            <w:r>
              <w:rPr>
                <w:rFonts w:hint="eastAsia"/>
                <w:vertAlign w:val="superscript"/>
              </w:rPr>
              <w:t>3</w:t>
            </w:r>
          </w:p>
        </w:tc>
        <w:tc>
          <w:tcPr>
            <w:tcW w:w="1535" w:type="pct"/>
            <w:noWrap w:val="0"/>
            <w:vAlign w:val="center"/>
          </w:tcPr>
          <w:p w14:paraId="6C884224">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塑料</w:t>
            </w:r>
          </w:p>
        </w:tc>
        <w:tc>
          <w:tcPr>
            <w:tcW w:w="430" w:type="pct"/>
            <w:noWrap w:val="0"/>
            <w:vAlign w:val="center"/>
          </w:tcPr>
          <w:p w14:paraId="1C23F3C6">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1座</w:t>
            </w:r>
          </w:p>
        </w:tc>
      </w:tr>
      <w:tr w14:paraId="332BA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24181678">
            <w:pPr>
              <w:keepNext w:val="0"/>
              <w:keepLines w:val="0"/>
              <w:suppressLineNumbers w:val="0"/>
              <w:spacing w:before="0" w:beforeAutospacing="0" w:after="0" w:afterAutospacing="0"/>
              <w:ind w:left="0" w:right="0"/>
              <w:jc w:val="center"/>
              <w:rPr>
                <w:rFonts w:hint="default"/>
                <w:szCs w:val="21"/>
              </w:rPr>
            </w:pPr>
            <w:r>
              <w:rPr>
                <w:rFonts w:hint="eastAsia"/>
                <w:szCs w:val="21"/>
              </w:rPr>
              <w:t>22</w:t>
            </w:r>
          </w:p>
        </w:tc>
        <w:tc>
          <w:tcPr>
            <w:tcW w:w="1245" w:type="pct"/>
            <w:noWrap w:val="0"/>
            <w:vAlign w:val="center"/>
          </w:tcPr>
          <w:p w14:paraId="38D36CE8">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羧化热水箱</w:t>
            </w:r>
          </w:p>
        </w:tc>
        <w:tc>
          <w:tcPr>
            <w:tcW w:w="1412" w:type="pct"/>
            <w:noWrap w:val="0"/>
            <w:vAlign w:val="center"/>
          </w:tcPr>
          <w:p w14:paraId="69224B28">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1600L</w:t>
            </w:r>
          </w:p>
        </w:tc>
        <w:tc>
          <w:tcPr>
            <w:tcW w:w="1535" w:type="pct"/>
            <w:noWrap w:val="0"/>
            <w:vAlign w:val="center"/>
          </w:tcPr>
          <w:p w14:paraId="5468C612">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碳钢</w:t>
            </w:r>
          </w:p>
        </w:tc>
        <w:tc>
          <w:tcPr>
            <w:tcW w:w="430" w:type="pct"/>
            <w:noWrap w:val="0"/>
            <w:vAlign w:val="center"/>
          </w:tcPr>
          <w:p w14:paraId="4430661D">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1个</w:t>
            </w:r>
          </w:p>
        </w:tc>
      </w:tr>
      <w:tr w14:paraId="05293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12D5F50C">
            <w:pPr>
              <w:keepNext w:val="0"/>
              <w:keepLines w:val="0"/>
              <w:suppressLineNumbers w:val="0"/>
              <w:spacing w:before="0" w:beforeAutospacing="0" w:after="0" w:afterAutospacing="0"/>
              <w:ind w:left="0" w:right="0"/>
              <w:jc w:val="center"/>
              <w:rPr>
                <w:rFonts w:hint="default"/>
                <w:szCs w:val="21"/>
              </w:rPr>
            </w:pPr>
            <w:r>
              <w:rPr>
                <w:rFonts w:hint="eastAsia"/>
                <w:szCs w:val="21"/>
              </w:rPr>
              <w:t>23</w:t>
            </w:r>
          </w:p>
        </w:tc>
        <w:tc>
          <w:tcPr>
            <w:tcW w:w="1245" w:type="pct"/>
            <w:noWrap w:val="0"/>
            <w:vAlign w:val="center"/>
          </w:tcPr>
          <w:p w14:paraId="0EE0C83E">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南母液罐</w:t>
            </w:r>
          </w:p>
        </w:tc>
        <w:tc>
          <w:tcPr>
            <w:tcW w:w="1412" w:type="pct"/>
            <w:noWrap w:val="0"/>
            <w:vAlign w:val="center"/>
          </w:tcPr>
          <w:p w14:paraId="0C29AAF0">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3000L</w:t>
            </w:r>
          </w:p>
        </w:tc>
        <w:tc>
          <w:tcPr>
            <w:tcW w:w="1535" w:type="pct"/>
            <w:noWrap w:val="0"/>
            <w:vAlign w:val="center"/>
          </w:tcPr>
          <w:p w14:paraId="531A324E">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不锈钢</w:t>
            </w:r>
          </w:p>
        </w:tc>
        <w:tc>
          <w:tcPr>
            <w:tcW w:w="430" w:type="pct"/>
            <w:noWrap w:val="0"/>
            <w:vAlign w:val="center"/>
          </w:tcPr>
          <w:p w14:paraId="650E319B">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3个</w:t>
            </w:r>
          </w:p>
        </w:tc>
      </w:tr>
      <w:tr w14:paraId="21C90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07D29914">
            <w:pPr>
              <w:keepNext w:val="0"/>
              <w:keepLines w:val="0"/>
              <w:suppressLineNumbers w:val="0"/>
              <w:spacing w:before="0" w:beforeAutospacing="0" w:after="0" w:afterAutospacing="0"/>
              <w:ind w:left="0" w:right="0"/>
              <w:jc w:val="center"/>
              <w:rPr>
                <w:rFonts w:hint="default"/>
                <w:szCs w:val="21"/>
              </w:rPr>
            </w:pPr>
            <w:r>
              <w:rPr>
                <w:rFonts w:hint="eastAsia"/>
                <w:szCs w:val="21"/>
              </w:rPr>
              <w:t>24</w:t>
            </w:r>
          </w:p>
        </w:tc>
        <w:tc>
          <w:tcPr>
            <w:tcW w:w="1245" w:type="pct"/>
            <w:noWrap w:val="0"/>
            <w:vAlign w:val="center"/>
          </w:tcPr>
          <w:p w14:paraId="14F31FEB">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污水池碱罐</w:t>
            </w:r>
          </w:p>
        </w:tc>
        <w:tc>
          <w:tcPr>
            <w:tcW w:w="1412" w:type="pct"/>
            <w:noWrap w:val="0"/>
            <w:vAlign w:val="center"/>
          </w:tcPr>
          <w:p w14:paraId="28B5B885">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55 m</w:t>
            </w:r>
            <w:r>
              <w:rPr>
                <w:rFonts w:hint="eastAsia"/>
                <w:vertAlign w:val="superscript"/>
              </w:rPr>
              <w:t>3</w:t>
            </w:r>
          </w:p>
        </w:tc>
        <w:tc>
          <w:tcPr>
            <w:tcW w:w="1535" w:type="pct"/>
            <w:noWrap w:val="0"/>
            <w:vAlign w:val="center"/>
          </w:tcPr>
          <w:p w14:paraId="07960494">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碳钢</w:t>
            </w:r>
          </w:p>
        </w:tc>
        <w:tc>
          <w:tcPr>
            <w:tcW w:w="430" w:type="pct"/>
            <w:noWrap w:val="0"/>
            <w:vAlign w:val="center"/>
          </w:tcPr>
          <w:p w14:paraId="346578DF">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1个</w:t>
            </w:r>
          </w:p>
        </w:tc>
      </w:tr>
      <w:tr w14:paraId="16948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1572F5BC">
            <w:pPr>
              <w:keepNext w:val="0"/>
              <w:keepLines w:val="0"/>
              <w:suppressLineNumbers w:val="0"/>
              <w:spacing w:before="0" w:beforeAutospacing="0" w:after="0" w:afterAutospacing="0"/>
              <w:ind w:left="0" w:right="0"/>
              <w:jc w:val="center"/>
              <w:rPr>
                <w:rFonts w:hint="default"/>
                <w:szCs w:val="21"/>
              </w:rPr>
            </w:pPr>
            <w:r>
              <w:rPr>
                <w:rFonts w:hint="eastAsia"/>
                <w:szCs w:val="21"/>
              </w:rPr>
              <w:t>25</w:t>
            </w:r>
          </w:p>
        </w:tc>
        <w:tc>
          <w:tcPr>
            <w:tcW w:w="1245" w:type="pct"/>
            <w:noWrap w:val="0"/>
            <w:vAlign w:val="center"/>
          </w:tcPr>
          <w:p w14:paraId="479AF4E7">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二氧化碳储罐</w:t>
            </w:r>
          </w:p>
        </w:tc>
        <w:tc>
          <w:tcPr>
            <w:tcW w:w="1412" w:type="pct"/>
            <w:noWrap w:val="0"/>
            <w:vAlign w:val="center"/>
          </w:tcPr>
          <w:p w14:paraId="3FCE997E">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17.4 m</w:t>
            </w:r>
            <w:r>
              <w:rPr>
                <w:rFonts w:hint="eastAsia"/>
                <w:vertAlign w:val="superscript"/>
              </w:rPr>
              <w:t>3</w:t>
            </w:r>
          </w:p>
        </w:tc>
        <w:tc>
          <w:tcPr>
            <w:tcW w:w="1535" w:type="pct"/>
            <w:noWrap w:val="0"/>
            <w:vAlign w:val="center"/>
          </w:tcPr>
          <w:p w14:paraId="4D7BE16D">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碳钢</w:t>
            </w:r>
          </w:p>
        </w:tc>
        <w:tc>
          <w:tcPr>
            <w:tcW w:w="430" w:type="pct"/>
            <w:noWrap w:val="0"/>
            <w:vAlign w:val="center"/>
          </w:tcPr>
          <w:p w14:paraId="5955FA0F">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2个</w:t>
            </w:r>
          </w:p>
        </w:tc>
      </w:tr>
      <w:tr w14:paraId="623C9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74D758D3">
            <w:pPr>
              <w:keepNext w:val="0"/>
              <w:keepLines w:val="0"/>
              <w:suppressLineNumbers w:val="0"/>
              <w:spacing w:before="0" w:beforeAutospacing="0" w:after="0" w:afterAutospacing="0"/>
              <w:ind w:left="0" w:right="0"/>
              <w:jc w:val="center"/>
              <w:rPr>
                <w:rFonts w:hint="default"/>
                <w:szCs w:val="21"/>
              </w:rPr>
            </w:pPr>
            <w:r>
              <w:rPr>
                <w:rFonts w:hint="eastAsia"/>
                <w:szCs w:val="21"/>
              </w:rPr>
              <w:t>26</w:t>
            </w:r>
          </w:p>
        </w:tc>
        <w:tc>
          <w:tcPr>
            <w:tcW w:w="1245" w:type="pct"/>
            <w:noWrap w:val="0"/>
            <w:vAlign w:val="center"/>
          </w:tcPr>
          <w:p w14:paraId="468BBFD6">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二氧化碳储罐</w:t>
            </w:r>
          </w:p>
        </w:tc>
        <w:tc>
          <w:tcPr>
            <w:tcW w:w="1412" w:type="pct"/>
            <w:noWrap w:val="0"/>
            <w:vAlign w:val="center"/>
          </w:tcPr>
          <w:p w14:paraId="1EC9A09C">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8 m</w:t>
            </w:r>
            <w:r>
              <w:rPr>
                <w:rFonts w:hint="eastAsia"/>
                <w:vertAlign w:val="superscript"/>
              </w:rPr>
              <w:t>3</w:t>
            </w:r>
          </w:p>
        </w:tc>
        <w:tc>
          <w:tcPr>
            <w:tcW w:w="1535" w:type="pct"/>
            <w:noWrap w:val="0"/>
            <w:vAlign w:val="center"/>
          </w:tcPr>
          <w:p w14:paraId="10DA6ADB">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碳钢</w:t>
            </w:r>
          </w:p>
        </w:tc>
        <w:tc>
          <w:tcPr>
            <w:tcW w:w="430" w:type="pct"/>
            <w:noWrap w:val="0"/>
            <w:vAlign w:val="center"/>
          </w:tcPr>
          <w:p w14:paraId="6EFF3D83">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1个</w:t>
            </w:r>
          </w:p>
        </w:tc>
      </w:tr>
      <w:tr w14:paraId="2EAEC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531410F3">
            <w:pPr>
              <w:keepNext w:val="0"/>
              <w:keepLines w:val="0"/>
              <w:suppressLineNumbers w:val="0"/>
              <w:spacing w:before="0" w:beforeAutospacing="0" w:after="0" w:afterAutospacing="0"/>
              <w:ind w:left="0" w:right="0"/>
              <w:jc w:val="center"/>
              <w:rPr>
                <w:rFonts w:hint="default"/>
                <w:szCs w:val="21"/>
              </w:rPr>
            </w:pPr>
            <w:r>
              <w:rPr>
                <w:rFonts w:hint="eastAsia"/>
                <w:szCs w:val="21"/>
              </w:rPr>
              <w:t>27</w:t>
            </w:r>
          </w:p>
        </w:tc>
        <w:tc>
          <w:tcPr>
            <w:tcW w:w="1245" w:type="pct"/>
            <w:noWrap w:val="0"/>
            <w:vAlign w:val="center"/>
          </w:tcPr>
          <w:p w14:paraId="0D3B2E2F">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碱液喷淋吸收塔</w:t>
            </w:r>
          </w:p>
        </w:tc>
        <w:tc>
          <w:tcPr>
            <w:tcW w:w="1412" w:type="pct"/>
            <w:noWrap w:val="0"/>
            <w:vAlign w:val="center"/>
          </w:tcPr>
          <w:p w14:paraId="7AE34885">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8400*2500</w:t>
            </w:r>
          </w:p>
        </w:tc>
        <w:tc>
          <w:tcPr>
            <w:tcW w:w="1535" w:type="pct"/>
            <w:noWrap w:val="0"/>
            <w:vAlign w:val="center"/>
          </w:tcPr>
          <w:p w14:paraId="30B40CBA">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塑料</w:t>
            </w:r>
          </w:p>
        </w:tc>
        <w:tc>
          <w:tcPr>
            <w:tcW w:w="430" w:type="pct"/>
            <w:noWrap w:val="0"/>
            <w:vAlign w:val="center"/>
          </w:tcPr>
          <w:p w14:paraId="64E0103A">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1座</w:t>
            </w:r>
          </w:p>
        </w:tc>
      </w:tr>
      <w:tr w14:paraId="0A023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18060282">
            <w:pPr>
              <w:keepNext w:val="0"/>
              <w:keepLines w:val="0"/>
              <w:suppressLineNumbers w:val="0"/>
              <w:spacing w:before="0" w:beforeAutospacing="0" w:after="0" w:afterAutospacing="0"/>
              <w:ind w:left="0" w:right="0"/>
              <w:jc w:val="center"/>
              <w:rPr>
                <w:rFonts w:hint="default"/>
                <w:szCs w:val="21"/>
              </w:rPr>
            </w:pPr>
            <w:r>
              <w:rPr>
                <w:rFonts w:hint="eastAsia"/>
                <w:szCs w:val="21"/>
              </w:rPr>
              <w:t>28</w:t>
            </w:r>
          </w:p>
        </w:tc>
        <w:tc>
          <w:tcPr>
            <w:tcW w:w="1245" w:type="pct"/>
            <w:noWrap w:val="0"/>
            <w:vAlign w:val="center"/>
          </w:tcPr>
          <w:p w14:paraId="27769927">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液碱罐</w:t>
            </w:r>
          </w:p>
        </w:tc>
        <w:tc>
          <w:tcPr>
            <w:tcW w:w="1412" w:type="pct"/>
            <w:noWrap w:val="0"/>
            <w:vAlign w:val="center"/>
          </w:tcPr>
          <w:p w14:paraId="23D33073">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220 m</w:t>
            </w:r>
            <w:r>
              <w:rPr>
                <w:rFonts w:hint="eastAsia"/>
                <w:vertAlign w:val="superscript"/>
              </w:rPr>
              <w:t>3</w:t>
            </w:r>
          </w:p>
        </w:tc>
        <w:tc>
          <w:tcPr>
            <w:tcW w:w="1535" w:type="pct"/>
            <w:noWrap w:val="0"/>
            <w:vAlign w:val="center"/>
          </w:tcPr>
          <w:p w14:paraId="34C42DE9">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碳钢</w:t>
            </w:r>
          </w:p>
        </w:tc>
        <w:tc>
          <w:tcPr>
            <w:tcW w:w="430" w:type="pct"/>
            <w:noWrap w:val="0"/>
            <w:vAlign w:val="center"/>
          </w:tcPr>
          <w:p w14:paraId="34A9792B">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1个</w:t>
            </w:r>
          </w:p>
        </w:tc>
      </w:tr>
      <w:tr w14:paraId="1D068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1C2F8258">
            <w:pPr>
              <w:keepNext w:val="0"/>
              <w:keepLines w:val="0"/>
              <w:suppressLineNumbers w:val="0"/>
              <w:spacing w:before="0" w:beforeAutospacing="0" w:after="0" w:afterAutospacing="0"/>
              <w:ind w:left="0" w:right="0"/>
              <w:jc w:val="center"/>
              <w:rPr>
                <w:rFonts w:hint="default"/>
                <w:szCs w:val="21"/>
              </w:rPr>
            </w:pPr>
            <w:r>
              <w:rPr>
                <w:rFonts w:hint="eastAsia"/>
                <w:szCs w:val="21"/>
              </w:rPr>
              <w:t>29</w:t>
            </w:r>
          </w:p>
        </w:tc>
        <w:tc>
          <w:tcPr>
            <w:tcW w:w="1245" w:type="pct"/>
            <w:noWrap w:val="0"/>
            <w:vAlign w:val="center"/>
          </w:tcPr>
          <w:p w14:paraId="1783DF5A">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加热器</w:t>
            </w:r>
          </w:p>
        </w:tc>
        <w:tc>
          <w:tcPr>
            <w:tcW w:w="1412" w:type="pct"/>
            <w:noWrap w:val="0"/>
            <w:vAlign w:val="center"/>
          </w:tcPr>
          <w:p w14:paraId="34CCAC3E">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2200*1800*1600</w:t>
            </w:r>
          </w:p>
        </w:tc>
        <w:tc>
          <w:tcPr>
            <w:tcW w:w="1535" w:type="pct"/>
            <w:noWrap w:val="0"/>
            <w:vAlign w:val="center"/>
          </w:tcPr>
          <w:p w14:paraId="295B84C8">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w:t>
            </w:r>
          </w:p>
        </w:tc>
        <w:tc>
          <w:tcPr>
            <w:tcW w:w="430" w:type="pct"/>
            <w:noWrap w:val="0"/>
            <w:vAlign w:val="center"/>
          </w:tcPr>
          <w:p w14:paraId="0DB9A2ED">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2台</w:t>
            </w:r>
          </w:p>
        </w:tc>
      </w:tr>
      <w:tr w14:paraId="244D9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6F79B2FA">
            <w:pPr>
              <w:keepNext w:val="0"/>
              <w:keepLines w:val="0"/>
              <w:suppressLineNumbers w:val="0"/>
              <w:spacing w:before="0" w:beforeAutospacing="0" w:after="0" w:afterAutospacing="0"/>
              <w:ind w:left="0" w:right="0"/>
              <w:jc w:val="center"/>
              <w:rPr>
                <w:rFonts w:hint="default"/>
                <w:szCs w:val="21"/>
              </w:rPr>
            </w:pPr>
            <w:r>
              <w:rPr>
                <w:rFonts w:hint="eastAsia"/>
                <w:szCs w:val="21"/>
              </w:rPr>
              <w:t>30</w:t>
            </w:r>
          </w:p>
        </w:tc>
        <w:tc>
          <w:tcPr>
            <w:tcW w:w="1245" w:type="pct"/>
            <w:noWrap w:val="0"/>
            <w:vAlign w:val="center"/>
          </w:tcPr>
          <w:p w14:paraId="66D643F9">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风机</w:t>
            </w:r>
          </w:p>
        </w:tc>
        <w:tc>
          <w:tcPr>
            <w:tcW w:w="1412" w:type="pct"/>
            <w:noWrap w:val="0"/>
            <w:vAlign w:val="center"/>
          </w:tcPr>
          <w:p w14:paraId="4BF89AC6">
            <w:pPr>
              <w:keepNext w:val="0"/>
              <w:keepLines w:val="0"/>
              <w:suppressLineNumbers w:val="0"/>
              <w:spacing w:before="0" w:beforeAutospacing="0" w:after="0" w:afterAutospacing="0"/>
              <w:ind w:left="0" w:right="0"/>
              <w:jc w:val="center"/>
              <w:rPr>
                <w:rFonts w:hint="default" w:ascii="宋体" w:hAnsi="宋体" w:cs="宋体"/>
                <w:sz w:val="24"/>
              </w:rPr>
            </w:pPr>
          </w:p>
        </w:tc>
        <w:tc>
          <w:tcPr>
            <w:tcW w:w="1535" w:type="pct"/>
            <w:noWrap w:val="0"/>
            <w:vAlign w:val="center"/>
          </w:tcPr>
          <w:p w14:paraId="0367EC14">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w:t>
            </w:r>
          </w:p>
        </w:tc>
        <w:tc>
          <w:tcPr>
            <w:tcW w:w="430" w:type="pct"/>
            <w:noWrap w:val="0"/>
            <w:vAlign w:val="center"/>
          </w:tcPr>
          <w:p w14:paraId="1219FEA5">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2台</w:t>
            </w:r>
          </w:p>
        </w:tc>
      </w:tr>
      <w:tr w14:paraId="1A156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216A59A9">
            <w:pPr>
              <w:keepNext w:val="0"/>
              <w:keepLines w:val="0"/>
              <w:suppressLineNumbers w:val="0"/>
              <w:spacing w:before="0" w:beforeAutospacing="0" w:after="0" w:afterAutospacing="0"/>
              <w:ind w:left="0" w:right="0"/>
              <w:jc w:val="center"/>
              <w:rPr>
                <w:rFonts w:hint="default"/>
                <w:szCs w:val="21"/>
              </w:rPr>
            </w:pPr>
            <w:r>
              <w:rPr>
                <w:rFonts w:hint="eastAsia"/>
                <w:szCs w:val="21"/>
              </w:rPr>
              <w:t>31</w:t>
            </w:r>
          </w:p>
        </w:tc>
        <w:tc>
          <w:tcPr>
            <w:tcW w:w="1245" w:type="pct"/>
            <w:noWrap w:val="0"/>
            <w:vAlign w:val="center"/>
          </w:tcPr>
          <w:p w14:paraId="048FB6BF">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干燥料仓</w:t>
            </w:r>
          </w:p>
        </w:tc>
        <w:tc>
          <w:tcPr>
            <w:tcW w:w="1412" w:type="pct"/>
            <w:noWrap w:val="0"/>
            <w:vAlign w:val="center"/>
          </w:tcPr>
          <w:p w14:paraId="5CEFCFDA">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3800*1200*1500</w:t>
            </w:r>
          </w:p>
        </w:tc>
        <w:tc>
          <w:tcPr>
            <w:tcW w:w="1535" w:type="pct"/>
            <w:noWrap w:val="0"/>
            <w:vAlign w:val="center"/>
          </w:tcPr>
          <w:p w14:paraId="4C2A2E0D">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不锈钢</w:t>
            </w:r>
          </w:p>
        </w:tc>
        <w:tc>
          <w:tcPr>
            <w:tcW w:w="430" w:type="pct"/>
            <w:noWrap w:val="0"/>
            <w:vAlign w:val="center"/>
          </w:tcPr>
          <w:p w14:paraId="4A7D989A">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2座</w:t>
            </w:r>
          </w:p>
        </w:tc>
      </w:tr>
      <w:tr w14:paraId="071C8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5B7FA62F">
            <w:pPr>
              <w:keepNext w:val="0"/>
              <w:keepLines w:val="0"/>
              <w:suppressLineNumbers w:val="0"/>
              <w:spacing w:before="0" w:beforeAutospacing="0" w:after="0" w:afterAutospacing="0"/>
              <w:ind w:left="0" w:right="0"/>
              <w:jc w:val="center"/>
              <w:rPr>
                <w:rFonts w:hint="default"/>
                <w:szCs w:val="21"/>
              </w:rPr>
            </w:pPr>
            <w:r>
              <w:rPr>
                <w:rFonts w:hint="eastAsia"/>
                <w:szCs w:val="21"/>
              </w:rPr>
              <w:t>32</w:t>
            </w:r>
          </w:p>
        </w:tc>
        <w:tc>
          <w:tcPr>
            <w:tcW w:w="1245" w:type="pct"/>
            <w:noWrap w:val="0"/>
            <w:vAlign w:val="center"/>
          </w:tcPr>
          <w:p w14:paraId="54564054">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北母液罐</w:t>
            </w:r>
          </w:p>
        </w:tc>
        <w:tc>
          <w:tcPr>
            <w:tcW w:w="1412" w:type="pct"/>
            <w:noWrap w:val="0"/>
            <w:vAlign w:val="center"/>
          </w:tcPr>
          <w:p w14:paraId="2E575AC1">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2500*2200</w:t>
            </w:r>
          </w:p>
        </w:tc>
        <w:tc>
          <w:tcPr>
            <w:tcW w:w="1535" w:type="pct"/>
            <w:noWrap w:val="0"/>
            <w:vAlign w:val="center"/>
          </w:tcPr>
          <w:p w14:paraId="35963409">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塑料</w:t>
            </w:r>
          </w:p>
        </w:tc>
        <w:tc>
          <w:tcPr>
            <w:tcW w:w="430" w:type="pct"/>
            <w:noWrap w:val="0"/>
            <w:vAlign w:val="center"/>
          </w:tcPr>
          <w:p w14:paraId="0B278BDE">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3个</w:t>
            </w:r>
          </w:p>
        </w:tc>
      </w:tr>
      <w:tr w14:paraId="478A9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6FDC5E86">
            <w:pPr>
              <w:keepNext w:val="0"/>
              <w:keepLines w:val="0"/>
              <w:suppressLineNumbers w:val="0"/>
              <w:spacing w:before="0" w:beforeAutospacing="0" w:after="0" w:afterAutospacing="0"/>
              <w:ind w:left="0" w:right="0"/>
              <w:jc w:val="center"/>
              <w:rPr>
                <w:rFonts w:hint="default"/>
                <w:szCs w:val="21"/>
              </w:rPr>
            </w:pPr>
            <w:r>
              <w:rPr>
                <w:rFonts w:hint="eastAsia"/>
                <w:szCs w:val="21"/>
              </w:rPr>
              <w:t>33</w:t>
            </w:r>
          </w:p>
        </w:tc>
        <w:tc>
          <w:tcPr>
            <w:tcW w:w="1245" w:type="pct"/>
            <w:noWrap w:val="0"/>
            <w:vAlign w:val="center"/>
          </w:tcPr>
          <w:p w14:paraId="28388C51">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热水罐</w:t>
            </w:r>
          </w:p>
        </w:tc>
        <w:tc>
          <w:tcPr>
            <w:tcW w:w="1412" w:type="pct"/>
            <w:noWrap w:val="0"/>
            <w:vAlign w:val="center"/>
          </w:tcPr>
          <w:p w14:paraId="5CA9C2C9">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2400*1500</w:t>
            </w:r>
          </w:p>
        </w:tc>
        <w:tc>
          <w:tcPr>
            <w:tcW w:w="1535" w:type="pct"/>
            <w:noWrap w:val="0"/>
            <w:vAlign w:val="center"/>
          </w:tcPr>
          <w:p w14:paraId="4CB97095">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碳钢</w:t>
            </w:r>
          </w:p>
        </w:tc>
        <w:tc>
          <w:tcPr>
            <w:tcW w:w="430" w:type="pct"/>
            <w:noWrap w:val="0"/>
            <w:vAlign w:val="center"/>
          </w:tcPr>
          <w:p w14:paraId="48624D7D">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2个</w:t>
            </w:r>
          </w:p>
        </w:tc>
      </w:tr>
      <w:tr w14:paraId="24ABB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6133CEB7">
            <w:pPr>
              <w:keepNext w:val="0"/>
              <w:keepLines w:val="0"/>
              <w:suppressLineNumbers w:val="0"/>
              <w:spacing w:before="0" w:beforeAutospacing="0" w:after="0" w:afterAutospacing="0"/>
              <w:ind w:left="0" w:right="0"/>
              <w:jc w:val="center"/>
              <w:rPr>
                <w:rFonts w:hint="default"/>
                <w:szCs w:val="21"/>
              </w:rPr>
            </w:pPr>
            <w:r>
              <w:rPr>
                <w:rFonts w:hint="eastAsia"/>
                <w:szCs w:val="21"/>
              </w:rPr>
              <w:t>34</w:t>
            </w:r>
          </w:p>
        </w:tc>
        <w:tc>
          <w:tcPr>
            <w:tcW w:w="1245" w:type="pct"/>
            <w:noWrap w:val="0"/>
            <w:vAlign w:val="center"/>
          </w:tcPr>
          <w:p w14:paraId="1B0E0B0F">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冷凝器</w:t>
            </w:r>
          </w:p>
        </w:tc>
        <w:tc>
          <w:tcPr>
            <w:tcW w:w="1412" w:type="pct"/>
            <w:noWrap w:val="0"/>
            <w:vAlign w:val="center"/>
          </w:tcPr>
          <w:p w14:paraId="6C953C41">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24m</w:t>
            </w:r>
            <w:r>
              <w:rPr>
                <w:rFonts w:hint="eastAsia"/>
                <w:vertAlign w:val="superscript"/>
              </w:rPr>
              <w:t>2</w:t>
            </w:r>
          </w:p>
        </w:tc>
        <w:tc>
          <w:tcPr>
            <w:tcW w:w="1535" w:type="pct"/>
            <w:noWrap w:val="0"/>
            <w:vAlign w:val="center"/>
          </w:tcPr>
          <w:p w14:paraId="0504845F">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碳钢</w:t>
            </w:r>
          </w:p>
        </w:tc>
        <w:tc>
          <w:tcPr>
            <w:tcW w:w="430" w:type="pct"/>
            <w:noWrap w:val="0"/>
            <w:vAlign w:val="center"/>
          </w:tcPr>
          <w:p w14:paraId="6C530079">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4台</w:t>
            </w:r>
          </w:p>
        </w:tc>
      </w:tr>
      <w:tr w14:paraId="34A28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750ED4A8">
            <w:pPr>
              <w:keepNext w:val="0"/>
              <w:keepLines w:val="0"/>
              <w:suppressLineNumbers w:val="0"/>
              <w:spacing w:before="0" w:beforeAutospacing="0" w:after="0" w:afterAutospacing="0"/>
              <w:ind w:left="0" w:right="0"/>
              <w:jc w:val="center"/>
              <w:rPr>
                <w:rFonts w:hint="default"/>
                <w:szCs w:val="21"/>
              </w:rPr>
            </w:pPr>
            <w:r>
              <w:rPr>
                <w:rFonts w:hint="eastAsia"/>
                <w:szCs w:val="21"/>
              </w:rPr>
              <w:t>35</w:t>
            </w:r>
          </w:p>
        </w:tc>
        <w:tc>
          <w:tcPr>
            <w:tcW w:w="1245" w:type="pct"/>
            <w:noWrap w:val="0"/>
            <w:vAlign w:val="center"/>
          </w:tcPr>
          <w:p w14:paraId="6DD598EB">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自动包装机</w:t>
            </w:r>
          </w:p>
        </w:tc>
        <w:tc>
          <w:tcPr>
            <w:tcW w:w="1412" w:type="pct"/>
            <w:noWrap w:val="0"/>
            <w:vAlign w:val="center"/>
          </w:tcPr>
          <w:p w14:paraId="112901AA">
            <w:pPr>
              <w:keepNext w:val="0"/>
              <w:keepLines w:val="0"/>
              <w:suppressLineNumbers w:val="0"/>
              <w:spacing w:before="0" w:beforeAutospacing="0" w:after="0" w:afterAutospacing="0"/>
              <w:ind w:left="0" w:right="0"/>
              <w:jc w:val="center"/>
              <w:rPr>
                <w:rFonts w:hint="default" w:ascii="宋体" w:hAnsi="宋体" w:cs="宋体"/>
                <w:sz w:val="24"/>
              </w:rPr>
            </w:pPr>
          </w:p>
        </w:tc>
        <w:tc>
          <w:tcPr>
            <w:tcW w:w="1535" w:type="pct"/>
            <w:noWrap w:val="0"/>
            <w:vAlign w:val="center"/>
          </w:tcPr>
          <w:p w14:paraId="6C43B332">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w:t>
            </w:r>
          </w:p>
        </w:tc>
        <w:tc>
          <w:tcPr>
            <w:tcW w:w="430" w:type="pct"/>
            <w:noWrap w:val="0"/>
            <w:vAlign w:val="center"/>
          </w:tcPr>
          <w:p w14:paraId="7046589D">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1台</w:t>
            </w:r>
          </w:p>
        </w:tc>
      </w:tr>
      <w:tr w14:paraId="37CFA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1975B7E9">
            <w:pPr>
              <w:keepNext w:val="0"/>
              <w:keepLines w:val="0"/>
              <w:suppressLineNumbers w:val="0"/>
              <w:spacing w:before="0" w:beforeAutospacing="0" w:after="0" w:afterAutospacing="0"/>
              <w:ind w:left="0" w:right="0"/>
              <w:jc w:val="center"/>
              <w:rPr>
                <w:rFonts w:hint="default"/>
                <w:szCs w:val="21"/>
              </w:rPr>
            </w:pPr>
            <w:r>
              <w:rPr>
                <w:rFonts w:hint="eastAsia"/>
                <w:szCs w:val="21"/>
              </w:rPr>
              <w:t>36</w:t>
            </w:r>
          </w:p>
        </w:tc>
        <w:tc>
          <w:tcPr>
            <w:tcW w:w="1245" w:type="pct"/>
            <w:noWrap w:val="0"/>
            <w:vAlign w:val="center"/>
          </w:tcPr>
          <w:p w14:paraId="5527BE40">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酸析釜</w:t>
            </w:r>
          </w:p>
        </w:tc>
        <w:tc>
          <w:tcPr>
            <w:tcW w:w="1412" w:type="pct"/>
            <w:noWrap w:val="0"/>
            <w:vAlign w:val="center"/>
          </w:tcPr>
          <w:p w14:paraId="22A09263">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35 m</w:t>
            </w:r>
            <w:r>
              <w:rPr>
                <w:rFonts w:hint="eastAsia"/>
                <w:vertAlign w:val="superscript"/>
              </w:rPr>
              <w:t>3</w:t>
            </w:r>
          </w:p>
        </w:tc>
        <w:tc>
          <w:tcPr>
            <w:tcW w:w="1535" w:type="pct"/>
            <w:noWrap w:val="0"/>
            <w:vAlign w:val="center"/>
          </w:tcPr>
          <w:p w14:paraId="627D499D">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釜体不锈钢，夹套碳钢</w:t>
            </w:r>
          </w:p>
        </w:tc>
        <w:tc>
          <w:tcPr>
            <w:tcW w:w="430" w:type="pct"/>
            <w:noWrap w:val="0"/>
            <w:vAlign w:val="center"/>
          </w:tcPr>
          <w:p w14:paraId="705DB801">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8台</w:t>
            </w:r>
          </w:p>
        </w:tc>
      </w:tr>
      <w:tr w14:paraId="1B053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0BCDF60F">
            <w:pPr>
              <w:keepNext w:val="0"/>
              <w:keepLines w:val="0"/>
              <w:suppressLineNumbers w:val="0"/>
              <w:spacing w:before="0" w:beforeAutospacing="0" w:after="0" w:afterAutospacing="0"/>
              <w:ind w:left="0" w:right="0"/>
              <w:jc w:val="center"/>
              <w:rPr>
                <w:rFonts w:hint="default"/>
                <w:szCs w:val="21"/>
              </w:rPr>
            </w:pPr>
            <w:r>
              <w:rPr>
                <w:rFonts w:hint="eastAsia"/>
                <w:szCs w:val="21"/>
              </w:rPr>
              <w:t>37</w:t>
            </w:r>
          </w:p>
        </w:tc>
        <w:tc>
          <w:tcPr>
            <w:tcW w:w="1245" w:type="pct"/>
            <w:noWrap w:val="0"/>
            <w:vAlign w:val="center"/>
          </w:tcPr>
          <w:p w14:paraId="15286EF0">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羧化液计量罐</w:t>
            </w:r>
          </w:p>
        </w:tc>
        <w:tc>
          <w:tcPr>
            <w:tcW w:w="1412" w:type="pct"/>
            <w:noWrap w:val="0"/>
            <w:vAlign w:val="center"/>
          </w:tcPr>
          <w:p w14:paraId="3BCDD516">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3000L</w:t>
            </w:r>
          </w:p>
        </w:tc>
        <w:tc>
          <w:tcPr>
            <w:tcW w:w="1535" w:type="pct"/>
            <w:noWrap w:val="0"/>
            <w:vAlign w:val="center"/>
          </w:tcPr>
          <w:p w14:paraId="5FDE2E17">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不锈钢</w:t>
            </w:r>
          </w:p>
        </w:tc>
        <w:tc>
          <w:tcPr>
            <w:tcW w:w="430" w:type="pct"/>
            <w:noWrap w:val="0"/>
            <w:vAlign w:val="center"/>
          </w:tcPr>
          <w:p w14:paraId="27557479">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2个</w:t>
            </w:r>
          </w:p>
        </w:tc>
      </w:tr>
      <w:tr w14:paraId="3B1F7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37A93FE8">
            <w:pPr>
              <w:keepNext w:val="0"/>
              <w:keepLines w:val="0"/>
              <w:suppressLineNumbers w:val="0"/>
              <w:spacing w:before="0" w:beforeAutospacing="0" w:after="0" w:afterAutospacing="0"/>
              <w:ind w:left="0" w:right="0"/>
              <w:jc w:val="center"/>
              <w:rPr>
                <w:rFonts w:hint="default"/>
                <w:szCs w:val="21"/>
              </w:rPr>
            </w:pPr>
            <w:r>
              <w:rPr>
                <w:rFonts w:hint="eastAsia"/>
                <w:szCs w:val="21"/>
              </w:rPr>
              <w:t>38</w:t>
            </w:r>
          </w:p>
        </w:tc>
        <w:tc>
          <w:tcPr>
            <w:tcW w:w="1245" w:type="pct"/>
            <w:noWrap w:val="0"/>
            <w:vAlign w:val="center"/>
          </w:tcPr>
          <w:p w14:paraId="60F0D36F">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羧化液计量罐</w:t>
            </w:r>
          </w:p>
        </w:tc>
        <w:tc>
          <w:tcPr>
            <w:tcW w:w="1412" w:type="pct"/>
            <w:noWrap w:val="0"/>
            <w:vAlign w:val="center"/>
          </w:tcPr>
          <w:p w14:paraId="2709C785">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6000L</w:t>
            </w:r>
          </w:p>
        </w:tc>
        <w:tc>
          <w:tcPr>
            <w:tcW w:w="1535" w:type="pct"/>
            <w:noWrap w:val="0"/>
            <w:vAlign w:val="center"/>
          </w:tcPr>
          <w:p w14:paraId="5B31A8E4">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不锈钢</w:t>
            </w:r>
          </w:p>
        </w:tc>
        <w:tc>
          <w:tcPr>
            <w:tcW w:w="430" w:type="pct"/>
            <w:noWrap w:val="0"/>
            <w:vAlign w:val="center"/>
          </w:tcPr>
          <w:p w14:paraId="541043CD">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2个</w:t>
            </w:r>
          </w:p>
        </w:tc>
      </w:tr>
      <w:tr w14:paraId="22984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620968C2">
            <w:pPr>
              <w:keepNext w:val="0"/>
              <w:keepLines w:val="0"/>
              <w:suppressLineNumbers w:val="0"/>
              <w:spacing w:before="0" w:beforeAutospacing="0" w:after="0" w:afterAutospacing="0"/>
              <w:ind w:left="0" w:right="0"/>
              <w:jc w:val="center"/>
              <w:rPr>
                <w:rFonts w:hint="default"/>
                <w:szCs w:val="21"/>
              </w:rPr>
            </w:pPr>
            <w:r>
              <w:rPr>
                <w:rFonts w:hint="eastAsia"/>
                <w:szCs w:val="21"/>
              </w:rPr>
              <w:t>39</w:t>
            </w:r>
          </w:p>
        </w:tc>
        <w:tc>
          <w:tcPr>
            <w:tcW w:w="1245" w:type="pct"/>
            <w:noWrap w:val="0"/>
            <w:vAlign w:val="center"/>
          </w:tcPr>
          <w:p w14:paraId="18C468F9">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计量横罐</w:t>
            </w:r>
          </w:p>
        </w:tc>
        <w:tc>
          <w:tcPr>
            <w:tcW w:w="1412" w:type="pct"/>
            <w:noWrap w:val="0"/>
            <w:vAlign w:val="center"/>
          </w:tcPr>
          <w:p w14:paraId="384E46D8">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11 m</w:t>
            </w:r>
            <w:r>
              <w:rPr>
                <w:rFonts w:hint="eastAsia"/>
                <w:vertAlign w:val="superscript"/>
              </w:rPr>
              <w:t>3</w:t>
            </w:r>
          </w:p>
        </w:tc>
        <w:tc>
          <w:tcPr>
            <w:tcW w:w="1535" w:type="pct"/>
            <w:noWrap w:val="0"/>
            <w:vAlign w:val="center"/>
          </w:tcPr>
          <w:p w14:paraId="4E6B040E">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不锈钢</w:t>
            </w:r>
          </w:p>
        </w:tc>
        <w:tc>
          <w:tcPr>
            <w:tcW w:w="430" w:type="pct"/>
            <w:noWrap w:val="0"/>
            <w:vAlign w:val="center"/>
          </w:tcPr>
          <w:p w14:paraId="71245C62">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2个</w:t>
            </w:r>
          </w:p>
        </w:tc>
      </w:tr>
      <w:tr w14:paraId="173C3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42DCDDAA">
            <w:pPr>
              <w:keepNext w:val="0"/>
              <w:keepLines w:val="0"/>
              <w:suppressLineNumbers w:val="0"/>
              <w:spacing w:before="0" w:beforeAutospacing="0" w:after="0" w:afterAutospacing="0"/>
              <w:ind w:left="0" w:right="0"/>
              <w:jc w:val="center"/>
              <w:rPr>
                <w:rFonts w:hint="default"/>
                <w:szCs w:val="21"/>
              </w:rPr>
            </w:pPr>
            <w:r>
              <w:rPr>
                <w:rFonts w:hint="eastAsia"/>
                <w:szCs w:val="21"/>
              </w:rPr>
              <w:t>40</w:t>
            </w:r>
          </w:p>
        </w:tc>
        <w:tc>
          <w:tcPr>
            <w:tcW w:w="1245" w:type="pct"/>
            <w:noWrap w:val="0"/>
            <w:vAlign w:val="center"/>
          </w:tcPr>
          <w:p w14:paraId="29CD0F4A">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离心机</w:t>
            </w:r>
          </w:p>
        </w:tc>
        <w:tc>
          <w:tcPr>
            <w:tcW w:w="1412" w:type="pct"/>
            <w:noWrap w:val="0"/>
            <w:vAlign w:val="center"/>
          </w:tcPr>
          <w:p w14:paraId="6FECCD47">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1600</w:t>
            </w:r>
          </w:p>
        </w:tc>
        <w:tc>
          <w:tcPr>
            <w:tcW w:w="1535" w:type="pct"/>
            <w:noWrap w:val="0"/>
            <w:vAlign w:val="center"/>
          </w:tcPr>
          <w:p w14:paraId="791A156A">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不锈钢</w:t>
            </w:r>
          </w:p>
        </w:tc>
        <w:tc>
          <w:tcPr>
            <w:tcW w:w="430" w:type="pct"/>
            <w:noWrap w:val="0"/>
            <w:vAlign w:val="center"/>
          </w:tcPr>
          <w:p w14:paraId="4D8486A7">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6台</w:t>
            </w:r>
          </w:p>
        </w:tc>
      </w:tr>
      <w:tr w14:paraId="39CE9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0A936C18">
            <w:pPr>
              <w:keepNext w:val="0"/>
              <w:keepLines w:val="0"/>
              <w:suppressLineNumbers w:val="0"/>
              <w:spacing w:before="0" w:beforeAutospacing="0" w:after="0" w:afterAutospacing="0"/>
              <w:ind w:left="0" w:right="0"/>
              <w:jc w:val="center"/>
              <w:rPr>
                <w:rFonts w:hint="default"/>
                <w:szCs w:val="21"/>
              </w:rPr>
            </w:pPr>
            <w:r>
              <w:rPr>
                <w:rFonts w:hint="eastAsia"/>
                <w:szCs w:val="21"/>
              </w:rPr>
              <w:t>41</w:t>
            </w:r>
          </w:p>
        </w:tc>
        <w:tc>
          <w:tcPr>
            <w:tcW w:w="1245" w:type="pct"/>
            <w:noWrap w:val="0"/>
            <w:vAlign w:val="center"/>
          </w:tcPr>
          <w:p w14:paraId="4D4EB3D6">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水幕吸收水罐</w:t>
            </w:r>
          </w:p>
        </w:tc>
        <w:tc>
          <w:tcPr>
            <w:tcW w:w="1412" w:type="pct"/>
            <w:noWrap w:val="0"/>
            <w:vAlign w:val="center"/>
          </w:tcPr>
          <w:p w14:paraId="38F1F9CE">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3000L</w:t>
            </w:r>
          </w:p>
        </w:tc>
        <w:tc>
          <w:tcPr>
            <w:tcW w:w="1535" w:type="pct"/>
            <w:noWrap w:val="0"/>
            <w:vAlign w:val="center"/>
          </w:tcPr>
          <w:p w14:paraId="46B70AD2">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塑料</w:t>
            </w:r>
          </w:p>
        </w:tc>
        <w:tc>
          <w:tcPr>
            <w:tcW w:w="430" w:type="pct"/>
            <w:noWrap w:val="0"/>
            <w:vAlign w:val="center"/>
          </w:tcPr>
          <w:p w14:paraId="436B2145">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2个</w:t>
            </w:r>
          </w:p>
        </w:tc>
      </w:tr>
      <w:tr w14:paraId="3E353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6F3F646F">
            <w:pPr>
              <w:keepNext w:val="0"/>
              <w:keepLines w:val="0"/>
              <w:suppressLineNumbers w:val="0"/>
              <w:spacing w:before="0" w:beforeAutospacing="0" w:after="0" w:afterAutospacing="0"/>
              <w:ind w:left="0" w:right="0"/>
              <w:jc w:val="center"/>
              <w:rPr>
                <w:rFonts w:hint="default"/>
                <w:szCs w:val="21"/>
              </w:rPr>
            </w:pPr>
            <w:r>
              <w:rPr>
                <w:rFonts w:hint="eastAsia"/>
                <w:szCs w:val="21"/>
              </w:rPr>
              <w:t>42</w:t>
            </w:r>
          </w:p>
        </w:tc>
        <w:tc>
          <w:tcPr>
            <w:tcW w:w="1245" w:type="pct"/>
            <w:noWrap w:val="0"/>
            <w:vAlign w:val="center"/>
          </w:tcPr>
          <w:p w14:paraId="0FCEEE96">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磺基酸罐</w:t>
            </w:r>
          </w:p>
        </w:tc>
        <w:tc>
          <w:tcPr>
            <w:tcW w:w="1412" w:type="pct"/>
            <w:noWrap w:val="0"/>
            <w:vAlign w:val="center"/>
          </w:tcPr>
          <w:p w14:paraId="009CBA1F">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10 m</w:t>
            </w:r>
            <w:r>
              <w:rPr>
                <w:rFonts w:hint="eastAsia"/>
                <w:vertAlign w:val="superscript"/>
              </w:rPr>
              <w:t>3</w:t>
            </w:r>
          </w:p>
        </w:tc>
        <w:tc>
          <w:tcPr>
            <w:tcW w:w="1535" w:type="pct"/>
            <w:noWrap w:val="0"/>
            <w:vAlign w:val="center"/>
          </w:tcPr>
          <w:p w14:paraId="3775355F">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塑料</w:t>
            </w:r>
          </w:p>
        </w:tc>
        <w:tc>
          <w:tcPr>
            <w:tcW w:w="430" w:type="pct"/>
            <w:noWrap w:val="0"/>
            <w:vAlign w:val="center"/>
          </w:tcPr>
          <w:p w14:paraId="3E2D5F36">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1个</w:t>
            </w:r>
          </w:p>
        </w:tc>
      </w:tr>
      <w:tr w14:paraId="33C28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2DC99980">
            <w:pPr>
              <w:keepNext w:val="0"/>
              <w:keepLines w:val="0"/>
              <w:suppressLineNumbers w:val="0"/>
              <w:spacing w:before="0" w:beforeAutospacing="0" w:after="0" w:afterAutospacing="0"/>
              <w:ind w:left="0" w:right="0"/>
              <w:jc w:val="center"/>
              <w:rPr>
                <w:rFonts w:hint="default"/>
                <w:szCs w:val="21"/>
              </w:rPr>
            </w:pPr>
            <w:r>
              <w:rPr>
                <w:rFonts w:hint="eastAsia"/>
                <w:szCs w:val="21"/>
              </w:rPr>
              <w:t>43</w:t>
            </w:r>
          </w:p>
        </w:tc>
        <w:tc>
          <w:tcPr>
            <w:tcW w:w="1245" w:type="pct"/>
            <w:noWrap w:val="0"/>
            <w:vAlign w:val="center"/>
          </w:tcPr>
          <w:p w14:paraId="1AFA2E54">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甲酯酸罐</w:t>
            </w:r>
          </w:p>
        </w:tc>
        <w:tc>
          <w:tcPr>
            <w:tcW w:w="1412" w:type="pct"/>
            <w:noWrap w:val="0"/>
            <w:vAlign w:val="center"/>
          </w:tcPr>
          <w:p w14:paraId="29A7DDA8">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10 m</w:t>
            </w:r>
            <w:r>
              <w:rPr>
                <w:rFonts w:hint="eastAsia"/>
                <w:vertAlign w:val="superscript"/>
              </w:rPr>
              <w:t>3</w:t>
            </w:r>
          </w:p>
        </w:tc>
        <w:tc>
          <w:tcPr>
            <w:tcW w:w="1535" w:type="pct"/>
            <w:noWrap w:val="0"/>
            <w:vAlign w:val="center"/>
          </w:tcPr>
          <w:p w14:paraId="4176988D">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塑料</w:t>
            </w:r>
          </w:p>
        </w:tc>
        <w:tc>
          <w:tcPr>
            <w:tcW w:w="430" w:type="pct"/>
            <w:noWrap w:val="0"/>
            <w:vAlign w:val="center"/>
          </w:tcPr>
          <w:p w14:paraId="0B5375BC">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1个</w:t>
            </w:r>
          </w:p>
        </w:tc>
      </w:tr>
      <w:tr w14:paraId="5750D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4F83F3E6">
            <w:pPr>
              <w:keepNext w:val="0"/>
              <w:keepLines w:val="0"/>
              <w:suppressLineNumbers w:val="0"/>
              <w:spacing w:before="0" w:beforeAutospacing="0" w:after="0" w:afterAutospacing="0"/>
              <w:ind w:left="0" w:right="0"/>
              <w:jc w:val="center"/>
              <w:rPr>
                <w:rFonts w:hint="default"/>
                <w:szCs w:val="21"/>
              </w:rPr>
            </w:pPr>
            <w:r>
              <w:rPr>
                <w:rFonts w:hint="eastAsia"/>
                <w:szCs w:val="21"/>
              </w:rPr>
              <w:t>44</w:t>
            </w:r>
          </w:p>
        </w:tc>
        <w:tc>
          <w:tcPr>
            <w:tcW w:w="1245" w:type="pct"/>
            <w:noWrap w:val="0"/>
            <w:vAlign w:val="center"/>
          </w:tcPr>
          <w:p w14:paraId="561C8FA8">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稀硫酸罐</w:t>
            </w:r>
          </w:p>
        </w:tc>
        <w:tc>
          <w:tcPr>
            <w:tcW w:w="1412" w:type="pct"/>
            <w:noWrap w:val="0"/>
            <w:vAlign w:val="center"/>
          </w:tcPr>
          <w:p w14:paraId="0071D730">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10 m</w:t>
            </w:r>
            <w:r>
              <w:rPr>
                <w:rFonts w:hint="eastAsia"/>
                <w:vertAlign w:val="superscript"/>
              </w:rPr>
              <w:t>3</w:t>
            </w:r>
          </w:p>
        </w:tc>
        <w:tc>
          <w:tcPr>
            <w:tcW w:w="1535" w:type="pct"/>
            <w:noWrap w:val="0"/>
            <w:vAlign w:val="center"/>
          </w:tcPr>
          <w:p w14:paraId="3AF8577C">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塑料</w:t>
            </w:r>
          </w:p>
        </w:tc>
        <w:tc>
          <w:tcPr>
            <w:tcW w:w="430" w:type="pct"/>
            <w:noWrap w:val="0"/>
            <w:vAlign w:val="center"/>
          </w:tcPr>
          <w:p w14:paraId="278B12CB">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1个</w:t>
            </w:r>
          </w:p>
        </w:tc>
      </w:tr>
      <w:tr w14:paraId="3D483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31804696">
            <w:pPr>
              <w:keepNext w:val="0"/>
              <w:keepLines w:val="0"/>
              <w:suppressLineNumbers w:val="0"/>
              <w:spacing w:before="0" w:beforeAutospacing="0" w:after="0" w:afterAutospacing="0"/>
              <w:ind w:left="0" w:right="0"/>
              <w:jc w:val="center"/>
              <w:rPr>
                <w:rFonts w:hint="default"/>
                <w:szCs w:val="21"/>
              </w:rPr>
            </w:pPr>
            <w:r>
              <w:rPr>
                <w:rFonts w:hint="eastAsia"/>
                <w:szCs w:val="21"/>
              </w:rPr>
              <w:t>45</w:t>
            </w:r>
          </w:p>
        </w:tc>
        <w:tc>
          <w:tcPr>
            <w:tcW w:w="1245" w:type="pct"/>
            <w:noWrap w:val="0"/>
            <w:vAlign w:val="center"/>
          </w:tcPr>
          <w:p w14:paraId="17BCE5D8">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水罐</w:t>
            </w:r>
          </w:p>
        </w:tc>
        <w:tc>
          <w:tcPr>
            <w:tcW w:w="1412" w:type="pct"/>
            <w:noWrap w:val="0"/>
            <w:vAlign w:val="center"/>
          </w:tcPr>
          <w:p w14:paraId="100A03E7">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5 m</w:t>
            </w:r>
            <w:r>
              <w:rPr>
                <w:rFonts w:hint="eastAsia"/>
                <w:vertAlign w:val="superscript"/>
              </w:rPr>
              <w:t>3</w:t>
            </w:r>
          </w:p>
        </w:tc>
        <w:tc>
          <w:tcPr>
            <w:tcW w:w="1535" w:type="pct"/>
            <w:noWrap w:val="0"/>
            <w:vAlign w:val="center"/>
          </w:tcPr>
          <w:p w14:paraId="6DC66AF1">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塑料</w:t>
            </w:r>
          </w:p>
        </w:tc>
        <w:tc>
          <w:tcPr>
            <w:tcW w:w="430" w:type="pct"/>
            <w:noWrap w:val="0"/>
            <w:vAlign w:val="center"/>
          </w:tcPr>
          <w:p w14:paraId="4C6434BF">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2个</w:t>
            </w:r>
          </w:p>
        </w:tc>
      </w:tr>
      <w:tr w14:paraId="1C629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2F4D1433">
            <w:pPr>
              <w:keepNext w:val="0"/>
              <w:keepLines w:val="0"/>
              <w:suppressLineNumbers w:val="0"/>
              <w:spacing w:before="0" w:beforeAutospacing="0" w:after="0" w:afterAutospacing="0"/>
              <w:ind w:left="0" w:right="0"/>
              <w:jc w:val="center"/>
              <w:rPr>
                <w:rFonts w:hint="default"/>
                <w:szCs w:val="21"/>
              </w:rPr>
            </w:pPr>
            <w:r>
              <w:rPr>
                <w:rFonts w:hint="eastAsia"/>
                <w:szCs w:val="21"/>
              </w:rPr>
              <w:t>46</w:t>
            </w:r>
          </w:p>
        </w:tc>
        <w:tc>
          <w:tcPr>
            <w:tcW w:w="1245" w:type="pct"/>
            <w:noWrap w:val="0"/>
            <w:vAlign w:val="center"/>
          </w:tcPr>
          <w:p w14:paraId="1FE52423">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碱液喷淋吸收塔</w:t>
            </w:r>
          </w:p>
        </w:tc>
        <w:tc>
          <w:tcPr>
            <w:tcW w:w="1412" w:type="pct"/>
            <w:noWrap w:val="0"/>
            <w:vAlign w:val="center"/>
          </w:tcPr>
          <w:p w14:paraId="307E1F8C">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6340*2200</w:t>
            </w:r>
          </w:p>
        </w:tc>
        <w:tc>
          <w:tcPr>
            <w:tcW w:w="1535" w:type="pct"/>
            <w:noWrap w:val="0"/>
            <w:vAlign w:val="center"/>
          </w:tcPr>
          <w:p w14:paraId="4491AC1F">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塑料</w:t>
            </w:r>
          </w:p>
        </w:tc>
        <w:tc>
          <w:tcPr>
            <w:tcW w:w="430" w:type="pct"/>
            <w:noWrap w:val="0"/>
            <w:vAlign w:val="center"/>
          </w:tcPr>
          <w:p w14:paraId="2889BEC3">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2座</w:t>
            </w:r>
          </w:p>
        </w:tc>
      </w:tr>
      <w:tr w14:paraId="0F280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00F98955">
            <w:pPr>
              <w:keepNext w:val="0"/>
              <w:keepLines w:val="0"/>
              <w:suppressLineNumbers w:val="0"/>
              <w:spacing w:before="0" w:beforeAutospacing="0" w:after="0" w:afterAutospacing="0"/>
              <w:ind w:left="0" w:right="0"/>
              <w:jc w:val="center"/>
              <w:rPr>
                <w:rFonts w:hint="default"/>
                <w:szCs w:val="21"/>
              </w:rPr>
            </w:pPr>
            <w:r>
              <w:rPr>
                <w:rFonts w:hint="eastAsia"/>
                <w:szCs w:val="21"/>
              </w:rPr>
              <w:t>47</w:t>
            </w:r>
          </w:p>
        </w:tc>
        <w:tc>
          <w:tcPr>
            <w:tcW w:w="1245" w:type="pct"/>
            <w:noWrap w:val="0"/>
            <w:vAlign w:val="center"/>
          </w:tcPr>
          <w:p w14:paraId="24B0B00E">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硫酸储罐</w:t>
            </w:r>
          </w:p>
        </w:tc>
        <w:tc>
          <w:tcPr>
            <w:tcW w:w="1412" w:type="pct"/>
            <w:noWrap w:val="0"/>
            <w:vAlign w:val="center"/>
          </w:tcPr>
          <w:p w14:paraId="530708E1">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220 m</w:t>
            </w:r>
            <w:r>
              <w:rPr>
                <w:rFonts w:hint="eastAsia"/>
                <w:vertAlign w:val="superscript"/>
              </w:rPr>
              <w:t>3</w:t>
            </w:r>
          </w:p>
        </w:tc>
        <w:tc>
          <w:tcPr>
            <w:tcW w:w="1535" w:type="pct"/>
            <w:noWrap w:val="0"/>
            <w:vAlign w:val="center"/>
          </w:tcPr>
          <w:p w14:paraId="05EFD3E9">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碳钢</w:t>
            </w:r>
          </w:p>
        </w:tc>
        <w:tc>
          <w:tcPr>
            <w:tcW w:w="430" w:type="pct"/>
            <w:noWrap w:val="0"/>
            <w:vAlign w:val="center"/>
          </w:tcPr>
          <w:p w14:paraId="7DF74918">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1个</w:t>
            </w:r>
          </w:p>
        </w:tc>
      </w:tr>
      <w:tr w14:paraId="6B424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0CF16EBC">
            <w:pPr>
              <w:keepNext w:val="0"/>
              <w:keepLines w:val="0"/>
              <w:suppressLineNumbers w:val="0"/>
              <w:spacing w:before="0" w:beforeAutospacing="0" w:after="0" w:afterAutospacing="0"/>
              <w:ind w:left="0" w:right="0"/>
              <w:jc w:val="center"/>
              <w:rPr>
                <w:rFonts w:hint="eastAsia"/>
                <w:szCs w:val="21"/>
              </w:rPr>
            </w:pPr>
            <w:r>
              <w:rPr>
                <w:rFonts w:hint="eastAsia"/>
                <w:szCs w:val="21"/>
              </w:rPr>
              <w:t>48</w:t>
            </w:r>
          </w:p>
        </w:tc>
        <w:tc>
          <w:tcPr>
            <w:tcW w:w="1245" w:type="pct"/>
            <w:noWrap w:val="0"/>
            <w:vAlign w:val="center"/>
          </w:tcPr>
          <w:p w14:paraId="221665EA">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配酸罐</w:t>
            </w:r>
          </w:p>
        </w:tc>
        <w:tc>
          <w:tcPr>
            <w:tcW w:w="1412" w:type="pct"/>
            <w:noWrap w:val="0"/>
            <w:vAlign w:val="center"/>
          </w:tcPr>
          <w:p w14:paraId="0C2FFC58">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18 m</w:t>
            </w:r>
            <w:r>
              <w:rPr>
                <w:rFonts w:hint="eastAsia"/>
                <w:vertAlign w:val="superscript"/>
              </w:rPr>
              <w:t>3</w:t>
            </w:r>
          </w:p>
        </w:tc>
        <w:tc>
          <w:tcPr>
            <w:tcW w:w="1535" w:type="pct"/>
            <w:noWrap w:val="0"/>
            <w:vAlign w:val="center"/>
          </w:tcPr>
          <w:p w14:paraId="5FDA51B9">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玻璃钢</w:t>
            </w:r>
          </w:p>
        </w:tc>
        <w:tc>
          <w:tcPr>
            <w:tcW w:w="430" w:type="pct"/>
            <w:noWrap w:val="0"/>
            <w:vAlign w:val="center"/>
          </w:tcPr>
          <w:p w14:paraId="6E0AD233">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2个</w:t>
            </w:r>
          </w:p>
        </w:tc>
      </w:tr>
      <w:tr w14:paraId="28FCC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79FDC572">
            <w:pPr>
              <w:keepNext w:val="0"/>
              <w:keepLines w:val="0"/>
              <w:suppressLineNumbers w:val="0"/>
              <w:spacing w:before="0" w:beforeAutospacing="0" w:after="0" w:afterAutospacing="0"/>
              <w:ind w:left="0" w:right="0"/>
              <w:jc w:val="center"/>
              <w:rPr>
                <w:rFonts w:hint="default"/>
                <w:szCs w:val="21"/>
              </w:rPr>
            </w:pPr>
            <w:r>
              <w:rPr>
                <w:rFonts w:hint="default"/>
                <w:szCs w:val="21"/>
              </w:rPr>
              <w:t>49</w:t>
            </w:r>
          </w:p>
        </w:tc>
        <w:tc>
          <w:tcPr>
            <w:tcW w:w="1245" w:type="pct"/>
            <w:noWrap w:val="0"/>
            <w:vAlign w:val="center"/>
          </w:tcPr>
          <w:p w14:paraId="7D2B07DF">
            <w:pPr>
              <w:keepNext w:val="0"/>
              <w:keepLines w:val="0"/>
              <w:suppressLineNumbers w:val="0"/>
              <w:spacing w:before="0" w:beforeAutospacing="0" w:after="0" w:afterAutospacing="0"/>
              <w:ind w:left="0" w:right="0"/>
              <w:jc w:val="center"/>
              <w:rPr>
                <w:rFonts w:hint="eastAsia"/>
              </w:rPr>
            </w:pPr>
            <w:r>
              <w:rPr>
                <w:rFonts w:hint="eastAsia"/>
              </w:rPr>
              <w:t>脉冲旋风除尘器</w:t>
            </w:r>
          </w:p>
        </w:tc>
        <w:tc>
          <w:tcPr>
            <w:tcW w:w="1412" w:type="pct"/>
            <w:noWrap w:val="0"/>
            <w:vAlign w:val="center"/>
          </w:tcPr>
          <w:p w14:paraId="4097F1EE">
            <w:pPr>
              <w:keepNext w:val="0"/>
              <w:keepLines w:val="0"/>
              <w:suppressLineNumbers w:val="0"/>
              <w:spacing w:before="0" w:beforeAutospacing="0" w:after="0" w:afterAutospacing="0"/>
              <w:ind w:left="0" w:right="0"/>
              <w:jc w:val="center"/>
              <w:rPr>
                <w:rFonts w:hint="eastAsia"/>
              </w:rPr>
            </w:pPr>
          </w:p>
        </w:tc>
        <w:tc>
          <w:tcPr>
            <w:tcW w:w="1535" w:type="pct"/>
            <w:noWrap w:val="0"/>
            <w:vAlign w:val="center"/>
          </w:tcPr>
          <w:p w14:paraId="05E26488">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w:t>
            </w:r>
          </w:p>
        </w:tc>
        <w:tc>
          <w:tcPr>
            <w:tcW w:w="430" w:type="pct"/>
            <w:noWrap w:val="0"/>
            <w:vAlign w:val="center"/>
          </w:tcPr>
          <w:p w14:paraId="2AF88A2B">
            <w:pPr>
              <w:keepNext w:val="0"/>
              <w:keepLines w:val="0"/>
              <w:suppressLineNumbers w:val="0"/>
              <w:spacing w:before="0" w:beforeAutospacing="0" w:after="0" w:afterAutospacing="0"/>
              <w:ind w:left="0" w:right="0"/>
              <w:jc w:val="center"/>
              <w:rPr>
                <w:rFonts w:hint="eastAsia"/>
              </w:rPr>
            </w:pPr>
            <w:r>
              <w:rPr>
                <w:rFonts w:hint="eastAsia"/>
              </w:rPr>
              <w:t>2台</w:t>
            </w:r>
          </w:p>
        </w:tc>
      </w:tr>
      <w:tr w14:paraId="524D3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6582F8A1">
            <w:pPr>
              <w:keepNext w:val="0"/>
              <w:keepLines w:val="0"/>
              <w:suppressLineNumbers w:val="0"/>
              <w:spacing w:before="0" w:beforeAutospacing="0" w:after="0" w:afterAutospacing="0"/>
              <w:ind w:left="0" w:right="0"/>
              <w:jc w:val="center"/>
              <w:rPr>
                <w:rFonts w:hint="default"/>
                <w:szCs w:val="21"/>
              </w:rPr>
            </w:pPr>
            <w:r>
              <w:rPr>
                <w:rFonts w:hint="default"/>
                <w:szCs w:val="21"/>
              </w:rPr>
              <w:t>50</w:t>
            </w:r>
          </w:p>
        </w:tc>
        <w:tc>
          <w:tcPr>
            <w:tcW w:w="1245" w:type="pct"/>
            <w:noWrap w:val="0"/>
            <w:vAlign w:val="center"/>
          </w:tcPr>
          <w:p w14:paraId="5C964ECF">
            <w:pPr>
              <w:keepNext w:val="0"/>
              <w:keepLines w:val="0"/>
              <w:suppressLineNumbers w:val="0"/>
              <w:spacing w:before="0" w:beforeAutospacing="0" w:after="0" w:afterAutospacing="0"/>
              <w:ind w:left="0" w:right="0"/>
              <w:jc w:val="center"/>
              <w:rPr>
                <w:rFonts w:hint="default"/>
                <w:szCs w:val="21"/>
              </w:rPr>
            </w:pPr>
            <w:r>
              <w:rPr>
                <w:rFonts w:hint="default" w:hAnsi="宋体"/>
                <w:szCs w:val="21"/>
              </w:rPr>
              <w:t>升华釜</w:t>
            </w:r>
          </w:p>
        </w:tc>
        <w:tc>
          <w:tcPr>
            <w:tcW w:w="1412" w:type="pct"/>
            <w:noWrap w:val="0"/>
            <w:vAlign w:val="center"/>
          </w:tcPr>
          <w:p w14:paraId="42CC0A97">
            <w:pPr>
              <w:keepNext w:val="0"/>
              <w:keepLines w:val="0"/>
              <w:suppressLineNumbers w:val="0"/>
              <w:spacing w:before="0" w:beforeAutospacing="0" w:after="0" w:afterAutospacing="0"/>
              <w:ind w:left="0" w:right="0"/>
              <w:jc w:val="center"/>
              <w:rPr>
                <w:rFonts w:hint="default"/>
                <w:szCs w:val="21"/>
              </w:rPr>
            </w:pPr>
            <w:r>
              <w:rPr>
                <w:rFonts w:hint="default"/>
                <w:szCs w:val="21"/>
              </w:rPr>
              <w:t>0.94 m</w:t>
            </w:r>
            <w:r>
              <w:rPr>
                <w:rFonts w:hint="default"/>
                <w:szCs w:val="21"/>
                <w:vertAlign w:val="superscript"/>
              </w:rPr>
              <w:t>3</w:t>
            </w:r>
          </w:p>
        </w:tc>
        <w:tc>
          <w:tcPr>
            <w:tcW w:w="1535" w:type="pct"/>
            <w:noWrap w:val="0"/>
            <w:vAlign w:val="center"/>
          </w:tcPr>
          <w:p w14:paraId="472F4BB6">
            <w:pPr>
              <w:keepNext w:val="0"/>
              <w:keepLines w:val="0"/>
              <w:suppressLineNumbers w:val="0"/>
              <w:spacing w:before="0" w:beforeAutospacing="0" w:after="0" w:afterAutospacing="0" w:line="360" w:lineRule="exact"/>
              <w:ind w:left="0" w:right="0"/>
              <w:jc w:val="center"/>
              <w:rPr>
                <w:rFonts w:hint="default"/>
                <w:bCs/>
                <w:szCs w:val="21"/>
              </w:rPr>
            </w:pPr>
            <w:r>
              <w:rPr>
                <w:rFonts w:hint="default"/>
                <w:bCs/>
                <w:szCs w:val="21"/>
              </w:rPr>
              <w:t>不锈钢</w:t>
            </w:r>
          </w:p>
        </w:tc>
        <w:tc>
          <w:tcPr>
            <w:tcW w:w="430" w:type="pct"/>
            <w:noWrap w:val="0"/>
            <w:vAlign w:val="center"/>
          </w:tcPr>
          <w:p w14:paraId="5C1AB405">
            <w:pPr>
              <w:keepNext w:val="0"/>
              <w:keepLines w:val="0"/>
              <w:suppressLineNumbers w:val="0"/>
              <w:spacing w:before="0" w:beforeAutospacing="0" w:after="0" w:afterAutospacing="0"/>
              <w:ind w:left="0" w:right="0"/>
              <w:jc w:val="center"/>
              <w:rPr>
                <w:rFonts w:hint="default"/>
                <w:szCs w:val="21"/>
              </w:rPr>
            </w:pPr>
            <w:r>
              <w:rPr>
                <w:rFonts w:hint="default"/>
                <w:szCs w:val="21"/>
              </w:rPr>
              <w:t>6台</w:t>
            </w:r>
          </w:p>
        </w:tc>
      </w:tr>
      <w:tr w14:paraId="1F75F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427B6481">
            <w:pPr>
              <w:keepNext w:val="0"/>
              <w:keepLines w:val="0"/>
              <w:suppressLineNumbers w:val="0"/>
              <w:spacing w:before="0" w:beforeAutospacing="0" w:after="0" w:afterAutospacing="0"/>
              <w:ind w:left="0" w:right="0"/>
              <w:jc w:val="center"/>
              <w:rPr>
                <w:rFonts w:hint="default"/>
                <w:szCs w:val="21"/>
              </w:rPr>
            </w:pPr>
            <w:r>
              <w:rPr>
                <w:rFonts w:hint="default"/>
                <w:szCs w:val="21"/>
              </w:rPr>
              <w:t>51</w:t>
            </w:r>
          </w:p>
        </w:tc>
        <w:tc>
          <w:tcPr>
            <w:tcW w:w="1245" w:type="pct"/>
            <w:noWrap w:val="0"/>
            <w:vAlign w:val="center"/>
          </w:tcPr>
          <w:p w14:paraId="762C479B">
            <w:pPr>
              <w:keepNext w:val="0"/>
              <w:keepLines w:val="0"/>
              <w:suppressLineNumbers w:val="0"/>
              <w:spacing w:before="0" w:beforeAutospacing="0" w:after="0" w:afterAutospacing="0"/>
              <w:ind w:left="0" w:right="0"/>
              <w:jc w:val="center"/>
              <w:rPr>
                <w:rFonts w:hint="default"/>
                <w:szCs w:val="21"/>
              </w:rPr>
            </w:pPr>
            <w:r>
              <w:rPr>
                <w:rFonts w:hint="default" w:hAnsi="宋体"/>
                <w:szCs w:val="21"/>
              </w:rPr>
              <w:t>升华釜</w:t>
            </w:r>
          </w:p>
        </w:tc>
        <w:tc>
          <w:tcPr>
            <w:tcW w:w="1412" w:type="pct"/>
            <w:noWrap w:val="0"/>
            <w:vAlign w:val="center"/>
          </w:tcPr>
          <w:p w14:paraId="784D50EB">
            <w:pPr>
              <w:keepNext w:val="0"/>
              <w:keepLines w:val="0"/>
              <w:suppressLineNumbers w:val="0"/>
              <w:spacing w:before="0" w:beforeAutospacing="0" w:after="0" w:afterAutospacing="0"/>
              <w:ind w:left="0" w:right="0"/>
              <w:jc w:val="center"/>
              <w:rPr>
                <w:rFonts w:hint="default"/>
                <w:szCs w:val="21"/>
              </w:rPr>
            </w:pPr>
            <w:r>
              <w:rPr>
                <w:rFonts w:hint="default"/>
                <w:szCs w:val="21"/>
              </w:rPr>
              <w:t>1.41 m</w:t>
            </w:r>
            <w:r>
              <w:rPr>
                <w:rFonts w:hint="default"/>
                <w:szCs w:val="21"/>
                <w:vertAlign w:val="superscript"/>
              </w:rPr>
              <w:t>3</w:t>
            </w:r>
          </w:p>
        </w:tc>
        <w:tc>
          <w:tcPr>
            <w:tcW w:w="1535" w:type="pct"/>
            <w:noWrap w:val="0"/>
            <w:vAlign w:val="center"/>
          </w:tcPr>
          <w:p w14:paraId="7C0DDABF">
            <w:pPr>
              <w:keepNext w:val="0"/>
              <w:keepLines w:val="0"/>
              <w:suppressLineNumbers w:val="0"/>
              <w:spacing w:before="0" w:beforeAutospacing="0" w:after="0" w:afterAutospacing="0" w:line="360" w:lineRule="exact"/>
              <w:ind w:left="0" w:right="0"/>
              <w:jc w:val="center"/>
              <w:rPr>
                <w:rFonts w:hint="default"/>
                <w:bCs/>
                <w:szCs w:val="21"/>
              </w:rPr>
            </w:pPr>
            <w:r>
              <w:rPr>
                <w:rFonts w:hint="default"/>
                <w:bCs/>
                <w:szCs w:val="21"/>
              </w:rPr>
              <w:t>不锈钢</w:t>
            </w:r>
          </w:p>
        </w:tc>
        <w:tc>
          <w:tcPr>
            <w:tcW w:w="430" w:type="pct"/>
            <w:noWrap w:val="0"/>
            <w:vAlign w:val="center"/>
          </w:tcPr>
          <w:p w14:paraId="71C7B04B">
            <w:pPr>
              <w:keepNext w:val="0"/>
              <w:keepLines w:val="0"/>
              <w:suppressLineNumbers w:val="0"/>
              <w:spacing w:before="0" w:beforeAutospacing="0" w:after="0" w:afterAutospacing="0"/>
              <w:ind w:left="0" w:right="0"/>
              <w:jc w:val="center"/>
              <w:rPr>
                <w:rFonts w:hint="default"/>
                <w:szCs w:val="21"/>
              </w:rPr>
            </w:pPr>
            <w:r>
              <w:rPr>
                <w:rFonts w:hint="default"/>
                <w:szCs w:val="21"/>
              </w:rPr>
              <w:t>30台</w:t>
            </w:r>
          </w:p>
        </w:tc>
      </w:tr>
      <w:tr w14:paraId="024EE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00F934DA">
            <w:pPr>
              <w:keepNext w:val="0"/>
              <w:keepLines w:val="0"/>
              <w:suppressLineNumbers w:val="0"/>
              <w:spacing w:before="0" w:beforeAutospacing="0" w:after="0" w:afterAutospacing="0"/>
              <w:ind w:left="0" w:right="0"/>
              <w:jc w:val="center"/>
              <w:rPr>
                <w:rFonts w:hint="default"/>
                <w:szCs w:val="21"/>
              </w:rPr>
            </w:pPr>
            <w:r>
              <w:rPr>
                <w:rFonts w:hint="default"/>
                <w:szCs w:val="21"/>
              </w:rPr>
              <w:t>52</w:t>
            </w:r>
          </w:p>
        </w:tc>
        <w:tc>
          <w:tcPr>
            <w:tcW w:w="1245" w:type="pct"/>
            <w:noWrap w:val="0"/>
            <w:vAlign w:val="center"/>
          </w:tcPr>
          <w:p w14:paraId="43481847">
            <w:pPr>
              <w:keepNext w:val="0"/>
              <w:keepLines w:val="0"/>
              <w:suppressLineNumbers w:val="0"/>
              <w:spacing w:before="0" w:beforeAutospacing="0" w:after="0" w:afterAutospacing="0"/>
              <w:ind w:left="0" w:right="0"/>
              <w:jc w:val="center"/>
              <w:rPr>
                <w:rFonts w:hint="default"/>
                <w:szCs w:val="21"/>
              </w:rPr>
            </w:pPr>
            <w:r>
              <w:rPr>
                <w:rFonts w:hint="default"/>
                <w:szCs w:val="21"/>
              </w:rPr>
              <w:t>1#</w:t>
            </w:r>
            <w:r>
              <w:rPr>
                <w:rFonts w:hint="default" w:hAnsi="宋体"/>
                <w:szCs w:val="21"/>
              </w:rPr>
              <w:t>结晶塔</w:t>
            </w:r>
          </w:p>
        </w:tc>
        <w:tc>
          <w:tcPr>
            <w:tcW w:w="1412" w:type="pct"/>
            <w:noWrap w:val="0"/>
            <w:vAlign w:val="center"/>
          </w:tcPr>
          <w:p w14:paraId="2509E55F">
            <w:pPr>
              <w:keepNext w:val="0"/>
              <w:keepLines w:val="0"/>
              <w:suppressLineNumbers w:val="0"/>
              <w:spacing w:before="0" w:beforeAutospacing="0" w:after="0" w:afterAutospacing="0"/>
              <w:ind w:left="0" w:right="0"/>
              <w:jc w:val="center"/>
              <w:rPr>
                <w:rFonts w:hint="default"/>
                <w:szCs w:val="21"/>
              </w:rPr>
            </w:pPr>
            <w:r>
              <w:rPr>
                <w:rFonts w:hint="default"/>
                <w:szCs w:val="21"/>
              </w:rPr>
              <w:t>1.92 m</w:t>
            </w:r>
            <w:r>
              <w:rPr>
                <w:rFonts w:hint="default"/>
                <w:szCs w:val="21"/>
                <w:vertAlign w:val="superscript"/>
              </w:rPr>
              <w:t>3</w:t>
            </w:r>
          </w:p>
        </w:tc>
        <w:tc>
          <w:tcPr>
            <w:tcW w:w="1535" w:type="pct"/>
            <w:noWrap w:val="0"/>
            <w:vAlign w:val="center"/>
          </w:tcPr>
          <w:p w14:paraId="410FD9FD">
            <w:pPr>
              <w:keepNext w:val="0"/>
              <w:keepLines w:val="0"/>
              <w:suppressLineNumbers w:val="0"/>
              <w:spacing w:before="0" w:beforeAutospacing="0" w:after="0" w:afterAutospacing="0" w:line="360" w:lineRule="exact"/>
              <w:ind w:left="0" w:right="0"/>
              <w:jc w:val="center"/>
              <w:rPr>
                <w:rFonts w:hint="default"/>
                <w:bCs/>
                <w:szCs w:val="21"/>
              </w:rPr>
            </w:pPr>
            <w:r>
              <w:rPr>
                <w:rFonts w:hint="default"/>
                <w:bCs/>
                <w:szCs w:val="21"/>
              </w:rPr>
              <w:t>不锈钢</w:t>
            </w:r>
          </w:p>
        </w:tc>
        <w:tc>
          <w:tcPr>
            <w:tcW w:w="430" w:type="pct"/>
            <w:noWrap w:val="0"/>
            <w:vAlign w:val="center"/>
          </w:tcPr>
          <w:p w14:paraId="41288ED4">
            <w:pPr>
              <w:keepNext w:val="0"/>
              <w:keepLines w:val="0"/>
              <w:suppressLineNumbers w:val="0"/>
              <w:spacing w:before="0" w:beforeAutospacing="0" w:after="0" w:afterAutospacing="0"/>
              <w:ind w:left="0" w:right="0"/>
              <w:jc w:val="center"/>
              <w:rPr>
                <w:rFonts w:hint="default"/>
                <w:szCs w:val="21"/>
              </w:rPr>
            </w:pPr>
            <w:r>
              <w:rPr>
                <w:rFonts w:hint="default"/>
                <w:szCs w:val="21"/>
              </w:rPr>
              <w:t>30台</w:t>
            </w:r>
          </w:p>
        </w:tc>
      </w:tr>
      <w:tr w14:paraId="38BFE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08BB21C5">
            <w:pPr>
              <w:keepNext w:val="0"/>
              <w:keepLines w:val="0"/>
              <w:suppressLineNumbers w:val="0"/>
              <w:spacing w:before="0" w:beforeAutospacing="0" w:after="0" w:afterAutospacing="0"/>
              <w:ind w:left="0" w:right="0"/>
              <w:jc w:val="center"/>
              <w:rPr>
                <w:rFonts w:hint="default"/>
                <w:szCs w:val="21"/>
              </w:rPr>
            </w:pPr>
            <w:r>
              <w:rPr>
                <w:rFonts w:hint="default"/>
                <w:szCs w:val="21"/>
              </w:rPr>
              <w:t>53</w:t>
            </w:r>
          </w:p>
        </w:tc>
        <w:tc>
          <w:tcPr>
            <w:tcW w:w="1245" w:type="pct"/>
            <w:noWrap w:val="0"/>
            <w:vAlign w:val="center"/>
          </w:tcPr>
          <w:p w14:paraId="4DB4170F">
            <w:pPr>
              <w:keepNext w:val="0"/>
              <w:keepLines w:val="0"/>
              <w:suppressLineNumbers w:val="0"/>
              <w:spacing w:before="0" w:beforeAutospacing="0" w:after="0" w:afterAutospacing="0"/>
              <w:ind w:left="0" w:right="0"/>
              <w:jc w:val="center"/>
              <w:rPr>
                <w:rFonts w:hint="default"/>
                <w:szCs w:val="21"/>
              </w:rPr>
            </w:pPr>
            <w:r>
              <w:rPr>
                <w:rFonts w:hint="default"/>
                <w:szCs w:val="21"/>
              </w:rPr>
              <w:t>2#</w:t>
            </w:r>
            <w:r>
              <w:rPr>
                <w:rFonts w:hint="default" w:hAnsi="宋体"/>
                <w:szCs w:val="21"/>
              </w:rPr>
              <w:t>结晶塔</w:t>
            </w:r>
          </w:p>
        </w:tc>
        <w:tc>
          <w:tcPr>
            <w:tcW w:w="1412" w:type="pct"/>
            <w:noWrap w:val="0"/>
            <w:vAlign w:val="center"/>
          </w:tcPr>
          <w:p w14:paraId="0B6774D8">
            <w:pPr>
              <w:keepNext w:val="0"/>
              <w:keepLines w:val="0"/>
              <w:suppressLineNumbers w:val="0"/>
              <w:spacing w:before="0" w:beforeAutospacing="0" w:after="0" w:afterAutospacing="0"/>
              <w:ind w:left="0" w:right="0"/>
              <w:jc w:val="center"/>
              <w:rPr>
                <w:rFonts w:hint="default"/>
                <w:szCs w:val="21"/>
              </w:rPr>
            </w:pPr>
            <w:r>
              <w:rPr>
                <w:rFonts w:hint="default"/>
                <w:szCs w:val="21"/>
              </w:rPr>
              <w:t>1.92 m</w:t>
            </w:r>
            <w:r>
              <w:rPr>
                <w:rFonts w:hint="default"/>
                <w:szCs w:val="21"/>
                <w:vertAlign w:val="superscript"/>
              </w:rPr>
              <w:t>3</w:t>
            </w:r>
          </w:p>
        </w:tc>
        <w:tc>
          <w:tcPr>
            <w:tcW w:w="1535" w:type="pct"/>
            <w:noWrap w:val="0"/>
            <w:vAlign w:val="center"/>
          </w:tcPr>
          <w:p w14:paraId="50C14B91">
            <w:pPr>
              <w:keepNext w:val="0"/>
              <w:keepLines w:val="0"/>
              <w:suppressLineNumbers w:val="0"/>
              <w:spacing w:before="0" w:beforeAutospacing="0" w:after="0" w:afterAutospacing="0" w:line="360" w:lineRule="exact"/>
              <w:ind w:left="0" w:right="0"/>
              <w:jc w:val="center"/>
              <w:rPr>
                <w:rFonts w:hint="default"/>
                <w:bCs/>
                <w:szCs w:val="21"/>
              </w:rPr>
            </w:pPr>
            <w:r>
              <w:rPr>
                <w:rFonts w:hint="default"/>
                <w:bCs/>
                <w:szCs w:val="21"/>
              </w:rPr>
              <w:t>不锈钢</w:t>
            </w:r>
          </w:p>
        </w:tc>
        <w:tc>
          <w:tcPr>
            <w:tcW w:w="430" w:type="pct"/>
            <w:noWrap w:val="0"/>
            <w:vAlign w:val="center"/>
          </w:tcPr>
          <w:p w14:paraId="612EAC25">
            <w:pPr>
              <w:keepNext w:val="0"/>
              <w:keepLines w:val="0"/>
              <w:suppressLineNumbers w:val="0"/>
              <w:spacing w:before="0" w:beforeAutospacing="0" w:after="0" w:afterAutospacing="0"/>
              <w:ind w:left="0" w:right="0"/>
              <w:jc w:val="center"/>
              <w:rPr>
                <w:rFonts w:hint="default"/>
                <w:szCs w:val="21"/>
              </w:rPr>
            </w:pPr>
            <w:r>
              <w:rPr>
                <w:rFonts w:hint="default"/>
                <w:szCs w:val="21"/>
              </w:rPr>
              <w:t>30个</w:t>
            </w:r>
          </w:p>
        </w:tc>
      </w:tr>
      <w:tr w14:paraId="63D25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462F57E1">
            <w:pPr>
              <w:keepNext w:val="0"/>
              <w:keepLines w:val="0"/>
              <w:suppressLineNumbers w:val="0"/>
              <w:spacing w:before="0" w:beforeAutospacing="0" w:after="0" w:afterAutospacing="0"/>
              <w:ind w:left="0" w:right="0"/>
              <w:jc w:val="center"/>
              <w:rPr>
                <w:rFonts w:hint="default"/>
                <w:szCs w:val="21"/>
              </w:rPr>
            </w:pPr>
            <w:r>
              <w:rPr>
                <w:rFonts w:hint="default"/>
                <w:szCs w:val="21"/>
              </w:rPr>
              <w:t>54</w:t>
            </w:r>
          </w:p>
        </w:tc>
        <w:tc>
          <w:tcPr>
            <w:tcW w:w="1245" w:type="pct"/>
            <w:noWrap w:val="0"/>
            <w:vAlign w:val="center"/>
          </w:tcPr>
          <w:p w14:paraId="53189466">
            <w:pPr>
              <w:keepNext w:val="0"/>
              <w:keepLines w:val="0"/>
              <w:suppressLineNumbers w:val="0"/>
              <w:spacing w:before="0" w:beforeAutospacing="0" w:after="0" w:afterAutospacing="0"/>
              <w:ind w:left="0" w:right="0"/>
              <w:jc w:val="center"/>
              <w:rPr>
                <w:rFonts w:hint="default"/>
                <w:szCs w:val="21"/>
              </w:rPr>
            </w:pPr>
            <w:r>
              <w:rPr>
                <w:rFonts w:hint="default"/>
                <w:szCs w:val="21"/>
              </w:rPr>
              <w:t>1#</w:t>
            </w:r>
            <w:r>
              <w:rPr>
                <w:rFonts w:hint="default" w:hAnsi="宋体"/>
                <w:szCs w:val="21"/>
              </w:rPr>
              <w:t>结晶塔</w:t>
            </w:r>
          </w:p>
        </w:tc>
        <w:tc>
          <w:tcPr>
            <w:tcW w:w="1412" w:type="pct"/>
            <w:noWrap w:val="0"/>
            <w:vAlign w:val="center"/>
          </w:tcPr>
          <w:p w14:paraId="319B20C8">
            <w:pPr>
              <w:keepNext w:val="0"/>
              <w:keepLines w:val="0"/>
              <w:suppressLineNumbers w:val="0"/>
              <w:spacing w:before="0" w:beforeAutospacing="0" w:after="0" w:afterAutospacing="0"/>
              <w:ind w:left="0" w:right="0"/>
              <w:jc w:val="center"/>
              <w:rPr>
                <w:rFonts w:hint="default"/>
                <w:szCs w:val="21"/>
              </w:rPr>
            </w:pPr>
            <w:r>
              <w:rPr>
                <w:rFonts w:hint="default"/>
                <w:szCs w:val="21"/>
              </w:rPr>
              <w:t>0.84 m</w:t>
            </w:r>
            <w:r>
              <w:rPr>
                <w:rFonts w:hint="default"/>
                <w:szCs w:val="21"/>
                <w:vertAlign w:val="superscript"/>
              </w:rPr>
              <w:t>3</w:t>
            </w:r>
          </w:p>
        </w:tc>
        <w:tc>
          <w:tcPr>
            <w:tcW w:w="1535" w:type="pct"/>
            <w:noWrap w:val="0"/>
            <w:vAlign w:val="center"/>
          </w:tcPr>
          <w:p w14:paraId="15B7CDCC">
            <w:pPr>
              <w:keepNext w:val="0"/>
              <w:keepLines w:val="0"/>
              <w:suppressLineNumbers w:val="0"/>
              <w:spacing w:before="0" w:beforeAutospacing="0" w:after="0" w:afterAutospacing="0" w:line="360" w:lineRule="exact"/>
              <w:ind w:left="0" w:right="0"/>
              <w:jc w:val="center"/>
              <w:rPr>
                <w:rFonts w:hint="default"/>
                <w:bCs/>
                <w:szCs w:val="21"/>
              </w:rPr>
            </w:pPr>
            <w:r>
              <w:rPr>
                <w:rFonts w:hint="default"/>
                <w:bCs/>
                <w:szCs w:val="21"/>
              </w:rPr>
              <w:t>不锈钢</w:t>
            </w:r>
          </w:p>
        </w:tc>
        <w:tc>
          <w:tcPr>
            <w:tcW w:w="430" w:type="pct"/>
            <w:noWrap w:val="0"/>
            <w:vAlign w:val="center"/>
          </w:tcPr>
          <w:p w14:paraId="29B2D111">
            <w:pPr>
              <w:keepNext w:val="0"/>
              <w:keepLines w:val="0"/>
              <w:suppressLineNumbers w:val="0"/>
              <w:spacing w:before="0" w:beforeAutospacing="0" w:after="0" w:afterAutospacing="0"/>
              <w:ind w:left="0" w:right="0"/>
              <w:jc w:val="center"/>
              <w:rPr>
                <w:rFonts w:hint="default"/>
                <w:szCs w:val="21"/>
              </w:rPr>
            </w:pPr>
            <w:r>
              <w:rPr>
                <w:rFonts w:hint="default"/>
                <w:szCs w:val="21"/>
              </w:rPr>
              <w:t>6个</w:t>
            </w:r>
          </w:p>
        </w:tc>
      </w:tr>
      <w:tr w14:paraId="1AB5B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16F78AC5">
            <w:pPr>
              <w:keepNext w:val="0"/>
              <w:keepLines w:val="0"/>
              <w:suppressLineNumbers w:val="0"/>
              <w:spacing w:before="0" w:beforeAutospacing="0" w:after="0" w:afterAutospacing="0"/>
              <w:ind w:left="0" w:right="0"/>
              <w:jc w:val="center"/>
              <w:rPr>
                <w:rFonts w:hint="default"/>
                <w:szCs w:val="21"/>
              </w:rPr>
            </w:pPr>
            <w:r>
              <w:rPr>
                <w:rFonts w:hint="default"/>
                <w:szCs w:val="21"/>
              </w:rPr>
              <w:t>55</w:t>
            </w:r>
          </w:p>
        </w:tc>
        <w:tc>
          <w:tcPr>
            <w:tcW w:w="1245" w:type="pct"/>
            <w:noWrap w:val="0"/>
            <w:vAlign w:val="center"/>
          </w:tcPr>
          <w:p w14:paraId="642D06C8">
            <w:pPr>
              <w:keepNext w:val="0"/>
              <w:keepLines w:val="0"/>
              <w:suppressLineNumbers w:val="0"/>
              <w:spacing w:before="0" w:beforeAutospacing="0" w:after="0" w:afterAutospacing="0"/>
              <w:ind w:left="0" w:right="0"/>
              <w:jc w:val="center"/>
              <w:rPr>
                <w:rFonts w:hint="default"/>
                <w:szCs w:val="21"/>
              </w:rPr>
            </w:pPr>
            <w:r>
              <w:rPr>
                <w:rFonts w:hint="default"/>
                <w:szCs w:val="21"/>
              </w:rPr>
              <w:t>2#</w:t>
            </w:r>
            <w:r>
              <w:rPr>
                <w:rFonts w:hint="default" w:hAnsi="宋体"/>
                <w:szCs w:val="21"/>
              </w:rPr>
              <w:t>结晶塔</w:t>
            </w:r>
          </w:p>
        </w:tc>
        <w:tc>
          <w:tcPr>
            <w:tcW w:w="1412" w:type="pct"/>
            <w:noWrap w:val="0"/>
            <w:vAlign w:val="center"/>
          </w:tcPr>
          <w:p w14:paraId="57BEE289">
            <w:pPr>
              <w:keepNext w:val="0"/>
              <w:keepLines w:val="0"/>
              <w:suppressLineNumbers w:val="0"/>
              <w:spacing w:before="0" w:beforeAutospacing="0" w:after="0" w:afterAutospacing="0"/>
              <w:ind w:left="0" w:right="0"/>
              <w:jc w:val="center"/>
              <w:rPr>
                <w:rFonts w:hint="default"/>
                <w:szCs w:val="21"/>
              </w:rPr>
            </w:pPr>
            <w:r>
              <w:rPr>
                <w:rFonts w:hint="default"/>
                <w:szCs w:val="21"/>
              </w:rPr>
              <w:t>0.84 m</w:t>
            </w:r>
            <w:r>
              <w:rPr>
                <w:rFonts w:hint="default"/>
                <w:szCs w:val="21"/>
                <w:vertAlign w:val="superscript"/>
              </w:rPr>
              <w:t>3</w:t>
            </w:r>
          </w:p>
        </w:tc>
        <w:tc>
          <w:tcPr>
            <w:tcW w:w="1535" w:type="pct"/>
            <w:noWrap w:val="0"/>
            <w:vAlign w:val="center"/>
          </w:tcPr>
          <w:p w14:paraId="27C6E37E">
            <w:pPr>
              <w:keepNext w:val="0"/>
              <w:keepLines w:val="0"/>
              <w:suppressLineNumbers w:val="0"/>
              <w:spacing w:before="0" w:beforeAutospacing="0" w:after="0" w:afterAutospacing="0" w:line="360" w:lineRule="exact"/>
              <w:ind w:left="0" w:right="0"/>
              <w:jc w:val="center"/>
              <w:rPr>
                <w:rFonts w:hint="default"/>
                <w:bCs/>
                <w:szCs w:val="21"/>
              </w:rPr>
            </w:pPr>
            <w:r>
              <w:rPr>
                <w:rFonts w:hint="default"/>
                <w:bCs/>
                <w:szCs w:val="21"/>
              </w:rPr>
              <w:t>不锈钢</w:t>
            </w:r>
          </w:p>
        </w:tc>
        <w:tc>
          <w:tcPr>
            <w:tcW w:w="430" w:type="pct"/>
            <w:noWrap w:val="0"/>
            <w:vAlign w:val="center"/>
          </w:tcPr>
          <w:p w14:paraId="5EDE16D4">
            <w:pPr>
              <w:keepNext w:val="0"/>
              <w:keepLines w:val="0"/>
              <w:suppressLineNumbers w:val="0"/>
              <w:spacing w:before="0" w:beforeAutospacing="0" w:after="0" w:afterAutospacing="0"/>
              <w:ind w:left="0" w:right="0"/>
              <w:jc w:val="center"/>
              <w:rPr>
                <w:rFonts w:hint="default"/>
                <w:szCs w:val="21"/>
              </w:rPr>
            </w:pPr>
            <w:r>
              <w:rPr>
                <w:rFonts w:hint="default"/>
                <w:szCs w:val="21"/>
              </w:rPr>
              <w:t>6台</w:t>
            </w:r>
          </w:p>
        </w:tc>
      </w:tr>
      <w:tr w14:paraId="528F1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3ED32D34">
            <w:pPr>
              <w:keepNext w:val="0"/>
              <w:keepLines w:val="0"/>
              <w:suppressLineNumbers w:val="0"/>
              <w:spacing w:before="0" w:beforeAutospacing="0" w:after="0" w:afterAutospacing="0"/>
              <w:ind w:left="0" w:right="0"/>
              <w:jc w:val="center"/>
              <w:rPr>
                <w:rFonts w:hint="default"/>
                <w:szCs w:val="21"/>
              </w:rPr>
            </w:pPr>
            <w:r>
              <w:rPr>
                <w:rFonts w:hint="default"/>
                <w:szCs w:val="21"/>
              </w:rPr>
              <w:t>56</w:t>
            </w:r>
          </w:p>
        </w:tc>
        <w:tc>
          <w:tcPr>
            <w:tcW w:w="1245" w:type="pct"/>
            <w:noWrap w:val="0"/>
            <w:vAlign w:val="center"/>
          </w:tcPr>
          <w:p w14:paraId="20C0B44F">
            <w:pPr>
              <w:keepNext w:val="0"/>
              <w:keepLines w:val="0"/>
              <w:suppressLineNumbers w:val="0"/>
              <w:spacing w:before="0" w:beforeAutospacing="0" w:after="0" w:afterAutospacing="0"/>
              <w:ind w:left="0" w:right="0"/>
              <w:jc w:val="center"/>
              <w:rPr>
                <w:rFonts w:hint="default"/>
                <w:szCs w:val="21"/>
              </w:rPr>
            </w:pPr>
            <w:r>
              <w:rPr>
                <w:rFonts w:hint="default"/>
                <w:szCs w:val="21"/>
              </w:rPr>
              <w:t>3#</w:t>
            </w:r>
            <w:r>
              <w:rPr>
                <w:rFonts w:hint="default" w:hAnsi="宋体"/>
                <w:szCs w:val="21"/>
              </w:rPr>
              <w:t>结晶塔</w:t>
            </w:r>
          </w:p>
        </w:tc>
        <w:tc>
          <w:tcPr>
            <w:tcW w:w="1412" w:type="pct"/>
            <w:noWrap w:val="0"/>
            <w:vAlign w:val="center"/>
          </w:tcPr>
          <w:p w14:paraId="39075423">
            <w:pPr>
              <w:keepNext w:val="0"/>
              <w:keepLines w:val="0"/>
              <w:suppressLineNumbers w:val="0"/>
              <w:spacing w:before="0" w:beforeAutospacing="0" w:after="0" w:afterAutospacing="0"/>
              <w:ind w:left="0" w:right="0"/>
              <w:jc w:val="center"/>
              <w:rPr>
                <w:rFonts w:hint="default"/>
                <w:szCs w:val="21"/>
              </w:rPr>
            </w:pPr>
          </w:p>
        </w:tc>
        <w:tc>
          <w:tcPr>
            <w:tcW w:w="1535" w:type="pct"/>
            <w:noWrap w:val="0"/>
            <w:vAlign w:val="center"/>
          </w:tcPr>
          <w:p w14:paraId="5904A4E2">
            <w:pPr>
              <w:keepNext w:val="0"/>
              <w:keepLines w:val="0"/>
              <w:suppressLineNumbers w:val="0"/>
              <w:spacing w:before="0" w:beforeAutospacing="0" w:after="0" w:afterAutospacing="0" w:line="360" w:lineRule="exact"/>
              <w:ind w:left="0" w:right="0"/>
              <w:jc w:val="center"/>
              <w:rPr>
                <w:rFonts w:hint="default"/>
                <w:bCs/>
                <w:szCs w:val="21"/>
              </w:rPr>
            </w:pPr>
          </w:p>
        </w:tc>
        <w:tc>
          <w:tcPr>
            <w:tcW w:w="430" w:type="pct"/>
            <w:noWrap w:val="0"/>
            <w:vAlign w:val="center"/>
          </w:tcPr>
          <w:p w14:paraId="7D959939">
            <w:pPr>
              <w:keepNext w:val="0"/>
              <w:keepLines w:val="0"/>
              <w:suppressLineNumbers w:val="0"/>
              <w:spacing w:before="0" w:beforeAutospacing="0" w:after="0" w:afterAutospacing="0"/>
              <w:ind w:left="0" w:right="0"/>
              <w:jc w:val="center"/>
              <w:rPr>
                <w:rFonts w:hint="default"/>
                <w:szCs w:val="21"/>
              </w:rPr>
            </w:pPr>
            <w:r>
              <w:rPr>
                <w:rFonts w:hint="default"/>
                <w:szCs w:val="21"/>
              </w:rPr>
              <w:t>36台</w:t>
            </w:r>
          </w:p>
        </w:tc>
      </w:tr>
      <w:tr w14:paraId="233EA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1EDEF7EB">
            <w:pPr>
              <w:keepNext w:val="0"/>
              <w:keepLines w:val="0"/>
              <w:suppressLineNumbers w:val="0"/>
              <w:spacing w:before="0" w:beforeAutospacing="0" w:after="0" w:afterAutospacing="0"/>
              <w:ind w:left="0" w:right="0"/>
              <w:jc w:val="center"/>
              <w:rPr>
                <w:rFonts w:hint="default"/>
                <w:szCs w:val="21"/>
              </w:rPr>
            </w:pPr>
            <w:r>
              <w:rPr>
                <w:rFonts w:hint="default"/>
                <w:szCs w:val="21"/>
              </w:rPr>
              <w:t>57</w:t>
            </w:r>
          </w:p>
        </w:tc>
        <w:tc>
          <w:tcPr>
            <w:tcW w:w="1245" w:type="pct"/>
            <w:noWrap w:val="0"/>
            <w:vAlign w:val="center"/>
          </w:tcPr>
          <w:p w14:paraId="485CA476">
            <w:pPr>
              <w:keepNext w:val="0"/>
              <w:keepLines w:val="0"/>
              <w:suppressLineNumbers w:val="0"/>
              <w:spacing w:before="0" w:beforeAutospacing="0" w:after="0" w:afterAutospacing="0"/>
              <w:ind w:left="0" w:right="0"/>
              <w:jc w:val="center"/>
              <w:rPr>
                <w:rFonts w:hint="default"/>
                <w:szCs w:val="21"/>
              </w:rPr>
            </w:pPr>
            <w:r>
              <w:rPr>
                <w:rFonts w:hint="default" w:hAnsi="宋体"/>
                <w:szCs w:val="21"/>
              </w:rPr>
              <w:t>真空泵</w:t>
            </w:r>
          </w:p>
        </w:tc>
        <w:tc>
          <w:tcPr>
            <w:tcW w:w="1412" w:type="pct"/>
            <w:noWrap w:val="0"/>
            <w:vAlign w:val="center"/>
          </w:tcPr>
          <w:p w14:paraId="5559F115">
            <w:pPr>
              <w:keepNext w:val="0"/>
              <w:keepLines w:val="0"/>
              <w:suppressLineNumbers w:val="0"/>
              <w:spacing w:before="0" w:beforeAutospacing="0" w:after="0" w:afterAutospacing="0"/>
              <w:ind w:left="0" w:right="0"/>
              <w:jc w:val="center"/>
              <w:rPr>
                <w:rFonts w:hint="default"/>
                <w:szCs w:val="21"/>
              </w:rPr>
            </w:pPr>
          </w:p>
        </w:tc>
        <w:tc>
          <w:tcPr>
            <w:tcW w:w="1535" w:type="pct"/>
            <w:noWrap w:val="0"/>
            <w:vAlign w:val="center"/>
          </w:tcPr>
          <w:p w14:paraId="12ECA02F">
            <w:pPr>
              <w:keepNext w:val="0"/>
              <w:keepLines w:val="0"/>
              <w:suppressLineNumbers w:val="0"/>
              <w:spacing w:before="0" w:beforeAutospacing="0" w:after="0" w:afterAutospacing="0" w:line="360" w:lineRule="exact"/>
              <w:ind w:left="0" w:right="0"/>
              <w:jc w:val="center"/>
              <w:rPr>
                <w:rFonts w:hint="default"/>
                <w:bCs/>
                <w:szCs w:val="21"/>
              </w:rPr>
            </w:pPr>
            <w:r>
              <w:rPr>
                <w:rFonts w:hint="default"/>
                <w:bCs/>
                <w:szCs w:val="21"/>
              </w:rPr>
              <w:t>不锈钢</w:t>
            </w:r>
          </w:p>
        </w:tc>
        <w:tc>
          <w:tcPr>
            <w:tcW w:w="430" w:type="pct"/>
            <w:noWrap w:val="0"/>
            <w:vAlign w:val="center"/>
          </w:tcPr>
          <w:p w14:paraId="0B0AF806">
            <w:pPr>
              <w:keepNext w:val="0"/>
              <w:keepLines w:val="0"/>
              <w:suppressLineNumbers w:val="0"/>
              <w:spacing w:before="0" w:beforeAutospacing="0" w:after="0" w:afterAutospacing="0"/>
              <w:ind w:left="0" w:right="0"/>
              <w:jc w:val="center"/>
              <w:rPr>
                <w:rFonts w:hint="default"/>
                <w:szCs w:val="21"/>
              </w:rPr>
            </w:pPr>
            <w:r>
              <w:rPr>
                <w:rFonts w:hint="default"/>
                <w:szCs w:val="21"/>
              </w:rPr>
              <w:t>60个</w:t>
            </w:r>
          </w:p>
        </w:tc>
      </w:tr>
      <w:tr w14:paraId="62D99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288EA362">
            <w:pPr>
              <w:keepNext w:val="0"/>
              <w:keepLines w:val="0"/>
              <w:suppressLineNumbers w:val="0"/>
              <w:spacing w:before="0" w:beforeAutospacing="0" w:after="0" w:afterAutospacing="0"/>
              <w:ind w:left="0" w:right="0"/>
              <w:jc w:val="center"/>
              <w:rPr>
                <w:rFonts w:hint="default"/>
                <w:szCs w:val="21"/>
              </w:rPr>
            </w:pPr>
            <w:r>
              <w:rPr>
                <w:rFonts w:hint="default"/>
                <w:szCs w:val="21"/>
              </w:rPr>
              <w:t>58</w:t>
            </w:r>
          </w:p>
        </w:tc>
        <w:tc>
          <w:tcPr>
            <w:tcW w:w="1245" w:type="pct"/>
            <w:noWrap w:val="0"/>
            <w:vAlign w:val="center"/>
          </w:tcPr>
          <w:p w14:paraId="558C00EB">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真空泵循环水池</w:t>
            </w:r>
          </w:p>
        </w:tc>
        <w:tc>
          <w:tcPr>
            <w:tcW w:w="1412" w:type="pct"/>
            <w:noWrap w:val="0"/>
            <w:vAlign w:val="center"/>
          </w:tcPr>
          <w:p w14:paraId="79C2C47F">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szCs w:val="21"/>
              </w:rPr>
              <w:t>10</w:t>
            </w:r>
            <w:r>
              <w:rPr>
                <w:rFonts w:hint="default"/>
                <w:szCs w:val="21"/>
              </w:rPr>
              <w:t>m</w:t>
            </w:r>
            <w:r>
              <w:rPr>
                <w:rFonts w:hint="default"/>
                <w:szCs w:val="21"/>
                <w:vertAlign w:val="superscript"/>
              </w:rPr>
              <w:t>3</w:t>
            </w:r>
          </w:p>
        </w:tc>
        <w:tc>
          <w:tcPr>
            <w:tcW w:w="1535" w:type="pct"/>
            <w:noWrap w:val="0"/>
            <w:vAlign w:val="center"/>
          </w:tcPr>
          <w:p w14:paraId="1553FA39">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塑料</w:t>
            </w:r>
          </w:p>
        </w:tc>
        <w:tc>
          <w:tcPr>
            <w:tcW w:w="430" w:type="pct"/>
            <w:noWrap w:val="0"/>
            <w:vAlign w:val="center"/>
          </w:tcPr>
          <w:p w14:paraId="7B17CBD4">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3座</w:t>
            </w:r>
          </w:p>
        </w:tc>
      </w:tr>
      <w:tr w14:paraId="66065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20FAAB19">
            <w:pPr>
              <w:keepNext w:val="0"/>
              <w:keepLines w:val="0"/>
              <w:suppressLineNumbers w:val="0"/>
              <w:spacing w:before="0" w:beforeAutospacing="0" w:after="0" w:afterAutospacing="0"/>
              <w:ind w:left="0" w:right="0"/>
              <w:jc w:val="center"/>
              <w:rPr>
                <w:rFonts w:hint="default"/>
                <w:szCs w:val="21"/>
              </w:rPr>
            </w:pPr>
            <w:r>
              <w:rPr>
                <w:rFonts w:hint="eastAsia"/>
                <w:szCs w:val="21"/>
              </w:rPr>
              <w:t>59</w:t>
            </w:r>
          </w:p>
        </w:tc>
        <w:tc>
          <w:tcPr>
            <w:tcW w:w="1245" w:type="pct"/>
            <w:noWrap w:val="0"/>
            <w:vAlign w:val="center"/>
          </w:tcPr>
          <w:p w14:paraId="0EB3C289">
            <w:pPr>
              <w:keepNext w:val="0"/>
              <w:keepLines w:val="0"/>
              <w:suppressLineNumbers w:val="0"/>
              <w:spacing w:before="0" w:beforeAutospacing="0" w:after="0" w:afterAutospacing="0"/>
              <w:ind w:left="0" w:right="0"/>
              <w:jc w:val="center"/>
              <w:rPr>
                <w:rFonts w:hint="default"/>
                <w:szCs w:val="21"/>
              </w:rPr>
            </w:pPr>
            <w:r>
              <w:rPr>
                <w:rFonts w:hint="default"/>
                <w:szCs w:val="21"/>
              </w:rPr>
              <w:t>碱液喷淋吸收塔</w:t>
            </w:r>
          </w:p>
        </w:tc>
        <w:tc>
          <w:tcPr>
            <w:tcW w:w="1412" w:type="pct"/>
            <w:noWrap w:val="0"/>
            <w:vAlign w:val="center"/>
          </w:tcPr>
          <w:p w14:paraId="0DB213AF">
            <w:pPr>
              <w:keepNext w:val="0"/>
              <w:keepLines w:val="0"/>
              <w:suppressLineNumbers w:val="0"/>
              <w:spacing w:before="0" w:beforeAutospacing="0" w:after="0" w:afterAutospacing="0"/>
              <w:ind w:left="0" w:right="0"/>
              <w:jc w:val="center"/>
              <w:rPr>
                <w:rFonts w:hint="default"/>
                <w:szCs w:val="21"/>
              </w:rPr>
            </w:pPr>
            <w:r>
              <w:rPr>
                <w:rFonts w:hint="default"/>
                <w:szCs w:val="21"/>
              </w:rPr>
              <w:t>8400*2500</w:t>
            </w:r>
          </w:p>
        </w:tc>
        <w:tc>
          <w:tcPr>
            <w:tcW w:w="1535" w:type="pct"/>
            <w:noWrap w:val="0"/>
            <w:vAlign w:val="center"/>
          </w:tcPr>
          <w:p w14:paraId="3D9D6A2E">
            <w:pPr>
              <w:keepNext w:val="0"/>
              <w:keepLines w:val="0"/>
              <w:suppressLineNumbers w:val="0"/>
              <w:spacing w:before="0" w:beforeAutospacing="0" w:after="0" w:afterAutospacing="0" w:line="360" w:lineRule="exact"/>
              <w:ind w:left="0" w:right="0"/>
              <w:jc w:val="center"/>
              <w:rPr>
                <w:rFonts w:hint="default"/>
                <w:bCs/>
                <w:szCs w:val="21"/>
              </w:rPr>
            </w:pPr>
            <w:r>
              <w:rPr>
                <w:rFonts w:hint="default"/>
                <w:bCs/>
                <w:szCs w:val="21"/>
              </w:rPr>
              <w:t>塑料</w:t>
            </w:r>
          </w:p>
        </w:tc>
        <w:tc>
          <w:tcPr>
            <w:tcW w:w="430" w:type="pct"/>
            <w:noWrap w:val="0"/>
            <w:vAlign w:val="center"/>
          </w:tcPr>
          <w:p w14:paraId="762DD3AA">
            <w:pPr>
              <w:keepNext w:val="0"/>
              <w:keepLines w:val="0"/>
              <w:suppressLineNumbers w:val="0"/>
              <w:spacing w:before="0" w:beforeAutospacing="0" w:after="0" w:afterAutospacing="0"/>
              <w:ind w:left="0" w:right="0"/>
              <w:jc w:val="center"/>
              <w:rPr>
                <w:rFonts w:hint="default"/>
                <w:szCs w:val="21"/>
              </w:rPr>
            </w:pPr>
            <w:r>
              <w:rPr>
                <w:rFonts w:hint="default"/>
                <w:szCs w:val="21"/>
              </w:rPr>
              <w:t>8座</w:t>
            </w:r>
          </w:p>
        </w:tc>
      </w:tr>
      <w:tr w14:paraId="5CFB0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2CC48449">
            <w:pPr>
              <w:keepNext w:val="0"/>
              <w:keepLines w:val="0"/>
              <w:suppressLineNumbers w:val="0"/>
              <w:spacing w:before="0" w:beforeAutospacing="0" w:after="0" w:afterAutospacing="0"/>
              <w:ind w:left="0" w:right="0"/>
              <w:jc w:val="center"/>
              <w:rPr>
                <w:rFonts w:hint="default"/>
                <w:szCs w:val="21"/>
              </w:rPr>
            </w:pPr>
            <w:r>
              <w:rPr>
                <w:rFonts w:hint="eastAsia"/>
                <w:szCs w:val="21"/>
              </w:rPr>
              <w:t>60</w:t>
            </w:r>
          </w:p>
        </w:tc>
        <w:tc>
          <w:tcPr>
            <w:tcW w:w="1245" w:type="pct"/>
            <w:noWrap w:val="0"/>
            <w:vAlign w:val="center"/>
          </w:tcPr>
          <w:p w14:paraId="44CFE3A9">
            <w:pPr>
              <w:keepNext w:val="0"/>
              <w:keepLines w:val="0"/>
              <w:suppressLineNumbers w:val="0"/>
              <w:spacing w:before="0" w:beforeAutospacing="0" w:after="0" w:afterAutospacing="0"/>
              <w:ind w:left="0" w:right="0"/>
              <w:jc w:val="center"/>
              <w:rPr>
                <w:rFonts w:hint="default"/>
                <w:szCs w:val="21"/>
              </w:rPr>
            </w:pPr>
            <w:r>
              <w:rPr>
                <w:rFonts w:hint="default" w:hAnsi="宋体"/>
                <w:szCs w:val="21"/>
              </w:rPr>
              <w:t>布袋除尘器</w:t>
            </w:r>
          </w:p>
        </w:tc>
        <w:tc>
          <w:tcPr>
            <w:tcW w:w="1412" w:type="pct"/>
            <w:noWrap w:val="0"/>
            <w:vAlign w:val="center"/>
          </w:tcPr>
          <w:p w14:paraId="2FF4CFF9">
            <w:pPr>
              <w:keepNext w:val="0"/>
              <w:keepLines w:val="0"/>
              <w:suppressLineNumbers w:val="0"/>
              <w:spacing w:before="0" w:beforeAutospacing="0" w:after="0" w:afterAutospacing="0"/>
              <w:ind w:left="0" w:right="0"/>
              <w:jc w:val="center"/>
              <w:rPr>
                <w:rFonts w:hint="default"/>
                <w:szCs w:val="21"/>
              </w:rPr>
            </w:pPr>
            <w:r>
              <w:rPr>
                <w:rFonts w:hint="default"/>
                <w:szCs w:val="21"/>
              </w:rPr>
              <w:t>3320×1600×2580</w:t>
            </w:r>
          </w:p>
        </w:tc>
        <w:tc>
          <w:tcPr>
            <w:tcW w:w="1535" w:type="pct"/>
            <w:noWrap w:val="0"/>
            <w:vAlign w:val="center"/>
          </w:tcPr>
          <w:p w14:paraId="2E6AF132">
            <w:pPr>
              <w:keepNext w:val="0"/>
              <w:keepLines w:val="0"/>
              <w:suppressLineNumbers w:val="0"/>
              <w:spacing w:before="0" w:beforeAutospacing="0" w:after="0" w:afterAutospacing="0" w:line="360" w:lineRule="exact"/>
              <w:ind w:left="0" w:right="0"/>
              <w:jc w:val="center"/>
              <w:rPr>
                <w:rFonts w:hint="default"/>
                <w:bCs/>
                <w:szCs w:val="21"/>
              </w:rPr>
            </w:pPr>
            <w:r>
              <w:rPr>
                <w:rFonts w:hint="default"/>
                <w:bCs/>
                <w:szCs w:val="21"/>
              </w:rPr>
              <w:t>碳钢</w:t>
            </w:r>
          </w:p>
        </w:tc>
        <w:tc>
          <w:tcPr>
            <w:tcW w:w="430" w:type="pct"/>
            <w:noWrap w:val="0"/>
            <w:vAlign w:val="center"/>
          </w:tcPr>
          <w:p w14:paraId="0904399C">
            <w:pPr>
              <w:keepNext w:val="0"/>
              <w:keepLines w:val="0"/>
              <w:suppressLineNumbers w:val="0"/>
              <w:spacing w:before="0" w:beforeAutospacing="0" w:after="0" w:afterAutospacing="0"/>
              <w:ind w:left="0" w:right="0"/>
              <w:jc w:val="center"/>
              <w:rPr>
                <w:rFonts w:hint="default"/>
                <w:szCs w:val="21"/>
              </w:rPr>
            </w:pPr>
            <w:r>
              <w:rPr>
                <w:rFonts w:hint="default"/>
                <w:szCs w:val="21"/>
              </w:rPr>
              <w:t>8个</w:t>
            </w:r>
          </w:p>
        </w:tc>
      </w:tr>
      <w:tr w14:paraId="69074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18783819">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cs="Times New Roman"/>
                <w:szCs w:val="21"/>
                <w:lang w:val="en-US" w:eastAsia="zh-CN"/>
              </w:rPr>
              <w:t>6</w:t>
            </w:r>
            <w:r>
              <w:rPr>
                <w:rFonts w:hint="default" w:ascii="Times New Roman" w:hAnsi="Times New Roman" w:cs="Times New Roman"/>
                <w:szCs w:val="21"/>
              </w:rPr>
              <w:t>1</w:t>
            </w:r>
          </w:p>
        </w:tc>
        <w:tc>
          <w:tcPr>
            <w:tcW w:w="1245" w:type="pct"/>
            <w:noWrap w:val="0"/>
            <w:vAlign w:val="center"/>
          </w:tcPr>
          <w:p w14:paraId="582D44C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配制釜</w:t>
            </w:r>
          </w:p>
        </w:tc>
        <w:tc>
          <w:tcPr>
            <w:tcW w:w="1412" w:type="pct"/>
            <w:noWrap w:val="0"/>
            <w:vAlign w:val="center"/>
          </w:tcPr>
          <w:p w14:paraId="7366194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ф2400/2600×5380搅拌</w:t>
            </w:r>
          </w:p>
        </w:tc>
        <w:tc>
          <w:tcPr>
            <w:tcW w:w="1535" w:type="pct"/>
            <w:noWrap w:val="0"/>
            <w:vAlign w:val="center"/>
          </w:tcPr>
          <w:p w14:paraId="32C401B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碳钢</w:t>
            </w:r>
          </w:p>
        </w:tc>
        <w:tc>
          <w:tcPr>
            <w:tcW w:w="430" w:type="pct"/>
            <w:noWrap w:val="0"/>
            <w:vAlign w:val="center"/>
          </w:tcPr>
          <w:p w14:paraId="4B73EC4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3</w:t>
            </w:r>
          </w:p>
        </w:tc>
      </w:tr>
      <w:tr w14:paraId="6AAF3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2C4D5E37">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cs="Times New Roman"/>
                <w:szCs w:val="21"/>
                <w:lang w:val="en-US" w:eastAsia="zh-CN"/>
              </w:rPr>
              <w:t>6</w:t>
            </w:r>
            <w:r>
              <w:rPr>
                <w:rFonts w:hint="default" w:ascii="Times New Roman" w:hAnsi="Times New Roman" w:cs="Times New Roman"/>
                <w:szCs w:val="21"/>
              </w:rPr>
              <w:t>2</w:t>
            </w:r>
          </w:p>
        </w:tc>
        <w:tc>
          <w:tcPr>
            <w:tcW w:w="1245" w:type="pct"/>
            <w:noWrap w:val="0"/>
            <w:vAlign w:val="center"/>
          </w:tcPr>
          <w:p w14:paraId="4B49F1F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出水釜</w:t>
            </w:r>
          </w:p>
        </w:tc>
        <w:tc>
          <w:tcPr>
            <w:tcW w:w="1412" w:type="pct"/>
            <w:noWrap w:val="0"/>
            <w:vAlign w:val="center"/>
          </w:tcPr>
          <w:p w14:paraId="41668B9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ф2400/2600×4556搅拌</w:t>
            </w:r>
          </w:p>
        </w:tc>
        <w:tc>
          <w:tcPr>
            <w:tcW w:w="1535" w:type="pct"/>
            <w:noWrap w:val="0"/>
            <w:vAlign w:val="center"/>
          </w:tcPr>
          <w:p w14:paraId="3570A7D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szCs w:val="21"/>
              </w:rPr>
              <w:t>碳钢</w:t>
            </w:r>
          </w:p>
        </w:tc>
        <w:tc>
          <w:tcPr>
            <w:tcW w:w="430" w:type="pct"/>
            <w:noWrap w:val="0"/>
            <w:vAlign w:val="center"/>
          </w:tcPr>
          <w:p w14:paraId="49E371A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10</w:t>
            </w:r>
          </w:p>
        </w:tc>
      </w:tr>
      <w:tr w14:paraId="48146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684BC8F4">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cs="Times New Roman"/>
                <w:szCs w:val="21"/>
                <w:lang w:val="en-US" w:eastAsia="zh-CN"/>
              </w:rPr>
              <w:t>6</w:t>
            </w:r>
            <w:r>
              <w:rPr>
                <w:rFonts w:hint="default" w:ascii="Times New Roman" w:hAnsi="Times New Roman" w:cs="Times New Roman"/>
                <w:szCs w:val="21"/>
              </w:rPr>
              <w:t>3</w:t>
            </w:r>
          </w:p>
        </w:tc>
        <w:tc>
          <w:tcPr>
            <w:tcW w:w="1245" w:type="pct"/>
            <w:noWrap w:val="0"/>
            <w:vAlign w:val="center"/>
          </w:tcPr>
          <w:p w14:paraId="0363CDD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出水冷凝器</w:t>
            </w:r>
          </w:p>
        </w:tc>
        <w:tc>
          <w:tcPr>
            <w:tcW w:w="1412" w:type="pct"/>
            <w:noWrap w:val="0"/>
            <w:vAlign w:val="center"/>
          </w:tcPr>
          <w:p w14:paraId="2B77246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w:t>
            </w:r>
          </w:p>
        </w:tc>
        <w:tc>
          <w:tcPr>
            <w:tcW w:w="1535" w:type="pct"/>
            <w:noWrap w:val="0"/>
            <w:vAlign w:val="center"/>
          </w:tcPr>
          <w:p w14:paraId="5E4333B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szCs w:val="21"/>
              </w:rPr>
              <w:t>石墨</w:t>
            </w:r>
          </w:p>
        </w:tc>
        <w:tc>
          <w:tcPr>
            <w:tcW w:w="430" w:type="pct"/>
            <w:noWrap w:val="0"/>
            <w:vAlign w:val="center"/>
          </w:tcPr>
          <w:p w14:paraId="401D0A4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16</w:t>
            </w:r>
          </w:p>
        </w:tc>
      </w:tr>
      <w:tr w14:paraId="69F01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34F72987">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cs="Times New Roman"/>
                <w:szCs w:val="21"/>
                <w:lang w:val="en-US" w:eastAsia="zh-CN"/>
              </w:rPr>
              <w:t>6</w:t>
            </w:r>
            <w:r>
              <w:rPr>
                <w:rFonts w:hint="default" w:ascii="Times New Roman" w:hAnsi="Times New Roman" w:cs="Times New Roman"/>
                <w:szCs w:val="21"/>
              </w:rPr>
              <w:t>4</w:t>
            </w:r>
          </w:p>
        </w:tc>
        <w:tc>
          <w:tcPr>
            <w:tcW w:w="1245" w:type="pct"/>
            <w:noWrap w:val="0"/>
            <w:vAlign w:val="center"/>
          </w:tcPr>
          <w:p w14:paraId="4EEC7E6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羧化釜真空泵</w:t>
            </w:r>
          </w:p>
        </w:tc>
        <w:tc>
          <w:tcPr>
            <w:tcW w:w="1412" w:type="pct"/>
            <w:noWrap w:val="0"/>
            <w:vAlign w:val="center"/>
          </w:tcPr>
          <w:p w14:paraId="785DC36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szCs w:val="21"/>
              </w:rPr>
              <w:t>—</w:t>
            </w:r>
          </w:p>
        </w:tc>
        <w:tc>
          <w:tcPr>
            <w:tcW w:w="1535" w:type="pct"/>
            <w:noWrap w:val="0"/>
            <w:vAlign w:val="center"/>
          </w:tcPr>
          <w:p w14:paraId="5010755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szCs w:val="21"/>
              </w:rPr>
              <w:t>碳钢</w:t>
            </w:r>
          </w:p>
        </w:tc>
        <w:tc>
          <w:tcPr>
            <w:tcW w:w="430" w:type="pct"/>
            <w:noWrap w:val="0"/>
            <w:vAlign w:val="center"/>
          </w:tcPr>
          <w:p w14:paraId="404C747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36</w:t>
            </w:r>
          </w:p>
        </w:tc>
      </w:tr>
      <w:tr w14:paraId="48368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24C39498">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cs="Times New Roman"/>
                <w:szCs w:val="21"/>
                <w:lang w:val="en-US" w:eastAsia="zh-CN"/>
              </w:rPr>
              <w:t>6</w:t>
            </w:r>
            <w:r>
              <w:rPr>
                <w:rFonts w:hint="default" w:ascii="Times New Roman" w:hAnsi="Times New Roman" w:cs="Times New Roman"/>
                <w:szCs w:val="21"/>
              </w:rPr>
              <w:t>5</w:t>
            </w:r>
          </w:p>
        </w:tc>
        <w:tc>
          <w:tcPr>
            <w:tcW w:w="1245" w:type="pct"/>
            <w:noWrap w:val="0"/>
            <w:vAlign w:val="center"/>
          </w:tcPr>
          <w:p w14:paraId="6BA0214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羧化釜</w:t>
            </w:r>
          </w:p>
        </w:tc>
        <w:tc>
          <w:tcPr>
            <w:tcW w:w="1412" w:type="pct"/>
            <w:noWrap w:val="0"/>
            <w:vAlign w:val="center"/>
          </w:tcPr>
          <w:p w14:paraId="25E7F52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ф2400/2600×4556</w:t>
            </w:r>
          </w:p>
        </w:tc>
        <w:tc>
          <w:tcPr>
            <w:tcW w:w="1535" w:type="pct"/>
            <w:noWrap w:val="0"/>
            <w:vAlign w:val="center"/>
          </w:tcPr>
          <w:p w14:paraId="351F3F0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szCs w:val="21"/>
              </w:rPr>
              <w:t>碳钢</w:t>
            </w:r>
          </w:p>
        </w:tc>
        <w:tc>
          <w:tcPr>
            <w:tcW w:w="430" w:type="pct"/>
            <w:noWrap w:val="0"/>
            <w:vAlign w:val="center"/>
          </w:tcPr>
          <w:p w14:paraId="016F4FA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36</w:t>
            </w:r>
          </w:p>
        </w:tc>
      </w:tr>
      <w:tr w14:paraId="0F18D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6C3F38C3">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cs="Times New Roman"/>
                <w:szCs w:val="21"/>
                <w:lang w:val="en-US" w:eastAsia="zh-CN"/>
              </w:rPr>
              <w:t>6</w:t>
            </w:r>
            <w:r>
              <w:rPr>
                <w:rFonts w:hint="default" w:ascii="Times New Roman" w:hAnsi="Times New Roman" w:cs="Times New Roman"/>
                <w:szCs w:val="21"/>
              </w:rPr>
              <w:t>6</w:t>
            </w:r>
          </w:p>
        </w:tc>
        <w:tc>
          <w:tcPr>
            <w:tcW w:w="1245" w:type="pct"/>
            <w:noWrap w:val="0"/>
            <w:vAlign w:val="center"/>
          </w:tcPr>
          <w:p w14:paraId="3F87934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羧化釜冷凝器</w:t>
            </w:r>
          </w:p>
        </w:tc>
        <w:tc>
          <w:tcPr>
            <w:tcW w:w="1412" w:type="pct"/>
            <w:noWrap w:val="0"/>
            <w:vAlign w:val="center"/>
          </w:tcPr>
          <w:p w14:paraId="4B6EEFB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w:t>
            </w:r>
          </w:p>
        </w:tc>
        <w:tc>
          <w:tcPr>
            <w:tcW w:w="1535" w:type="pct"/>
            <w:noWrap w:val="0"/>
            <w:vAlign w:val="center"/>
          </w:tcPr>
          <w:p w14:paraId="6C60FCF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szCs w:val="21"/>
              </w:rPr>
              <w:t>石墨</w:t>
            </w:r>
          </w:p>
        </w:tc>
        <w:tc>
          <w:tcPr>
            <w:tcW w:w="430" w:type="pct"/>
            <w:noWrap w:val="0"/>
            <w:vAlign w:val="center"/>
          </w:tcPr>
          <w:p w14:paraId="39745F3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36</w:t>
            </w:r>
          </w:p>
        </w:tc>
      </w:tr>
      <w:tr w14:paraId="01941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1DF5F258">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cs="Times New Roman"/>
                <w:szCs w:val="21"/>
                <w:lang w:val="en-US" w:eastAsia="zh-CN"/>
              </w:rPr>
              <w:t>6</w:t>
            </w:r>
            <w:r>
              <w:rPr>
                <w:rFonts w:hint="default" w:ascii="Times New Roman" w:hAnsi="Times New Roman" w:cs="Times New Roman"/>
                <w:szCs w:val="21"/>
              </w:rPr>
              <w:t>7</w:t>
            </w:r>
          </w:p>
        </w:tc>
        <w:tc>
          <w:tcPr>
            <w:tcW w:w="1245" w:type="pct"/>
            <w:noWrap w:val="0"/>
            <w:vAlign w:val="center"/>
          </w:tcPr>
          <w:p w14:paraId="58C3742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羧化釜受器</w:t>
            </w:r>
          </w:p>
        </w:tc>
        <w:tc>
          <w:tcPr>
            <w:tcW w:w="1412" w:type="pct"/>
            <w:noWrap w:val="0"/>
            <w:vAlign w:val="center"/>
          </w:tcPr>
          <w:p w14:paraId="31E291B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ф1500×2800</w:t>
            </w:r>
          </w:p>
        </w:tc>
        <w:tc>
          <w:tcPr>
            <w:tcW w:w="1535" w:type="pct"/>
            <w:noWrap w:val="0"/>
            <w:vAlign w:val="center"/>
          </w:tcPr>
          <w:p w14:paraId="660271E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szCs w:val="21"/>
              </w:rPr>
              <w:t>碳钢</w:t>
            </w:r>
          </w:p>
        </w:tc>
        <w:tc>
          <w:tcPr>
            <w:tcW w:w="430" w:type="pct"/>
            <w:noWrap w:val="0"/>
            <w:vAlign w:val="center"/>
          </w:tcPr>
          <w:p w14:paraId="6629E2D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16</w:t>
            </w:r>
          </w:p>
        </w:tc>
      </w:tr>
      <w:tr w14:paraId="5222F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72AED7A3">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cs="Times New Roman"/>
                <w:szCs w:val="21"/>
                <w:lang w:val="en-US" w:eastAsia="zh-CN"/>
              </w:rPr>
              <w:t>6</w:t>
            </w:r>
            <w:r>
              <w:rPr>
                <w:rFonts w:hint="default" w:ascii="Times New Roman" w:hAnsi="Times New Roman" w:cs="Times New Roman"/>
                <w:szCs w:val="21"/>
              </w:rPr>
              <w:t>8</w:t>
            </w:r>
          </w:p>
        </w:tc>
        <w:tc>
          <w:tcPr>
            <w:tcW w:w="1245" w:type="pct"/>
            <w:noWrap w:val="0"/>
            <w:vAlign w:val="center"/>
          </w:tcPr>
          <w:p w14:paraId="56621EF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真空缓冲罐</w:t>
            </w:r>
          </w:p>
        </w:tc>
        <w:tc>
          <w:tcPr>
            <w:tcW w:w="1412" w:type="pct"/>
            <w:noWrap w:val="0"/>
            <w:vAlign w:val="center"/>
          </w:tcPr>
          <w:p w14:paraId="66427E3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ф420×1500</w:t>
            </w:r>
          </w:p>
        </w:tc>
        <w:tc>
          <w:tcPr>
            <w:tcW w:w="1535" w:type="pct"/>
            <w:noWrap w:val="0"/>
            <w:vAlign w:val="center"/>
          </w:tcPr>
          <w:p w14:paraId="6122EAF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szCs w:val="21"/>
              </w:rPr>
              <w:t>碳钢</w:t>
            </w:r>
          </w:p>
        </w:tc>
        <w:tc>
          <w:tcPr>
            <w:tcW w:w="430" w:type="pct"/>
            <w:noWrap w:val="0"/>
            <w:vAlign w:val="center"/>
          </w:tcPr>
          <w:p w14:paraId="0D30A56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36</w:t>
            </w:r>
          </w:p>
        </w:tc>
      </w:tr>
      <w:tr w14:paraId="58888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6068231D">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cs="Times New Roman"/>
                <w:szCs w:val="21"/>
                <w:lang w:val="en-US" w:eastAsia="zh-CN"/>
              </w:rPr>
              <w:t>6</w:t>
            </w:r>
            <w:r>
              <w:rPr>
                <w:rFonts w:hint="default" w:ascii="Times New Roman" w:hAnsi="Times New Roman" w:cs="Times New Roman"/>
                <w:szCs w:val="21"/>
              </w:rPr>
              <w:t>9</w:t>
            </w:r>
          </w:p>
        </w:tc>
        <w:tc>
          <w:tcPr>
            <w:tcW w:w="1245" w:type="pct"/>
            <w:noWrap w:val="0"/>
            <w:vAlign w:val="center"/>
          </w:tcPr>
          <w:p w14:paraId="2A5253B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萃取釜</w:t>
            </w:r>
          </w:p>
        </w:tc>
        <w:tc>
          <w:tcPr>
            <w:tcW w:w="1412" w:type="pct"/>
            <w:noWrap w:val="0"/>
            <w:vAlign w:val="center"/>
          </w:tcPr>
          <w:p w14:paraId="48DB97D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ф3200×5820搅拌</w:t>
            </w:r>
          </w:p>
        </w:tc>
        <w:tc>
          <w:tcPr>
            <w:tcW w:w="1535" w:type="pct"/>
            <w:noWrap w:val="0"/>
            <w:vAlign w:val="center"/>
          </w:tcPr>
          <w:p w14:paraId="7AB8276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szCs w:val="21"/>
              </w:rPr>
              <w:t>碳钢</w:t>
            </w:r>
          </w:p>
        </w:tc>
        <w:tc>
          <w:tcPr>
            <w:tcW w:w="430" w:type="pct"/>
            <w:noWrap w:val="0"/>
            <w:vAlign w:val="center"/>
          </w:tcPr>
          <w:p w14:paraId="6A487FB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4</w:t>
            </w:r>
          </w:p>
        </w:tc>
      </w:tr>
      <w:tr w14:paraId="5AEB1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12281AD2">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cs="Times New Roman"/>
                <w:szCs w:val="21"/>
                <w:lang w:val="en-US" w:eastAsia="zh-CN"/>
              </w:rPr>
              <w:t>7</w:t>
            </w:r>
            <w:r>
              <w:rPr>
                <w:rFonts w:hint="default" w:ascii="Times New Roman" w:hAnsi="Times New Roman" w:cs="Times New Roman"/>
                <w:szCs w:val="21"/>
              </w:rPr>
              <w:t>0</w:t>
            </w:r>
          </w:p>
        </w:tc>
        <w:tc>
          <w:tcPr>
            <w:tcW w:w="1245" w:type="pct"/>
            <w:noWrap w:val="0"/>
            <w:vAlign w:val="center"/>
          </w:tcPr>
          <w:p w14:paraId="01103EB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酸析釜</w:t>
            </w:r>
          </w:p>
        </w:tc>
        <w:tc>
          <w:tcPr>
            <w:tcW w:w="1412" w:type="pct"/>
            <w:noWrap w:val="0"/>
            <w:vAlign w:val="center"/>
          </w:tcPr>
          <w:p w14:paraId="6C2AAD5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ф3600×5980搅拌</w:t>
            </w:r>
          </w:p>
        </w:tc>
        <w:tc>
          <w:tcPr>
            <w:tcW w:w="1535" w:type="pct"/>
            <w:noWrap w:val="0"/>
            <w:vAlign w:val="center"/>
          </w:tcPr>
          <w:p w14:paraId="524DCDD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szCs w:val="21"/>
              </w:rPr>
              <w:t>碳钢</w:t>
            </w:r>
          </w:p>
        </w:tc>
        <w:tc>
          <w:tcPr>
            <w:tcW w:w="430" w:type="pct"/>
            <w:noWrap w:val="0"/>
            <w:vAlign w:val="center"/>
          </w:tcPr>
          <w:p w14:paraId="5CF4DF1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12</w:t>
            </w:r>
          </w:p>
        </w:tc>
      </w:tr>
      <w:tr w14:paraId="60317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7B5FFD7B">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cs="Times New Roman"/>
                <w:szCs w:val="21"/>
                <w:lang w:val="en-US" w:eastAsia="zh-CN"/>
              </w:rPr>
              <w:t>7</w:t>
            </w:r>
            <w:r>
              <w:rPr>
                <w:rFonts w:hint="default" w:ascii="Times New Roman" w:hAnsi="Times New Roman" w:cs="Times New Roman"/>
                <w:szCs w:val="21"/>
              </w:rPr>
              <w:t>1</w:t>
            </w:r>
          </w:p>
        </w:tc>
        <w:tc>
          <w:tcPr>
            <w:tcW w:w="1245" w:type="pct"/>
            <w:noWrap w:val="0"/>
            <w:vAlign w:val="center"/>
          </w:tcPr>
          <w:p w14:paraId="47632B9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离心机</w:t>
            </w:r>
          </w:p>
        </w:tc>
        <w:tc>
          <w:tcPr>
            <w:tcW w:w="1412" w:type="pct"/>
            <w:noWrap w:val="0"/>
            <w:vAlign w:val="center"/>
          </w:tcPr>
          <w:p w14:paraId="6260C6E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2350×2600</w:t>
            </w:r>
          </w:p>
        </w:tc>
        <w:tc>
          <w:tcPr>
            <w:tcW w:w="1535" w:type="pct"/>
            <w:noWrap w:val="0"/>
            <w:vAlign w:val="center"/>
          </w:tcPr>
          <w:p w14:paraId="69A7228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rPr>
              <w:t>304</w:t>
            </w:r>
          </w:p>
        </w:tc>
        <w:tc>
          <w:tcPr>
            <w:tcW w:w="430" w:type="pct"/>
            <w:noWrap w:val="0"/>
            <w:vAlign w:val="center"/>
          </w:tcPr>
          <w:p w14:paraId="1C60DD9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12</w:t>
            </w:r>
          </w:p>
        </w:tc>
      </w:tr>
      <w:tr w14:paraId="633DF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0891A99F">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cs="Times New Roman"/>
                <w:szCs w:val="21"/>
                <w:lang w:val="en-US" w:eastAsia="zh-CN"/>
              </w:rPr>
              <w:t>7</w:t>
            </w:r>
            <w:r>
              <w:rPr>
                <w:rFonts w:hint="default" w:ascii="Times New Roman" w:hAnsi="Times New Roman" w:cs="Times New Roman"/>
                <w:szCs w:val="21"/>
              </w:rPr>
              <w:t>2</w:t>
            </w:r>
          </w:p>
        </w:tc>
        <w:tc>
          <w:tcPr>
            <w:tcW w:w="1245" w:type="pct"/>
            <w:noWrap w:val="0"/>
            <w:vAlign w:val="center"/>
          </w:tcPr>
          <w:p w14:paraId="1592FFD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干燥机</w:t>
            </w:r>
          </w:p>
        </w:tc>
        <w:tc>
          <w:tcPr>
            <w:tcW w:w="1412" w:type="pct"/>
            <w:noWrap w:val="0"/>
            <w:vAlign w:val="center"/>
          </w:tcPr>
          <w:p w14:paraId="5A31EA7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w:t>
            </w:r>
          </w:p>
        </w:tc>
        <w:tc>
          <w:tcPr>
            <w:tcW w:w="1535" w:type="pct"/>
            <w:noWrap w:val="0"/>
            <w:vAlign w:val="center"/>
          </w:tcPr>
          <w:p w14:paraId="1B712CD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szCs w:val="21"/>
              </w:rPr>
              <w:t>304</w:t>
            </w:r>
          </w:p>
        </w:tc>
        <w:tc>
          <w:tcPr>
            <w:tcW w:w="430" w:type="pct"/>
            <w:noWrap w:val="0"/>
            <w:vAlign w:val="center"/>
          </w:tcPr>
          <w:p w14:paraId="5AF0A25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4</w:t>
            </w:r>
          </w:p>
        </w:tc>
      </w:tr>
      <w:tr w14:paraId="084F3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48FD5505">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cs="Times New Roman"/>
                <w:szCs w:val="21"/>
                <w:lang w:val="en-US" w:eastAsia="zh-CN"/>
              </w:rPr>
              <w:t>7</w:t>
            </w:r>
            <w:r>
              <w:rPr>
                <w:rFonts w:hint="default" w:ascii="Times New Roman" w:hAnsi="Times New Roman" w:cs="Times New Roman"/>
                <w:szCs w:val="21"/>
              </w:rPr>
              <w:t>3</w:t>
            </w:r>
          </w:p>
        </w:tc>
        <w:tc>
          <w:tcPr>
            <w:tcW w:w="1245" w:type="pct"/>
            <w:noWrap w:val="0"/>
            <w:vAlign w:val="center"/>
          </w:tcPr>
          <w:p w14:paraId="0467512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水杨酸钠计量罐</w:t>
            </w:r>
          </w:p>
        </w:tc>
        <w:tc>
          <w:tcPr>
            <w:tcW w:w="1412" w:type="pct"/>
            <w:noWrap w:val="0"/>
            <w:vAlign w:val="center"/>
          </w:tcPr>
          <w:p w14:paraId="424D461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ф2400×4500</w:t>
            </w:r>
          </w:p>
        </w:tc>
        <w:tc>
          <w:tcPr>
            <w:tcW w:w="1535" w:type="pct"/>
            <w:noWrap w:val="0"/>
            <w:vAlign w:val="center"/>
          </w:tcPr>
          <w:p w14:paraId="4E55887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szCs w:val="21"/>
              </w:rPr>
              <w:t>304</w:t>
            </w:r>
          </w:p>
        </w:tc>
        <w:tc>
          <w:tcPr>
            <w:tcW w:w="430" w:type="pct"/>
            <w:noWrap w:val="0"/>
            <w:vAlign w:val="center"/>
          </w:tcPr>
          <w:p w14:paraId="35BBE08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8</w:t>
            </w:r>
          </w:p>
        </w:tc>
      </w:tr>
      <w:tr w14:paraId="45504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6A379A36">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cs="Times New Roman"/>
                <w:szCs w:val="21"/>
                <w:lang w:val="en-US" w:eastAsia="zh-CN"/>
              </w:rPr>
              <w:t>7</w:t>
            </w:r>
            <w:r>
              <w:rPr>
                <w:rFonts w:hint="default" w:ascii="Times New Roman" w:hAnsi="Times New Roman" w:cs="Times New Roman"/>
                <w:szCs w:val="21"/>
              </w:rPr>
              <w:t>4</w:t>
            </w:r>
          </w:p>
        </w:tc>
        <w:tc>
          <w:tcPr>
            <w:tcW w:w="1245" w:type="pct"/>
            <w:noWrap w:val="0"/>
            <w:vAlign w:val="center"/>
          </w:tcPr>
          <w:p w14:paraId="02BCAE8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计量罐冷凝器</w:t>
            </w:r>
          </w:p>
        </w:tc>
        <w:tc>
          <w:tcPr>
            <w:tcW w:w="1412" w:type="pct"/>
            <w:noWrap w:val="0"/>
            <w:vAlign w:val="center"/>
          </w:tcPr>
          <w:p w14:paraId="74FA51B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ф600×2500</w:t>
            </w:r>
          </w:p>
        </w:tc>
        <w:tc>
          <w:tcPr>
            <w:tcW w:w="1535" w:type="pct"/>
            <w:noWrap w:val="0"/>
            <w:vAlign w:val="center"/>
          </w:tcPr>
          <w:p w14:paraId="795A03F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szCs w:val="21"/>
              </w:rPr>
              <w:t>石墨</w:t>
            </w:r>
          </w:p>
        </w:tc>
        <w:tc>
          <w:tcPr>
            <w:tcW w:w="430" w:type="pct"/>
            <w:noWrap w:val="0"/>
            <w:vAlign w:val="center"/>
          </w:tcPr>
          <w:p w14:paraId="096F639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2</w:t>
            </w:r>
          </w:p>
        </w:tc>
      </w:tr>
      <w:tr w14:paraId="015EE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7C17A0B7">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cs="Times New Roman"/>
                <w:szCs w:val="21"/>
                <w:lang w:val="en-US" w:eastAsia="zh-CN"/>
              </w:rPr>
              <w:t>7</w:t>
            </w:r>
            <w:r>
              <w:rPr>
                <w:rFonts w:hint="default" w:ascii="Times New Roman" w:hAnsi="Times New Roman" w:cs="Times New Roman"/>
                <w:szCs w:val="21"/>
              </w:rPr>
              <w:t>5</w:t>
            </w:r>
          </w:p>
        </w:tc>
        <w:tc>
          <w:tcPr>
            <w:tcW w:w="1245" w:type="pct"/>
            <w:noWrap w:val="0"/>
            <w:vAlign w:val="center"/>
          </w:tcPr>
          <w:p w14:paraId="3DD748B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干燥吸收塔</w:t>
            </w:r>
          </w:p>
        </w:tc>
        <w:tc>
          <w:tcPr>
            <w:tcW w:w="1412" w:type="pct"/>
            <w:noWrap w:val="0"/>
            <w:vAlign w:val="center"/>
          </w:tcPr>
          <w:p w14:paraId="3CA69A2F">
            <w:pPr>
              <w:keepNext w:val="0"/>
              <w:keepLines w:val="0"/>
              <w:suppressLineNumbers w:val="0"/>
              <w:spacing w:before="0" w:beforeAutospacing="0" w:after="0" w:afterAutospacing="0"/>
              <w:ind w:left="0" w:right="0"/>
              <w:jc w:val="center"/>
              <w:rPr>
                <w:rFonts w:hint="default" w:ascii="Times New Roman" w:hAnsi="Times New Roman" w:cs="Times New Roman"/>
                <w:szCs w:val="21"/>
              </w:rPr>
            </w:pPr>
            <w:r>
              <w:rPr>
                <w:rFonts w:hint="default" w:ascii="Times New Roman" w:hAnsi="Times New Roman" w:cs="Times New Roman"/>
                <w:szCs w:val="21"/>
              </w:rPr>
              <w:t>ф2600×9000</w:t>
            </w:r>
          </w:p>
          <w:p w14:paraId="3E0EC57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填料为塑料，每15年更换一次，更换量57.5kg</w:t>
            </w:r>
          </w:p>
        </w:tc>
        <w:tc>
          <w:tcPr>
            <w:tcW w:w="1535" w:type="pct"/>
            <w:noWrap w:val="0"/>
            <w:vAlign w:val="center"/>
          </w:tcPr>
          <w:p w14:paraId="7B8B278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szCs w:val="21"/>
              </w:rPr>
              <w:t>pp</w:t>
            </w:r>
          </w:p>
        </w:tc>
        <w:tc>
          <w:tcPr>
            <w:tcW w:w="430" w:type="pct"/>
            <w:noWrap w:val="0"/>
            <w:vAlign w:val="center"/>
          </w:tcPr>
          <w:p w14:paraId="3610739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4</w:t>
            </w:r>
          </w:p>
        </w:tc>
      </w:tr>
      <w:tr w14:paraId="270C2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43670141">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cs="Times New Roman"/>
                <w:szCs w:val="21"/>
                <w:lang w:val="en-US" w:eastAsia="zh-CN"/>
              </w:rPr>
              <w:t>7</w:t>
            </w:r>
            <w:r>
              <w:rPr>
                <w:rFonts w:hint="default" w:ascii="Times New Roman" w:hAnsi="Times New Roman" w:cs="Times New Roman"/>
                <w:szCs w:val="21"/>
              </w:rPr>
              <w:t>6</w:t>
            </w:r>
          </w:p>
        </w:tc>
        <w:tc>
          <w:tcPr>
            <w:tcW w:w="1245" w:type="pct"/>
            <w:noWrap w:val="0"/>
            <w:vAlign w:val="center"/>
          </w:tcPr>
          <w:p w14:paraId="00FCF1D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磺基废酸罐</w:t>
            </w:r>
          </w:p>
        </w:tc>
        <w:tc>
          <w:tcPr>
            <w:tcW w:w="1412" w:type="pct"/>
            <w:noWrap w:val="0"/>
            <w:vAlign w:val="center"/>
          </w:tcPr>
          <w:p w14:paraId="01A37B7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ф2500×3300</w:t>
            </w:r>
          </w:p>
        </w:tc>
        <w:tc>
          <w:tcPr>
            <w:tcW w:w="1535" w:type="pct"/>
            <w:noWrap w:val="0"/>
            <w:vAlign w:val="center"/>
          </w:tcPr>
          <w:p w14:paraId="5576E90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szCs w:val="21"/>
              </w:rPr>
              <w:t>碳钢</w:t>
            </w:r>
          </w:p>
        </w:tc>
        <w:tc>
          <w:tcPr>
            <w:tcW w:w="430" w:type="pct"/>
            <w:noWrap w:val="0"/>
            <w:vAlign w:val="center"/>
          </w:tcPr>
          <w:p w14:paraId="78CCEC9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1</w:t>
            </w:r>
          </w:p>
        </w:tc>
      </w:tr>
      <w:tr w14:paraId="3836B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3BD8C9B0">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cs="Times New Roman"/>
                <w:szCs w:val="21"/>
                <w:lang w:val="en-US" w:eastAsia="zh-CN"/>
              </w:rPr>
              <w:t>7</w:t>
            </w:r>
            <w:r>
              <w:rPr>
                <w:rFonts w:hint="default" w:ascii="Times New Roman" w:hAnsi="Times New Roman" w:cs="Times New Roman"/>
                <w:szCs w:val="21"/>
              </w:rPr>
              <w:t>7</w:t>
            </w:r>
          </w:p>
        </w:tc>
        <w:tc>
          <w:tcPr>
            <w:tcW w:w="1245" w:type="pct"/>
            <w:noWrap w:val="0"/>
            <w:vAlign w:val="center"/>
          </w:tcPr>
          <w:p w14:paraId="0193B44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甲酯废酸罐</w:t>
            </w:r>
          </w:p>
        </w:tc>
        <w:tc>
          <w:tcPr>
            <w:tcW w:w="1412" w:type="pct"/>
            <w:noWrap w:val="0"/>
            <w:vAlign w:val="center"/>
          </w:tcPr>
          <w:p w14:paraId="62F2700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ф2500×3300</w:t>
            </w:r>
          </w:p>
        </w:tc>
        <w:tc>
          <w:tcPr>
            <w:tcW w:w="1535" w:type="pct"/>
            <w:noWrap w:val="0"/>
            <w:vAlign w:val="center"/>
          </w:tcPr>
          <w:p w14:paraId="0A92A8F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szCs w:val="21"/>
              </w:rPr>
              <w:t>碳钢</w:t>
            </w:r>
          </w:p>
        </w:tc>
        <w:tc>
          <w:tcPr>
            <w:tcW w:w="430" w:type="pct"/>
            <w:noWrap w:val="0"/>
            <w:vAlign w:val="center"/>
          </w:tcPr>
          <w:p w14:paraId="587DB70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1</w:t>
            </w:r>
          </w:p>
        </w:tc>
      </w:tr>
      <w:tr w14:paraId="5B691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1B7AE9C3">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cs="Times New Roman"/>
                <w:szCs w:val="21"/>
                <w:lang w:val="en-US" w:eastAsia="zh-CN"/>
              </w:rPr>
              <w:t>7</w:t>
            </w:r>
            <w:r>
              <w:rPr>
                <w:rFonts w:hint="default" w:ascii="Times New Roman" w:hAnsi="Times New Roman" w:cs="Times New Roman"/>
                <w:szCs w:val="21"/>
              </w:rPr>
              <w:t>8</w:t>
            </w:r>
          </w:p>
        </w:tc>
        <w:tc>
          <w:tcPr>
            <w:tcW w:w="1245" w:type="pct"/>
            <w:noWrap w:val="0"/>
            <w:vAlign w:val="center"/>
          </w:tcPr>
          <w:p w14:paraId="0D1CE5F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水罐</w:t>
            </w:r>
          </w:p>
        </w:tc>
        <w:tc>
          <w:tcPr>
            <w:tcW w:w="1412" w:type="pct"/>
            <w:noWrap w:val="0"/>
            <w:vAlign w:val="center"/>
          </w:tcPr>
          <w:p w14:paraId="4460A6F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ф2500×3300</w:t>
            </w:r>
          </w:p>
        </w:tc>
        <w:tc>
          <w:tcPr>
            <w:tcW w:w="1535" w:type="pct"/>
            <w:noWrap w:val="0"/>
            <w:vAlign w:val="center"/>
          </w:tcPr>
          <w:p w14:paraId="3036030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szCs w:val="21"/>
              </w:rPr>
              <w:t>碳钢</w:t>
            </w:r>
          </w:p>
        </w:tc>
        <w:tc>
          <w:tcPr>
            <w:tcW w:w="430" w:type="pct"/>
            <w:noWrap w:val="0"/>
            <w:vAlign w:val="center"/>
          </w:tcPr>
          <w:p w14:paraId="178F05C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4</w:t>
            </w:r>
          </w:p>
        </w:tc>
      </w:tr>
      <w:tr w14:paraId="1185F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3BA3CB8C">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cs="Times New Roman"/>
                <w:szCs w:val="21"/>
                <w:lang w:val="en-US" w:eastAsia="zh-CN"/>
              </w:rPr>
              <w:t>7</w:t>
            </w:r>
            <w:r>
              <w:rPr>
                <w:rFonts w:hint="default" w:ascii="Times New Roman" w:hAnsi="Times New Roman" w:cs="Times New Roman"/>
                <w:szCs w:val="21"/>
              </w:rPr>
              <w:t>9</w:t>
            </w:r>
          </w:p>
        </w:tc>
        <w:tc>
          <w:tcPr>
            <w:tcW w:w="1245" w:type="pct"/>
            <w:noWrap w:val="0"/>
            <w:vAlign w:val="center"/>
          </w:tcPr>
          <w:p w14:paraId="265BC93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稀酸罐</w:t>
            </w:r>
          </w:p>
        </w:tc>
        <w:tc>
          <w:tcPr>
            <w:tcW w:w="1412" w:type="pct"/>
            <w:noWrap w:val="0"/>
            <w:vAlign w:val="center"/>
          </w:tcPr>
          <w:p w14:paraId="5C97DF9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ф2500×3300</w:t>
            </w:r>
          </w:p>
        </w:tc>
        <w:tc>
          <w:tcPr>
            <w:tcW w:w="1535" w:type="pct"/>
            <w:noWrap w:val="0"/>
            <w:vAlign w:val="center"/>
          </w:tcPr>
          <w:p w14:paraId="7F402E2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szCs w:val="21"/>
              </w:rPr>
              <w:t>碳钢</w:t>
            </w:r>
          </w:p>
        </w:tc>
        <w:tc>
          <w:tcPr>
            <w:tcW w:w="430" w:type="pct"/>
            <w:noWrap w:val="0"/>
            <w:vAlign w:val="center"/>
          </w:tcPr>
          <w:p w14:paraId="1449E82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3</w:t>
            </w:r>
          </w:p>
        </w:tc>
      </w:tr>
      <w:tr w14:paraId="78679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7DE9F57E">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cs="Times New Roman"/>
                <w:szCs w:val="21"/>
                <w:lang w:val="en-US" w:eastAsia="zh-CN"/>
              </w:rPr>
              <w:t>8</w:t>
            </w:r>
            <w:r>
              <w:rPr>
                <w:rFonts w:hint="default" w:ascii="Times New Roman" w:hAnsi="Times New Roman" w:cs="Times New Roman"/>
                <w:szCs w:val="21"/>
              </w:rPr>
              <w:t>0</w:t>
            </w:r>
          </w:p>
        </w:tc>
        <w:tc>
          <w:tcPr>
            <w:tcW w:w="1245" w:type="pct"/>
            <w:noWrap w:val="0"/>
            <w:vAlign w:val="center"/>
          </w:tcPr>
          <w:p w14:paraId="1B7FCB9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碱罐</w:t>
            </w:r>
          </w:p>
        </w:tc>
        <w:tc>
          <w:tcPr>
            <w:tcW w:w="1412" w:type="pct"/>
            <w:noWrap w:val="0"/>
            <w:vAlign w:val="center"/>
          </w:tcPr>
          <w:p w14:paraId="6A805C9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ф2500×3300</w:t>
            </w:r>
          </w:p>
        </w:tc>
        <w:tc>
          <w:tcPr>
            <w:tcW w:w="1535" w:type="pct"/>
            <w:noWrap w:val="0"/>
            <w:vAlign w:val="center"/>
          </w:tcPr>
          <w:p w14:paraId="522C5FC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szCs w:val="21"/>
              </w:rPr>
              <w:t>碳钢</w:t>
            </w:r>
          </w:p>
        </w:tc>
        <w:tc>
          <w:tcPr>
            <w:tcW w:w="430" w:type="pct"/>
            <w:noWrap w:val="0"/>
            <w:vAlign w:val="center"/>
          </w:tcPr>
          <w:p w14:paraId="5DB834D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3</w:t>
            </w:r>
          </w:p>
        </w:tc>
      </w:tr>
      <w:tr w14:paraId="317B0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57D4661B">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cs="Times New Roman"/>
                <w:szCs w:val="21"/>
                <w:lang w:val="en-US" w:eastAsia="zh-CN"/>
              </w:rPr>
              <w:t>8</w:t>
            </w:r>
            <w:r>
              <w:rPr>
                <w:rFonts w:hint="default" w:ascii="Times New Roman" w:hAnsi="Times New Roman" w:cs="Times New Roman"/>
                <w:szCs w:val="21"/>
              </w:rPr>
              <w:t>1</w:t>
            </w:r>
          </w:p>
        </w:tc>
        <w:tc>
          <w:tcPr>
            <w:tcW w:w="1245" w:type="pct"/>
            <w:noWrap w:val="0"/>
            <w:vAlign w:val="center"/>
          </w:tcPr>
          <w:p w14:paraId="58577B6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布袋除尘器</w:t>
            </w:r>
          </w:p>
        </w:tc>
        <w:tc>
          <w:tcPr>
            <w:tcW w:w="1412" w:type="pct"/>
            <w:noWrap w:val="0"/>
            <w:vAlign w:val="center"/>
          </w:tcPr>
          <w:p w14:paraId="17715CE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2600×2400×2500</w:t>
            </w:r>
          </w:p>
        </w:tc>
        <w:tc>
          <w:tcPr>
            <w:tcW w:w="1535" w:type="pct"/>
            <w:noWrap w:val="0"/>
            <w:vAlign w:val="center"/>
          </w:tcPr>
          <w:p w14:paraId="3AEE3BB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szCs w:val="21"/>
              </w:rPr>
              <w:t>碳钢</w:t>
            </w:r>
          </w:p>
        </w:tc>
        <w:tc>
          <w:tcPr>
            <w:tcW w:w="430" w:type="pct"/>
            <w:noWrap w:val="0"/>
            <w:vAlign w:val="center"/>
          </w:tcPr>
          <w:p w14:paraId="61A2B79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5</w:t>
            </w:r>
          </w:p>
        </w:tc>
      </w:tr>
      <w:tr w14:paraId="33070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4148A2B9">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cs="Times New Roman"/>
                <w:szCs w:val="21"/>
                <w:lang w:val="en-US" w:eastAsia="zh-CN"/>
              </w:rPr>
              <w:t>8</w:t>
            </w:r>
            <w:r>
              <w:rPr>
                <w:rFonts w:hint="default" w:ascii="Times New Roman" w:hAnsi="Times New Roman" w:cs="Times New Roman"/>
                <w:szCs w:val="21"/>
              </w:rPr>
              <w:t>2</w:t>
            </w:r>
          </w:p>
        </w:tc>
        <w:tc>
          <w:tcPr>
            <w:tcW w:w="1245" w:type="pct"/>
            <w:noWrap w:val="0"/>
            <w:vAlign w:val="center"/>
          </w:tcPr>
          <w:p w14:paraId="2B18016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引风机</w:t>
            </w:r>
          </w:p>
        </w:tc>
        <w:tc>
          <w:tcPr>
            <w:tcW w:w="1412" w:type="pct"/>
            <w:noWrap w:val="0"/>
            <w:vAlign w:val="center"/>
          </w:tcPr>
          <w:p w14:paraId="511480A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w:t>
            </w:r>
          </w:p>
        </w:tc>
        <w:tc>
          <w:tcPr>
            <w:tcW w:w="1535" w:type="pct"/>
            <w:noWrap w:val="0"/>
            <w:vAlign w:val="center"/>
          </w:tcPr>
          <w:p w14:paraId="5C342C2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szCs w:val="21"/>
              </w:rPr>
              <w:t>碳钢</w:t>
            </w:r>
          </w:p>
        </w:tc>
        <w:tc>
          <w:tcPr>
            <w:tcW w:w="430" w:type="pct"/>
            <w:noWrap w:val="0"/>
            <w:vAlign w:val="center"/>
          </w:tcPr>
          <w:p w14:paraId="4BC958B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4</w:t>
            </w:r>
          </w:p>
        </w:tc>
      </w:tr>
      <w:tr w14:paraId="3F511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631C4957">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cs="Times New Roman"/>
                <w:szCs w:val="21"/>
                <w:lang w:val="en-US" w:eastAsia="zh-CN"/>
              </w:rPr>
              <w:t>8</w:t>
            </w:r>
            <w:r>
              <w:rPr>
                <w:rFonts w:hint="default" w:ascii="Times New Roman" w:hAnsi="Times New Roman" w:cs="Times New Roman"/>
                <w:szCs w:val="21"/>
              </w:rPr>
              <w:t>3</w:t>
            </w:r>
          </w:p>
        </w:tc>
        <w:tc>
          <w:tcPr>
            <w:tcW w:w="1245" w:type="pct"/>
            <w:noWrap w:val="0"/>
            <w:vAlign w:val="center"/>
          </w:tcPr>
          <w:p w14:paraId="0DAAD92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出水釜冷凝水罐</w:t>
            </w:r>
          </w:p>
        </w:tc>
        <w:tc>
          <w:tcPr>
            <w:tcW w:w="1412" w:type="pct"/>
            <w:noWrap w:val="0"/>
            <w:vAlign w:val="center"/>
          </w:tcPr>
          <w:p w14:paraId="6229504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ф1500×3000</w:t>
            </w:r>
          </w:p>
        </w:tc>
        <w:tc>
          <w:tcPr>
            <w:tcW w:w="1535" w:type="pct"/>
            <w:noWrap w:val="0"/>
            <w:vAlign w:val="center"/>
          </w:tcPr>
          <w:p w14:paraId="2065E72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szCs w:val="21"/>
              </w:rPr>
              <w:t>碳钢</w:t>
            </w:r>
          </w:p>
        </w:tc>
        <w:tc>
          <w:tcPr>
            <w:tcW w:w="430" w:type="pct"/>
            <w:noWrap w:val="0"/>
            <w:vAlign w:val="center"/>
          </w:tcPr>
          <w:p w14:paraId="4084926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2</w:t>
            </w:r>
          </w:p>
        </w:tc>
      </w:tr>
      <w:tr w14:paraId="76941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76139DFB">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cs="Times New Roman"/>
                <w:szCs w:val="21"/>
                <w:lang w:val="en-US" w:eastAsia="zh-CN"/>
              </w:rPr>
              <w:t>8</w:t>
            </w:r>
            <w:r>
              <w:rPr>
                <w:rFonts w:hint="default" w:ascii="Times New Roman" w:hAnsi="Times New Roman" w:cs="Times New Roman"/>
                <w:szCs w:val="21"/>
              </w:rPr>
              <w:t>4</w:t>
            </w:r>
          </w:p>
        </w:tc>
        <w:tc>
          <w:tcPr>
            <w:tcW w:w="1245" w:type="pct"/>
            <w:noWrap w:val="0"/>
            <w:vAlign w:val="center"/>
          </w:tcPr>
          <w:p w14:paraId="11A7D26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出水釜真空水池</w:t>
            </w:r>
          </w:p>
        </w:tc>
        <w:tc>
          <w:tcPr>
            <w:tcW w:w="1412" w:type="pct"/>
            <w:noWrap w:val="0"/>
            <w:vAlign w:val="center"/>
          </w:tcPr>
          <w:p w14:paraId="68E5A0B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6000×2500×1500</w:t>
            </w:r>
          </w:p>
        </w:tc>
        <w:tc>
          <w:tcPr>
            <w:tcW w:w="1535" w:type="pct"/>
            <w:noWrap w:val="0"/>
            <w:vAlign w:val="center"/>
          </w:tcPr>
          <w:p w14:paraId="49C0720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szCs w:val="21"/>
              </w:rPr>
              <w:t>碳钢</w:t>
            </w:r>
          </w:p>
        </w:tc>
        <w:tc>
          <w:tcPr>
            <w:tcW w:w="430" w:type="pct"/>
            <w:noWrap w:val="0"/>
            <w:vAlign w:val="center"/>
          </w:tcPr>
          <w:p w14:paraId="6D68DF5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1</w:t>
            </w:r>
          </w:p>
        </w:tc>
      </w:tr>
      <w:tr w14:paraId="57280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6372932D">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cs="Times New Roman"/>
                <w:szCs w:val="21"/>
                <w:lang w:val="en-US" w:eastAsia="zh-CN"/>
              </w:rPr>
              <w:t>8</w:t>
            </w:r>
            <w:r>
              <w:rPr>
                <w:rFonts w:hint="default" w:ascii="Times New Roman" w:hAnsi="Times New Roman" w:cs="Times New Roman"/>
                <w:szCs w:val="21"/>
              </w:rPr>
              <w:t>5</w:t>
            </w:r>
          </w:p>
        </w:tc>
        <w:tc>
          <w:tcPr>
            <w:tcW w:w="1245" w:type="pct"/>
            <w:noWrap w:val="0"/>
            <w:vAlign w:val="center"/>
          </w:tcPr>
          <w:p w14:paraId="6D864A0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出水釜真空泵</w:t>
            </w:r>
          </w:p>
        </w:tc>
        <w:tc>
          <w:tcPr>
            <w:tcW w:w="1412" w:type="pct"/>
            <w:noWrap w:val="0"/>
            <w:vAlign w:val="center"/>
          </w:tcPr>
          <w:p w14:paraId="2828395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szCs w:val="21"/>
              </w:rPr>
              <w:t>—</w:t>
            </w:r>
          </w:p>
        </w:tc>
        <w:tc>
          <w:tcPr>
            <w:tcW w:w="1535" w:type="pct"/>
            <w:noWrap w:val="0"/>
            <w:vAlign w:val="center"/>
          </w:tcPr>
          <w:p w14:paraId="0A65CB2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szCs w:val="21"/>
              </w:rPr>
              <w:t>碳钢</w:t>
            </w:r>
          </w:p>
        </w:tc>
        <w:tc>
          <w:tcPr>
            <w:tcW w:w="430" w:type="pct"/>
            <w:noWrap w:val="0"/>
            <w:vAlign w:val="center"/>
          </w:tcPr>
          <w:p w14:paraId="1A2E90C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10</w:t>
            </w:r>
          </w:p>
        </w:tc>
      </w:tr>
      <w:tr w14:paraId="483CC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2A311017">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cs="Times New Roman"/>
                <w:szCs w:val="21"/>
                <w:lang w:val="en-US" w:eastAsia="zh-CN"/>
              </w:rPr>
              <w:t>8</w:t>
            </w:r>
            <w:r>
              <w:rPr>
                <w:rFonts w:hint="default" w:ascii="Times New Roman" w:hAnsi="Times New Roman" w:cs="Times New Roman"/>
                <w:szCs w:val="21"/>
              </w:rPr>
              <w:t>6</w:t>
            </w:r>
          </w:p>
        </w:tc>
        <w:tc>
          <w:tcPr>
            <w:tcW w:w="1245" w:type="pct"/>
            <w:noWrap w:val="0"/>
            <w:vAlign w:val="center"/>
          </w:tcPr>
          <w:p w14:paraId="468A7BB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羧化釜冷凝水罐</w:t>
            </w:r>
          </w:p>
        </w:tc>
        <w:tc>
          <w:tcPr>
            <w:tcW w:w="1412" w:type="pct"/>
            <w:noWrap w:val="0"/>
            <w:vAlign w:val="center"/>
          </w:tcPr>
          <w:p w14:paraId="71573C1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ф1600×4000</w:t>
            </w:r>
          </w:p>
        </w:tc>
        <w:tc>
          <w:tcPr>
            <w:tcW w:w="1535" w:type="pct"/>
            <w:noWrap w:val="0"/>
            <w:vAlign w:val="center"/>
          </w:tcPr>
          <w:p w14:paraId="182ECED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szCs w:val="21"/>
              </w:rPr>
              <w:t>碳钢</w:t>
            </w:r>
          </w:p>
        </w:tc>
        <w:tc>
          <w:tcPr>
            <w:tcW w:w="430" w:type="pct"/>
            <w:noWrap w:val="0"/>
            <w:vAlign w:val="center"/>
          </w:tcPr>
          <w:p w14:paraId="5FC8984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4</w:t>
            </w:r>
          </w:p>
        </w:tc>
      </w:tr>
      <w:tr w14:paraId="1081B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2AD677C7">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cs="Times New Roman"/>
                <w:szCs w:val="21"/>
                <w:lang w:val="en-US" w:eastAsia="zh-CN"/>
              </w:rPr>
              <w:t>8</w:t>
            </w:r>
            <w:r>
              <w:rPr>
                <w:rFonts w:hint="default" w:ascii="Times New Roman" w:hAnsi="Times New Roman" w:cs="Times New Roman"/>
                <w:szCs w:val="21"/>
              </w:rPr>
              <w:t>7</w:t>
            </w:r>
          </w:p>
        </w:tc>
        <w:tc>
          <w:tcPr>
            <w:tcW w:w="1245" w:type="pct"/>
            <w:noWrap w:val="0"/>
            <w:vAlign w:val="center"/>
          </w:tcPr>
          <w:p w14:paraId="263DF33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夹层水罐</w:t>
            </w:r>
          </w:p>
        </w:tc>
        <w:tc>
          <w:tcPr>
            <w:tcW w:w="1412" w:type="pct"/>
            <w:noWrap w:val="0"/>
            <w:vAlign w:val="center"/>
          </w:tcPr>
          <w:p w14:paraId="355CC68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2100×1500×1400</w:t>
            </w:r>
          </w:p>
        </w:tc>
        <w:tc>
          <w:tcPr>
            <w:tcW w:w="1535" w:type="pct"/>
            <w:noWrap w:val="0"/>
            <w:vAlign w:val="center"/>
          </w:tcPr>
          <w:p w14:paraId="23574E5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szCs w:val="21"/>
              </w:rPr>
              <w:t>碳钢</w:t>
            </w:r>
          </w:p>
        </w:tc>
        <w:tc>
          <w:tcPr>
            <w:tcW w:w="430" w:type="pct"/>
            <w:noWrap w:val="0"/>
            <w:vAlign w:val="center"/>
          </w:tcPr>
          <w:p w14:paraId="2183022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4</w:t>
            </w:r>
          </w:p>
        </w:tc>
      </w:tr>
      <w:tr w14:paraId="0CB51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1AFF60BA">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cs="Times New Roman"/>
                <w:szCs w:val="21"/>
                <w:lang w:val="en-US" w:eastAsia="zh-CN"/>
              </w:rPr>
              <w:t>8</w:t>
            </w:r>
            <w:r>
              <w:rPr>
                <w:rFonts w:hint="default" w:ascii="Times New Roman" w:hAnsi="Times New Roman" w:cs="Times New Roman"/>
                <w:szCs w:val="21"/>
              </w:rPr>
              <w:t>8</w:t>
            </w:r>
          </w:p>
        </w:tc>
        <w:tc>
          <w:tcPr>
            <w:tcW w:w="1245" w:type="pct"/>
            <w:noWrap w:val="0"/>
            <w:vAlign w:val="center"/>
          </w:tcPr>
          <w:p w14:paraId="471535D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稠酚水罐</w:t>
            </w:r>
          </w:p>
        </w:tc>
        <w:tc>
          <w:tcPr>
            <w:tcW w:w="1412" w:type="pct"/>
            <w:noWrap w:val="0"/>
            <w:vAlign w:val="center"/>
          </w:tcPr>
          <w:p w14:paraId="0BB2C44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ф1800×2500</w:t>
            </w:r>
          </w:p>
        </w:tc>
        <w:tc>
          <w:tcPr>
            <w:tcW w:w="1535" w:type="pct"/>
            <w:noWrap w:val="0"/>
            <w:vAlign w:val="center"/>
          </w:tcPr>
          <w:p w14:paraId="179849E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szCs w:val="21"/>
              </w:rPr>
              <w:t>碳钢</w:t>
            </w:r>
          </w:p>
        </w:tc>
        <w:tc>
          <w:tcPr>
            <w:tcW w:w="430" w:type="pct"/>
            <w:noWrap w:val="0"/>
            <w:vAlign w:val="center"/>
          </w:tcPr>
          <w:p w14:paraId="01F1391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8</w:t>
            </w:r>
          </w:p>
        </w:tc>
      </w:tr>
      <w:tr w14:paraId="2D61C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1FB0C85F">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cs="Times New Roman"/>
                <w:szCs w:val="21"/>
                <w:lang w:val="en-US" w:eastAsia="zh-CN"/>
              </w:rPr>
              <w:t>8</w:t>
            </w:r>
            <w:r>
              <w:rPr>
                <w:rFonts w:hint="default" w:ascii="Times New Roman" w:hAnsi="Times New Roman" w:cs="Times New Roman"/>
                <w:szCs w:val="21"/>
              </w:rPr>
              <w:t>9</w:t>
            </w:r>
          </w:p>
        </w:tc>
        <w:tc>
          <w:tcPr>
            <w:tcW w:w="1245" w:type="pct"/>
            <w:noWrap w:val="0"/>
            <w:vAlign w:val="center"/>
          </w:tcPr>
          <w:p w14:paraId="044F2C4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回收酚罐</w:t>
            </w:r>
          </w:p>
        </w:tc>
        <w:tc>
          <w:tcPr>
            <w:tcW w:w="1412" w:type="pct"/>
            <w:noWrap w:val="0"/>
            <w:vAlign w:val="center"/>
          </w:tcPr>
          <w:p w14:paraId="2EEC578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ф1800×2500</w:t>
            </w:r>
          </w:p>
        </w:tc>
        <w:tc>
          <w:tcPr>
            <w:tcW w:w="1535" w:type="pct"/>
            <w:noWrap w:val="0"/>
            <w:vAlign w:val="center"/>
          </w:tcPr>
          <w:p w14:paraId="6152E39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szCs w:val="21"/>
              </w:rPr>
              <w:t>碳钢</w:t>
            </w:r>
          </w:p>
        </w:tc>
        <w:tc>
          <w:tcPr>
            <w:tcW w:w="430" w:type="pct"/>
            <w:noWrap w:val="0"/>
            <w:vAlign w:val="center"/>
          </w:tcPr>
          <w:p w14:paraId="767F406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4</w:t>
            </w:r>
          </w:p>
        </w:tc>
      </w:tr>
      <w:tr w14:paraId="09056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09B89B31">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cs="Times New Roman"/>
                <w:szCs w:val="21"/>
                <w:lang w:val="en-US" w:eastAsia="zh-CN"/>
              </w:rPr>
              <w:t>9</w:t>
            </w:r>
            <w:r>
              <w:rPr>
                <w:rFonts w:hint="default" w:ascii="Times New Roman" w:hAnsi="Times New Roman" w:cs="Times New Roman"/>
                <w:szCs w:val="21"/>
              </w:rPr>
              <w:t>0</w:t>
            </w:r>
          </w:p>
        </w:tc>
        <w:tc>
          <w:tcPr>
            <w:tcW w:w="1245" w:type="pct"/>
            <w:noWrap w:val="0"/>
            <w:vAlign w:val="center"/>
          </w:tcPr>
          <w:p w14:paraId="25AC38D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回收酚钠罐</w:t>
            </w:r>
          </w:p>
        </w:tc>
        <w:tc>
          <w:tcPr>
            <w:tcW w:w="1412" w:type="pct"/>
            <w:noWrap w:val="0"/>
            <w:vAlign w:val="center"/>
          </w:tcPr>
          <w:p w14:paraId="4A4C969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ф1800×2500</w:t>
            </w:r>
          </w:p>
        </w:tc>
        <w:tc>
          <w:tcPr>
            <w:tcW w:w="1535" w:type="pct"/>
            <w:noWrap w:val="0"/>
            <w:vAlign w:val="center"/>
          </w:tcPr>
          <w:p w14:paraId="2C1D510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szCs w:val="21"/>
              </w:rPr>
              <w:t>碳钢</w:t>
            </w:r>
          </w:p>
        </w:tc>
        <w:tc>
          <w:tcPr>
            <w:tcW w:w="430" w:type="pct"/>
            <w:noWrap w:val="0"/>
            <w:vAlign w:val="center"/>
          </w:tcPr>
          <w:p w14:paraId="143ED86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1</w:t>
            </w:r>
          </w:p>
        </w:tc>
      </w:tr>
      <w:tr w14:paraId="0E6CE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5DF6F49B">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cs="Times New Roman"/>
                <w:szCs w:val="21"/>
                <w:lang w:val="en-US" w:eastAsia="zh-CN"/>
              </w:rPr>
              <w:t>9</w:t>
            </w:r>
            <w:r>
              <w:rPr>
                <w:rFonts w:hint="default" w:ascii="Times New Roman" w:hAnsi="Times New Roman" w:cs="Times New Roman"/>
                <w:szCs w:val="21"/>
              </w:rPr>
              <w:t>1</w:t>
            </w:r>
          </w:p>
        </w:tc>
        <w:tc>
          <w:tcPr>
            <w:tcW w:w="1245" w:type="pct"/>
            <w:noWrap w:val="0"/>
            <w:vAlign w:val="center"/>
          </w:tcPr>
          <w:p w14:paraId="270DA40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纯酚计量罐</w:t>
            </w:r>
          </w:p>
        </w:tc>
        <w:tc>
          <w:tcPr>
            <w:tcW w:w="1412" w:type="pct"/>
            <w:noWrap w:val="0"/>
            <w:vAlign w:val="center"/>
          </w:tcPr>
          <w:p w14:paraId="668AE8C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ф2600×4500</w:t>
            </w:r>
          </w:p>
        </w:tc>
        <w:tc>
          <w:tcPr>
            <w:tcW w:w="1535" w:type="pct"/>
            <w:noWrap w:val="0"/>
            <w:vAlign w:val="center"/>
          </w:tcPr>
          <w:p w14:paraId="4B53D32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szCs w:val="21"/>
              </w:rPr>
              <w:t>碳钢</w:t>
            </w:r>
          </w:p>
        </w:tc>
        <w:tc>
          <w:tcPr>
            <w:tcW w:w="430" w:type="pct"/>
            <w:noWrap w:val="0"/>
            <w:vAlign w:val="center"/>
          </w:tcPr>
          <w:p w14:paraId="7EA67E0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4</w:t>
            </w:r>
          </w:p>
        </w:tc>
      </w:tr>
      <w:tr w14:paraId="5632F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2FFFAFF6">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cs="Times New Roman"/>
                <w:szCs w:val="21"/>
                <w:lang w:val="en-US" w:eastAsia="zh-CN"/>
              </w:rPr>
              <w:t>9</w:t>
            </w:r>
            <w:r>
              <w:rPr>
                <w:rFonts w:hint="default" w:ascii="Times New Roman" w:hAnsi="Times New Roman" w:cs="Times New Roman"/>
                <w:szCs w:val="21"/>
              </w:rPr>
              <w:t>2</w:t>
            </w:r>
          </w:p>
        </w:tc>
        <w:tc>
          <w:tcPr>
            <w:tcW w:w="1245" w:type="pct"/>
            <w:noWrap w:val="0"/>
            <w:vAlign w:val="center"/>
          </w:tcPr>
          <w:p w14:paraId="59F146D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回收酚计量罐</w:t>
            </w:r>
          </w:p>
        </w:tc>
        <w:tc>
          <w:tcPr>
            <w:tcW w:w="1412" w:type="pct"/>
            <w:noWrap w:val="0"/>
            <w:vAlign w:val="center"/>
          </w:tcPr>
          <w:p w14:paraId="01B591D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ф1400×2500</w:t>
            </w:r>
          </w:p>
        </w:tc>
        <w:tc>
          <w:tcPr>
            <w:tcW w:w="1535" w:type="pct"/>
            <w:noWrap w:val="0"/>
            <w:vAlign w:val="center"/>
          </w:tcPr>
          <w:p w14:paraId="53B7992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szCs w:val="21"/>
              </w:rPr>
              <w:t>碳钢</w:t>
            </w:r>
          </w:p>
        </w:tc>
        <w:tc>
          <w:tcPr>
            <w:tcW w:w="430" w:type="pct"/>
            <w:noWrap w:val="0"/>
            <w:vAlign w:val="center"/>
          </w:tcPr>
          <w:p w14:paraId="2FDFBA8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4</w:t>
            </w:r>
          </w:p>
        </w:tc>
      </w:tr>
      <w:tr w14:paraId="66868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2A16587D">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cs="Times New Roman"/>
                <w:szCs w:val="21"/>
                <w:lang w:val="en-US" w:eastAsia="zh-CN"/>
              </w:rPr>
              <w:t>9</w:t>
            </w:r>
            <w:r>
              <w:rPr>
                <w:rFonts w:hint="default" w:ascii="Times New Roman" w:hAnsi="Times New Roman" w:cs="Times New Roman"/>
                <w:szCs w:val="21"/>
              </w:rPr>
              <w:t>3</w:t>
            </w:r>
          </w:p>
        </w:tc>
        <w:tc>
          <w:tcPr>
            <w:tcW w:w="1245" w:type="pct"/>
            <w:noWrap w:val="0"/>
            <w:vAlign w:val="center"/>
          </w:tcPr>
          <w:p w14:paraId="6F3407A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放空罐</w:t>
            </w:r>
          </w:p>
        </w:tc>
        <w:tc>
          <w:tcPr>
            <w:tcW w:w="1412" w:type="pct"/>
            <w:noWrap w:val="0"/>
            <w:vAlign w:val="center"/>
          </w:tcPr>
          <w:p w14:paraId="26C6DF9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ф1600×6000</w:t>
            </w:r>
          </w:p>
        </w:tc>
        <w:tc>
          <w:tcPr>
            <w:tcW w:w="1535" w:type="pct"/>
            <w:noWrap w:val="0"/>
            <w:vAlign w:val="center"/>
          </w:tcPr>
          <w:p w14:paraId="1DB460E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szCs w:val="21"/>
              </w:rPr>
              <w:t>碳钢</w:t>
            </w:r>
          </w:p>
        </w:tc>
        <w:tc>
          <w:tcPr>
            <w:tcW w:w="430" w:type="pct"/>
            <w:noWrap w:val="0"/>
            <w:vAlign w:val="center"/>
          </w:tcPr>
          <w:p w14:paraId="5AB5932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4</w:t>
            </w:r>
          </w:p>
        </w:tc>
      </w:tr>
      <w:tr w14:paraId="4B273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6C4B7D7D">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cs="Times New Roman"/>
                <w:szCs w:val="21"/>
                <w:lang w:val="en-US" w:eastAsia="zh-CN"/>
              </w:rPr>
              <w:t>9</w:t>
            </w:r>
            <w:r>
              <w:rPr>
                <w:rFonts w:hint="default" w:ascii="Times New Roman" w:hAnsi="Times New Roman" w:cs="Times New Roman"/>
                <w:szCs w:val="21"/>
              </w:rPr>
              <w:t>4</w:t>
            </w:r>
          </w:p>
        </w:tc>
        <w:tc>
          <w:tcPr>
            <w:tcW w:w="1245" w:type="pct"/>
            <w:noWrap w:val="0"/>
            <w:vAlign w:val="center"/>
          </w:tcPr>
          <w:p w14:paraId="05FF615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母液罐</w:t>
            </w:r>
          </w:p>
        </w:tc>
        <w:tc>
          <w:tcPr>
            <w:tcW w:w="1412" w:type="pct"/>
            <w:noWrap w:val="0"/>
            <w:vAlign w:val="center"/>
          </w:tcPr>
          <w:p w14:paraId="1B720FE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ф2500×3000搅拌</w:t>
            </w:r>
          </w:p>
        </w:tc>
        <w:tc>
          <w:tcPr>
            <w:tcW w:w="1535" w:type="pct"/>
            <w:noWrap w:val="0"/>
            <w:vAlign w:val="center"/>
          </w:tcPr>
          <w:p w14:paraId="734AC05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szCs w:val="21"/>
              </w:rPr>
              <w:t>碳钢</w:t>
            </w:r>
          </w:p>
        </w:tc>
        <w:tc>
          <w:tcPr>
            <w:tcW w:w="430" w:type="pct"/>
            <w:noWrap w:val="0"/>
            <w:vAlign w:val="center"/>
          </w:tcPr>
          <w:p w14:paraId="73DE410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4</w:t>
            </w:r>
          </w:p>
        </w:tc>
      </w:tr>
      <w:tr w14:paraId="30970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24B680F1">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cs="Times New Roman"/>
                <w:szCs w:val="21"/>
                <w:lang w:val="en-US" w:eastAsia="zh-CN"/>
              </w:rPr>
              <w:t>9</w:t>
            </w:r>
            <w:r>
              <w:rPr>
                <w:rFonts w:hint="default" w:ascii="Times New Roman" w:hAnsi="Times New Roman" w:cs="Times New Roman"/>
                <w:szCs w:val="21"/>
              </w:rPr>
              <w:t>5</w:t>
            </w:r>
          </w:p>
        </w:tc>
        <w:tc>
          <w:tcPr>
            <w:tcW w:w="1245" w:type="pct"/>
            <w:noWrap w:val="0"/>
            <w:vAlign w:val="center"/>
          </w:tcPr>
          <w:p w14:paraId="55B52C7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反萃池</w:t>
            </w:r>
          </w:p>
        </w:tc>
        <w:tc>
          <w:tcPr>
            <w:tcW w:w="1412" w:type="pct"/>
            <w:noWrap w:val="0"/>
            <w:vAlign w:val="center"/>
          </w:tcPr>
          <w:p w14:paraId="396036D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5000×3000×2000</w:t>
            </w:r>
          </w:p>
        </w:tc>
        <w:tc>
          <w:tcPr>
            <w:tcW w:w="1535" w:type="pct"/>
            <w:noWrap w:val="0"/>
            <w:vAlign w:val="center"/>
          </w:tcPr>
          <w:p w14:paraId="296E06F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szCs w:val="21"/>
              </w:rPr>
              <w:t>碳钢</w:t>
            </w:r>
          </w:p>
        </w:tc>
        <w:tc>
          <w:tcPr>
            <w:tcW w:w="430" w:type="pct"/>
            <w:noWrap w:val="0"/>
            <w:vAlign w:val="center"/>
          </w:tcPr>
          <w:p w14:paraId="2B7B07B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1</w:t>
            </w:r>
          </w:p>
        </w:tc>
      </w:tr>
      <w:tr w14:paraId="1025C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2913599E">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cs="Times New Roman"/>
                <w:szCs w:val="21"/>
                <w:lang w:val="en-US" w:eastAsia="zh-CN"/>
              </w:rPr>
              <w:t>9</w:t>
            </w:r>
            <w:r>
              <w:rPr>
                <w:rFonts w:hint="default" w:ascii="Times New Roman" w:hAnsi="Times New Roman" w:cs="Times New Roman"/>
                <w:szCs w:val="21"/>
              </w:rPr>
              <w:t>6</w:t>
            </w:r>
          </w:p>
        </w:tc>
        <w:tc>
          <w:tcPr>
            <w:tcW w:w="1245" w:type="pct"/>
            <w:noWrap w:val="0"/>
            <w:vAlign w:val="center"/>
          </w:tcPr>
          <w:p w14:paraId="2620D25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稀碱水池和稀酚水池</w:t>
            </w:r>
          </w:p>
        </w:tc>
        <w:tc>
          <w:tcPr>
            <w:tcW w:w="1412" w:type="pct"/>
            <w:noWrap w:val="0"/>
            <w:vAlign w:val="center"/>
          </w:tcPr>
          <w:p w14:paraId="4C1B66E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5000×3000×2000搅拌</w:t>
            </w:r>
          </w:p>
        </w:tc>
        <w:tc>
          <w:tcPr>
            <w:tcW w:w="1535" w:type="pct"/>
            <w:noWrap w:val="0"/>
            <w:vAlign w:val="center"/>
          </w:tcPr>
          <w:p w14:paraId="66AA4F4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szCs w:val="21"/>
              </w:rPr>
              <w:t>碳钢</w:t>
            </w:r>
          </w:p>
        </w:tc>
        <w:tc>
          <w:tcPr>
            <w:tcW w:w="430" w:type="pct"/>
            <w:noWrap w:val="0"/>
            <w:vAlign w:val="center"/>
          </w:tcPr>
          <w:p w14:paraId="3DE0F72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1</w:t>
            </w:r>
          </w:p>
        </w:tc>
      </w:tr>
      <w:tr w14:paraId="26560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17A42F9C">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cs="Times New Roman"/>
                <w:szCs w:val="21"/>
                <w:lang w:val="en-US" w:eastAsia="zh-CN"/>
              </w:rPr>
              <w:t>9</w:t>
            </w:r>
            <w:r>
              <w:rPr>
                <w:rFonts w:hint="default" w:ascii="Times New Roman" w:hAnsi="Times New Roman" w:cs="Times New Roman"/>
                <w:szCs w:val="21"/>
              </w:rPr>
              <w:t>7</w:t>
            </w:r>
          </w:p>
        </w:tc>
        <w:tc>
          <w:tcPr>
            <w:tcW w:w="1245" w:type="pct"/>
            <w:noWrap w:val="0"/>
            <w:vAlign w:val="center"/>
          </w:tcPr>
          <w:p w14:paraId="6CEDE34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出水釜受器</w:t>
            </w:r>
          </w:p>
        </w:tc>
        <w:tc>
          <w:tcPr>
            <w:tcW w:w="1412" w:type="pct"/>
            <w:noWrap w:val="0"/>
            <w:vAlign w:val="center"/>
          </w:tcPr>
          <w:p w14:paraId="21DA0D9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w:t>
            </w:r>
          </w:p>
        </w:tc>
        <w:tc>
          <w:tcPr>
            <w:tcW w:w="1535" w:type="pct"/>
            <w:noWrap w:val="0"/>
            <w:vAlign w:val="center"/>
          </w:tcPr>
          <w:p w14:paraId="01B08A6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szCs w:val="21"/>
              </w:rPr>
              <w:t>碳钢</w:t>
            </w:r>
          </w:p>
        </w:tc>
        <w:tc>
          <w:tcPr>
            <w:tcW w:w="430" w:type="pct"/>
            <w:noWrap w:val="0"/>
            <w:vAlign w:val="center"/>
          </w:tcPr>
          <w:p w14:paraId="02A7EB6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1</w:t>
            </w:r>
          </w:p>
        </w:tc>
      </w:tr>
      <w:tr w14:paraId="5E65D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498208AD">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cs="Times New Roman"/>
                <w:szCs w:val="21"/>
                <w:lang w:val="en-US" w:eastAsia="zh-CN"/>
              </w:rPr>
              <w:t>9</w:t>
            </w:r>
            <w:r>
              <w:rPr>
                <w:rFonts w:hint="default" w:ascii="Times New Roman" w:hAnsi="Times New Roman" w:cs="Times New Roman"/>
                <w:szCs w:val="21"/>
              </w:rPr>
              <w:t>8</w:t>
            </w:r>
          </w:p>
        </w:tc>
        <w:tc>
          <w:tcPr>
            <w:tcW w:w="1245" w:type="pct"/>
            <w:noWrap w:val="0"/>
            <w:vAlign w:val="center"/>
          </w:tcPr>
          <w:p w14:paraId="05974FF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干燥加热器</w:t>
            </w:r>
          </w:p>
        </w:tc>
        <w:tc>
          <w:tcPr>
            <w:tcW w:w="1412" w:type="pct"/>
            <w:noWrap w:val="0"/>
            <w:vAlign w:val="center"/>
          </w:tcPr>
          <w:p w14:paraId="1BDB204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2100×1500×1400</w:t>
            </w:r>
          </w:p>
        </w:tc>
        <w:tc>
          <w:tcPr>
            <w:tcW w:w="1535" w:type="pct"/>
            <w:noWrap w:val="0"/>
            <w:vAlign w:val="center"/>
          </w:tcPr>
          <w:p w14:paraId="3091882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szCs w:val="21"/>
              </w:rPr>
              <w:t>碳钢</w:t>
            </w:r>
          </w:p>
        </w:tc>
        <w:tc>
          <w:tcPr>
            <w:tcW w:w="430" w:type="pct"/>
            <w:noWrap w:val="0"/>
            <w:vAlign w:val="center"/>
          </w:tcPr>
          <w:p w14:paraId="1140ACB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4</w:t>
            </w:r>
          </w:p>
        </w:tc>
      </w:tr>
      <w:tr w14:paraId="42343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0F2219E9">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cs="Times New Roman"/>
                <w:szCs w:val="21"/>
                <w:lang w:val="en-US" w:eastAsia="zh-CN"/>
              </w:rPr>
              <w:t>9</w:t>
            </w:r>
            <w:r>
              <w:rPr>
                <w:rFonts w:hint="default" w:ascii="Times New Roman" w:hAnsi="Times New Roman" w:cs="Times New Roman"/>
                <w:szCs w:val="21"/>
              </w:rPr>
              <w:t>9</w:t>
            </w:r>
          </w:p>
        </w:tc>
        <w:tc>
          <w:tcPr>
            <w:tcW w:w="1245" w:type="pct"/>
            <w:noWrap w:val="0"/>
            <w:vAlign w:val="center"/>
          </w:tcPr>
          <w:p w14:paraId="5DDD5B5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冷凝水罐</w:t>
            </w:r>
          </w:p>
        </w:tc>
        <w:tc>
          <w:tcPr>
            <w:tcW w:w="1412" w:type="pct"/>
            <w:noWrap w:val="0"/>
            <w:vAlign w:val="center"/>
          </w:tcPr>
          <w:p w14:paraId="23E19AD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ф1200×2000</w:t>
            </w:r>
          </w:p>
        </w:tc>
        <w:tc>
          <w:tcPr>
            <w:tcW w:w="1535" w:type="pct"/>
            <w:noWrap w:val="0"/>
            <w:vAlign w:val="center"/>
          </w:tcPr>
          <w:p w14:paraId="3271865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szCs w:val="21"/>
              </w:rPr>
              <w:t>碳钢</w:t>
            </w:r>
          </w:p>
        </w:tc>
        <w:tc>
          <w:tcPr>
            <w:tcW w:w="430" w:type="pct"/>
            <w:noWrap w:val="0"/>
            <w:vAlign w:val="center"/>
          </w:tcPr>
          <w:p w14:paraId="2846AFC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4</w:t>
            </w:r>
          </w:p>
        </w:tc>
      </w:tr>
      <w:tr w14:paraId="14C6A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2E35AE2E">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cs="Times New Roman"/>
                <w:szCs w:val="21"/>
                <w:lang w:val="en-US" w:eastAsia="zh-CN"/>
              </w:rPr>
              <w:t>10</w:t>
            </w:r>
            <w:r>
              <w:rPr>
                <w:rFonts w:hint="default" w:ascii="Times New Roman" w:hAnsi="Times New Roman" w:cs="Times New Roman"/>
                <w:szCs w:val="21"/>
              </w:rPr>
              <w:t>0</w:t>
            </w:r>
          </w:p>
        </w:tc>
        <w:tc>
          <w:tcPr>
            <w:tcW w:w="1245" w:type="pct"/>
            <w:noWrap w:val="0"/>
            <w:vAlign w:val="center"/>
          </w:tcPr>
          <w:p w14:paraId="4525C2F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引风机</w:t>
            </w:r>
          </w:p>
        </w:tc>
        <w:tc>
          <w:tcPr>
            <w:tcW w:w="1412" w:type="pct"/>
            <w:noWrap w:val="0"/>
            <w:vAlign w:val="center"/>
          </w:tcPr>
          <w:p w14:paraId="7DAA8E1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szCs w:val="21"/>
              </w:rPr>
              <w:t>—</w:t>
            </w:r>
          </w:p>
        </w:tc>
        <w:tc>
          <w:tcPr>
            <w:tcW w:w="1535" w:type="pct"/>
            <w:noWrap w:val="0"/>
            <w:vAlign w:val="center"/>
          </w:tcPr>
          <w:p w14:paraId="7AE1D77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szCs w:val="21"/>
              </w:rPr>
              <w:t>碳钢</w:t>
            </w:r>
          </w:p>
        </w:tc>
        <w:tc>
          <w:tcPr>
            <w:tcW w:w="430" w:type="pct"/>
            <w:noWrap w:val="0"/>
            <w:vAlign w:val="center"/>
          </w:tcPr>
          <w:p w14:paraId="0E54CA3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4</w:t>
            </w:r>
          </w:p>
        </w:tc>
      </w:tr>
      <w:tr w14:paraId="44995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3A87A985">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cs="Times New Roman"/>
                <w:szCs w:val="21"/>
                <w:lang w:val="en-US" w:eastAsia="zh-CN"/>
              </w:rPr>
              <w:t>10</w:t>
            </w:r>
            <w:r>
              <w:rPr>
                <w:rFonts w:hint="default" w:ascii="Times New Roman" w:hAnsi="Times New Roman" w:cs="Times New Roman"/>
                <w:szCs w:val="21"/>
              </w:rPr>
              <w:t>1</w:t>
            </w:r>
          </w:p>
        </w:tc>
        <w:tc>
          <w:tcPr>
            <w:tcW w:w="1245" w:type="pct"/>
            <w:noWrap w:val="0"/>
            <w:vAlign w:val="center"/>
          </w:tcPr>
          <w:p w14:paraId="360EF06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干燥料仓</w:t>
            </w:r>
          </w:p>
        </w:tc>
        <w:tc>
          <w:tcPr>
            <w:tcW w:w="1412" w:type="pct"/>
            <w:noWrap w:val="0"/>
            <w:vAlign w:val="center"/>
          </w:tcPr>
          <w:p w14:paraId="2BF0FC9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3600×1500×1500</w:t>
            </w:r>
          </w:p>
        </w:tc>
        <w:tc>
          <w:tcPr>
            <w:tcW w:w="1535" w:type="pct"/>
            <w:noWrap w:val="0"/>
            <w:vAlign w:val="center"/>
          </w:tcPr>
          <w:p w14:paraId="3A84846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szCs w:val="21"/>
              </w:rPr>
              <w:t>碳钢</w:t>
            </w:r>
          </w:p>
        </w:tc>
        <w:tc>
          <w:tcPr>
            <w:tcW w:w="430" w:type="pct"/>
            <w:noWrap w:val="0"/>
            <w:vAlign w:val="center"/>
          </w:tcPr>
          <w:p w14:paraId="445D36A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4</w:t>
            </w:r>
          </w:p>
        </w:tc>
      </w:tr>
      <w:tr w14:paraId="2CA11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28B27F23">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cs="Times New Roman"/>
                <w:szCs w:val="21"/>
                <w:lang w:val="en-US" w:eastAsia="zh-CN"/>
              </w:rPr>
              <w:t>10</w:t>
            </w:r>
            <w:r>
              <w:rPr>
                <w:rFonts w:hint="default" w:ascii="Times New Roman" w:hAnsi="Times New Roman" w:cs="Times New Roman"/>
                <w:szCs w:val="21"/>
              </w:rPr>
              <w:t>2</w:t>
            </w:r>
          </w:p>
        </w:tc>
        <w:tc>
          <w:tcPr>
            <w:tcW w:w="1245" w:type="pct"/>
            <w:noWrap w:val="0"/>
            <w:vAlign w:val="center"/>
          </w:tcPr>
          <w:p w14:paraId="5364A95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蒸发器</w:t>
            </w:r>
          </w:p>
        </w:tc>
        <w:tc>
          <w:tcPr>
            <w:tcW w:w="1412" w:type="pct"/>
            <w:noWrap w:val="0"/>
            <w:vAlign w:val="center"/>
          </w:tcPr>
          <w:p w14:paraId="28BA8F8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ф1200×4000</w:t>
            </w:r>
          </w:p>
        </w:tc>
        <w:tc>
          <w:tcPr>
            <w:tcW w:w="1535" w:type="pct"/>
            <w:noWrap w:val="0"/>
            <w:vAlign w:val="center"/>
          </w:tcPr>
          <w:p w14:paraId="5BAB916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szCs w:val="21"/>
              </w:rPr>
              <w:t>碳钢</w:t>
            </w:r>
          </w:p>
        </w:tc>
        <w:tc>
          <w:tcPr>
            <w:tcW w:w="430" w:type="pct"/>
            <w:noWrap w:val="0"/>
            <w:vAlign w:val="center"/>
          </w:tcPr>
          <w:p w14:paraId="58616A2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4</w:t>
            </w:r>
          </w:p>
        </w:tc>
      </w:tr>
      <w:tr w14:paraId="21F36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3D688473">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cs="Times New Roman"/>
                <w:szCs w:val="21"/>
                <w:lang w:val="en-US" w:eastAsia="zh-CN"/>
              </w:rPr>
              <w:t>10</w:t>
            </w:r>
            <w:r>
              <w:rPr>
                <w:rFonts w:hint="default" w:ascii="Times New Roman" w:hAnsi="Times New Roman" w:cs="Times New Roman"/>
                <w:szCs w:val="21"/>
              </w:rPr>
              <w:t>3</w:t>
            </w:r>
          </w:p>
        </w:tc>
        <w:tc>
          <w:tcPr>
            <w:tcW w:w="1245" w:type="pct"/>
            <w:noWrap w:val="0"/>
            <w:vAlign w:val="center"/>
          </w:tcPr>
          <w:p w14:paraId="0B1DE30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吸收塔</w:t>
            </w:r>
          </w:p>
        </w:tc>
        <w:tc>
          <w:tcPr>
            <w:tcW w:w="1412" w:type="pct"/>
            <w:noWrap w:val="0"/>
            <w:vAlign w:val="center"/>
          </w:tcPr>
          <w:p w14:paraId="44DC920C">
            <w:pPr>
              <w:keepNext w:val="0"/>
              <w:keepLines w:val="0"/>
              <w:suppressLineNumbers w:val="0"/>
              <w:spacing w:before="0" w:beforeAutospacing="0" w:after="0" w:afterAutospacing="0"/>
              <w:ind w:left="0" w:right="0"/>
              <w:jc w:val="center"/>
              <w:rPr>
                <w:rFonts w:hint="default" w:ascii="Times New Roman" w:hAnsi="Times New Roman" w:cs="Times New Roman"/>
                <w:szCs w:val="21"/>
              </w:rPr>
            </w:pPr>
            <w:r>
              <w:rPr>
                <w:rFonts w:hint="default" w:ascii="Times New Roman" w:hAnsi="Times New Roman" w:cs="Times New Roman"/>
                <w:szCs w:val="21"/>
              </w:rPr>
              <w:t>ф2800×9000</w:t>
            </w:r>
          </w:p>
          <w:p w14:paraId="2E91CDB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填料为塑料，每15年更换一次，更换量57.5kg</w:t>
            </w:r>
          </w:p>
        </w:tc>
        <w:tc>
          <w:tcPr>
            <w:tcW w:w="1535" w:type="pct"/>
            <w:noWrap w:val="0"/>
            <w:vAlign w:val="center"/>
          </w:tcPr>
          <w:p w14:paraId="5C1A224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szCs w:val="21"/>
              </w:rPr>
              <w:t>碳钢</w:t>
            </w:r>
          </w:p>
        </w:tc>
        <w:tc>
          <w:tcPr>
            <w:tcW w:w="430" w:type="pct"/>
            <w:noWrap w:val="0"/>
            <w:vAlign w:val="center"/>
          </w:tcPr>
          <w:p w14:paraId="502042A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2</w:t>
            </w:r>
          </w:p>
        </w:tc>
      </w:tr>
      <w:tr w14:paraId="563E6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635B22C2">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cs="Times New Roman"/>
                <w:szCs w:val="21"/>
                <w:lang w:val="en-US" w:eastAsia="zh-CN"/>
              </w:rPr>
              <w:t>10</w:t>
            </w:r>
            <w:r>
              <w:rPr>
                <w:rFonts w:hint="default" w:ascii="Times New Roman" w:hAnsi="Times New Roman" w:cs="Times New Roman"/>
                <w:szCs w:val="21"/>
              </w:rPr>
              <w:t>4</w:t>
            </w:r>
          </w:p>
        </w:tc>
        <w:tc>
          <w:tcPr>
            <w:tcW w:w="1245" w:type="pct"/>
            <w:noWrap w:val="0"/>
            <w:vAlign w:val="center"/>
          </w:tcPr>
          <w:p w14:paraId="40A0111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配酸罐</w:t>
            </w:r>
          </w:p>
        </w:tc>
        <w:tc>
          <w:tcPr>
            <w:tcW w:w="1412" w:type="pct"/>
            <w:noWrap w:val="0"/>
            <w:vAlign w:val="center"/>
          </w:tcPr>
          <w:p w14:paraId="09630EA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ф3600×4000</w:t>
            </w:r>
          </w:p>
        </w:tc>
        <w:tc>
          <w:tcPr>
            <w:tcW w:w="1535" w:type="pct"/>
            <w:noWrap w:val="0"/>
            <w:vAlign w:val="center"/>
          </w:tcPr>
          <w:p w14:paraId="35F81F1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szCs w:val="21"/>
              </w:rPr>
              <w:t>碳钢</w:t>
            </w:r>
          </w:p>
        </w:tc>
        <w:tc>
          <w:tcPr>
            <w:tcW w:w="430" w:type="pct"/>
            <w:noWrap w:val="0"/>
            <w:vAlign w:val="center"/>
          </w:tcPr>
          <w:p w14:paraId="0438672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2</w:t>
            </w:r>
          </w:p>
        </w:tc>
      </w:tr>
      <w:tr w14:paraId="5AB31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4E5EF47A">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cs="Times New Roman"/>
                <w:szCs w:val="21"/>
                <w:lang w:val="en-US" w:eastAsia="zh-CN"/>
              </w:rPr>
              <w:t>0</w:t>
            </w:r>
            <w:r>
              <w:rPr>
                <w:rFonts w:hint="default" w:ascii="Times New Roman" w:hAnsi="Times New Roman" w:cs="Times New Roman"/>
                <w:szCs w:val="21"/>
              </w:rPr>
              <w:t>5</w:t>
            </w:r>
          </w:p>
        </w:tc>
        <w:tc>
          <w:tcPr>
            <w:tcW w:w="1245" w:type="pct"/>
            <w:noWrap w:val="0"/>
            <w:vAlign w:val="center"/>
          </w:tcPr>
          <w:p w14:paraId="759381B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羧化真空水池</w:t>
            </w:r>
          </w:p>
        </w:tc>
        <w:tc>
          <w:tcPr>
            <w:tcW w:w="1412" w:type="pct"/>
            <w:noWrap w:val="0"/>
            <w:vAlign w:val="center"/>
          </w:tcPr>
          <w:p w14:paraId="16A47A2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w:t>
            </w:r>
          </w:p>
        </w:tc>
        <w:tc>
          <w:tcPr>
            <w:tcW w:w="1535" w:type="pct"/>
            <w:noWrap w:val="0"/>
            <w:vAlign w:val="center"/>
          </w:tcPr>
          <w:p w14:paraId="1FDD90A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碳钢</w:t>
            </w:r>
          </w:p>
        </w:tc>
        <w:tc>
          <w:tcPr>
            <w:tcW w:w="430" w:type="pct"/>
            <w:noWrap w:val="0"/>
            <w:vAlign w:val="center"/>
          </w:tcPr>
          <w:p w14:paraId="2492A82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4</w:t>
            </w:r>
          </w:p>
        </w:tc>
      </w:tr>
      <w:tr w14:paraId="435EE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5"/>
            <w:noWrap w:val="0"/>
            <w:vAlign w:val="center"/>
          </w:tcPr>
          <w:p w14:paraId="6DC7719F">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szCs w:val="21"/>
              </w:rPr>
            </w:pPr>
            <w:r>
              <w:rPr>
                <w:rFonts w:hint="default" w:ascii="Times New Roman" w:hAnsi="Times New Roman" w:cs="Times New Roman"/>
                <w:szCs w:val="21"/>
              </w:rPr>
              <w:t>水杨酸甲酯装置</w:t>
            </w:r>
          </w:p>
        </w:tc>
      </w:tr>
      <w:tr w14:paraId="0738D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77DABE44">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cs="Times New Roman"/>
                <w:szCs w:val="21"/>
              </w:rPr>
              <w:t>1</w:t>
            </w:r>
          </w:p>
        </w:tc>
        <w:tc>
          <w:tcPr>
            <w:tcW w:w="1245" w:type="pct"/>
            <w:noWrap w:val="0"/>
            <w:vAlign w:val="center"/>
          </w:tcPr>
          <w:p w14:paraId="6374630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酯化釜</w:t>
            </w:r>
          </w:p>
        </w:tc>
        <w:tc>
          <w:tcPr>
            <w:tcW w:w="1412" w:type="pct"/>
            <w:noWrap w:val="0"/>
            <w:vAlign w:val="center"/>
          </w:tcPr>
          <w:p w14:paraId="017BF4B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ф2600mm×4346mm</w:t>
            </w:r>
          </w:p>
        </w:tc>
        <w:tc>
          <w:tcPr>
            <w:tcW w:w="1535" w:type="pct"/>
            <w:noWrap w:val="0"/>
            <w:vAlign w:val="center"/>
          </w:tcPr>
          <w:p w14:paraId="4F81702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搪瓷</w:t>
            </w:r>
          </w:p>
        </w:tc>
        <w:tc>
          <w:tcPr>
            <w:tcW w:w="430" w:type="pct"/>
            <w:noWrap w:val="0"/>
            <w:vAlign w:val="center"/>
          </w:tcPr>
          <w:p w14:paraId="210257B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12</w:t>
            </w:r>
          </w:p>
        </w:tc>
      </w:tr>
      <w:tr w14:paraId="19C6F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21AC3683">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cs="Times New Roman"/>
                <w:szCs w:val="21"/>
              </w:rPr>
              <w:t>2</w:t>
            </w:r>
          </w:p>
        </w:tc>
        <w:tc>
          <w:tcPr>
            <w:tcW w:w="1245" w:type="pct"/>
            <w:noWrap w:val="0"/>
            <w:vAlign w:val="center"/>
          </w:tcPr>
          <w:p w14:paraId="679F869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投料真空系统</w:t>
            </w:r>
          </w:p>
        </w:tc>
        <w:tc>
          <w:tcPr>
            <w:tcW w:w="1412" w:type="pct"/>
            <w:noWrap w:val="0"/>
            <w:vAlign w:val="center"/>
          </w:tcPr>
          <w:p w14:paraId="1A42D5C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w:t>
            </w:r>
          </w:p>
        </w:tc>
        <w:tc>
          <w:tcPr>
            <w:tcW w:w="1535" w:type="pct"/>
            <w:noWrap w:val="0"/>
            <w:vAlign w:val="center"/>
          </w:tcPr>
          <w:p w14:paraId="420E9AB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w:t>
            </w:r>
          </w:p>
        </w:tc>
        <w:tc>
          <w:tcPr>
            <w:tcW w:w="430" w:type="pct"/>
            <w:noWrap w:val="0"/>
            <w:vAlign w:val="center"/>
          </w:tcPr>
          <w:p w14:paraId="631A814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2</w:t>
            </w:r>
          </w:p>
        </w:tc>
      </w:tr>
      <w:tr w14:paraId="6D69D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71268F3A">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cs="Times New Roman"/>
                <w:szCs w:val="21"/>
              </w:rPr>
              <w:t>3</w:t>
            </w:r>
          </w:p>
        </w:tc>
        <w:tc>
          <w:tcPr>
            <w:tcW w:w="1245" w:type="pct"/>
            <w:noWrap w:val="0"/>
            <w:vAlign w:val="center"/>
          </w:tcPr>
          <w:p w14:paraId="4DEDDBE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二次分离</w:t>
            </w:r>
          </w:p>
        </w:tc>
        <w:tc>
          <w:tcPr>
            <w:tcW w:w="1412" w:type="pct"/>
            <w:noWrap w:val="0"/>
            <w:vAlign w:val="center"/>
          </w:tcPr>
          <w:p w14:paraId="72147FD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ф1800mm×2350mm</w:t>
            </w:r>
          </w:p>
        </w:tc>
        <w:tc>
          <w:tcPr>
            <w:tcW w:w="1535" w:type="pct"/>
            <w:noWrap w:val="0"/>
            <w:vAlign w:val="center"/>
          </w:tcPr>
          <w:p w14:paraId="7111733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2"/>
                <w:szCs w:val="22"/>
                <w:lang w:val="en-US" w:eastAsia="zh-CN" w:bidi="ar-SA"/>
              </w:rPr>
            </w:pPr>
            <w:r>
              <w:rPr>
                <w:rFonts w:hint="default" w:ascii="Times New Roman" w:hAnsi="Times New Roman" w:cs="Times New Roman"/>
                <w:sz w:val="22"/>
                <w:szCs w:val="22"/>
              </w:rPr>
              <w:t>PPH</w:t>
            </w:r>
          </w:p>
        </w:tc>
        <w:tc>
          <w:tcPr>
            <w:tcW w:w="430" w:type="pct"/>
            <w:noWrap w:val="0"/>
            <w:vAlign w:val="center"/>
          </w:tcPr>
          <w:p w14:paraId="43A9736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2</w:t>
            </w:r>
          </w:p>
        </w:tc>
      </w:tr>
      <w:tr w14:paraId="4B5E7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7FD0589E">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cs="Times New Roman"/>
                <w:szCs w:val="21"/>
              </w:rPr>
              <w:t>4</w:t>
            </w:r>
          </w:p>
        </w:tc>
        <w:tc>
          <w:tcPr>
            <w:tcW w:w="1245" w:type="pct"/>
            <w:noWrap w:val="0"/>
            <w:vAlign w:val="center"/>
          </w:tcPr>
          <w:p w14:paraId="3C38121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rPr>
              <w:t>粗酯1</w:t>
            </w:r>
          </w:p>
        </w:tc>
        <w:tc>
          <w:tcPr>
            <w:tcW w:w="1412" w:type="pct"/>
            <w:noWrap w:val="0"/>
            <w:vAlign w:val="center"/>
          </w:tcPr>
          <w:p w14:paraId="4055B30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ф2400mm×2400mm</w:t>
            </w:r>
          </w:p>
        </w:tc>
        <w:tc>
          <w:tcPr>
            <w:tcW w:w="1535" w:type="pct"/>
            <w:noWrap w:val="0"/>
            <w:vAlign w:val="center"/>
          </w:tcPr>
          <w:p w14:paraId="4CAD979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2"/>
                <w:szCs w:val="22"/>
                <w:lang w:val="en-US" w:eastAsia="zh-CN" w:bidi="ar-SA"/>
              </w:rPr>
            </w:pPr>
            <w:r>
              <w:rPr>
                <w:rFonts w:hint="default" w:ascii="Times New Roman" w:hAnsi="Times New Roman" w:cs="Times New Roman"/>
                <w:sz w:val="22"/>
                <w:szCs w:val="22"/>
              </w:rPr>
              <w:t>PPH</w:t>
            </w:r>
          </w:p>
        </w:tc>
        <w:tc>
          <w:tcPr>
            <w:tcW w:w="430" w:type="pct"/>
            <w:noWrap w:val="0"/>
            <w:vAlign w:val="center"/>
          </w:tcPr>
          <w:p w14:paraId="30488EA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2</w:t>
            </w:r>
          </w:p>
        </w:tc>
      </w:tr>
      <w:tr w14:paraId="10DF1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0E4A447E">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cs="Times New Roman"/>
                <w:szCs w:val="21"/>
              </w:rPr>
              <w:t>5</w:t>
            </w:r>
          </w:p>
        </w:tc>
        <w:tc>
          <w:tcPr>
            <w:tcW w:w="1245" w:type="pct"/>
            <w:noWrap w:val="0"/>
            <w:vAlign w:val="center"/>
          </w:tcPr>
          <w:p w14:paraId="5BCB233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rPr>
              <w:t>粗酯2</w:t>
            </w:r>
          </w:p>
        </w:tc>
        <w:tc>
          <w:tcPr>
            <w:tcW w:w="1412" w:type="pct"/>
            <w:noWrap w:val="0"/>
            <w:vAlign w:val="center"/>
          </w:tcPr>
          <w:p w14:paraId="6D6DDA4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ф3200mm×2500mm</w:t>
            </w:r>
          </w:p>
        </w:tc>
        <w:tc>
          <w:tcPr>
            <w:tcW w:w="1535" w:type="pct"/>
            <w:noWrap w:val="0"/>
            <w:vAlign w:val="center"/>
          </w:tcPr>
          <w:p w14:paraId="5AA31AC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2"/>
                <w:szCs w:val="22"/>
                <w:lang w:val="en-US" w:eastAsia="zh-CN" w:bidi="ar-SA"/>
              </w:rPr>
            </w:pPr>
            <w:r>
              <w:rPr>
                <w:rFonts w:hint="default" w:ascii="Times New Roman" w:hAnsi="Times New Roman" w:cs="Times New Roman"/>
                <w:sz w:val="22"/>
                <w:szCs w:val="22"/>
              </w:rPr>
              <w:t>PPH</w:t>
            </w:r>
          </w:p>
        </w:tc>
        <w:tc>
          <w:tcPr>
            <w:tcW w:w="430" w:type="pct"/>
            <w:noWrap w:val="0"/>
            <w:vAlign w:val="center"/>
          </w:tcPr>
          <w:p w14:paraId="7C2E8DA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3</w:t>
            </w:r>
          </w:p>
        </w:tc>
      </w:tr>
      <w:tr w14:paraId="7BAAF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25653BF3">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cs="Times New Roman"/>
                <w:szCs w:val="21"/>
              </w:rPr>
              <w:t>6</w:t>
            </w:r>
          </w:p>
        </w:tc>
        <w:tc>
          <w:tcPr>
            <w:tcW w:w="1245" w:type="pct"/>
            <w:noWrap w:val="0"/>
            <w:vAlign w:val="center"/>
          </w:tcPr>
          <w:p w14:paraId="263A8C3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酸醇</w:t>
            </w:r>
          </w:p>
        </w:tc>
        <w:tc>
          <w:tcPr>
            <w:tcW w:w="1412" w:type="pct"/>
            <w:noWrap w:val="0"/>
            <w:vAlign w:val="center"/>
          </w:tcPr>
          <w:p w14:paraId="639CD55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ф2600mm×2350mm</w:t>
            </w:r>
          </w:p>
        </w:tc>
        <w:tc>
          <w:tcPr>
            <w:tcW w:w="1535" w:type="pct"/>
            <w:noWrap w:val="0"/>
            <w:vAlign w:val="center"/>
          </w:tcPr>
          <w:p w14:paraId="7051AC9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2"/>
                <w:szCs w:val="22"/>
                <w:lang w:val="en-US" w:eastAsia="zh-CN" w:bidi="ar-SA"/>
              </w:rPr>
            </w:pPr>
            <w:r>
              <w:rPr>
                <w:rFonts w:hint="default" w:ascii="Times New Roman" w:hAnsi="Times New Roman" w:cs="Times New Roman"/>
                <w:sz w:val="22"/>
                <w:szCs w:val="22"/>
              </w:rPr>
              <w:t>PPH</w:t>
            </w:r>
          </w:p>
        </w:tc>
        <w:tc>
          <w:tcPr>
            <w:tcW w:w="430" w:type="pct"/>
            <w:noWrap w:val="0"/>
            <w:vAlign w:val="center"/>
          </w:tcPr>
          <w:p w14:paraId="1CBB0AA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2</w:t>
            </w:r>
          </w:p>
        </w:tc>
      </w:tr>
      <w:tr w14:paraId="50CE3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22386282">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cs="Times New Roman"/>
                <w:szCs w:val="21"/>
              </w:rPr>
              <w:t>7</w:t>
            </w:r>
          </w:p>
        </w:tc>
        <w:tc>
          <w:tcPr>
            <w:tcW w:w="1245" w:type="pct"/>
            <w:noWrap w:val="0"/>
            <w:vAlign w:val="center"/>
          </w:tcPr>
          <w:p w14:paraId="67F247B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rPr>
              <w:t>甲醇中间罐</w:t>
            </w:r>
          </w:p>
        </w:tc>
        <w:tc>
          <w:tcPr>
            <w:tcW w:w="1412" w:type="pct"/>
            <w:noWrap w:val="0"/>
            <w:vAlign w:val="center"/>
          </w:tcPr>
          <w:p w14:paraId="4A5C1F5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ф3500mm×2600mm</w:t>
            </w:r>
          </w:p>
        </w:tc>
        <w:tc>
          <w:tcPr>
            <w:tcW w:w="1535" w:type="pct"/>
            <w:noWrap w:val="0"/>
            <w:vAlign w:val="center"/>
          </w:tcPr>
          <w:p w14:paraId="0EC6941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2"/>
                <w:szCs w:val="22"/>
                <w:lang w:val="en-US" w:eastAsia="zh-CN" w:bidi="ar-SA"/>
              </w:rPr>
            </w:pPr>
            <w:r>
              <w:rPr>
                <w:rFonts w:hint="default" w:ascii="Times New Roman" w:hAnsi="Times New Roman" w:cs="Times New Roman"/>
                <w:sz w:val="22"/>
                <w:szCs w:val="22"/>
              </w:rPr>
              <w:t>Q235</w:t>
            </w:r>
          </w:p>
        </w:tc>
        <w:tc>
          <w:tcPr>
            <w:tcW w:w="430" w:type="pct"/>
            <w:noWrap w:val="0"/>
            <w:vAlign w:val="center"/>
          </w:tcPr>
          <w:p w14:paraId="08759B2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rPr>
              <w:t>1</w:t>
            </w:r>
          </w:p>
        </w:tc>
      </w:tr>
      <w:tr w14:paraId="5C52C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7B3C0FA0">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cs="Times New Roman"/>
                <w:szCs w:val="21"/>
              </w:rPr>
              <w:t>8</w:t>
            </w:r>
          </w:p>
        </w:tc>
        <w:tc>
          <w:tcPr>
            <w:tcW w:w="1245" w:type="pct"/>
            <w:noWrap w:val="0"/>
            <w:vAlign w:val="center"/>
          </w:tcPr>
          <w:p w14:paraId="5C16F52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rPr>
              <w:t>硫酸中间罐</w:t>
            </w:r>
          </w:p>
        </w:tc>
        <w:tc>
          <w:tcPr>
            <w:tcW w:w="1412" w:type="pct"/>
            <w:noWrap w:val="0"/>
            <w:vAlign w:val="center"/>
          </w:tcPr>
          <w:p w14:paraId="10FEB4C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ф3500mm×1600mm</w:t>
            </w:r>
          </w:p>
        </w:tc>
        <w:tc>
          <w:tcPr>
            <w:tcW w:w="1535" w:type="pct"/>
            <w:noWrap w:val="0"/>
            <w:vAlign w:val="center"/>
          </w:tcPr>
          <w:p w14:paraId="2787070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2"/>
                <w:szCs w:val="22"/>
                <w:lang w:val="en-US" w:eastAsia="zh-CN" w:bidi="ar-SA"/>
              </w:rPr>
            </w:pPr>
            <w:r>
              <w:rPr>
                <w:rFonts w:hint="default" w:ascii="Times New Roman" w:hAnsi="Times New Roman" w:cs="Times New Roman"/>
                <w:sz w:val="22"/>
                <w:szCs w:val="22"/>
              </w:rPr>
              <w:t>Q235</w:t>
            </w:r>
          </w:p>
        </w:tc>
        <w:tc>
          <w:tcPr>
            <w:tcW w:w="430" w:type="pct"/>
            <w:noWrap w:val="0"/>
            <w:vAlign w:val="center"/>
          </w:tcPr>
          <w:p w14:paraId="125733D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rPr>
              <w:t>1</w:t>
            </w:r>
          </w:p>
        </w:tc>
      </w:tr>
      <w:tr w14:paraId="166F5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3AD989F5">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cs="Times New Roman"/>
                <w:szCs w:val="21"/>
              </w:rPr>
              <w:t>9</w:t>
            </w:r>
          </w:p>
        </w:tc>
        <w:tc>
          <w:tcPr>
            <w:tcW w:w="1245" w:type="pct"/>
            <w:noWrap w:val="0"/>
            <w:vAlign w:val="center"/>
          </w:tcPr>
          <w:p w14:paraId="3807DC2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酯化甲醇冷凝器</w:t>
            </w:r>
          </w:p>
        </w:tc>
        <w:tc>
          <w:tcPr>
            <w:tcW w:w="1412" w:type="pct"/>
            <w:noWrap w:val="0"/>
            <w:vAlign w:val="center"/>
          </w:tcPr>
          <w:p w14:paraId="7ECB414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ф600mm×6000mm</w:t>
            </w:r>
          </w:p>
        </w:tc>
        <w:tc>
          <w:tcPr>
            <w:tcW w:w="1535" w:type="pct"/>
            <w:noWrap w:val="0"/>
            <w:vAlign w:val="center"/>
          </w:tcPr>
          <w:p w14:paraId="72494A4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2"/>
                <w:szCs w:val="22"/>
                <w:lang w:val="en-US" w:eastAsia="zh-CN" w:bidi="ar-SA"/>
              </w:rPr>
            </w:pPr>
            <w:r>
              <w:rPr>
                <w:rFonts w:hint="default" w:ascii="Times New Roman" w:hAnsi="Times New Roman" w:cs="Times New Roman"/>
                <w:sz w:val="22"/>
                <w:szCs w:val="22"/>
              </w:rPr>
              <w:t>S16L</w:t>
            </w:r>
          </w:p>
        </w:tc>
        <w:tc>
          <w:tcPr>
            <w:tcW w:w="430" w:type="pct"/>
            <w:noWrap w:val="0"/>
            <w:vAlign w:val="center"/>
          </w:tcPr>
          <w:p w14:paraId="27489C1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2</w:t>
            </w:r>
          </w:p>
        </w:tc>
      </w:tr>
      <w:tr w14:paraId="35FE0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33938F6A">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cs="Times New Roman"/>
                <w:szCs w:val="21"/>
              </w:rPr>
              <w:t>10</w:t>
            </w:r>
          </w:p>
        </w:tc>
        <w:tc>
          <w:tcPr>
            <w:tcW w:w="1245" w:type="pct"/>
            <w:noWrap w:val="0"/>
            <w:vAlign w:val="center"/>
          </w:tcPr>
          <w:p w14:paraId="4C7A1A0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甲醇深冷冷凝器</w:t>
            </w:r>
          </w:p>
        </w:tc>
        <w:tc>
          <w:tcPr>
            <w:tcW w:w="1412" w:type="pct"/>
            <w:noWrap w:val="0"/>
            <w:vAlign w:val="center"/>
          </w:tcPr>
          <w:p w14:paraId="1CC9D6E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ф300mm×2000mm</w:t>
            </w:r>
          </w:p>
        </w:tc>
        <w:tc>
          <w:tcPr>
            <w:tcW w:w="1535" w:type="pct"/>
            <w:noWrap w:val="0"/>
            <w:vAlign w:val="center"/>
          </w:tcPr>
          <w:p w14:paraId="7465375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2"/>
                <w:szCs w:val="22"/>
                <w:lang w:val="en-US" w:eastAsia="zh-CN" w:bidi="ar-SA"/>
              </w:rPr>
            </w:pPr>
            <w:r>
              <w:rPr>
                <w:rFonts w:hint="default" w:ascii="Times New Roman" w:hAnsi="Times New Roman" w:cs="Times New Roman"/>
                <w:sz w:val="22"/>
                <w:szCs w:val="22"/>
              </w:rPr>
              <w:t>S16L</w:t>
            </w:r>
          </w:p>
        </w:tc>
        <w:tc>
          <w:tcPr>
            <w:tcW w:w="430" w:type="pct"/>
            <w:noWrap w:val="0"/>
            <w:vAlign w:val="center"/>
          </w:tcPr>
          <w:p w14:paraId="66FC3DD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1</w:t>
            </w:r>
          </w:p>
        </w:tc>
      </w:tr>
      <w:tr w14:paraId="47755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06601F41">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cs="Times New Roman"/>
                <w:szCs w:val="21"/>
              </w:rPr>
              <w:t>11</w:t>
            </w:r>
          </w:p>
        </w:tc>
        <w:tc>
          <w:tcPr>
            <w:tcW w:w="1245" w:type="pct"/>
            <w:noWrap w:val="0"/>
            <w:vAlign w:val="center"/>
          </w:tcPr>
          <w:p w14:paraId="310B24D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甲醇接收罐</w:t>
            </w:r>
          </w:p>
        </w:tc>
        <w:tc>
          <w:tcPr>
            <w:tcW w:w="1412" w:type="pct"/>
            <w:noWrap w:val="0"/>
            <w:vAlign w:val="center"/>
          </w:tcPr>
          <w:p w14:paraId="0123753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w:t>
            </w:r>
          </w:p>
        </w:tc>
        <w:tc>
          <w:tcPr>
            <w:tcW w:w="1535" w:type="pct"/>
            <w:noWrap w:val="0"/>
            <w:vAlign w:val="center"/>
          </w:tcPr>
          <w:p w14:paraId="2FBDC67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2"/>
                <w:szCs w:val="22"/>
                <w:lang w:val="en-US" w:eastAsia="zh-CN" w:bidi="ar-SA"/>
              </w:rPr>
            </w:pPr>
            <w:r>
              <w:rPr>
                <w:rFonts w:hint="default" w:ascii="Times New Roman" w:hAnsi="Times New Roman" w:cs="Times New Roman"/>
                <w:sz w:val="22"/>
                <w:szCs w:val="22"/>
              </w:rPr>
              <w:t>S316L</w:t>
            </w:r>
          </w:p>
        </w:tc>
        <w:tc>
          <w:tcPr>
            <w:tcW w:w="430" w:type="pct"/>
            <w:noWrap w:val="0"/>
            <w:vAlign w:val="center"/>
          </w:tcPr>
          <w:p w14:paraId="4305451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1</w:t>
            </w:r>
          </w:p>
        </w:tc>
      </w:tr>
      <w:tr w14:paraId="656A8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56FCC480">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cs="Times New Roman"/>
                <w:szCs w:val="21"/>
              </w:rPr>
              <w:t>12</w:t>
            </w:r>
          </w:p>
        </w:tc>
        <w:tc>
          <w:tcPr>
            <w:tcW w:w="1245" w:type="pct"/>
            <w:noWrap w:val="0"/>
            <w:vAlign w:val="center"/>
          </w:tcPr>
          <w:p w14:paraId="3DD99BC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甲酯碱洗釜</w:t>
            </w:r>
          </w:p>
        </w:tc>
        <w:tc>
          <w:tcPr>
            <w:tcW w:w="1412" w:type="pct"/>
            <w:noWrap w:val="0"/>
            <w:vAlign w:val="center"/>
          </w:tcPr>
          <w:p w14:paraId="7C8754E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ф2800mm×2000+740</w:t>
            </w:r>
          </w:p>
        </w:tc>
        <w:tc>
          <w:tcPr>
            <w:tcW w:w="1535" w:type="pct"/>
            <w:noWrap w:val="0"/>
            <w:vAlign w:val="center"/>
          </w:tcPr>
          <w:p w14:paraId="3FE080E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2"/>
                <w:szCs w:val="22"/>
                <w:lang w:val="en-US" w:eastAsia="zh-CN" w:bidi="ar-SA"/>
              </w:rPr>
            </w:pPr>
            <w:r>
              <w:rPr>
                <w:rFonts w:hint="default" w:ascii="Times New Roman" w:hAnsi="Times New Roman" w:cs="Times New Roman"/>
                <w:sz w:val="22"/>
                <w:szCs w:val="22"/>
              </w:rPr>
              <w:t>316-L</w:t>
            </w:r>
          </w:p>
        </w:tc>
        <w:tc>
          <w:tcPr>
            <w:tcW w:w="430" w:type="pct"/>
            <w:noWrap w:val="0"/>
            <w:vAlign w:val="center"/>
          </w:tcPr>
          <w:p w14:paraId="7918BD7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2</w:t>
            </w:r>
          </w:p>
        </w:tc>
      </w:tr>
      <w:tr w14:paraId="4C8A3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28873E0D">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cs="Times New Roman"/>
                <w:szCs w:val="21"/>
              </w:rPr>
              <w:t>13</w:t>
            </w:r>
          </w:p>
        </w:tc>
        <w:tc>
          <w:tcPr>
            <w:tcW w:w="1245" w:type="pct"/>
            <w:noWrap w:val="0"/>
            <w:vAlign w:val="center"/>
          </w:tcPr>
          <w:p w14:paraId="7B3D383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甲酯水洗釜</w:t>
            </w:r>
          </w:p>
        </w:tc>
        <w:tc>
          <w:tcPr>
            <w:tcW w:w="1412" w:type="pct"/>
            <w:noWrap w:val="0"/>
            <w:vAlign w:val="center"/>
          </w:tcPr>
          <w:p w14:paraId="0AD584A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ф2800mm×2000+740</w:t>
            </w:r>
          </w:p>
        </w:tc>
        <w:tc>
          <w:tcPr>
            <w:tcW w:w="1535" w:type="pct"/>
            <w:noWrap w:val="0"/>
            <w:vAlign w:val="center"/>
          </w:tcPr>
          <w:p w14:paraId="795525A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2"/>
                <w:szCs w:val="22"/>
                <w:lang w:val="en-US" w:eastAsia="zh-CN" w:bidi="ar-SA"/>
              </w:rPr>
            </w:pPr>
            <w:r>
              <w:rPr>
                <w:rFonts w:hint="default" w:ascii="Times New Roman" w:hAnsi="Times New Roman" w:cs="Times New Roman"/>
                <w:sz w:val="22"/>
                <w:szCs w:val="22"/>
              </w:rPr>
              <w:t>316-L</w:t>
            </w:r>
          </w:p>
        </w:tc>
        <w:tc>
          <w:tcPr>
            <w:tcW w:w="430" w:type="pct"/>
            <w:noWrap w:val="0"/>
            <w:vAlign w:val="center"/>
          </w:tcPr>
          <w:p w14:paraId="659EED5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2</w:t>
            </w:r>
          </w:p>
        </w:tc>
      </w:tr>
      <w:tr w14:paraId="07AF7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11D93E01">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cs="Times New Roman"/>
                <w:szCs w:val="21"/>
              </w:rPr>
              <w:t>14</w:t>
            </w:r>
          </w:p>
        </w:tc>
        <w:tc>
          <w:tcPr>
            <w:tcW w:w="1245" w:type="pct"/>
            <w:noWrap w:val="0"/>
            <w:vAlign w:val="center"/>
          </w:tcPr>
          <w:p w14:paraId="64E2765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rPr>
              <w:t>水洗釜真空系统</w:t>
            </w:r>
          </w:p>
        </w:tc>
        <w:tc>
          <w:tcPr>
            <w:tcW w:w="1412" w:type="pct"/>
            <w:noWrap w:val="0"/>
            <w:vAlign w:val="center"/>
          </w:tcPr>
          <w:p w14:paraId="68A53DE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szCs w:val="21"/>
              </w:rPr>
              <w:t>—</w:t>
            </w:r>
          </w:p>
        </w:tc>
        <w:tc>
          <w:tcPr>
            <w:tcW w:w="1535" w:type="pct"/>
            <w:noWrap w:val="0"/>
            <w:vAlign w:val="center"/>
          </w:tcPr>
          <w:p w14:paraId="7ECBAD3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2"/>
                <w:szCs w:val="22"/>
                <w:lang w:val="en-US" w:eastAsia="zh-CN" w:bidi="ar-SA"/>
              </w:rPr>
            </w:pPr>
            <w:r>
              <w:rPr>
                <w:rFonts w:hint="default" w:ascii="Times New Roman" w:hAnsi="Times New Roman" w:cs="Times New Roman"/>
                <w:szCs w:val="21"/>
              </w:rPr>
              <w:t>—</w:t>
            </w:r>
          </w:p>
        </w:tc>
        <w:tc>
          <w:tcPr>
            <w:tcW w:w="430" w:type="pct"/>
            <w:noWrap w:val="0"/>
            <w:vAlign w:val="center"/>
          </w:tcPr>
          <w:p w14:paraId="0B8FD1B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rPr>
              <w:t>1</w:t>
            </w:r>
          </w:p>
        </w:tc>
      </w:tr>
      <w:tr w14:paraId="3E264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63E60627">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cs="Times New Roman"/>
                <w:szCs w:val="21"/>
              </w:rPr>
              <w:t>15</w:t>
            </w:r>
          </w:p>
        </w:tc>
        <w:tc>
          <w:tcPr>
            <w:tcW w:w="1245" w:type="pct"/>
            <w:noWrap w:val="0"/>
            <w:vAlign w:val="center"/>
          </w:tcPr>
          <w:p w14:paraId="5562EC3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水洗液槽</w:t>
            </w:r>
          </w:p>
        </w:tc>
        <w:tc>
          <w:tcPr>
            <w:tcW w:w="1412" w:type="pct"/>
            <w:noWrap w:val="0"/>
            <w:vAlign w:val="center"/>
          </w:tcPr>
          <w:p w14:paraId="7574071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2500mm×8000×2000mm</w:t>
            </w:r>
          </w:p>
        </w:tc>
        <w:tc>
          <w:tcPr>
            <w:tcW w:w="1535" w:type="pct"/>
            <w:noWrap w:val="0"/>
            <w:vAlign w:val="center"/>
          </w:tcPr>
          <w:p w14:paraId="3F50CD0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2"/>
                <w:szCs w:val="22"/>
                <w:lang w:val="en-US" w:eastAsia="zh-CN" w:bidi="ar-SA"/>
              </w:rPr>
            </w:pPr>
            <w:r>
              <w:rPr>
                <w:rFonts w:hint="default" w:ascii="Times New Roman" w:hAnsi="Times New Roman" w:cs="Times New Roman"/>
                <w:sz w:val="22"/>
                <w:szCs w:val="22"/>
              </w:rPr>
              <w:t>Q235</w:t>
            </w:r>
          </w:p>
        </w:tc>
        <w:tc>
          <w:tcPr>
            <w:tcW w:w="430" w:type="pct"/>
            <w:noWrap w:val="0"/>
            <w:vAlign w:val="center"/>
          </w:tcPr>
          <w:p w14:paraId="4B4A329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2</w:t>
            </w:r>
          </w:p>
        </w:tc>
      </w:tr>
      <w:tr w14:paraId="10A0A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025D732C">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cs="Times New Roman"/>
                <w:szCs w:val="21"/>
              </w:rPr>
              <w:t>16</w:t>
            </w:r>
          </w:p>
        </w:tc>
        <w:tc>
          <w:tcPr>
            <w:tcW w:w="1245" w:type="pct"/>
            <w:noWrap w:val="0"/>
            <w:vAlign w:val="center"/>
          </w:tcPr>
          <w:p w14:paraId="6D07192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配碱罐</w:t>
            </w:r>
          </w:p>
        </w:tc>
        <w:tc>
          <w:tcPr>
            <w:tcW w:w="1412" w:type="pct"/>
            <w:noWrap w:val="0"/>
            <w:vAlign w:val="center"/>
          </w:tcPr>
          <w:p w14:paraId="5C1D11F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ф3200mm×4000mm</w:t>
            </w:r>
          </w:p>
        </w:tc>
        <w:tc>
          <w:tcPr>
            <w:tcW w:w="1535" w:type="pct"/>
            <w:noWrap w:val="0"/>
            <w:vAlign w:val="center"/>
          </w:tcPr>
          <w:p w14:paraId="6410628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2"/>
                <w:szCs w:val="22"/>
                <w:lang w:val="en-US" w:eastAsia="zh-CN" w:bidi="ar-SA"/>
              </w:rPr>
            </w:pPr>
            <w:r>
              <w:rPr>
                <w:rFonts w:hint="default" w:ascii="Times New Roman" w:hAnsi="Times New Roman" w:cs="Times New Roman"/>
                <w:sz w:val="22"/>
                <w:szCs w:val="22"/>
              </w:rPr>
              <w:t>Q235</w:t>
            </w:r>
          </w:p>
        </w:tc>
        <w:tc>
          <w:tcPr>
            <w:tcW w:w="430" w:type="pct"/>
            <w:noWrap w:val="0"/>
            <w:vAlign w:val="center"/>
          </w:tcPr>
          <w:p w14:paraId="61CB1DE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1</w:t>
            </w:r>
          </w:p>
        </w:tc>
      </w:tr>
      <w:tr w14:paraId="20112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058F9389">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cs="Times New Roman"/>
                <w:szCs w:val="21"/>
              </w:rPr>
              <w:t>17</w:t>
            </w:r>
          </w:p>
        </w:tc>
        <w:tc>
          <w:tcPr>
            <w:tcW w:w="1245" w:type="pct"/>
            <w:noWrap w:val="0"/>
            <w:vAlign w:val="center"/>
          </w:tcPr>
          <w:p w14:paraId="2CA0BD4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液碱计量槽</w:t>
            </w:r>
          </w:p>
        </w:tc>
        <w:tc>
          <w:tcPr>
            <w:tcW w:w="1412" w:type="pct"/>
            <w:noWrap w:val="0"/>
            <w:vAlign w:val="center"/>
          </w:tcPr>
          <w:p w14:paraId="7AD262C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ф1200mm×2000mm</w:t>
            </w:r>
          </w:p>
        </w:tc>
        <w:tc>
          <w:tcPr>
            <w:tcW w:w="1535" w:type="pct"/>
            <w:noWrap w:val="0"/>
            <w:vAlign w:val="center"/>
          </w:tcPr>
          <w:p w14:paraId="63C5929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2"/>
                <w:szCs w:val="22"/>
                <w:lang w:val="en-US" w:eastAsia="zh-CN" w:bidi="ar-SA"/>
              </w:rPr>
            </w:pPr>
            <w:r>
              <w:rPr>
                <w:rFonts w:hint="default" w:ascii="Times New Roman" w:hAnsi="Times New Roman" w:cs="Times New Roman"/>
                <w:sz w:val="22"/>
                <w:szCs w:val="22"/>
              </w:rPr>
              <w:t>Q235</w:t>
            </w:r>
          </w:p>
        </w:tc>
        <w:tc>
          <w:tcPr>
            <w:tcW w:w="430" w:type="pct"/>
            <w:noWrap w:val="0"/>
            <w:vAlign w:val="center"/>
          </w:tcPr>
          <w:p w14:paraId="6B9F597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1</w:t>
            </w:r>
          </w:p>
        </w:tc>
      </w:tr>
      <w:tr w14:paraId="25AEF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7C544802">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cs="Times New Roman"/>
                <w:szCs w:val="21"/>
              </w:rPr>
              <w:t>18</w:t>
            </w:r>
          </w:p>
        </w:tc>
        <w:tc>
          <w:tcPr>
            <w:tcW w:w="1245" w:type="pct"/>
            <w:noWrap w:val="0"/>
            <w:vAlign w:val="center"/>
          </w:tcPr>
          <w:p w14:paraId="4F63224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水杨酸钠槽</w:t>
            </w:r>
          </w:p>
        </w:tc>
        <w:tc>
          <w:tcPr>
            <w:tcW w:w="1412" w:type="pct"/>
            <w:noWrap w:val="0"/>
            <w:vAlign w:val="center"/>
          </w:tcPr>
          <w:p w14:paraId="0DF2B72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2500mm×8000×2000mm</w:t>
            </w:r>
          </w:p>
        </w:tc>
        <w:tc>
          <w:tcPr>
            <w:tcW w:w="1535" w:type="pct"/>
            <w:noWrap w:val="0"/>
            <w:vAlign w:val="center"/>
          </w:tcPr>
          <w:p w14:paraId="4C1429E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Q235</w:t>
            </w:r>
          </w:p>
        </w:tc>
        <w:tc>
          <w:tcPr>
            <w:tcW w:w="430" w:type="pct"/>
            <w:noWrap w:val="0"/>
            <w:vAlign w:val="center"/>
          </w:tcPr>
          <w:p w14:paraId="489D7FA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2</w:t>
            </w:r>
          </w:p>
        </w:tc>
      </w:tr>
      <w:tr w14:paraId="38DDC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03C426E7">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cs="Times New Roman"/>
                <w:szCs w:val="21"/>
              </w:rPr>
              <w:t>19</w:t>
            </w:r>
          </w:p>
        </w:tc>
        <w:tc>
          <w:tcPr>
            <w:tcW w:w="1245" w:type="pct"/>
            <w:noWrap w:val="0"/>
            <w:vAlign w:val="center"/>
          </w:tcPr>
          <w:p w14:paraId="6372753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rPr>
              <w:t>甲醇蒸馏釜</w:t>
            </w:r>
          </w:p>
        </w:tc>
        <w:tc>
          <w:tcPr>
            <w:tcW w:w="1412" w:type="pct"/>
            <w:noWrap w:val="0"/>
            <w:vAlign w:val="center"/>
          </w:tcPr>
          <w:p w14:paraId="38E4779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ф1900mm×3244mm</w:t>
            </w:r>
          </w:p>
        </w:tc>
        <w:tc>
          <w:tcPr>
            <w:tcW w:w="1535" w:type="pct"/>
            <w:noWrap w:val="0"/>
            <w:vAlign w:val="center"/>
          </w:tcPr>
          <w:p w14:paraId="3D80498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2"/>
                <w:szCs w:val="22"/>
                <w:lang w:val="en-US" w:eastAsia="zh-CN" w:bidi="ar-SA"/>
              </w:rPr>
            </w:pPr>
            <w:r>
              <w:rPr>
                <w:rFonts w:hint="default" w:ascii="Times New Roman" w:hAnsi="Times New Roman" w:cs="Times New Roman"/>
                <w:sz w:val="22"/>
                <w:szCs w:val="22"/>
              </w:rPr>
              <w:t>搪瓷</w:t>
            </w:r>
          </w:p>
        </w:tc>
        <w:tc>
          <w:tcPr>
            <w:tcW w:w="430" w:type="pct"/>
            <w:noWrap w:val="0"/>
            <w:vAlign w:val="center"/>
          </w:tcPr>
          <w:p w14:paraId="3E2B1CC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6</w:t>
            </w:r>
          </w:p>
        </w:tc>
      </w:tr>
      <w:tr w14:paraId="7713C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4F8F101F">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cs="Times New Roman"/>
                <w:szCs w:val="21"/>
              </w:rPr>
              <w:t>20</w:t>
            </w:r>
          </w:p>
        </w:tc>
        <w:tc>
          <w:tcPr>
            <w:tcW w:w="1245" w:type="pct"/>
            <w:noWrap w:val="0"/>
            <w:vAlign w:val="center"/>
          </w:tcPr>
          <w:p w14:paraId="766C4A5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甲醇回收塔</w:t>
            </w:r>
          </w:p>
        </w:tc>
        <w:tc>
          <w:tcPr>
            <w:tcW w:w="1412" w:type="pct"/>
            <w:noWrap w:val="0"/>
            <w:vAlign w:val="center"/>
          </w:tcPr>
          <w:p w14:paraId="42EB90FE">
            <w:pPr>
              <w:keepNext w:val="0"/>
              <w:keepLines w:val="0"/>
              <w:suppressLineNumbers w:val="0"/>
              <w:spacing w:before="0" w:beforeAutospacing="0" w:after="0" w:afterAutospacing="0"/>
              <w:ind w:left="0" w:right="0"/>
              <w:jc w:val="center"/>
              <w:rPr>
                <w:rFonts w:hint="default" w:ascii="Times New Roman" w:hAnsi="Times New Roman" w:cs="Times New Roman"/>
                <w:szCs w:val="21"/>
              </w:rPr>
            </w:pPr>
            <w:r>
              <w:rPr>
                <w:rFonts w:hint="default" w:ascii="Times New Roman" w:hAnsi="Times New Roman" w:cs="Times New Roman"/>
                <w:szCs w:val="21"/>
              </w:rPr>
              <w:t>DN500mm×H6000mm</w:t>
            </w:r>
          </w:p>
          <w:p w14:paraId="74432B9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填料为搪瓷，永久使用</w:t>
            </w:r>
          </w:p>
        </w:tc>
        <w:tc>
          <w:tcPr>
            <w:tcW w:w="1535" w:type="pct"/>
            <w:noWrap w:val="0"/>
            <w:vAlign w:val="center"/>
          </w:tcPr>
          <w:p w14:paraId="00282A1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2"/>
                <w:szCs w:val="22"/>
                <w:lang w:val="en-US" w:eastAsia="zh-CN" w:bidi="ar-SA"/>
              </w:rPr>
            </w:pPr>
            <w:r>
              <w:rPr>
                <w:rFonts w:hint="default" w:ascii="Times New Roman" w:hAnsi="Times New Roman" w:cs="Times New Roman"/>
                <w:sz w:val="22"/>
                <w:szCs w:val="22"/>
              </w:rPr>
              <w:t>搪瓷</w:t>
            </w:r>
          </w:p>
        </w:tc>
        <w:tc>
          <w:tcPr>
            <w:tcW w:w="430" w:type="pct"/>
            <w:noWrap w:val="0"/>
            <w:vAlign w:val="center"/>
          </w:tcPr>
          <w:p w14:paraId="44933B5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2</w:t>
            </w:r>
          </w:p>
        </w:tc>
      </w:tr>
      <w:tr w14:paraId="3A35C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396E3909">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cs="Times New Roman"/>
                <w:szCs w:val="21"/>
              </w:rPr>
              <w:t>21</w:t>
            </w:r>
          </w:p>
        </w:tc>
        <w:tc>
          <w:tcPr>
            <w:tcW w:w="1245" w:type="pct"/>
            <w:noWrap w:val="0"/>
            <w:vAlign w:val="center"/>
          </w:tcPr>
          <w:p w14:paraId="33840E5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再沸器</w:t>
            </w:r>
          </w:p>
        </w:tc>
        <w:tc>
          <w:tcPr>
            <w:tcW w:w="1412" w:type="pct"/>
            <w:noWrap w:val="0"/>
            <w:vAlign w:val="center"/>
          </w:tcPr>
          <w:p w14:paraId="71DFDE8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ф1900mm×3244mm</w:t>
            </w:r>
          </w:p>
        </w:tc>
        <w:tc>
          <w:tcPr>
            <w:tcW w:w="1535" w:type="pct"/>
            <w:noWrap w:val="0"/>
            <w:vAlign w:val="center"/>
          </w:tcPr>
          <w:p w14:paraId="52FA78A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2"/>
                <w:szCs w:val="22"/>
                <w:lang w:val="en-US" w:eastAsia="zh-CN" w:bidi="ar-SA"/>
              </w:rPr>
            </w:pPr>
            <w:r>
              <w:rPr>
                <w:rFonts w:hint="default" w:ascii="Times New Roman" w:hAnsi="Times New Roman" w:cs="Times New Roman"/>
                <w:sz w:val="22"/>
                <w:szCs w:val="22"/>
              </w:rPr>
              <w:t>搪瓷</w:t>
            </w:r>
          </w:p>
        </w:tc>
        <w:tc>
          <w:tcPr>
            <w:tcW w:w="430" w:type="pct"/>
            <w:noWrap w:val="0"/>
            <w:vAlign w:val="center"/>
          </w:tcPr>
          <w:p w14:paraId="4F1F000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2</w:t>
            </w:r>
          </w:p>
        </w:tc>
      </w:tr>
      <w:tr w14:paraId="202B6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2A5D7283">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cs="Times New Roman"/>
                <w:szCs w:val="21"/>
              </w:rPr>
              <w:t>22</w:t>
            </w:r>
          </w:p>
        </w:tc>
        <w:tc>
          <w:tcPr>
            <w:tcW w:w="1245" w:type="pct"/>
            <w:noWrap w:val="0"/>
            <w:vAlign w:val="center"/>
          </w:tcPr>
          <w:p w14:paraId="5E037BE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rPr>
              <w:t>回收硫酸罐</w:t>
            </w:r>
          </w:p>
        </w:tc>
        <w:tc>
          <w:tcPr>
            <w:tcW w:w="1412" w:type="pct"/>
            <w:noWrap w:val="0"/>
            <w:vAlign w:val="center"/>
          </w:tcPr>
          <w:p w14:paraId="6F2A60B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ф2800mm×2350mm</w:t>
            </w:r>
          </w:p>
        </w:tc>
        <w:tc>
          <w:tcPr>
            <w:tcW w:w="1535" w:type="pct"/>
            <w:noWrap w:val="0"/>
            <w:vAlign w:val="center"/>
          </w:tcPr>
          <w:p w14:paraId="21BD353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2"/>
                <w:szCs w:val="22"/>
                <w:lang w:val="en-US" w:eastAsia="zh-CN" w:bidi="ar-SA"/>
              </w:rPr>
            </w:pPr>
            <w:r>
              <w:rPr>
                <w:rFonts w:hint="default" w:ascii="Times New Roman" w:hAnsi="Times New Roman" w:cs="Times New Roman"/>
                <w:sz w:val="22"/>
                <w:szCs w:val="22"/>
              </w:rPr>
              <w:t>PPH</w:t>
            </w:r>
          </w:p>
        </w:tc>
        <w:tc>
          <w:tcPr>
            <w:tcW w:w="430" w:type="pct"/>
            <w:noWrap w:val="0"/>
            <w:vAlign w:val="center"/>
          </w:tcPr>
          <w:p w14:paraId="43E6B56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2</w:t>
            </w:r>
          </w:p>
        </w:tc>
      </w:tr>
      <w:tr w14:paraId="19746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563284C7">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cs="Times New Roman"/>
                <w:szCs w:val="21"/>
              </w:rPr>
              <w:t>23</w:t>
            </w:r>
          </w:p>
        </w:tc>
        <w:tc>
          <w:tcPr>
            <w:tcW w:w="1245" w:type="pct"/>
            <w:noWrap w:val="0"/>
            <w:vAlign w:val="center"/>
          </w:tcPr>
          <w:p w14:paraId="64F84AB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rPr>
              <w:t>待回收甲醇罐</w:t>
            </w:r>
          </w:p>
        </w:tc>
        <w:tc>
          <w:tcPr>
            <w:tcW w:w="1412" w:type="pct"/>
            <w:noWrap w:val="0"/>
            <w:vAlign w:val="center"/>
          </w:tcPr>
          <w:p w14:paraId="6FB0870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ф1800mm×2000mm</w:t>
            </w:r>
          </w:p>
        </w:tc>
        <w:tc>
          <w:tcPr>
            <w:tcW w:w="1535" w:type="pct"/>
            <w:noWrap w:val="0"/>
            <w:vAlign w:val="center"/>
          </w:tcPr>
          <w:p w14:paraId="7B79422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2"/>
                <w:szCs w:val="22"/>
                <w:lang w:val="en-US" w:eastAsia="zh-CN" w:bidi="ar-SA"/>
              </w:rPr>
            </w:pPr>
            <w:r>
              <w:rPr>
                <w:rFonts w:hint="default" w:ascii="Times New Roman" w:hAnsi="Times New Roman" w:cs="Times New Roman"/>
                <w:sz w:val="22"/>
                <w:szCs w:val="22"/>
              </w:rPr>
              <w:t>PPH</w:t>
            </w:r>
          </w:p>
        </w:tc>
        <w:tc>
          <w:tcPr>
            <w:tcW w:w="430" w:type="pct"/>
            <w:noWrap w:val="0"/>
            <w:vAlign w:val="center"/>
          </w:tcPr>
          <w:p w14:paraId="66A1E91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1</w:t>
            </w:r>
          </w:p>
        </w:tc>
      </w:tr>
      <w:tr w14:paraId="44199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0A12F2D2">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cs="Times New Roman"/>
                <w:szCs w:val="21"/>
              </w:rPr>
              <w:t>24</w:t>
            </w:r>
          </w:p>
        </w:tc>
        <w:tc>
          <w:tcPr>
            <w:tcW w:w="1245" w:type="pct"/>
            <w:noWrap w:val="0"/>
            <w:vAlign w:val="center"/>
          </w:tcPr>
          <w:p w14:paraId="3F8F810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rPr>
              <w:t>回收甲醇罐</w:t>
            </w:r>
          </w:p>
        </w:tc>
        <w:tc>
          <w:tcPr>
            <w:tcW w:w="1412" w:type="pct"/>
            <w:noWrap w:val="0"/>
            <w:vAlign w:val="center"/>
          </w:tcPr>
          <w:p w14:paraId="45B36FD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szCs w:val="21"/>
              </w:rPr>
              <w:t>—</w:t>
            </w:r>
          </w:p>
        </w:tc>
        <w:tc>
          <w:tcPr>
            <w:tcW w:w="1535" w:type="pct"/>
            <w:noWrap w:val="0"/>
            <w:vAlign w:val="center"/>
          </w:tcPr>
          <w:p w14:paraId="7BBDFD3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2"/>
                <w:szCs w:val="22"/>
                <w:lang w:val="en-US" w:eastAsia="zh-CN" w:bidi="ar-SA"/>
              </w:rPr>
            </w:pPr>
            <w:r>
              <w:rPr>
                <w:rFonts w:hint="default" w:ascii="Times New Roman" w:hAnsi="Times New Roman" w:cs="Times New Roman"/>
                <w:sz w:val="22"/>
                <w:szCs w:val="22"/>
              </w:rPr>
              <w:t>S316L</w:t>
            </w:r>
          </w:p>
        </w:tc>
        <w:tc>
          <w:tcPr>
            <w:tcW w:w="430" w:type="pct"/>
            <w:noWrap w:val="0"/>
            <w:vAlign w:val="center"/>
          </w:tcPr>
          <w:p w14:paraId="5A45092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1</w:t>
            </w:r>
          </w:p>
        </w:tc>
      </w:tr>
      <w:tr w14:paraId="26C90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3A13A5B6">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cs="Times New Roman"/>
                <w:szCs w:val="21"/>
              </w:rPr>
              <w:t>25</w:t>
            </w:r>
          </w:p>
        </w:tc>
        <w:tc>
          <w:tcPr>
            <w:tcW w:w="1245" w:type="pct"/>
            <w:noWrap w:val="0"/>
            <w:vAlign w:val="center"/>
          </w:tcPr>
          <w:p w14:paraId="3FA2AF0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rPr>
              <w:t>甲醇回收冷凝器</w:t>
            </w:r>
          </w:p>
        </w:tc>
        <w:tc>
          <w:tcPr>
            <w:tcW w:w="1412" w:type="pct"/>
            <w:noWrap w:val="0"/>
            <w:vAlign w:val="center"/>
          </w:tcPr>
          <w:p w14:paraId="519C27B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szCs w:val="21"/>
              </w:rPr>
              <w:t>—</w:t>
            </w:r>
          </w:p>
        </w:tc>
        <w:tc>
          <w:tcPr>
            <w:tcW w:w="1535" w:type="pct"/>
            <w:noWrap w:val="0"/>
            <w:vAlign w:val="center"/>
          </w:tcPr>
          <w:p w14:paraId="58AF782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2"/>
                <w:szCs w:val="22"/>
                <w:lang w:val="en-US" w:eastAsia="zh-CN" w:bidi="ar-SA"/>
              </w:rPr>
            </w:pPr>
            <w:r>
              <w:rPr>
                <w:rFonts w:hint="default" w:ascii="Times New Roman" w:hAnsi="Times New Roman" w:cs="Times New Roman"/>
                <w:sz w:val="22"/>
                <w:szCs w:val="22"/>
              </w:rPr>
              <w:t>316L</w:t>
            </w:r>
          </w:p>
        </w:tc>
        <w:tc>
          <w:tcPr>
            <w:tcW w:w="430" w:type="pct"/>
            <w:noWrap w:val="0"/>
            <w:vAlign w:val="center"/>
          </w:tcPr>
          <w:p w14:paraId="0E67C7D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rPr>
              <w:t>2</w:t>
            </w:r>
          </w:p>
        </w:tc>
      </w:tr>
      <w:tr w14:paraId="06176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4A062225">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cs="Times New Roman"/>
                <w:szCs w:val="21"/>
              </w:rPr>
              <w:t>26</w:t>
            </w:r>
          </w:p>
        </w:tc>
        <w:tc>
          <w:tcPr>
            <w:tcW w:w="1245" w:type="pct"/>
            <w:noWrap w:val="0"/>
            <w:vAlign w:val="center"/>
          </w:tcPr>
          <w:p w14:paraId="0099498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rPr>
              <w:t>回收硫酸过滤器</w:t>
            </w:r>
          </w:p>
        </w:tc>
        <w:tc>
          <w:tcPr>
            <w:tcW w:w="1412" w:type="pct"/>
            <w:noWrap w:val="0"/>
            <w:vAlign w:val="center"/>
          </w:tcPr>
          <w:p w14:paraId="5821A81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w:t>
            </w:r>
          </w:p>
        </w:tc>
        <w:tc>
          <w:tcPr>
            <w:tcW w:w="1535" w:type="pct"/>
            <w:noWrap w:val="0"/>
            <w:vAlign w:val="center"/>
          </w:tcPr>
          <w:p w14:paraId="24EA2A0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2"/>
                <w:szCs w:val="22"/>
                <w:lang w:val="en-US" w:eastAsia="zh-CN" w:bidi="ar-SA"/>
              </w:rPr>
            </w:pPr>
            <w:r>
              <w:rPr>
                <w:rFonts w:hint="default" w:ascii="Times New Roman" w:hAnsi="Times New Roman" w:cs="Times New Roman"/>
                <w:szCs w:val="21"/>
              </w:rPr>
              <w:t>—</w:t>
            </w:r>
          </w:p>
        </w:tc>
        <w:tc>
          <w:tcPr>
            <w:tcW w:w="430" w:type="pct"/>
            <w:noWrap w:val="0"/>
            <w:vAlign w:val="center"/>
          </w:tcPr>
          <w:p w14:paraId="15707E5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rPr>
              <w:t>4</w:t>
            </w:r>
          </w:p>
        </w:tc>
      </w:tr>
      <w:tr w14:paraId="2A3EA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5737B0BD">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cs="Times New Roman"/>
                <w:szCs w:val="21"/>
              </w:rPr>
              <w:t>27</w:t>
            </w:r>
          </w:p>
        </w:tc>
        <w:tc>
          <w:tcPr>
            <w:tcW w:w="1245" w:type="pct"/>
            <w:noWrap w:val="0"/>
            <w:vAlign w:val="center"/>
          </w:tcPr>
          <w:p w14:paraId="04F8415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酯化釜</w:t>
            </w:r>
          </w:p>
        </w:tc>
        <w:tc>
          <w:tcPr>
            <w:tcW w:w="1412" w:type="pct"/>
            <w:noWrap w:val="0"/>
            <w:vAlign w:val="center"/>
          </w:tcPr>
          <w:p w14:paraId="58ACA10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ф2600mm×4346mm</w:t>
            </w:r>
          </w:p>
        </w:tc>
        <w:tc>
          <w:tcPr>
            <w:tcW w:w="1535" w:type="pct"/>
            <w:noWrap w:val="0"/>
            <w:vAlign w:val="center"/>
          </w:tcPr>
          <w:p w14:paraId="2E2D1B8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搪瓷</w:t>
            </w:r>
          </w:p>
        </w:tc>
        <w:tc>
          <w:tcPr>
            <w:tcW w:w="430" w:type="pct"/>
            <w:noWrap w:val="0"/>
            <w:vAlign w:val="center"/>
          </w:tcPr>
          <w:p w14:paraId="5012B2D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12</w:t>
            </w:r>
          </w:p>
        </w:tc>
      </w:tr>
      <w:tr w14:paraId="21793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7A8AFE8D">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cs="Times New Roman"/>
                <w:szCs w:val="21"/>
              </w:rPr>
              <w:t>28</w:t>
            </w:r>
          </w:p>
        </w:tc>
        <w:tc>
          <w:tcPr>
            <w:tcW w:w="1245" w:type="pct"/>
            <w:noWrap w:val="0"/>
            <w:vAlign w:val="center"/>
          </w:tcPr>
          <w:p w14:paraId="38CD439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投料真空系统</w:t>
            </w:r>
          </w:p>
        </w:tc>
        <w:tc>
          <w:tcPr>
            <w:tcW w:w="1412" w:type="pct"/>
            <w:noWrap w:val="0"/>
            <w:vAlign w:val="center"/>
          </w:tcPr>
          <w:p w14:paraId="27FC1E0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w:t>
            </w:r>
          </w:p>
        </w:tc>
        <w:tc>
          <w:tcPr>
            <w:tcW w:w="1535" w:type="pct"/>
            <w:noWrap w:val="0"/>
            <w:vAlign w:val="center"/>
          </w:tcPr>
          <w:p w14:paraId="2412B91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w:t>
            </w:r>
          </w:p>
        </w:tc>
        <w:tc>
          <w:tcPr>
            <w:tcW w:w="430" w:type="pct"/>
            <w:noWrap w:val="0"/>
            <w:vAlign w:val="center"/>
          </w:tcPr>
          <w:p w14:paraId="590C9AE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2</w:t>
            </w:r>
          </w:p>
        </w:tc>
      </w:tr>
      <w:tr w14:paraId="2CC3B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1A588D8D">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cs="Times New Roman"/>
                <w:szCs w:val="21"/>
              </w:rPr>
              <w:t>29</w:t>
            </w:r>
          </w:p>
        </w:tc>
        <w:tc>
          <w:tcPr>
            <w:tcW w:w="1245" w:type="pct"/>
            <w:noWrap w:val="0"/>
            <w:vAlign w:val="center"/>
          </w:tcPr>
          <w:p w14:paraId="52394E7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甲酯蒸馏釜</w:t>
            </w:r>
          </w:p>
        </w:tc>
        <w:tc>
          <w:tcPr>
            <w:tcW w:w="1412" w:type="pct"/>
            <w:noWrap w:val="0"/>
            <w:vAlign w:val="center"/>
          </w:tcPr>
          <w:p w14:paraId="01926BD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ф2600mm×3500+750×2mm</w:t>
            </w:r>
          </w:p>
        </w:tc>
        <w:tc>
          <w:tcPr>
            <w:tcW w:w="1535" w:type="pct"/>
            <w:noWrap w:val="0"/>
            <w:vAlign w:val="center"/>
          </w:tcPr>
          <w:p w14:paraId="1990A46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316L</w:t>
            </w:r>
          </w:p>
        </w:tc>
        <w:tc>
          <w:tcPr>
            <w:tcW w:w="430" w:type="pct"/>
            <w:noWrap w:val="0"/>
            <w:vAlign w:val="center"/>
          </w:tcPr>
          <w:p w14:paraId="548E3B3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6</w:t>
            </w:r>
          </w:p>
        </w:tc>
      </w:tr>
      <w:tr w14:paraId="38BB2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1399A792">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cs="Times New Roman"/>
                <w:szCs w:val="21"/>
              </w:rPr>
              <w:t>30</w:t>
            </w:r>
          </w:p>
        </w:tc>
        <w:tc>
          <w:tcPr>
            <w:tcW w:w="1245" w:type="pct"/>
            <w:noWrap w:val="0"/>
            <w:vAlign w:val="center"/>
          </w:tcPr>
          <w:p w14:paraId="4C13379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甲酯蒸馏塔</w:t>
            </w:r>
          </w:p>
        </w:tc>
        <w:tc>
          <w:tcPr>
            <w:tcW w:w="1412" w:type="pct"/>
            <w:noWrap w:val="0"/>
            <w:vAlign w:val="center"/>
          </w:tcPr>
          <w:p w14:paraId="6A23A5A0">
            <w:pPr>
              <w:keepNext w:val="0"/>
              <w:keepLines w:val="0"/>
              <w:suppressLineNumbers w:val="0"/>
              <w:spacing w:before="0" w:beforeAutospacing="0" w:after="0" w:afterAutospacing="0"/>
              <w:ind w:left="0" w:right="0"/>
              <w:jc w:val="center"/>
              <w:rPr>
                <w:rFonts w:hint="default" w:ascii="Times New Roman" w:hAnsi="Times New Roman" w:cs="Times New Roman"/>
                <w:szCs w:val="21"/>
              </w:rPr>
            </w:pPr>
            <w:r>
              <w:rPr>
                <w:rFonts w:hint="default" w:ascii="Times New Roman" w:hAnsi="Times New Roman" w:cs="Times New Roman"/>
                <w:szCs w:val="21"/>
              </w:rPr>
              <w:t>DN800mm×H8200mm</w:t>
            </w:r>
          </w:p>
          <w:p w14:paraId="41D3D22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填料为搪瓷，永久使用</w:t>
            </w:r>
          </w:p>
        </w:tc>
        <w:tc>
          <w:tcPr>
            <w:tcW w:w="1535" w:type="pct"/>
            <w:noWrap w:val="0"/>
            <w:vAlign w:val="center"/>
          </w:tcPr>
          <w:p w14:paraId="6BC07A3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搪瓷</w:t>
            </w:r>
          </w:p>
        </w:tc>
        <w:tc>
          <w:tcPr>
            <w:tcW w:w="430" w:type="pct"/>
            <w:noWrap w:val="0"/>
            <w:vAlign w:val="center"/>
          </w:tcPr>
          <w:p w14:paraId="7A40C9F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6</w:t>
            </w:r>
          </w:p>
        </w:tc>
      </w:tr>
      <w:tr w14:paraId="7E22A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58138F29">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cs="Times New Roman"/>
                <w:szCs w:val="21"/>
              </w:rPr>
              <w:t>31</w:t>
            </w:r>
          </w:p>
        </w:tc>
        <w:tc>
          <w:tcPr>
            <w:tcW w:w="1245" w:type="pct"/>
            <w:noWrap w:val="0"/>
            <w:vAlign w:val="center"/>
          </w:tcPr>
          <w:p w14:paraId="06315B3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rPr>
              <w:t>成品罐</w:t>
            </w:r>
          </w:p>
        </w:tc>
        <w:tc>
          <w:tcPr>
            <w:tcW w:w="1412" w:type="pct"/>
            <w:noWrap w:val="0"/>
            <w:vAlign w:val="center"/>
          </w:tcPr>
          <w:p w14:paraId="4EE636E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ф2600mm×2500+690×2mm</w:t>
            </w:r>
          </w:p>
        </w:tc>
        <w:tc>
          <w:tcPr>
            <w:tcW w:w="1535" w:type="pct"/>
            <w:noWrap w:val="0"/>
            <w:vAlign w:val="center"/>
          </w:tcPr>
          <w:p w14:paraId="639058D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搪瓷</w:t>
            </w:r>
          </w:p>
        </w:tc>
        <w:tc>
          <w:tcPr>
            <w:tcW w:w="430" w:type="pct"/>
            <w:noWrap w:val="0"/>
            <w:vAlign w:val="center"/>
          </w:tcPr>
          <w:p w14:paraId="42E44B6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6</w:t>
            </w:r>
          </w:p>
        </w:tc>
      </w:tr>
      <w:tr w14:paraId="0E56E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4EDCB0BA">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cs="Times New Roman"/>
                <w:szCs w:val="21"/>
              </w:rPr>
              <w:t>32</w:t>
            </w:r>
          </w:p>
        </w:tc>
        <w:tc>
          <w:tcPr>
            <w:tcW w:w="1245" w:type="pct"/>
            <w:noWrap w:val="0"/>
            <w:vAlign w:val="center"/>
          </w:tcPr>
          <w:p w14:paraId="567A2CC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rPr>
              <w:t>前馏罐</w:t>
            </w:r>
          </w:p>
        </w:tc>
        <w:tc>
          <w:tcPr>
            <w:tcW w:w="1412" w:type="pct"/>
            <w:noWrap w:val="0"/>
            <w:vAlign w:val="center"/>
          </w:tcPr>
          <w:p w14:paraId="75CB669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ф1600mm×1500mm</w:t>
            </w:r>
          </w:p>
        </w:tc>
        <w:tc>
          <w:tcPr>
            <w:tcW w:w="1535" w:type="pct"/>
            <w:noWrap w:val="0"/>
            <w:vAlign w:val="center"/>
          </w:tcPr>
          <w:p w14:paraId="7A8EB6A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rPr>
              <w:t>304</w:t>
            </w:r>
          </w:p>
        </w:tc>
        <w:tc>
          <w:tcPr>
            <w:tcW w:w="430" w:type="pct"/>
            <w:noWrap w:val="0"/>
            <w:vAlign w:val="center"/>
          </w:tcPr>
          <w:p w14:paraId="339DCE5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6</w:t>
            </w:r>
          </w:p>
        </w:tc>
      </w:tr>
      <w:tr w14:paraId="7AF25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24041AC9">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cs="Times New Roman"/>
                <w:szCs w:val="21"/>
              </w:rPr>
              <w:t>33</w:t>
            </w:r>
          </w:p>
        </w:tc>
        <w:tc>
          <w:tcPr>
            <w:tcW w:w="1245" w:type="pct"/>
            <w:noWrap w:val="0"/>
            <w:vAlign w:val="center"/>
          </w:tcPr>
          <w:p w14:paraId="790D66F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rPr>
              <w:t>前馏储罐</w:t>
            </w:r>
          </w:p>
        </w:tc>
        <w:tc>
          <w:tcPr>
            <w:tcW w:w="1412" w:type="pct"/>
            <w:noWrap w:val="0"/>
            <w:vAlign w:val="center"/>
          </w:tcPr>
          <w:p w14:paraId="622F8F4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ф2400mm×2400mm</w:t>
            </w:r>
          </w:p>
        </w:tc>
        <w:tc>
          <w:tcPr>
            <w:tcW w:w="1535" w:type="pct"/>
            <w:noWrap w:val="0"/>
            <w:vAlign w:val="center"/>
          </w:tcPr>
          <w:p w14:paraId="4AF9F3A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PPH</w:t>
            </w:r>
          </w:p>
        </w:tc>
        <w:tc>
          <w:tcPr>
            <w:tcW w:w="430" w:type="pct"/>
            <w:noWrap w:val="0"/>
            <w:vAlign w:val="center"/>
          </w:tcPr>
          <w:p w14:paraId="67AA016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rPr>
              <w:t>1</w:t>
            </w:r>
          </w:p>
        </w:tc>
      </w:tr>
      <w:tr w14:paraId="4263F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6D5167CC">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cs="Times New Roman"/>
                <w:szCs w:val="21"/>
              </w:rPr>
              <w:t>34</w:t>
            </w:r>
          </w:p>
        </w:tc>
        <w:tc>
          <w:tcPr>
            <w:tcW w:w="1245" w:type="pct"/>
            <w:noWrap w:val="0"/>
            <w:vAlign w:val="center"/>
          </w:tcPr>
          <w:p w14:paraId="3FFA810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rPr>
              <w:t>前馏水罐</w:t>
            </w:r>
          </w:p>
        </w:tc>
        <w:tc>
          <w:tcPr>
            <w:tcW w:w="1412" w:type="pct"/>
            <w:noWrap w:val="0"/>
            <w:vAlign w:val="center"/>
          </w:tcPr>
          <w:p w14:paraId="46664EF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szCs w:val="21"/>
              </w:rPr>
              <w:t>—</w:t>
            </w:r>
          </w:p>
        </w:tc>
        <w:tc>
          <w:tcPr>
            <w:tcW w:w="1535" w:type="pct"/>
            <w:noWrap w:val="0"/>
            <w:vAlign w:val="center"/>
          </w:tcPr>
          <w:p w14:paraId="4D76912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Q235</w:t>
            </w:r>
          </w:p>
        </w:tc>
        <w:tc>
          <w:tcPr>
            <w:tcW w:w="430" w:type="pct"/>
            <w:noWrap w:val="0"/>
            <w:vAlign w:val="center"/>
          </w:tcPr>
          <w:p w14:paraId="38359AD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rPr>
              <w:t>1</w:t>
            </w:r>
          </w:p>
        </w:tc>
      </w:tr>
      <w:tr w14:paraId="7B5E4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0D280946">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cs="Times New Roman"/>
                <w:szCs w:val="21"/>
              </w:rPr>
              <w:t>35</w:t>
            </w:r>
          </w:p>
        </w:tc>
        <w:tc>
          <w:tcPr>
            <w:tcW w:w="1245" w:type="pct"/>
            <w:noWrap w:val="0"/>
            <w:vAlign w:val="center"/>
          </w:tcPr>
          <w:p w14:paraId="48182B3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rPr>
              <w:t>成品储罐</w:t>
            </w:r>
          </w:p>
        </w:tc>
        <w:tc>
          <w:tcPr>
            <w:tcW w:w="1412" w:type="pct"/>
            <w:noWrap w:val="0"/>
            <w:vAlign w:val="center"/>
          </w:tcPr>
          <w:p w14:paraId="74B2151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ф3500mm×7500mm</w:t>
            </w:r>
          </w:p>
        </w:tc>
        <w:tc>
          <w:tcPr>
            <w:tcW w:w="1535" w:type="pct"/>
            <w:noWrap w:val="0"/>
            <w:vAlign w:val="center"/>
          </w:tcPr>
          <w:p w14:paraId="0E94A23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rPr>
              <w:t>PPH</w:t>
            </w:r>
          </w:p>
        </w:tc>
        <w:tc>
          <w:tcPr>
            <w:tcW w:w="430" w:type="pct"/>
            <w:noWrap w:val="0"/>
            <w:vAlign w:val="center"/>
          </w:tcPr>
          <w:p w14:paraId="19EB51C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4</w:t>
            </w:r>
          </w:p>
        </w:tc>
      </w:tr>
      <w:tr w14:paraId="6C691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3C0D78F8">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cs="Times New Roman"/>
                <w:szCs w:val="21"/>
              </w:rPr>
              <w:t>36</w:t>
            </w:r>
          </w:p>
        </w:tc>
        <w:tc>
          <w:tcPr>
            <w:tcW w:w="1245" w:type="pct"/>
            <w:noWrap w:val="0"/>
            <w:vAlign w:val="center"/>
          </w:tcPr>
          <w:p w14:paraId="72EACAE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rPr>
              <w:t>成品混料罐</w:t>
            </w:r>
          </w:p>
        </w:tc>
        <w:tc>
          <w:tcPr>
            <w:tcW w:w="1412" w:type="pct"/>
            <w:noWrap w:val="0"/>
            <w:vAlign w:val="center"/>
          </w:tcPr>
          <w:p w14:paraId="3A34A4E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szCs w:val="21"/>
              </w:rPr>
              <w:t>—</w:t>
            </w:r>
          </w:p>
        </w:tc>
        <w:tc>
          <w:tcPr>
            <w:tcW w:w="1535" w:type="pct"/>
            <w:noWrap w:val="0"/>
            <w:vAlign w:val="center"/>
          </w:tcPr>
          <w:p w14:paraId="15E547E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rPr>
              <w:t>PPH</w:t>
            </w:r>
          </w:p>
        </w:tc>
        <w:tc>
          <w:tcPr>
            <w:tcW w:w="430" w:type="pct"/>
            <w:noWrap w:val="0"/>
            <w:vAlign w:val="center"/>
          </w:tcPr>
          <w:p w14:paraId="45B8F80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rPr>
              <w:t>1</w:t>
            </w:r>
          </w:p>
        </w:tc>
      </w:tr>
      <w:tr w14:paraId="7FA18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0E1C3951">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cs="Times New Roman"/>
                <w:szCs w:val="21"/>
              </w:rPr>
              <w:t>37</w:t>
            </w:r>
          </w:p>
        </w:tc>
        <w:tc>
          <w:tcPr>
            <w:tcW w:w="1245" w:type="pct"/>
            <w:noWrap w:val="0"/>
            <w:vAlign w:val="center"/>
          </w:tcPr>
          <w:p w14:paraId="32F6778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rPr>
              <w:t>成品冷凝器</w:t>
            </w:r>
          </w:p>
        </w:tc>
        <w:tc>
          <w:tcPr>
            <w:tcW w:w="1412" w:type="pct"/>
            <w:noWrap w:val="0"/>
            <w:vAlign w:val="center"/>
          </w:tcPr>
          <w:p w14:paraId="052490F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szCs w:val="21"/>
              </w:rPr>
              <w:t>—</w:t>
            </w:r>
          </w:p>
        </w:tc>
        <w:tc>
          <w:tcPr>
            <w:tcW w:w="1535" w:type="pct"/>
            <w:noWrap w:val="0"/>
            <w:vAlign w:val="center"/>
          </w:tcPr>
          <w:p w14:paraId="762ECD2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F4</w:t>
            </w:r>
          </w:p>
        </w:tc>
        <w:tc>
          <w:tcPr>
            <w:tcW w:w="430" w:type="pct"/>
            <w:noWrap w:val="0"/>
            <w:vAlign w:val="center"/>
          </w:tcPr>
          <w:p w14:paraId="62EA020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rPr>
              <w:t>5</w:t>
            </w:r>
          </w:p>
        </w:tc>
      </w:tr>
      <w:tr w14:paraId="0CAEC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3FB1E2F8">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cs="Times New Roman"/>
                <w:szCs w:val="21"/>
              </w:rPr>
              <w:t>38</w:t>
            </w:r>
          </w:p>
        </w:tc>
        <w:tc>
          <w:tcPr>
            <w:tcW w:w="1245" w:type="pct"/>
            <w:noWrap w:val="0"/>
            <w:vAlign w:val="center"/>
          </w:tcPr>
          <w:p w14:paraId="7BF052C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rPr>
              <w:t>内回流冷凝器</w:t>
            </w:r>
          </w:p>
        </w:tc>
        <w:tc>
          <w:tcPr>
            <w:tcW w:w="1412" w:type="pct"/>
            <w:noWrap w:val="0"/>
            <w:vAlign w:val="center"/>
          </w:tcPr>
          <w:p w14:paraId="3B3FB74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szCs w:val="21"/>
              </w:rPr>
              <w:t>—</w:t>
            </w:r>
          </w:p>
        </w:tc>
        <w:tc>
          <w:tcPr>
            <w:tcW w:w="1535" w:type="pct"/>
            <w:noWrap w:val="0"/>
            <w:vAlign w:val="center"/>
          </w:tcPr>
          <w:p w14:paraId="274882A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F4</w:t>
            </w:r>
          </w:p>
        </w:tc>
        <w:tc>
          <w:tcPr>
            <w:tcW w:w="430" w:type="pct"/>
            <w:noWrap w:val="0"/>
            <w:vAlign w:val="center"/>
          </w:tcPr>
          <w:p w14:paraId="7B29E55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rPr>
              <w:t>5</w:t>
            </w:r>
          </w:p>
        </w:tc>
      </w:tr>
      <w:tr w14:paraId="67EE0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1B0D5E10">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cs="Times New Roman"/>
                <w:szCs w:val="21"/>
              </w:rPr>
              <w:t>39</w:t>
            </w:r>
          </w:p>
        </w:tc>
        <w:tc>
          <w:tcPr>
            <w:tcW w:w="1245" w:type="pct"/>
            <w:noWrap w:val="0"/>
            <w:vAlign w:val="center"/>
          </w:tcPr>
          <w:p w14:paraId="6D15FC4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rPr>
              <w:t>蒸馏釜冷凝水罐</w:t>
            </w:r>
          </w:p>
        </w:tc>
        <w:tc>
          <w:tcPr>
            <w:tcW w:w="1412" w:type="pct"/>
            <w:noWrap w:val="0"/>
            <w:vAlign w:val="center"/>
          </w:tcPr>
          <w:p w14:paraId="4644713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w:t>
            </w:r>
          </w:p>
        </w:tc>
        <w:tc>
          <w:tcPr>
            <w:tcW w:w="1535" w:type="pct"/>
            <w:noWrap w:val="0"/>
            <w:vAlign w:val="center"/>
          </w:tcPr>
          <w:p w14:paraId="0B15C27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w:t>
            </w:r>
          </w:p>
        </w:tc>
        <w:tc>
          <w:tcPr>
            <w:tcW w:w="430" w:type="pct"/>
            <w:noWrap w:val="0"/>
            <w:vAlign w:val="center"/>
          </w:tcPr>
          <w:p w14:paraId="22764A2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1</w:t>
            </w:r>
          </w:p>
        </w:tc>
      </w:tr>
      <w:tr w14:paraId="42369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33F4687A">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cs="Times New Roman"/>
                <w:szCs w:val="21"/>
              </w:rPr>
              <w:t>40</w:t>
            </w:r>
          </w:p>
        </w:tc>
        <w:tc>
          <w:tcPr>
            <w:tcW w:w="1245" w:type="pct"/>
            <w:noWrap w:val="0"/>
            <w:vAlign w:val="center"/>
          </w:tcPr>
          <w:p w14:paraId="706039A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rPr>
              <w:t>真空缓冲罐</w:t>
            </w:r>
          </w:p>
        </w:tc>
        <w:tc>
          <w:tcPr>
            <w:tcW w:w="1412" w:type="pct"/>
            <w:noWrap w:val="0"/>
            <w:vAlign w:val="center"/>
          </w:tcPr>
          <w:p w14:paraId="3330E03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ф800mm×1000+225×2mm</w:t>
            </w:r>
          </w:p>
        </w:tc>
        <w:tc>
          <w:tcPr>
            <w:tcW w:w="1535" w:type="pct"/>
            <w:noWrap w:val="0"/>
            <w:vAlign w:val="center"/>
          </w:tcPr>
          <w:p w14:paraId="6D813B3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Q235</w:t>
            </w:r>
          </w:p>
        </w:tc>
        <w:tc>
          <w:tcPr>
            <w:tcW w:w="430" w:type="pct"/>
            <w:noWrap w:val="0"/>
            <w:vAlign w:val="center"/>
          </w:tcPr>
          <w:p w14:paraId="1944F76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rPr>
              <w:t>6</w:t>
            </w:r>
          </w:p>
        </w:tc>
      </w:tr>
      <w:tr w14:paraId="61B88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3219F832">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cs="Times New Roman"/>
                <w:szCs w:val="21"/>
              </w:rPr>
              <w:t>41</w:t>
            </w:r>
          </w:p>
        </w:tc>
        <w:tc>
          <w:tcPr>
            <w:tcW w:w="1245" w:type="pct"/>
            <w:noWrap w:val="0"/>
            <w:vAlign w:val="center"/>
          </w:tcPr>
          <w:p w14:paraId="5236168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rPr>
              <w:t>硫酸萃取釜</w:t>
            </w:r>
          </w:p>
        </w:tc>
        <w:tc>
          <w:tcPr>
            <w:tcW w:w="1412" w:type="pct"/>
            <w:noWrap w:val="0"/>
            <w:vAlign w:val="center"/>
          </w:tcPr>
          <w:p w14:paraId="2021AEE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ф2800mm×3000+750×2mm</w:t>
            </w:r>
          </w:p>
        </w:tc>
        <w:tc>
          <w:tcPr>
            <w:tcW w:w="1535" w:type="pct"/>
            <w:noWrap w:val="0"/>
            <w:vAlign w:val="center"/>
          </w:tcPr>
          <w:p w14:paraId="10A8F42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衬塑</w:t>
            </w:r>
          </w:p>
        </w:tc>
        <w:tc>
          <w:tcPr>
            <w:tcW w:w="430" w:type="pct"/>
            <w:noWrap w:val="0"/>
            <w:vAlign w:val="center"/>
          </w:tcPr>
          <w:p w14:paraId="4C3B384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2</w:t>
            </w:r>
          </w:p>
        </w:tc>
      </w:tr>
      <w:tr w14:paraId="3DFCC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56E72780">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cs="Times New Roman"/>
                <w:szCs w:val="21"/>
              </w:rPr>
              <w:t>43</w:t>
            </w:r>
          </w:p>
        </w:tc>
        <w:tc>
          <w:tcPr>
            <w:tcW w:w="1245" w:type="pct"/>
            <w:noWrap w:val="0"/>
            <w:vAlign w:val="center"/>
          </w:tcPr>
          <w:p w14:paraId="10E48C1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rPr>
              <w:t>一次萃取硫酸罐</w:t>
            </w:r>
          </w:p>
        </w:tc>
        <w:tc>
          <w:tcPr>
            <w:tcW w:w="1412" w:type="pct"/>
            <w:noWrap w:val="0"/>
            <w:vAlign w:val="center"/>
          </w:tcPr>
          <w:p w14:paraId="5C67B66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ф2600mm×2350mm</w:t>
            </w:r>
          </w:p>
        </w:tc>
        <w:tc>
          <w:tcPr>
            <w:tcW w:w="1535" w:type="pct"/>
            <w:noWrap w:val="0"/>
            <w:vAlign w:val="center"/>
          </w:tcPr>
          <w:p w14:paraId="6DFCAFC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PPH</w:t>
            </w:r>
          </w:p>
        </w:tc>
        <w:tc>
          <w:tcPr>
            <w:tcW w:w="430" w:type="pct"/>
            <w:noWrap w:val="0"/>
            <w:vAlign w:val="center"/>
          </w:tcPr>
          <w:p w14:paraId="4CA4CD6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1</w:t>
            </w:r>
          </w:p>
        </w:tc>
      </w:tr>
      <w:tr w14:paraId="75721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7EA98F12">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cs="Times New Roman"/>
                <w:szCs w:val="21"/>
              </w:rPr>
              <w:t>44</w:t>
            </w:r>
          </w:p>
        </w:tc>
        <w:tc>
          <w:tcPr>
            <w:tcW w:w="1245" w:type="pct"/>
            <w:noWrap w:val="0"/>
            <w:vAlign w:val="center"/>
          </w:tcPr>
          <w:p w14:paraId="77A44BC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rPr>
              <w:t>反萃稀碱水罐</w:t>
            </w:r>
          </w:p>
        </w:tc>
        <w:tc>
          <w:tcPr>
            <w:tcW w:w="1412" w:type="pct"/>
            <w:noWrap w:val="0"/>
            <w:vAlign w:val="center"/>
          </w:tcPr>
          <w:p w14:paraId="73EC9D0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ф3500mm×2600mm</w:t>
            </w:r>
          </w:p>
        </w:tc>
        <w:tc>
          <w:tcPr>
            <w:tcW w:w="1535" w:type="pct"/>
            <w:noWrap w:val="0"/>
            <w:vAlign w:val="center"/>
          </w:tcPr>
          <w:p w14:paraId="1C4A3DB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Q235</w:t>
            </w:r>
          </w:p>
        </w:tc>
        <w:tc>
          <w:tcPr>
            <w:tcW w:w="430" w:type="pct"/>
            <w:noWrap w:val="0"/>
            <w:vAlign w:val="center"/>
          </w:tcPr>
          <w:p w14:paraId="5DFC3F0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rPr>
              <w:t>1</w:t>
            </w:r>
          </w:p>
        </w:tc>
      </w:tr>
      <w:tr w14:paraId="7FD3D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572E01F3">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cs="Times New Roman"/>
                <w:szCs w:val="21"/>
              </w:rPr>
              <w:t>45</w:t>
            </w:r>
          </w:p>
        </w:tc>
        <w:tc>
          <w:tcPr>
            <w:tcW w:w="1245" w:type="pct"/>
            <w:noWrap w:val="0"/>
            <w:vAlign w:val="center"/>
          </w:tcPr>
          <w:p w14:paraId="481C506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反萃水杨酸钠罐</w:t>
            </w:r>
          </w:p>
        </w:tc>
        <w:tc>
          <w:tcPr>
            <w:tcW w:w="1412" w:type="pct"/>
            <w:noWrap w:val="0"/>
            <w:vAlign w:val="center"/>
          </w:tcPr>
          <w:p w14:paraId="68B8341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ф3500mm×2350mm</w:t>
            </w:r>
          </w:p>
        </w:tc>
        <w:tc>
          <w:tcPr>
            <w:tcW w:w="1535" w:type="pct"/>
            <w:noWrap w:val="0"/>
            <w:vAlign w:val="center"/>
          </w:tcPr>
          <w:p w14:paraId="6E7D470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Q235</w:t>
            </w:r>
          </w:p>
        </w:tc>
        <w:tc>
          <w:tcPr>
            <w:tcW w:w="430" w:type="pct"/>
            <w:noWrap w:val="0"/>
            <w:vAlign w:val="center"/>
          </w:tcPr>
          <w:p w14:paraId="0311E16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2</w:t>
            </w:r>
          </w:p>
        </w:tc>
      </w:tr>
      <w:tr w14:paraId="271F2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0D302F18">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cs="Times New Roman"/>
                <w:szCs w:val="21"/>
              </w:rPr>
              <w:t>46</w:t>
            </w:r>
          </w:p>
        </w:tc>
        <w:tc>
          <w:tcPr>
            <w:tcW w:w="1245" w:type="pct"/>
            <w:noWrap w:val="0"/>
            <w:vAlign w:val="center"/>
          </w:tcPr>
          <w:p w14:paraId="79C2552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返渣釜</w:t>
            </w:r>
          </w:p>
        </w:tc>
        <w:tc>
          <w:tcPr>
            <w:tcW w:w="1412" w:type="pct"/>
            <w:noWrap w:val="0"/>
            <w:vAlign w:val="center"/>
          </w:tcPr>
          <w:p w14:paraId="1FC22B2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ф1200mm×1300mm</w:t>
            </w:r>
          </w:p>
        </w:tc>
        <w:tc>
          <w:tcPr>
            <w:tcW w:w="1535" w:type="pct"/>
            <w:noWrap w:val="0"/>
            <w:vAlign w:val="center"/>
          </w:tcPr>
          <w:p w14:paraId="6FF5C3C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w:t>
            </w:r>
          </w:p>
        </w:tc>
        <w:tc>
          <w:tcPr>
            <w:tcW w:w="430" w:type="pct"/>
            <w:noWrap w:val="0"/>
            <w:vAlign w:val="center"/>
          </w:tcPr>
          <w:p w14:paraId="0BA57F3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4</w:t>
            </w:r>
          </w:p>
        </w:tc>
      </w:tr>
      <w:tr w14:paraId="30221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682A24ED">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cs="Times New Roman"/>
                <w:szCs w:val="21"/>
              </w:rPr>
              <w:t>47</w:t>
            </w:r>
          </w:p>
        </w:tc>
        <w:tc>
          <w:tcPr>
            <w:tcW w:w="1245" w:type="pct"/>
            <w:noWrap w:val="0"/>
            <w:vAlign w:val="center"/>
          </w:tcPr>
          <w:p w14:paraId="68AB632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冷凝器</w:t>
            </w:r>
          </w:p>
        </w:tc>
        <w:tc>
          <w:tcPr>
            <w:tcW w:w="1412" w:type="pct"/>
            <w:noWrap w:val="0"/>
            <w:vAlign w:val="center"/>
          </w:tcPr>
          <w:p w14:paraId="22389BB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ф500mm×2250mm</w:t>
            </w:r>
          </w:p>
        </w:tc>
        <w:tc>
          <w:tcPr>
            <w:tcW w:w="1535" w:type="pct"/>
            <w:noWrap w:val="0"/>
            <w:vAlign w:val="center"/>
          </w:tcPr>
          <w:p w14:paraId="3F2D10B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w:t>
            </w:r>
          </w:p>
        </w:tc>
        <w:tc>
          <w:tcPr>
            <w:tcW w:w="430" w:type="pct"/>
            <w:noWrap w:val="0"/>
            <w:vAlign w:val="center"/>
          </w:tcPr>
          <w:p w14:paraId="6F0FB79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4</w:t>
            </w:r>
          </w:p>
        </w:tc>
      </w:tr>
      <w:tr w14:paraId="7E0FD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5F783AAF">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cs="Times New Roman"/>
                <w:szCs w:val="21"/>
              </w:rPr>
              <w:t>48</w:t>
            </w:r>
          </w:p>
        </w:tc>
        <w:tc>
          <w:tcPr>
            <w:tcW w:w="1245" w:type="pct"/>
            <w:noWrap w:val="0"/>
            <w:vAlign w:val="center"/>
          </w:tcPr>
          <w:p w14:paraId="4B9213C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甲酯接收釜</w:t>
            </w:r>
          </w:p>
        </w:tc>
        <w:tc>
          <w:tcPr>
            <w:tcW w:w="1412" w:type="pct"/>
            <w:noWrap w:val="0"/>
            <w:vAlign w:val="center"/>
          </w:tcPr>
          <w:p w14:paraId="1B8601A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ф800mm×1300mm</w:t>
            </w:r>
          </w:p>
        </w:tc>
        <w:tc>
          <w:tcPr>
            <w:tcW w:w="1535" w:type="pct"/>
            <w:noWrap w:val="0"/>
            <w:vAlign w:val="center"/>
          </w:tcPr>
          <w:p w14:paraId="59C2344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w:t>
            </w:r>
          </w:p>
        </w:tc>
        <w:tc>
          <w:tcPr>
            <w:tcW w:w="430" w:type="pct"/>
            <w:noWrap w:val="0"/>
            <w:vAlign w:val="center"/>
          </w:tcPr>
          <w:p w14:paraId="7EBA686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4</w:t>
            </w:r>
          </w:p>
        </w:tc>
      </w:tr>
      <w:tr w14:paraId="418C2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1FC76EB6">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cs="Times New Roman"/>
                <w:szCs w:val="21"/>
              </w:rPr>
              <w:t>49</w:t>
            </w:r>
          </w:p>
        </w:tc>
        <w:tc>
          <w:tcPr>
            <w:tcW w:w="1245" w:type="pct"/>
            <w:noWrap w:val="0"/>
            <w:vAlign w:val="center"/>
          </w:tcPr>
          <w:p w14:paraId="1D7E498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返渣液碱计量槽</w:t>
            </w:r>
          </w:p>
        </w:tc>
        <w:tc>
          <w:tcPr>
            <w:tcW w:w="1412" w:type="pct"/>
            <w:noWrap w:val="0"/>
            <w:vAlign w:val="center"/>
          </w:tcPr>
          <w:p w14:paraId="314D636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ф1800mm×2000mm</w:t>
            </w:r>
          </w:p>
        </w:tc>
        <w:tc>
          <w:tcPr>
            <w:tcW w:w="1535" w:type="pct"/>
            <w:noWrap w:val="0"/>
            <w:vAlign w:val="center"/>
          </w:tcPr>
          <w:p w14:paraId="3156B46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Q235</w:t>
            </w:r>
          </w:p>
        </w:tc>
        <w:tc>
          <w:tcPr>
            <w:tcW w:w="430" w:type="pct"/>
            <w:noWrap w:val="0"/>
            <w:vAlign w:val="center"/>
          </w:tcPr>
          <w:p w14:paraId="4DF1F80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1</w:t>
            </w:r>
          </w:p>
        </w:tc>
      </w:tr>
      <w:tr w14:paraId="4E900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6626A8FC">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ascii="Times New Roman" w:hAnsi="Times New Roman" w:cs="Times New Roman"/>
                <w:szCs w:val="21"/>
              </w:rPr>
              <w:t>50</w:t>
            </w:r>
          </w:p>
        </w:tc>
        <w:tc>
          <w:tcPr>
            <w:tcW w:w="1245" w:type="pct"/>
            <w:noWrap w:val="0"/>
            <w:vAlign w:val="center"/>
          </w:tcPr>
          <w:p w14:paraId="53AF7B9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rPr>
              <w:t>返渣水杨酸钠</w:t>
            </w:r>
          </w:p>
        </w:tc>
        <w:tc>
          <w:tcPr>
            <w:tcW w:w="1412" w:type="pct"/>
            <w:noWrap w:val="0"/>
            <w:vAlign w:val="center"/>
          </w:tcPr>
          <w:p w14:paraId="5B25F04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ф1800mm×2350mm</w:t>
            </w:r>
          </w:p>
        </w:tc>
        <w:tc>
          <w:tcPr>
            <w:tcW w:w="1535" w:type="pct"/>
            <w:noWrap w:val="0"/>
            <w:vAlign w:val="center"/>
          </w:tcPr>
          <w:p w14:paraId="37345A4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Cs w:val="21"/>
              </w:rPr>
              <w:t>Q235</w:t>
            </w:r>
          </w:p>
        </w:tc>
        <w:tc>
          <w:tcPr>
            <w:tcW w:w="430" w:type="pct"/>
            <w:noWrap w:val="0"/>
            <w:vAlign w:val="center"/>
          </w:tcPr>
          <w:p w14:paraId="69BF1C0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rPr>
              <w:t>1</w:t>
            </w:r>
          </w:p>
        </w:tc>
      </w:tr>
      <w:tr w14:paraId="28197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70824524">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rPr>
              <w:t>51</w:t>
            </w:r>
          </w:p>
        </w:tc>
        <w:tc>
          <w:tcPr>
            <w:tcW w:w="1245" w:type="pct"/>
            <w:noWrap w:val="0"/>
            <w:vAlign w:val="center"/>
          </w:tcPr>
          <w:p w14:paraId="31C64CB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cs="Times New Roman"/>
                <w:color w:val="auto"/>
                <w:szCs w:val="21"/>
              </w:rPr>
              <w:t>吸收塔</w:t>
            </w:r>
          </w:p>
        </w:tc>
        <w:tc>
          <w:tcPr>
            <w:tcW w:w="1412" w:type="pct"/>
            <w:noWrap w:val="0"/>
            <w:vAlign w:val="center"/>
          </w:tcPr>
          <w:p w14:paraId="7F8B4F31">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ф2800×9000</w:t>
            </w:r>
          </w:p>
          <w:p w14:paraId="391CC19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rPr>
              <w:t>填料为塑料，每15年更换一次，更换量57.5kg</w:t>
            </w:r>
          </w:p>
        </w:tc>
        <w:tc>
          <w:tcPr>
            <w:tcW w:w="1535" w:type="pct"/>
            <w:noWrap w:val="0"/>
            <w:vAlign w:val="center"/>
          </w:tcPr>
          <w:p w14:paraId="2CADF71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rPr>
              <w:t>碳钢</w:t>
            </w:r>
          </w:p>
        </w:tc>
        <w:tc>
          <w:tcPr>
            <w:tcW w:w="430" w:type="pct"/>
            <w:noWrap w:val="0"/>
            <w:vAlign w:val="center"/>
          </w:tcPr>
          <w:p w14:paraId="72B5D3B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cs="Times New Roman"/>
                <w:color w:val="auto"/>
                <w:szCs w:val="21"/>
              </w:rPr>
              <w:t>2</w:t>
            </w:r>
          </w:p>
        </w:tc>
      </w:tr>
      <w:tr w14:paraId="77384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5"/>
            <w:tcBorders>
              <w:right w:val="single" w:color="auto" w:sz="2" w:space="0"/>
            </w:tcBorders>
            <w:noWrap w:val="0"/>
            <w:vAlign w:val="center"/>
          </w:tcPr>
          <w:p w14:paraId="56CAD611">
            <w:pPr>
              <w:keepNext w:val="0"/>
              <w:keepLines w:val="0"/>
              <w:suppressLineNumbers w:val="0"/>
              <w:spacing w:before="0" w:beforeAutospacing="0" w:after="0" w:afterAutospacing="0" w:line="360" w:lineRule="exact"/>
              <w:ind w:left="0" w:right="0"/>
              <w:jc w:val="center"/>
              <w:rPr>
                <w:rFonts w:hint="eastAsia"/>
                <w:bCs/>
                <w:szCs w:val="21"/>
              </w:rPr>
            </w:pPr>
            <w:r>
              <w:rPr>
                <w:rFonts w:hint="eastAsia"/>
                <w:bCs/>
                <w:szCs w:val="21"/>
              </w:rPr>
              <w:t>3000t/a水杨酸钠、3000t/a药用水杨酸装置、3000t/a磺基水杨酸装置</w:t>
            </w:r>
          </w:p>
        </w:tc>
      </w:tr>
      <w:tr w14:paraId="7D34B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74847AA3">
            <w:pPr>
              <w:keepNext w:val="0"/>
              <w:keepLines w:val="0"/>
              <w:suppressLineNumbers w:val="0"/>
              <w:spacing w:before="0" w:beforeAutospacing="0" w:after="0" w:afterAutospacing="0"/>
              <w:ind w:left="0" w:right="0"/>
              <w:jc w:val="center"/>
              <w:rPr>
                <w:rFonts w:hint="default"/>
                <w:szCs w:val="21"/>
              </w:rPr>
            </w:pPr>
            <w:r>
              <w:rPr>
                <w:rFonts w:hint="default"/>
                <w:szCs w:val="21"/>
              </w:rPr>
              <w:t>1</w:t>
            </w:r>
          </w:p>
        </w:tc>
        <w:tc>
          <w:tcPr>
            <w:tcW w:w="1245" w:type="pct"/>
            <w:noWrap w:val="0"/>
            <w:vAlign w:val="center"/>
          </w:tcPr>
          <w:p w14:paraId="68B0B45E">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水洗釜</w:t>
            </w:r>
          </w:p>
        </w:tc>
        <w:tc>
          <w:tcPr>
            <w:tcW w:w="1412" w:type="pct"/>
            <w:noWrap w:val="0"/>
            <w:vAlign w:val="center"/>
          </w:tcPr>
          <w:p w14:paraId="4736C43E">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1000L</w:t>
            </w:r>
          </w:p>
        </w:tc>
        <w:tc>
          <w:tcPr>
            <w:tcW w:w="1535" w:type="pct"/>
            <w:noWrap w:val="0"/>
            <w:vAlign w:val="center"/>
          </w:tcPr>
          <w:p w14:paraId="751C64F4">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碳钢</w:t>
            </w:r>
          </w:p>
        </w:tc>
        <w:tc>
          <w:tcPr>
            <w:tcW w:w="430" w:type="pct"/>
            <w:noWrap w:val="0"/>
            <w:vAlign w:val="center"/>
          </w:tcPr>
          <w:p w14:paraId="3F341ECF">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1台</w:t>
            </w:r>
          </w:p>
        </w:tc>
      </w:tr>
      <w:tr w14:paraId="5D177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4D5A1EB1">
            <w:pPr>
              <w:keepNext w:val="0"/>
              <w:keepLines w:val="0"/>
              <w:suppressLineNumbers w:val="0"/>
              <w:spacing w:before="0" w:beforeAutospacing="0" w:after="0" w:afterAutospacing="0"/>
              <w:ind w:left="0" w:right="0"/>
              <w:jc w:val="center"/>
              <w:rPr>
                <w:rFonts w:hint="default"/>
                <w:szCs w:val="21"/>
              </w:rPr>
            </w:pPr>
            <w:r>
              <w:rPr>
                <w:rFonts w:hint="default"/>
                <w:szCs w:val="21"/>
              </w:rPr>
              <w:t>2</w:t>
            </w:r>
          </w:p>
        </w:tc>
        <w:tc>
          <w:tcPr>
            <w:tcW w:w="1245" w:type="pct"/>
            <w:noWrap w:val="0"/>
            <w:vAlign w:val="center"/>
          </w:tcPr>
          <w:p w14:paraId="5D0C0C46">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中和釜（氨化釜）</w:t>
            </w:r>
          </w:p>
        </w:tc>
        <w:tc>
          <w:tcPr>
            <w:tcW w:w="1412" w:type="pct"/>
            <w:noWrap w:val="0"/>
            <w:vAlign w:val="center"/>
          </w:tcPr>
          <w:p w14:paraId="0AD2FE62">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2000L</w:t>
            </w:r>
          </w:p>
        </w:tc>
        <w:tc>
          <w:tcPr>
            <w:tcW w:w="1535" w:type="pct"/>
            <w:noWrap w:val="0"/>
            <w:vAlign w:val="center"/>
          </w:tcPr>
          <w:p w14:paraId="26BCAFAA">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碳钢</w:t>
            </w:r>
          </w:p>
        </w:tc>
        <w:tc>
          <w:tcPr>
            <w:tcW w:w="430" w:type="pct"/>
            <w:noWrap w:val="0"/>
            <w:vAlign w:val="center"/>
          </w:tcPr>
          <w:p w14:paraId="7BBA464B">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2台</w:t>
            </w:r>
          </w:p>
        </w:tc>
      </w:tr>
      <w:tr w14:paraId="24267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5855A424">
            <w:pPr>
              <w:keepNext w:val="0"/>
              <w:keepLines w:val="0"/>
              <w:suppressLineNumbers w:val="0"/>
              <w:spacing w:before="0" w:beforeAutospacing="0" w:after="0" w:afterAutospacing="0"/>
              <w:ind w:left="0" w:right="0"/>
              <w:jc w:val="center"/>
              <w:rPr>
                <w:rFonts w:hint="default"/>
                <w:szCs w:val="21"/>
              </w:rPr>
            </w:pPr>
            <w:r>
              <w:rPr>
                <w:rFonts w:hint="default"/>
                <w:szCs w:val="21"/>
              </w:rPr>
              <w:t>3</w:t>
            </w:r>
          </w:p>
        </w:tc>
        <w:tc>
          <w:tcPr>
            <w:tcW w:w="1245" w:type="pct"/>
            <w:noWrap w:val="0"/>
            <w:vAlign w:val="center"/>
          </w:tcPr>
          <w:p w14:paraId="76C686C9">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浓缩釜（蒸氨釜）</w:t>
            </w:r>
          </w:p>
        </w:tc>
        <w:tc>
          <w:tcPr>
            <w:tcW w:w="1412" w:type="pct"/>
            <w:noWrap w:val="0"/>
            <w:vAlign w:val="center"/>
          </w:tcPr>
          <w:p w14:paraId="29C33864">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2000L</w:t>
            </w:r>
          </w:p>
        </w:tc>
        <w:tc>
          <w:tcPr>
            <w:tcW w:w="1535" w:type="pct"/>
            <w:noWrap w:val="0"/>
            <w:vAlign w:val="center"/>
          </w:tcPr>
          <w:p w14:paraId="18FA7511">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碳钢</w:t>
            </w:r>
          </w:p>
        </w:tc>
        <w:tc>
          <w:tcPr>
            <w:tcW w:w="430" w:type="pct"/>
            <w:noWrap w:val="0"/>
            <w:vAlign w:val="center"/>
          </w:tcPr>
          <w:p w14:paraId="60933A2A">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3台</w:t>
            </w:r>
          </w:p>
        </w:tc>
      </w:tr>
      <w:tr w14:paraId="24B7E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4814A403">
            <w:pPr>
              <w:keepNext w:val="0"/>
              <w:keepLines w:val="0"/>
              <w:suppressLineNumbers w:val="0"/>
              <w:spacing w:before="0" w:beforeAutospacing="0" w:after="0" w:afterAutospacing="0"/>
              <w:ind w:left="0" w:right="0"/>
              <w:jc w:val="center"/>
              <w:rPr>
                <w:rFonts w:hint="default"/>
                <w:szCs w:val="21"/>
              </w:rPr>
            </w:pPr>
            <w:r>
              <w:rPr>
                <w:rFonts w:hint="default"/>
                <w:szCs w:val="21"/>
              </w:rPr>
              <w:t>4</w:t>
            </w:r>
          </w:p>
        </w:tc>
        <w:tc>
          <w:tcPr>
            <w:tcW w:w="1245" w:type="pct"/>
            <w:noWrap w:val="0"/>
            <w:vAlign w:val="center"/>
          </w:tcPr>
          <w:p w14:paraId="7F995FBC">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离心机</w:t>
            </w:r>
          </w:p>
        </w:tc>
        <w:tc>
          <w:tcPr>
            <w:tcW w:w="1412" w:type="pct"/>
            <w:noWrap w:val="0"/>
            <w:vAlign w:val="center"/>
          </w:tcPr>
          <w:p w14:paraId="0B429168">
            <w:pPr>
              <w:keepNext w:val="0"/>
              <w:keepLines w:val="0"/>
              <w:suppressLineNumbers w:val="0"/>
              <w:spacing w:before="0" w:beforeAutospacing="0" w:after="0" w:afterAutospacing="0"/>
              <w:ind w:left="0" w:right="0"/>
              <w:jc w:val="center"/>
              <w:rPr>
                <w:rFonts w:hint="default" w:ascii="宋体" w:hAnsi="宋体" w:cs="宋体"/>
                <w:sz w:val="24"/>
              </w:rPr>
            </w:pPr>
          </w:p>
        </w:tc>
        <w:tc>
          <w:tcPr>
            <w:tcW w:w="1535" w:type="pct"/>
            <w:noWrap w:val="0"/>
            <w:vAlign w:val="center"/>
          </w:tcPr>
          <w:p w14:paraId="6F8FDCAE">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不锈钢</w:t>
            </w:r>
          </w:p>
        </w:tc>
        <w:tc>
          <w:tcPr>
            <w:tcW w:w="430" w:type="pct"/>
            <w:noWrap w:val="0"/>
            <w:vAlign w:val="center"/>
          </w:tcPr>
          <w:p w14:paraId="1065855A">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2台</w:t>
            </w:r>
          </w:p>
        </w:tc>
      </w:tr>
      <w:tr w14:paraId="56352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23A9E50B">
            <w:pPr>
              <w:keepNext w:val="0"/>
              <w:keepLines w:val="0"/>
              <w:suppressLineNumbers w:val="0"/>
              <w:spacing w:before="0" w:beforeAutospacing="0" w:after="0" w:afterAutospacing="0"/>
              <w:ind w:left="0" w:right="0"/>
              <w:jc w:val="center"/>
              <w:rPr>
                <w:rFonts w:hint="default"/>
                <w:szCs w:val="21"/>
              </w:rPr>
            </w:pPr>
            <w:r>
              <w:rPr>
                <w:rFonts w:hint="default"/>
                <w:szCs w:val="21"/>
              </w:rPr>
              <w:t>5</w:t>
            </w:r>
          </w:p>
        </w:tc>
        <w:tc>
          <w:tcPr>
            <w:tcW w:w="1245" w:type="pct"/>
            <w:noWrap w:val="0"/>
            <w:vAlign w:val="center"/>
          </w:tcPr>
          <w:p w14:paraId="10DA2A66">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过滤槽</w:t>
            </w:r>
          </w:p>
        </w:tc>
        <w:tc>
          <w:tcPr>
            <w:tcW w:w="1412" w:type="pct"/>
            <w:noWrap w:val="0"/>
            <w:vAlign w:val="center"/>
          </w:tcPr>
          <w:p w14:paraId="7602A5DA">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500L不锈钢</w:t>
            </w:r>
          </w:p>
        </w:tc>
        <w:tc>
          <w:tcPr>
            <w:tcW w:w="1535" w:type="pct"/>
            <w:noWrap w:val="0"/>
            <w:vAlign w:val="center"/>
          </w:tcPr>
          <w:p w14:paraId="7772E762">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w:t>
            </w:r>
          </w:p>
        </w:tc>
        <w:tc>
          <w:tcPr>
            <w:tcW w:w="430" w:type="pct"/>
            <w:noWrap w:val="0"/>
            <w:vAlign w:val="center"/>
          </w:tcPr>
          <w:p w14:paraId="4391640C">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2个</w:t>
            </w:r>
          </w:p>
        </w:tc>
      </w:tr>
      <w:tr w14:paraId="65931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73D9E4D4">
            <w:pPr>
              <w:keepNext w:val="0"/>
              <w:keepLines w:val="0"/>
              <w:suppressLineNumbers w:val="0"/>
              <w:spacing w:before="0" w:beforeAutospacing="0" w:after="0" w:afterAutospacing="0"/>
              <w:ind w:left="0" w:right="0"/>
              <w:jc w:val="center"/>
              <w:rPr>
                <w:rFonts w:hint="default"/>
                <w:szCs w:val="21"/>
              </w:rPr>
            </w:pPr>
            <w:r>
              <w:rPr>
                <w:rFonts w:hint="default"/>
                <w:szCs w:val="21"/>
              </w:rPr>
              <w:t>6</w:t>
            </w:r>
          </w:p>
        </w:tc>
        <w:tc>
          <w:tcPr>
            <w:tcW w:w="1245" w:type="pct"/>
            <w:noWrap w:val="0"/>
            <w:vAlign w:val="center"/>
          </w:tcPr>
          <w:p w14:paraId="24A847DA">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真空泵</w:t>
            </w:r>
          </w:p>
        </w:tc>
        <w:tc>
          <w:tcPr>
            <w:tcW w:w="1412" w:type="pct"/>
            <w:noWrap w:val="0"/>
            <w:vAlign w:val="center"/>
          </w:tcPr>
          <w:p w14:paraId="6F8465A1">
            <w:pPr>
              <w:keepNext w:val="0"/>
              <w:keepLines w:val="0"/>
              <w:suppressLineNumbers w:val="0"/>
              <w:spacing w:before="0" w:beforeAutospacing="0" w:after="0" w:afterAutospacing="0"/>
              <w:ind w:left="0" w:right="0"/>
              <w:jc w:val="center"/>
              <w:rPr>
                <w:rFonts w:hint="default" w:ascii="宋体" w:hAnsi="宋体" w:cs="宋体"/>
                <w:sz w:val="24"/>
              </w:rPr>
            </w:pPr>
          </w:p>
        </w:tc>
        <w:tc>
          <w:tcPr>
            <w:tcW w:w="1535" w:type="pct"/>
            <w:noWrap w:val="0"/>
            <w:vAlign w:val="center"/>
          </w:tcPr>
          <w:p w14:paraId="19229D6F">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不锈钢</w:t>
            </w:r>
          </w:p>
        </w:tc>
        <w:tc>
          <w:tcPr>
            <w:tcW w:w="430" w:type="pct"/>
            <w:noWrap w:val="0"/>
            <w:vAlign w:val="center"/>
          </w:tcPr>
          <w:p w14:paraId="1E20D376">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3台</w:t>
            </w:r>
          </w:p>
        </w:tc>
      </w:tr>
      <w:tr w14:paraId="295BC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5C70620E">
            <w:pPr>
              <w:keepNext w:val="0"/>
              <w:keepLines w:val="0"/>
              <w:suppressLineNumbers w:val="0"/>
              <w:spacing w:before="0" w:beforeAutospacing="0" w:after="0" w:afterAutospacing="0"/>
              <w:ind w:left="0" w:right="0"/>
              <w:jc w:val="center"/>
              <w:rPr>
                <w:rFonts w:hint="default"/>
                <w:szCs w:val="21"/>
              </w:rPr>
            </w:pPr>
            <w:r>
              <w:rPr>
                <w:rFonts w:hint="default"/>
                <w:szCs w:val="21"/>
              </w:rPr>
              <w:t>7</w:t>
            </w:r>
          </w:p>
        </w:tc>
        <w:tc>
          <w:tcPr>
            <w:tcW w:w="1245" w:type="pct"/>
            <w:noWrap w:val="0"/>
            <w:vAlign w:val="center"/>
          </w:tcPr>
          <w:p w14:paraId="4C49386A">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受器</w:t>
            </w:r>
          </w:p>
        </w:tc>
        <w:tc>
          <w:tcPr>
            <w:tcW w:w="1412" w:type="pct"/>
            <w:noWrap w:val="0"/>
            <w:vAlign w:val="center"/>
          </w:tcPr>
          <w:p w14:paraId="0C13DF79">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2000L</w:t>
            </w:r>
          </w:p>
        </w:tc>
        <w:tc>
          <w:tcPr>
            <w:tcW w:w="1535" w:type="pct"/>
            <w:noWrap w:val="0"/>
            <w:vAlign w:val="center"/>
          </w:tcPr>
          <w:p w14:paraId="448F225D">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碳钢</w:t>
            </w:r>
          </w:p>
        </w:tc>
        <w:tc>
          <w:tcPr>
            <w:tcW w:w="430" w:type="pct"/>
            <w:noWrap w:val="0"/>
            <w:vAlign w:val="center"/>
          </w:tcPr>
          <w:p w14:paraId="36B1C2DD">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3台</w:t>
            </w:r>
          </w:p>
        </w:tc>
      </w:tr>
      <w:tr w14:paraId="37FA4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51E4F32A">
            <w:pPr>
              <w:keepNext w:val="0"/>
              <w:keepLines w:val="0"/>
              <w:suppressLineNumbers w:val="0"/>
              <w:spacing w:before="0" w:beforeAutospacing="0" w:after="0" w:afterAutospacing="0"/>
              <w:ind w:left="0" w:right="0"/>
              <w:jc w:val="center"/>
              <w:rPr>
                <w:rFonts w:hint="default"/>
                <w:szCs w:val="21"/>
              </w:rPr>
            </w:pPr>
            <w:r>
              <w:rPr>
                <w:rFonts w:hint="default"/>
                <w:szCs w:val="21"/>
              </w:rPr>
              <w:t>8</w:t>
            </w:r>
          </w:p>
        </w:tc>
        <w:tc>
          <w:tcPr>
            <w:tcW w:w="1245" w:type="pct"/>
            <w:noWrap w:val="0"/>
            <w:vAlign w:val="center"/>
          </w:tcPr>
          <w:p w14:paraId="79B3A524">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烘箱</w:t>
            </w:r>
          </w:p>
        </w:tc>
        <w:tc>
          <w:tcPr>
            <w:tcW w:w="1412" w:type="pct"/>
            <w:noWrap w:val="0"/>
            <w:vAlign w:val="center"/>
          </w:tcPr>
          <w:p w14:paraId="0AFDBF9A">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2200*2300*2000</w:t>
            </w:r>
          </w:p>
        </w:tc>
        <w:tc>
          <w:tcPr>
            <w:tcW w:w="1535" w:type="pct"/>
            <w:noWrap w:val="0"/>
            <w:vAlign w:val="center"/>
          </w:tcPr>
          <w:p w14:paraId="0316757F">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不锈钢</w:t>
            </w:r>
          </w:p>
        </w:tc>
        <w:tc>
          <w:tcPr>
            <w:tcW w:w="430" w:type="pct"/>
            <w:noWrap w:val="0"/>
            <w:vAlign w:val="center"/>
          </w:tcPr>
          <w:p w14:paraId="23198002">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2个</w:t>
            </w:r>
          </w:p>
        </w:tc>
      </w:tr>
      <w:tr w14:paraId="52492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2BAF991A">
            <w:pPr>
              <w:keepNext w:val="0"/>
              <w:keepLines w:val="0"/>
              <w:suppressLineNumbers w:val="0"/>
              <w:spacing w:before="0" w:beforeAutospacing="0" w:after="0" w:afterAutospacing="0"/>
              <w:ind w:left="0" w:right="0"/>
              <w:jc w:val="center"/>
              <w:rPr>
                <w:rFonts w:hint="default"/>
                <w:szCs w:val="21"/>
              </w:rPr>
            </w:pPr>
            <w:r>
              <w:rPr>
                <w:rFonts w:hint="default"/>
                <w:szCs w:val="21"/>
              </w:rPr>
              <w:t>9</w:t>
            </w:r>
          </w:p>
        </w:tc>
        <w:tc>
          <w:tcPr>
            <w:tcW w:w="1245" w:type="pct"/>
            <w:noWrap w:val="0"/>
            <w:vAlign w:val="center"/>
          </w:tcPr>
          <w:p w14:paraId="5BB9A7A3">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水洗计量罐</w:t>
            </w:r>
          </w:p>
        </w:tc>
        <w:tc>
          <w:tcPr>
            <w:tcW w:w="1412" w:type="pct"/>
            <w:noWrap w:val="0"/>
            <w:vAlign w:val="center"/>
          </w:tcPr>
          <w:p w14:paraId="0475A0D3">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830*1300</w:t>
            </w:r>
          </w:p>
        </w:tc>
        <w:tc>
          <w:tcPr>
            <w:tcW w:w="1535" w:type="pct"/>
            <w:noWrap w:val="0"/>
            <w:vAlign w:val="center"/>
          </w:tcPr>
          <w:p w14:paraId="7EB3F743">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塑料</w:t>
            </w:r>
          </w:p>
        </w:tc>
        <w:tc>
          <w:tcPr>
            <w:tcW w:w="430" w:type="pct"/>
            <w:noWrap w:val="0"/>
            <w:vAlign w:val="center"/>
          </w:tcPr>
          <w:p w14:paraId="3F204A08">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1个</w:t>
            </w:r>
          </w:p>
        </w:tc>
      </w:tr>
      <w:tr w14:paraId="33D06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0F12D391">
            <w:pPr>
              <w:keepNext w:val="0"/>
              <w:keepLines w:val="0"/>
              <w:suppressLineNumbers w:val="0"/>
              <w:spacing w:before="0" w:beforeAutospacing="0" w:after="0" w:afterAutospacing="0"/>
              <w:ind w:left="0" w:right="0"/>
              <w:jc w:val="center"/>
              <w:rPr>
                <w:rFonts w:hint="default"/>
                <w:szCs w:val="21"/>
              </w:rPr>
            </w:pPr>
            <w:r>
              <w:rPr>
                <w:rFonts w:hint="default"/>
                <w:szCs w:val="21"/>
              </w:rPr>
              <w:t>10</w:t>
            </w:r>
          </w:p>
        </w:tc>
        <w:tc>
          <w:tcPr>
            <w:tcW w:w="1245" w:type="pct"/>
            <w:noWrap w:val="0"/>
            <w:vAlign w:val="center"/>
          </w:tcPr>
          <w:p w14:paraId="6DF97EAC">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陶罐</w:t>
            </w:r>
          </w:p>
        </w:tc>
        <w:tc>
          <w:tcPr>
            <w:tcW w:w="1412" w:type="pct"/>
            <w:noWrap w:val="0"/>
            <w:vAlign w:val="center"/>
          </w:tcPr>
          <w:p w14:paraId="1F9BFC1D">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600*800</w:t>
            </w:r>
          </w:p>
        </w:tc>
        <w:tc>
          <w:tcPr>
            <w:tcW w:w="1535" w:type="pct"/>
            <w:noWrap w:val="0"/>
            <w:vAlign w:val="center"/>
          </w:tcPr>
          <w:p w14:paraId="54859342">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陶瓷</w:t>
            </w:r>
          </w:p>
        </w:tc>
        <w:tc>
          <w:tcPr>
            <w:tcW w:w="430" w:type="pct"/>
            <w:noWrap w:val="0"/>
            <w:vAlign w:val="center"/>
          </w:tcPr>
          <w:p w14:paraId="275CEED7">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1个</w:t>
            </w:r>
          </w:p>
        </w:tc>
      </w:tr>
      <w:tr w14:paraId="5134B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21B5632D">
            <w:pPr>
              <w:keepNext w:val="0"/>
              <w:keepLines w:val="0"/>
              <w:suppressLineNumbers w:val="0"/>
              <w:spacing w:before="0" w:beforeAutospacing="0" w:after="0" w:afterAutospacing="0"/>
              <w:ind w:left="0" w:right="0"/>
              <w:jc w:val="center"/>
              <w:rPr>
                <w:rFonts w:hint="default"/>
                <w:szCs w:val="21"/>
              </w:rPr>
            </w:pPr>
            <w:r>
              <w:rPr>
                <w:rFonts w:hint="default"/>
                <w:szCs w:val="21"/>
              </w:rPr>
              <w:t>11</w:t>
            </w:r>
          </w:p>
        </w:tc>
        <w:tc>
          <w:tcPr>
            <w:tcW w:w="1245" w:type="pct"/>
            <w:noWrap w:val="0"/>
            <w:vAlign w:val="center"/>
          </w:tcPr>
          <w:p w14:paraId="5B71643A">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陶瓷罐</w:t>
            </w:r>
          </w:p>
        </w:tc>
        <w:tc>
          <w:tcPr>
            <w:tcW w:w="1412" w:type="pct"/>
            <w:noWrap w:val="0"/>
            <w:vAlign w:val="center"/>
          </w:tcPr>
          <w:p w14:paraId="07600438">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850*1400</w:t>
            </w:r>
          </w:p>
        </w:tc>
        <w:tc>
          <w:tcPr>
            <w:tcW w:w="1535" w:type="pct"/>
            <w:noWrap w:val="0"/>
            <w:vAlign w:val="center"/>
          </w:tcPr>
          <w:p w14:paraId="46AAD650">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陶瓷</w:t>
            </w:r>
          </w:p>
        </w:tc>
        <w:tc>
          <w:tcPr>
            <w:tcW w:w="430" w:type="pct"/>
            <w:noWrap w:val="0"/>
            <w:vAlign w:val="center"/>
          </w:tcPr>
          <w:p w14:paraId="72682FD7">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2个</w:t>
            </w:r>
          </w:p>
        </w:tc>
      </w:tr>
      <w:tr w14:paraId="2CC97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5166A803">
            <w:pPr>
              <w:keepNext w:val="0"/>
              <w:keepLines w:val="0"/>
              <w:suppressLineNumbers w:val="0"/>
              <w:spacing w:before="0" w:beforeAutospacing="0" w:after="0" w:afterAutospacing="0"/>
              <w:ind w:left="0" w:right="0"/>
              <w:jc w:val="center"/>
              <w:rPr>
                <w:rFonts w:hint="default"/>
                <w:szCs w:val="21"/>
              </w:rPr>
            </w:pPr>
            <w:r>
              <w:rPr>
                <w:rFonts w:hint="default"/>
                <w:szCs w:val="21"/>
              </w:rPr>
              <w:t>12</w:t>
            </w:r>
          </w:p>
        </w:tc>
        <w:tc>
          <w:tcPr>
            <w:tcW w:w="1245" w:type="pct"/>
            <w:noWrap w:val="0"/>
            <w:vAlign w:val="center"/>
          </w:tcPr>
          <w:p w14:paraId="20EDFBC7">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抽滤槽</w:t>
            </w:r>
          </w:p>
        </w:tc>
        <w:tc>
          <w:tcPr>
            <w:tcW w:w="1412" w:type="pct"/>
            <w:noWrap w:val="0"/>
            <w:vAlign w:val="center"/>
          </w:tcPr>
          <w:p w14:paraId="45EFAF27">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680*680</w:t>
            </w:r>
          </w:p>
        </w:tc>
        <w:tc>
          <w:tcPr>
            <w:tcW w:w="1535" w:type="pct"/>
            <w:noWrap w:val="0"/>
            <w:vAlign w:val="center"/>
          </w:tcPr>
          <w:p w14:paraId="15AA5D0E">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不锈钢</w:t>
            </w:r>
          </w:p>
        </w:tc>
        <w:tc>
          <w:tcPr>
            <w:tcW w:w="430" w:type="pct"/>
            <w:noWrap w:val="0"/>
            <w:vAlign w:val="center"/>
          </w:tcPr>
          <w:p w14:paraId="1E44F9A9">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1个</w:t>
            </w:r>
          </w:p>
        </w:tc>
      </w:tr>
      <w:tr w14:paraId="6B64D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2515D872">
            <w:pPr>
              <w:keepNext w:val="0"/>
              <w:keepLines w:val="0"/>
              <w:suppressLineNumbers w:val="0"/>
              <w:spacing w:before="0" w:beforeAutospacing="0" w:after="0" w:afterAutospacing="0"/>
              <w:ind w:left="0" w:right="0"/>
              <w:jc w:val="center"/>
              <w:rPr>
                <w:rFonts w:hint="default"/>
                <w:szCs w:val="21"/>
              </w:rPr>
            </w:pPr>
            <w:r>
              <w:rPr>
                <w:rFonts w:hint="default"/>
                <w:szCs w:val="21"/>
              </w:rPr>
              <w:t>13</w:t>
            </w:r>
          </w:p>
        </w:tc>
        <w:tc>
          <w:tcPr>
            <w:tcW w:w="1245" w:type="pct"/>
            <w:noWrap w:val="0"/>
            <w:vAlign w:val="center"/>
          </w:tcPr>
          <w:p w14:paraId="3089AB1C">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汽包</w:t>
            </w:r>
          </w:p>
        </w:tc>
        <w:tc>
          <w:tcPr>
            <w:tcW w:w="1412" w:type="pct"/>
            <w:noWrap w:val="0"/>
            <w:vAlign w:val="center"/>
          </w:tcPr>
          <w:p w14:paraId="17143490">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700*1400</w:t>
            </w:r>
          </w:p>
        </w:tc>
        <w:tc>
          <w:tcPr>
            <w:tcW w:w="1535" w:type="pct"/>
            <w:noWrap w:val="0"/>
            <w:vAlign w:val="center"/>
          </w:tcPr>
          <w:p w14:paraId="1C8D439A">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碳钢</w:t>
            </w:r>
          </w:p>
        </w:tc>
        <w:tc>
          <w:tcPr>
            <w:tcW w:w="430" w:type="pct"/>
            <w:noWrap w:val="0"/>
            <w:vAlign w:val="center"/>
          </w:tcPr>
          <w:p w14:paraId="1FD40688">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1个</w:t>
            </w:r>
          </w:p>
        </w:tc>
      </w:tr>
      <w:tr w14:paraId="78E76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7D65B607">
            <w:pPr>
              <w:keepNext w:val="0"/>
              <w:keepLines w:val="0"/>
              <w:suppressLineNumbers w:val="0"/>
              <w:spacing w:before="0" w:beforeAutospacing="0" w:after="0" w:afterAutospacing="0"/>
              <w:ind w:left="0" w:right="0"/>
              <w:jc w:val="center"/>
              <w:rPr>
                <w:rFonts w:hint="default"/>
                <w:szCs w:val="21"/>
              </w:rPr>
            </w:pPr>
            <w:r>
              <w:rPr>
                <w:rFonts w:hint="eastAsia"/>
                <w:szCs w:val="21"/>
              </w:rPr>
              <w:t>14</w:t>
            </w:r>
          </w:p>
        </w:tc>
        <w:tc>
          <w:tcPr>
            <w:tcW w:w="1245" w:type="pct"/>
            <w:noWrap w:val="0"/>
            <w:vAlign w:val="center"/>
          </w:tcPr>
          <w:p w14:paraId="4D7C1953">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软水罐</w:t>
            </w:r>
          </w:p>
        </w:tc>
        <w:tc>
          <w:tcPr>
            <w:tcW w:w="1412" w:type="pct"/>
            <w:noWrap w:val="0"/>
            <w:vAlign w:val="center"/>
          </w:tcPr>
          <w:p w14:paraId="46018EB2">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2000*2100</w:t>
            </w:r>
          </w:p>
        </w:tc>
        <w:tc>
          <w:tcPr>
            <w:tcW w:w="1535" w:type="pct"/>
            <w:noWrap w:val="0"/>
            <w:vAlign w:val="center"/>
          </w:tcPr>
          <w:p w14:paraId="2B049BE1">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塑料</w:t>
            </w:r>
          </w:p>
        </w:tc>
        <w:tc>
          <w:tcPr>
            <w:tcW w:w="430" w:type="pct"/>
            <w:noWrap w:val="0"/>
            <w:vAlign w:val="center"/>
          </w:tcPr>
          <w:p w14:paraId="48AD3D92">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1个</w:t>
            </w:r>
          </w:p>
        </w:tc>
      </w:tr>
      <w:tr w14:paraId="68131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43094DFC">
            <w:pPr>
              <w:keepNext w:val="0"/>
              <w:keepLines w:val="0"/>
              <w:suppressLineNumbers w:val="0"/>
              <w:spacing w:before="0" w:beforeAutospacing="0" w:after="0" w:afterAutospacing="0"/>
              <w:ind w:left="0" w:right="0"/>
              <w:jc w:val="center"/>
              <w:rPr>
                <w:rFonts w:hint="default"/>
                <w:szCs w:val="21"/>
              </w:rPr>
            </w:pPr>
            <w:r>
              <w:rPr>
                <w:rFonts w:hint="eastAsia"/>
                <w:szCs w:val="21"/>
              </w:rPr>
              <w:t>15</w:t>
            </w:r>
          </w:p>
        </w:tc>
        <w:tc>
          <w:tcPr>
            <w:tcW w:w="1245" w:type="pct"/>
            <w:noWrap w:val="0"/>
            <w:vAlign w:val="center"/>
          </w:tcPr>
          <w:p w14:paraId="7C985572">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受器</w:t>
            </w:r>
          </w:p>
        </w:tc>
        <w:tc>
          <w:tcPr>
            <w:tcW w:w="1412" w:type="pct"/>
            <w:noWrap w:val="0"/>
            <w:vAlign w:val="center"/>
          </w:tcPr>
          <w:p w14:paraId="4DD020D1">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500*1100</w:t>
            </w:r>
          </w:p>
        </w:tc>
        <w:tc>
          <w:tcPr>
            <w:tcW w:w="1535" w:type="pct"/>
            <w:noWrap w:val="0"/>
            <w:vAlign w:val="center"/>
          </w:tcPr>
          <w:p w14:paraId="3DC729EF">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碳钢</w:t>
            </w:r>
          </w:p>
        </w:tc>
        <w:tc>
          <w:tcPr>
            <w:tcW w:w="430" w:type="pct"/>
            <w:noWrap w:val="0"/>
            <w:vAlign w:val="center"/>
          </w:tcPr>
          <w:p w14:paraId="30CF69D0">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1台</w:t>
            </w:r>
          </w:p>
        </w:tc>
      </w:tr>
      <w:tr w14:paraId="338F5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4A168245">
            <w:pPr>
              <w:keepNext w:val="0"/>
              <w:keepLines w:val="0"/>
              <w:suppressLineNumbers w:val="0"/>
              <w:spacing w:before="0" w:beforeAutospacing="0" w:after="0" w:afterAutospacing="0"/>
              <w:ind w:left="0" w:right="0"/>
              <w:jc w:val="center"/>
              <w:rPr>
                <w:rFonts w:hint="default"/>
                <w:szCs w:val="21"/>
              </w:rPr>
            </w:pPr>
            <w:r>
              <w:rPr>
                <w:rFonts w:hint="eastAsia"/>
                <w:szCs w:val="21"/>
              </w:rPr>
              <w:t>16</w:t>
            </w:r>
          </w:p>
        </w:tc>
        <w:tc>
          <w:tcPr>
            <w:tcW w:w="1245" w:type="pct"/>
            <w:noWrap w:val="0"/>
            <w:vAlign w:val="center"/>
          </w:tcPr>
          <w:p w14:paraId="05E03C08">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真空泵水槽</w:t>
            </w:r>
          </w:p>
        </w:tc>
        <w:tc>
          <w:tcPr>
            <w:tcW w:w="1412" w:type="pct"/>
            <w:noWrap w:val="0"/>
            <w:vAlign w:val="center"/>
          </w:tcPr>
          <w:p w14:paraId="2629211B">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4300*1200*1880</w:t>
            </w:r>
          </w:p>
        </w:tc>
        <w:tc>
          <w:tcPr>
            <w:tcW w:w="1535" w:type="pct"/>
            <w:noWrap w:val="0"/>
            <w:vAlign w:val="center"/>
          </w:tcPr>
          <w:p w14:paraId="27051289">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PVC</w:t>
            </w:r>
          </w:p>
        </w:tc>
        <w:tc>
          <w:tcPr>
            <w:tcW w:w="430" w:type="pct"/>
            <w:noWrap w:val="0"/>
            <w:vAlign w:val="center"/>
          </w:tcPr>
          <w:p w14:paraId="13C8E3C2">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1个</w:t>
            </w:r>
          </w:p>
        </w:tc>
      </w:tr>
      <w:tr w14:paraId="351AD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5A3707C9">
            <w:pPr>
              <w:keepNext w:val="0"/>
              <w:keepLines w:val="0"/>
              <w:suppressLineNumbers w:val="0"/>
              <w:spacing w:before="0" w:beforeAutospacing="0" w:after="0" w:afterAutospacing="0"/>
              <w:ind w:left="0" w:right="0"/>
              <w:jc w:val="center"/>
              <w:rPr>
                <w:rFonts w:hint="default"/>
                <w:szCs w:val="21"/>
              </w:rPr>
            </w:pPr>
            <w:r>
              <w:rPr>
                <w:rFonts w:hint="eastAsia"/>
                <w:szCs w:val="21"/>
              </w:rPr>
              <w:t>17</w:t>
            </w:r>
          </w:p>
        </w:tc>
        <w:tc>
          <w:tcPr>
            <w:tcW w:w="1245" w:type="pct"/>
            <w:noWrap w:val="0"/>
            <w:vAlign w:val="center"/>
          </w:tcPr>
          <w:p w14:paraId="60860724">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烘干汽包</w:t>
            </w:r>
          </w:p>
        </w:tc>
        <w:tc>
          <w:tcPr>
            <w:tcW w:w="1412" w:type="pct"/>
            <w:noWrap w:val="0"/>
            <w:vAlign w:val="center"/>
          </w:tcPr>
          <w:p w14:paraId="009AB716">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700*1500</w:t>
            </w:r>
          </w:p>
        </w:tc>
        <w:tc>
          <w:tcPr>
            <w:tcW w:w="1535" w:type="pct"/>
            <w:noWrap w:val="0"/>
            <w:vAlign w:val="center"/>
          </w:tcPr>
          <w:p w14:paraId="0A6596A7">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碳钢</w:t>
            </w:r>
          </w:p>
        </w:tc>
        <w:tc>
          <w:tcPr>
            <w:tcW w:w="430" w:type="pct"/>
            <w:noWrap w:val="0"/>
            <w:vAlign w:val="center"/>
          </w:tcPr>
          <w:p w14:paraId="35EED8B3">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1个</w:t>
            </w:r>
          </w:p>
        </w:tc>
      </w:tr>
      <w:tr w14:paraId="5F13E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22622EBF">
            <w:pPr>
              <w:keepNext w:val="0"/>
              <w:keepLines w:val="0"/>
              <w:suppressLineNumbers w:val="0"/>
              <w:spacing w:before="0" w:beforeAutospacing="0" w:after="0" w:afterAutospacing="0"/>
              <w:ind w:left="0" w:right="0"/>
              <w:jc w:val="center"/>
              <w:rPr>
                <w:rFonts w:hint="default"/>
                <w:szCs w:val="21"/>
              </w:rPr>
            </w:pPr>
            <w:r>
              <w:rPr>
                <w:rFonts w:hint="eastAsia"/>
                <w:szCs w:val="21"/>
              </w:rPr>
              <w:t>18</w:t>
            </w:r>
          </w:p>
        </w:tc>
        <w:tc>
          <w:tcPr>
            <w:tcW w:w="1245" w:type="pct"/>
            <w:noWrap w:val="0"/>
            <w:vAlign w:val="center"/>
          </w:tcPr>
          <w:p w14:paraId="2A81B7BC">
            <w:pPr>
              <w:keepNext w:val="0"/>
              <w:keepLines w:val="0"/>
              <w:suppressLineNumbers w:val="0"/>
              <w:spacing w:before="0" w:beforeAutospacing="0" w:after="0" w:afterAutospacing="0"/>
              <w:ind w:left="0" w:right="0"/>
              <w:jc w:val="center"/>
              <w:rPr>
                <w:rFonts w:hint="eastAsia"/>
              </w:rPr>
            </w:pPr>
            <w:r>
              <w:rPr>
                <w:rFonts w:hint="eastAsia"/>
              </w:rPr>
              <w:t>喷淋吸收塔</w:t>
            </w:r>
          </w:p>
        </w:tc>
        <w:tc>
          <w:tcPr>
            <w:tcW w:w="1412" w:type="pct"/>
            <w:noWrap w:val="0"/>
            <w:vAlign w:val="center"/>
          </w:tcPr>
          <w:p w14:paraId="066D1D49">
            <w:pPr>
              <w:keepNext w:val="0"/>
              <w:keepLines w:val="0"/>
              <w:suppressLineNumbers w:val="0"/>
              <w:spacing w:before="0" w:beforeAutospacing="0" w:after="0" w:afterAutospacing="0"/>
              <w:ind w:left="0" w:right="0"/>
              <w:jc w:val="center"/>
              <w:rPr>
                <w:rFonts w:hint="eastAsia"/>
              </w:rPr>
            </w:pPr>
          </w:p>
        </w:tc>
        <w:tc>
          <w:tcPr>
            <w:tcW w:w="1535" w:type="pct"/>
            <w:noWrap w:val="0"/>
            <w:vAlign w:val="center"/>
          </w:tcPr>
          <w:p w14:paraId="1C7619B2">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碳钢</w:t>
            </w:r>
          </w:p>
        </w:tc>
        <w:tc>
          <w:tcPr>
            <w:tcW w:w="430" w:type="pct"/>
            <w:noWrap w:val="0"/>
            <w:vAlign w:val="center"/>
          </w:tcPr>
          <w:p w14:paraId="767F895E">
            <w:pPr>
              <w:keepNext w:val="0"/>
              <w:keepLines w:val="0"/>
              <w:suppressLineNumbers w:val="0"/>
              <w:spacing w:before="0" w:beforeAutospacing="0" w:after="0" w:afterAutospacing="0"/>
              <w:ind w:left="0" w:right="0"/>
              <w:jc w:val="center"/>
              <w:rPr>
                <w:rFonts w:hint="eastAsia"/>
              </w:rPr>
            </w:pPr>
          </w:p>
        </w:tc>
      </w:tr>
      <w:tr w14:paraId="62FAE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5"/>
            <w:tcBorders>
              <w:right w:val="single" w:color="auto" w:sz="2" w:space="0"/>
            </w:tcBorders>
            <w:noWrap w:val="0"/>
            <w:vAlign w:val="center"/>
          </w:tcPr>
          <w:p w14:paraId="1649CB46">
            <w:pPr>
              <w:keepNext w:val="0"/>
              <w:keepLines w:val="0"/>
              <w:suppressLineNumbers w:val="0"/>
              <w:spacing w:before="0" w:beforeAutospacing="0" w:after="0" w:afterAutospacing="0" w:line="360" w:lineRule="exact"/>
              <w:ind w:left="0" w:right="0"/>
              <w:jc w:val="center"/>
              <w:rPr>
                <w:rFonts w:hint="eastAsia"/>
                <w:bCs/>
                <w:szCs w:val="21"/>
              </w:rPr>
            </w:pPr>
            <w:r>
              <w:rPr>
                <w:rFonts w:hint="eastAsia"/>
                <w:bCs/>
                <w:szCs w:val="21"/>
              </w:rPr>
              <w:t>3000t/a磺基水杨酸装置</w:t>
            </w:r>
          </w:p>
        </w:tc>
      </w:tr>
      <w:tr w14:paraId="52FF2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226D2EB0">
            <w:pPr>
              <w:keepNext w:val="0"/>
              <w:keepLines w:val="0"/>
              <w:suppressLineNumbers w:val="0"/>
              <w:spacing w:before="0" w:beforeAutospacing="0" w:after="0" w:afterAutospacing="0"/>
              <w:ind w:left="0" w:right="0"/>
              <w:jc w:val="center"/>
              <w:rPr>
                <w:rFonts w:hint="default"/>
                <w:szCs w:val="21"/>
              </w:rPr>
            </w:pPr>
            <w:r>
              <w:rPr>
                <w:rFonts w:hint="default"/>
                <w:szCs w:val="21"/>
              </w:rPr>
              <w:t>1</w:t>
            </w:r>
          </w:p>
        </w:tc>
        <w:tc>
          <w:tcPr>
            <w:tcW w:w="1245" w:type="pct"/>
            <w:noWrap w:val="0"/>
            <w:vAlign w:val="center"/>
          </w:tcPr>
          <w:p w14:paraId="2712391C">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磺化釜</w:t>
            </w:r>
          </w:p>
        </w:tc>
        <w:tc>
          <w:tcPr>
            <w:tcW w:w="1412" w:type="pct"/>
            <w:noWrap w:val="0"/>
            <w:vAlign w:val="center"/>
          </w:tcPr>
          <w:p w14:paraId="242D8579">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6300L</w:t>
            </w:r>
          </w:p>
        </w:tc>
        <w:tc>
          <w:tcPr>
            <w:tcW w:w="1535" w:type="pct"/>
            <w:noWrap w:val="0"/>
            <w:vAlign w:val="center"/>
          </w:tcPr>
          <w:p w14:paraId="584400D9">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搪瓷</w:t>
            </w:r>
          </w:p>
        </w:tc>
        <w:tc>
          <w:tcPr>
            <w:tcW w:w="430" w:type="pct"/>
            <w:noWrap w:val="0"/>
            <w:vAlign w:val="center"/>
          </w:tcPr>
          <w:p w14:paraId="756F3906">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3台</w:t>
            </w:r>
          </w:p>
        </w:tc>
      </w:tr>
      <w:tr w14:paraId="0CB82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6D10478D">
            <w:pPr>
              <w:keepNext w:val="0"/>
              <w:keepLines w:val="0"/>
              <w:suppressLineNumbers w:val="0"/>
              <w:spacing w:before="0" w:beforeAutospacing="0" w:after="0" w:afterAutospacing="0"/>
              <w:ind w:left="0" w:right="0"/>
              <w:jc w:val="center"/>
              <w:rPr>
                <w:rFonts w:hint="default"/>
                <w:szCs w:val="21"/>
              </w:rPr>
            </w:pPr>
            <w:r>
              <w:rPr>
                <w:rFonts w:hint="default"/>
                <w:szCs w:val="21"/>
              </w:rPr>
              <w:t>2</w:t>
            </w:r>
          </w:p>
        </w:tc>
        <w:tc>
          <w:tcPr>
            <w:tcW w:w="1245" w:type="pct"/>
            <w:noWrap w:val="0"/>
            <w:vAlign w:val="center"/>
          </w:tcPr>
          <w:p w14:paraId="217D9652">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结晶釜</w:t>
            </w:r>
          </w:p>
        </w:tc>
        <w:tc>
          <w:tcPr>
            <w:tcW w:w="1412" w:type="pct"/>
            <w:noWrap w:val="0"/>
            <w:vAlign w:val="center"/>
          </w:tcPr>
          <w:p w14:paraId="32B8D484">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6300L</w:t>
            </w:r>
          </w:p>
        </w:tc>
        <w:tc>
          <w:tcPr>
            <w:tcW w:w="1535" w:type="pct"/>
            <w:noWrap w:val="0"/>
            <w:vAlign w:val="center"/>
          </w:tcPr>
          <w:p w14:paraId="35AA0569">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搪瓷</w:t>
            </w:r>
          </w:p>
        </w:tc>
        <w:tc>
          <w:tcPr>
            <w:tcW w:w="430" w:type="pct"/>
            <w:noWrap w:val="0"/>
            <w:vAlign w:val="center"/>
          </w:tcPr>
          <w:p w14:paraId="7C45A2A7">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2台</w:t>
            </w:r>
          </w:p>
        </w:tc>
      </w:tr>
      <w:tr w14:paraId="4B31C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1BD8AF62">
            <w:pPr>
              <w:keepNext w:val="0"/>
              <w:keepLines w:val="0"/>
              <w:suppressLineNumbers w:val="0"/>
              <w:spacing w:before="0" w:beforeAutospacing="0" w:after="0" w:afterAutospacing="0"/>
              <w:ind w:left="0" w:right="0"/>
              <w:jc w:val="center"/>
              <w:rPr>
                <w:rFonts w:hint="default"/>
                <w:szCs w:val="21"/>
              </w:rPr>
            </w:pPr>
            <w:r>
              <w:rPr>
                <w:rFonts w:hint="default"/>
                <w:szCs w:val="21"/>
              </w:rPr>
              <w:t>3</w:t>
            </w:r>
          </w:p>
        </w:tc>
        <w:tc>
          <w:tcPr>
            <w:tcW w:w="1245" w:type="pct"/>
            <w:noWrap w:val="0"/>
            <w:vAlign w:val="center"/>
          </w:tcPr>
          <w:p w14:paraId="121C6F3F">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降温釜</w:t>
            </w:r>
          </w:p>
        </w:tc>
        <w:tc>
          <w:tcPr>
            <w:tcW w:w="1412" w:type="pct"/>
            <w:noWrap w:val="0"/>
            <w:vAlign w:val="center"/>
          </w:tcPr>
          <w:p w14:paraId="0502574E">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6300L</w:t>
            </w:r>
          </w:p>
        </w:tc>
        <w:tc>
          <w:tcPr>
            <w:tcW w:w="1535" w:type="pct"/>
            <w:noWrap w:val="0"/>
            <w:vAlign w:val="center"/>
          </w:tcPr>
          <w:p w14:paraId="6B23EBB0">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搪瓷</w:t>
            </w:r>
          </w:p>
        </w:tc>
        <w:tc>
          <w:tcPr>
            <w:tcW w:w="430" w:type="pct"/>
            <w:noWrap w:val="0"/>
            <w:vAlign w:val="center"/>
          </w:tcPr>
          <w:p w14:paraId="121F8722">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1台</w:t>
            </w:r>
          </w:p>
        </w:tc>
      </w:tr>
      <w:tr w14:paraId="59996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66686B17">
            <w:pPr>
              <w:keepNext w:val="0"/>
              <w:keepLines w:val="0"/>
              <w:suppressLineNumbers w:val="0"/>
              <w:spacing w:before="0" w:beforeAutospacing="0" w:after="0" w:afterAutospacing="0"/>
              <w:ind w:left="0" w:right="0"/>
              <w:jc w:val="center"/>
              <w:rPr>
                <w:rFonts w:hint="default"/>
                <w:szCs w:val="21"/>
              </w:rPr>
            </w:pPr>
            <w:r>
              <w:rPr>
                <w:rFonts w:hint="default"/>
                <w:szCs w:val="21"/>
              </w:rPr>
              <w:t>4</w:t>
            </w:r>
          </w:p>
        </w:tc>
        <w:tc>
          <w:tcPr>
            <w:tcW w:w="1245" w:type="pct"/>
            <w:noWrap w:val="0"/>
            <w:vAlign w:val="center"/>
          </w:tcPr>
          <w:p w14:paraId="5CA32D8C">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一母中间罐</w:t>
            </w:r>
          </w:p>
        </w:tc>
        <w:tc>
          <w:tcPr>
            <w:tcW w:w="1412" w:type="pct"/>
            <w:noWrap w:val="0"/>
            <w:vAlign w:val="center"/>
          </w:tcPr>
          <w:p w14:paraId="339FF479">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5 m</w:t>
            </w:r>
            <w:r>
              <w:rPr>
                <w:rFonts w:hint="eastAsia"/>
                <w:vertAlign w:val="superscript"/>
              </w:rPr>
              <w:t>3</w:t>
            </w:r>
          </w:p>
        </w:tc>
        <w:tc>
          <w:tcPr>
            <w:tcW w:w="1535" w:type="pct"/>
            <w:noWrap w:val="0"/>
            <w:vAlign w:val="center"/>
          </w:tcPr>
          <w:p w14:paraId="15816FAD">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塑料</w:t>
            </w:r>
          </w:p>
        </w:tc>
        <w:tc>
          <w:tcPr>
            <w:tcW w:w="430" w:type="pct"/>
            <w:noWrap w:val="0"/>
            <w:vAlign w:val="center"/>
          </w:tcPr>
          <w:p w14:paraId="7C9BBE93">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1个</w:t>
            </w:r>
          </w:p>
        </w:tc>
      </w:tr>
      <w:tr w14:paraId="2D8E1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5D32BCC3">
            <w:pPr>
              <w:keepNext w:val="0"/>
              <w:keepLines w:val="0"/>
              <w:suppressLineNumbers w:val="0"/>
              <w:spacing w:before="0" w:beforeAutospacing="0" w:after="0" w:afterAutospacing="0"/>
              <w:ind w:left="0" w:right="0"/>
              <w:jc w:val="center"/>
              <w:rPr>
                <w:rFonts w:hint="default"/>
                <w:szCs w:val="21"/>
              </w:rPr>
            </w:pPr>
            <w:r>
              <w:rPr>
                <w:rFonts w:hint="default"/>
                <w:szCs w:val="21"/>
              </w:rPr>
              <w:t>5</w:t>
            </w:r>
          </w:p>
        </w:tc>
        <w:tc>
          <w:tcPr>
            <w:tcW w:w="1245" w:type="pct"/>
            <w:noWrap w:val="0"/>
            <w:vAlign w:val="center"/>
          </w:tcPr>
          <w:p w14:paraId="0CCC71E3">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二母中间罐</w:t>
            </w:r>
          </w:p>
        </w:tc>
        <w:tc>
          <w:tcPr>
            <w:tcW w:w="1412" w:type="pct"/>
            <w:noWrap w:val="0"/>
            <w:vAlign w:val="center"/>
          </w:tcPr>
          <w:p w14:paraId="29EA75F7">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5 m</w:t>
            </w:r>
            <w:r>
              <w:rPr>
                <w:rFonts w:hint="eastAsia"/>
                <w:vertAlign w:val="superscript"/>
              </w:rPr>
              <w:t>3</w:t>
            </w:r>
          </w:p>
        </w:tc>
        <w:tc>
          <w:tcPr>
            <w:tcW w:w="1535" w:type="pct"/>
            <w:noWrap w:val="0"/>
            <w:vAlign w:val="center"/>
          </w:tcPr>
          <w:p w14:paraId="7D40B6B2">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塑料</w:t>
            </w:r>
          </w:p>
        </w:tc>
        <w:tc>
          <w:tcPr>
            <w:tcW w:w="430" w:type="pct"/>
            <w:noWrap w:val="0"/>
            <w:vAlign w:val="center"/>
          </w:tcPr>
          <w:p w14:paraId="65BC1F3C">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1个</w:t>
            </w:r>
          </w:p>
        </w:tc>
      </w:tr>
      <w:tr w14:paraId="52761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36074E65">
            <w:pPr>
              <w:keepNext w:val="0"/>
              <w:keepLines w:val="0"/>
              <w:suppressLineNumbers w:val="0"/>
              <w:spacing w:before="0" w:beforeAutospacing="0" w:after="0" w:afterAutospacing="0"/>
              <w:ind w:left="0" w:right="0"/>
              <w:jc w:val="center"/>
              <w:rPr>
                <w:rFonts w:hint="default"/>
                <w:szCs w:val="21"/>
              </w:rPr>
            </w:pPr>
            <w:r>
              <w:rPr>
                <w:rFonts w:hint="default"/>
                <w:szCs w:val="21"/>
              </w:rPr>
              <w:t>6</w:t>
            </w:r>
          </w:p>
        </w:tc>
        <w:tc>
          <w:tcPr>
            <w:tcW w:w="1245" w:type="pct"/>
            <w:noWrap w:val="0"/>
            <w:vAlign w:val="center"/>
          </w:tcPr>
          <w:p w14:paraId="655C8516">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一母受器</w:t>
            </w:r>
          </w:p>
        </w:tc>
        <w:tc>
          <w:tcPr>
            <w:tcW w:w="1412" w:type="pct"/>
            <w:noWrap w:val="0"/>
            <w:vAlign w:val="center"/>
          </w:tcPr>
          <w:p w14:paraId="53F8A8D7">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2.3 m</w:t>
            </w:r>
            <w:r>
              <w:rPr>
                <w:rFonts w:hint="eastAsia"/>
                <w:vertAlign w:val="superscript"/>
              </w:rPr>
              <w:t>3</w:t>
            </w:r>
          </w:p>
        </w:tc>
        <w:tc>
          <w:tcPr>
            <w:tcW w:w="1535" w:type="pct"/>
            <w:noWrap w:val="0"/>
            <w:vAlign w:val="center"/>
          </w:tcPr>
          <w:p w14:paraId="31B3FE1E">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搪瓷</w:t>
            </w:r>
          </w:p>
        </w:tc>
        <w:tc>
          <w:tcPr>
            <w:tcW w:w="430" w:type="pct"/>
            <w:noWrap w:val="0"/>
            <w:vAlign w:val="center"/>
          </w:tcPr>
          <w:p w14:paraId="79A83773">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1台</w:t>
            </w:r>
          </w:p>
        </w:tc>
      </w:tr>
      <w:tr w14:paraId="76B5D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3B068FB9">
            <w:pPr>
              <w:keepNext w:val="0"/>
              <w:keepLines w:val="0"/>
              <w:suppressLineNumbers w:val="0"/>
              <w:spacing w:before="0" w:beforeAutospacing="0" w:after="0" w:afterAutospacing="0"/>
              <w:ind w:left="0" w:right="0"/>
              <w:jc w:val="center"/>
              <w:rPr>
                <w:rFonts w:hint="default"/>
                <w:szCs w:val="21"/>
              </w:rPr>
            </w:pPr>
            <w:r>
              <w:rPr>
                <w:rFonts w:hint="default"/>
                <w:szCs w:val="21"/>
              </w:rPr>
              <w:t>7</w:t>
            </w:r>
          </w:p>
        </w:tc>
        <w:tc>
          <w:tcPr>
            <w:tcW w:w="1245" w:type="pct"/>
            <w:noWrap w:val="0"/>
            <w:vAlign w:val="center"/>
          </w:tcPr>
          <w:p w14:paraId="114962A9">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二母受器</w:t>
            </w:r>
          </w:p>
        </w:tc>
        <w:tc>
          <w:tcPr>
            <w:tcW w:w="1412" w:type="pct"/>
            <w:noWrap w:val="0"/>
            <w:vAlign w:val="center"/>
          </w:tcPr>
          <w:p w14:paraId="06BEDAD0">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2.3 m</w:t>
            </w:r>
            <w:r>
              <w:rPr>
                <w:rFonts w:hint="eastAsia"/>
                <w:vertAlign w:val="superscript"/>
              </w:rPr>
              <w:t>3</w:t>
            </w:r>
          </w:p>
        </w:tc>
        <w:tc>
          <w:tcPr>
            <w:tcW w:w="1535" w:type="pct"/>
            <w:noWrap w:val="0"/>
            <w:vAlign w:val="center"/>
          </w:tcPr>
          <w:p w14:paraId="6CAC43DE">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搪瓷</w:t>
            </w:r>
          </w:p>
        </w:tc>
        <w:tc>
          <w:tcPr>
            <w:tcW w:w="430" w:type="pct"/>
            <w:noWrap w:val="0"/>
            <w:vAlign w:val="center"/>
          </w:tcPr>
          <w:p w14:paraId="37151BCF">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1台</w:t>
            </w:r>
          </w:p>
        </w:tc>
      </w:tr>
      <w:tr w14:paraId="04844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6D6DCC16">
            <w:pPr>
              <w:keepNext w:val="0"/>
              <w:keepLines w:val="0"/>
              <w:suppressLineNumbers w:val="0"/>
              <w:spacing w:before="0" w:beforeAutospacing="0" w:after="0" w:afterAutospacing="0"/>
              <w:ind w:left="0" w:right="0"/>
              <w:jc w:val="center"/>
              <w:rPr>
                <w:rFonts w:hint="default"/>
                <w:szCs w:val="21"/>
              </w:rPr>
            </w:pPr>
            <w:r>
              <w:rPr>
                <w:rFonts w:hint="default"/>
                <w:szCs w:val="21"/>
              </w:rPr>
              <w:t>8</w:t>
            </w:r>
          </w:p>
        </w:tc>
        <w:tc>
          <w:tcPr>
            <w:tcW w:w="1245" w:type="pct"/>
            <w:noWrap w:val="0"/>
            <w:vAlign w:val="center"/>
          </w:tcPr>
          <w:p w14:paraId="53724111">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废酸罐</w:t>
            </w:r>
          </w:p>
        </w:tc>
        <w:tc>
          <w:tcPr>
            <w:tcW w:w="1412" w:type="pct"/>
            <w:noWrap w:val="0"/>
            <w:vAlign w:val="center"/>
          </w:tcPr>
          <w:p w14:paraId="347384D3">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16 m</w:t>
            </w:r>
            <w:r>
              <w:rPr>
                <w:rFonts w:hint="eastAsia"/>
                <w:vertAlign w:val="superscript"/>
              </w:rPr>
              <w:t>3</w:t>
            </w:r>
          </w:p>
        </w:tc>
        <w:tc>
          <w:tcPr>
            <w:tcW w:w="1535" w:type="pct"/>
            <w:noWrap w:val="0"/>
            <w:vAlign w:val="center"/>
          </w:tcPr>
          <w:p w14:paraId="5DEF2DBF">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玻璃钢</w:t>
            </w:r>
          </w:p>
        </w:tc>
        <w:tc>
          <w:tcPr>
            <w:tcW w:w="430" w:type="pct"/>
            <w:noWrap w:val="0"/>
            <w:vAlign w:val="center"/>
          </w:tcPr>
          <w:p w14:paraId="3469BDF2">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3个</w:t>
            </w:r>
          </w:p>
        </w:tc>
      </w:tr>
      <w:tr w14:paraId="491A4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78A0B76C">
            <w:pPr>
              <w:keepNext w:val="0"/>
              <w:keepLines w:val="0"/>
              <w:suppressLineNumbers w:val="0"/>
              <w:spacing w:before="0" w:beforeAutospacing="0" w:after="0" w:afterAutospacing="0"/>
              <w:ind w:left="0" w:right="0"/>
              <w:jc w:val="center"/>
              <w:rPr>
                <w:rFonts w:hint="default"/>
                <w:szCs w:val="21"/>
              </w:rPr>
            </w:pPr>
            <w:r>
              <w:rPr>
                <w:rFonts w:hint="default"/>
                <w:szCs w:val="21"/>
              </w:rPr>
              <w:t>9</w:t>
            </w:r>
          </w:p>
        </w:tc>
        <w:tc>
          <w:tcPr>
            <w:tcW w:w="1245" w:type="pct"/>
            <w:noWrap w:val="0"/>
            <w:vAlign w:val="center"/>
          </w:tcPr>
          <w:p w14:paraId="2F697A99">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硫酸计量罐</w:t>
            </w:r>
          </w:p>
        </w:tc>
        <w:tc>
          <w:tcPr>
            <w:tcW w:w="1412" w:type="pct"/>
            <w:noWrap w:val="0"/>
            <w:vAlign w:val="center"/>
          </w:tcPr>
          <w:p w14:paraId="0A90F05B">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2 m</w:t>
            </w:r>
            <w:r>
              <w:rPr>
                <w:rFonts w:hint="eastAsia"/>
                <w:vertAlign w:val="superscript"/>
              </w:rPr>
              <w:t>3</w:t>
            </w:r>
          </w:p>
        </w:tc>
        <w:tc>
          <w:tcPr>
            <w:tcW w:w="1535" w:type="pct"/>
            <w:noWrap w:val="0"/>
            <w:vAlign w:val="center"/>
          </w:tcPr>
          <w:p w14:paraId="7E007414">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碳钢</w:t>
            </w:r>
          </w:p>
        </w:tc>
        <w:tc>
          <w:tcPr>
            <w:tcW w:w="430" w:type="pct"/>
            <w:noWrap w:val="0"/>
            <w:vAlign w:val="center"/>
          </w:tcPr>
          <w:p w14:paraId="0BBF3BD1">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1个</w:t>
            </w:r>
          </w:p>
        </w:tc>
      </w:tr>
      <w:tr w14:paraId="630BB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69F4672E">
            <w:pPr>
              <w:keepNext w:val="0"/>
              <w:keepLines w:val="0"/>
              <w:suppressLineNumbers w:val="0"/>
              <w:spacing w:before="0" w:beforeAutospacing="0" w:after="0" w:afterAutospacing="0"/>
              <w:ind w:left="0" w:right="0"/>
              <w:jc w:val="center"/>
              <w:rPr>
                <w:rFonts w:hint="default"/>
                <w:szCs w:val="21"/>
              </w:rPr>
            </w:pPr>
            <w:r>
              <w:rPr>
                <w:rFonts w:hint="default"/>
                <w:szCs w:val="21"/>
              </w:rPr>
              <w:t>10</w:t>
            </w:r>
          </w:p>
        </w:tc>
        <w:tc>
          <w:tcPr>
            <w:tcW w:w="1245" w:type="pct"/>
            <w:noWrap w:val="0"/>
            <w:vAlign w:val="center"/>
          </w:tcPr>
          <w:p w14:paraId="29B870E9">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硫酸储罐</w:t>
            </w:r>
          </w:p>
        </w:tc>
        <w:tc>
          <w:tcPr>
            <w:tcW w:w="1412" w:type="pct"/>
            <w:noWrap w:val="0"/>
            <w:vAlign w:val="center"/>
          </w:tcPr>
          <w:p w14:paraId="78DF1DA8">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60 m</w:t>
            </w:r>
            <w:r>
              <w:rPr>
                <w:rFonts w:hint="eastAsia"/>
                <w:vertAlign w:val="superscript"/>
              </w:rPr>
              <w:t>3</w:t>
            </w:r>
          </w:p>
        </w:tc>
        <w:tc>
          <w:tcPr>
            <w:tcW w:w="1535" w:type="pct"/>
            <w:noWrap w:val="0"/>
            <w:vAlign w:val="center"/>
          </w:tcPr>
          <w:p w14:paraId="6934467D">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碳钢</w:t>
            </w:r>
          </w:p>
        </w:tc>
        <w:tc>
          <w:tcPr>
            <w:tcW w:w="430" w:type="pct"/>
            <w:noWrap w:val="0"/>
            <w:vAlign w:val="center"/>
          </w:tcPr>
          <w:p w14:paraId="7F7E0557">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1个</w:t>
            </w:r>
          </w:p>
        </w:tc>
      </w:tr>
      <w:tr w14:paraId="3CA19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77D42349">
            <w:pPr>
              <w:keepNext w:val="0"/>
              <w:keepLines w:val="0"/>
              <w:suppressLineNumbers w:val="0"/>
              <w:spacing w:before="0" w:beforeAutospacing="0" w:after="0" w:afterAutospacing="0"/>
              <w:ind w:left="0" w:right="0"/>
              <w:jc w:val="center"/>
              <w:rPr>
                <w:rFonts w:hint="default"/>
                <w:szCs w:val="21"/>
              </w:rPr>
            </w:pPr>
            <w:r>
              <w:rPr>
                <w:rFonts w:hint="default"/>
                <w:szCs w:val="21"/>
              </w:rPr>
              <w:t>11</w:t>
            </w:r>
          </w:p>
        </w:tc>
        <w:tc>
          <w:tcPr>
            <w:tcW w:w="1245" w:type="pct"/>
            <w:noWrap w:val="0"/>
            <w:vAlign w:val="center"/>
          </w:tcPr>
          <w:p w14:paraId="18E3413A">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一母计量罐</w:t>
            </w:r>
          </w:p>
        </w:tc>
        <w:tc>
          <w:tcPr>
            <w:tcW w:w="1412" w:type="pct"/>
            <w:noWrap w:val="0"/>
            <w:vAlign w:val="center"/>
          </w:tcPr>
          <w:p w14:paraId="6EC573A2">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1.5 m</w:t>
            </w:r>
            <w:r>
              <w:rPr>
                <w:rFonts w:hint="eastAsia"/>
                <w:vertAlign w:val="superscript"/>
              </w:rPr>
              <w:t>3</w:t>
            </w:r>
          </w:p>
        </w:tc>
        <w:tc>
          <w:tcPr>
            <w:tcW w:w="1535" w:type="pct"/>
            <w:noWrap w:val="0"/>
            <w:vAlign w:val="center"/>
          </w:tcPr>
          <w:p w14:paraId="7E3AABBB">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塑料</w:t>
            </w:r>
          </w:p>
        </w:tc>
        <w:tc>
          <w:tcPr>
            <w:tcW w:w="430" w:type="pct"/>
            <w:noWrap w:val="0"/>
            <w:vAlign w:val="center"/>
          </w:tcPr>
          <w:p w14:paraId="3A429E0F">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1个</w:t>
            </w:r>
          </w:p>
        </w:tc>
      </w:tr>
      <w:tr w14:paraId="553B2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5AFCCD66">
            <w:pPr>
              <w:keepNext w:val="0"/>
              <w:keepLines w:val="0"/>
              <w:suppressLineNumbers w:val="0"/>
              <w:spacing w:before="0" w:beforeAutospacing="0" w:after="0" w:afterAutospacing="0"/>
              <w:ind w:left="0" w:right="0"/>
              <w:jc w:val="center"/>
              <w:rPr>
                <w:rFonts w:hint="default"/>
                <w:szCs w:val="21"/>
              </w:rPr>
            </w:pPr>
            <w:r>
              <w:rPr>
                <w:rFonts w:hint="default"/>
                <w:szCs w:val="21"/>
              </w:rPr>
              <w:t>12</w:t>
            </w:r>
          </w:p>
        </w:tc>
        <w:tc>
          <w:tcPr>
            <w:tcW w:w="1245" w:type="pct"/>
            <w:noWrap w:val="0"/>
            <w:vAlign w:val="center"/>
          </w:tcPr>
          <w:p w14:paraId="7B8AC145">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二母计量罐</w:t>
            </w:r>
          </w:p>
        </w:tc>
        <w:tc>
          <w:tcPr>
            <w:tcW w:w="1412" w:type="pct"/>
            <w:noWrap w:val="0"/>
            <w:vAlign w:val="center"/>
          </w:tcPr>
          <w:p w14:paraId="322434FD">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1.5 m</w:t>
            </w:r>
            <w:r>
              <w:rPr>
                <w:rFonts w:hint="eastAsia"/>
                <w:vertAlign w:val="superscript"/>
              </w:rPr>
              <w:t>3</w:t>
            </w:r>
          </w:p>
        </w:tc>
        <w:tc>
          <w:tcPr>
            <w:tcW w:w="1535" w:type="pct"/>
            <w:noWrap w:val="0"/>
            <w:vAlign w:val="center"/>
          </w:tcPr>
          <w:p w14:paraId="47D65C84">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塑料</w:t>
            </w:r>
          </w:p>
        </w:tc>
        <w:tc>
          <w:tcPr>
            <w:tcW w:w="430" w:type="pct"/>
            <w:noWrap w:val="0"/>
            <w:vAlign w:val="center"/>
          </w:tcPr>
          <w:p w14:paraId="50D1ADB8">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1个</w:t>
            </w:r>
          </w:p>
        </w:tc>
      </w:tr>
      <w:tr w14:paraId="69493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7F5E8573">
            <w:pPr>
              <w:keepNext w:val="0"/>
              <w:keepLines w:val="0"/>
              <w:suppressLineNumbers w:val="0"/>
              <w:spacing w:before="0" w:beforeAutospacing="0" w:after="0" w:afterAutospacing="0"/>
              <w:ind w:left="0" w:right="0"/>
              <w:jc w:val="center"/>
              <w:rPr>
                <w:rFonts w:hint="default"/>
                <w:szCs w:val="21"/>
              </w:rPr>
            </w:pPr>
            <w:r>
              <w:rPr>
                <w:rFonts w:hint="default"/>
                <w:szCs w:val="21"/>
              </w:rPr>
              <w:t>13</w:t>
            </w:r>
          </w:p>
        </w:tc>
        <w:tc>
          <w:tcPr>
            <w:tcW w:w="1245" w:type="pct"/>
            <w:noWrap w:val="0"/>
            <w:vAlign w:val="center"/>
          </w:tcPr>
          <w:p w14:paraId="2B2A6FA8">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碱液喷淋吸收塔</w:t>
            </w:r>
          </w:p>
        </w:tc>
        <w:tc>
          <w:tcPr>
            <w:tcW w:w="1412" w:type="pct"/>
            <w:noWrap w:val="0"/>
            <w:vAlign w:val="center"/>
          </w:tcPr>
          <w:p w14:paraId="0C7B5270">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8450*2500</w:t>
            </w:r>
          </w:p>
        </w:tc>
        <w:tc>
          <w:tcPr>
            <w:tcW w:w="1535" w:type="pct"/>
            <w:noWrap w:val="0"/>
            <w:vAlign w:val="center"/>
          </w:tcPr>
          <w:p w14:paraId="6C8D5D32">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塑料</w:t>
            </w:r>
          </w:p>
        </w:tc>
        <w:tc>
          <w:tcPr>
            <w:tcW w:w="430" w:type="pct"/>
            <w:noWrap w:val="0"/>
            <w:vAlign w:val="center"/>
          </w:tcPr>
          <w:p w14:paraId="3BE7EAF3">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1座</w:t>
            </w:r>
          </w:p>
        </w:tc>
      </w:tr>
      <w:tr w14:paraId="7ED73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1DFCFF02">
            <w:pPr>
              <w:keepNext w:val="0"/>
              <w:keepLines w:val="0"/>
              <w:suppressLineNumbers w:val="0"/>
              <w:spacing w:before="0" w:beforeAutospacing="0" w:after="0" w:afterAutospacing="0"/>
              <w:ind w:left="0" w:right="0"/>
              <w:jc w:val="center"/>
              <w:rPr>
                <w:rFonts w:hint="default"/>
                <w:szCs w:val="21"/>
              </w:rPr>
            </w:pPr>
            <w:r>
              <w:rPr>
                <w:rFonts w:hint="eastAsia"/>
                <w:szCs w:val="21"/>
              </w:rPr>
              <w:t>14</w:t>
            </w:r>
          </w:p>
        </w:tc>
        <w:tc>
          <w:tcPr>
            <w:tcW w:w="1245" w:type="pct"/>
            <w:noWrap w:val="0"/>
            <w:vAlign w:val="center"/>
          </w:tcPr>
          <w:p w14:paraId="5E14B9F1">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一母抽滤槽</w:t>
            </w:r>
          </w:p>
        </w:tc>
        <w:tc>
          <w:tcPr>
            <w:tcW w:w="1412" w:type="pct"/>
            <w:noWrap w:val="0"/>
            <w:vAlign w:val="center"/>
          </w:tcPr>
          <w:p w14:paraId="62577A25">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6.5 m</w:t>
            </w:r>
            <w:r>
              <w:rPr>
                <w:rFonts w:hint="eastAsia"/>
                <w:vertAlign w:val="superscript"/>
              </w:rPr>
              <w:t>3</w:t>
            </w:r>
          </w:p>
        </w:tc>
        <w:tc>
          <w:tcPr>
            <w:tcW w:w="1535" w:type="pct"/>
            <w:noWrap w:val="0"/>
            <w:vAlign w:val="center"/>
          </w:tcPr>
          <w:p w14:paraId="46D1695A">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塑料</w:t>
            </w:r>
          </w:p>
        </w:tc>
        <w:tc>
          <w:tcPr>
            <w:tcW w:w="430" w:type="pct"/>
            <w:noWrap w:val="0"/>
            <w:vAlign w:val="center"/>
          </w:tcPr>
          <w:p w14:paraId="76A9D76A">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2个</w:t>
            </w:r>
          </w:p>
        </w:tc>
      </w:tr>
      <w:tr w14:paraId="11146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47FA93A1">
            <w:pPr>
              <w:keepNext w:val="0"/>
              <w:keepLines w:val="0"/>
              <w:suppressLineNumbers w:val="0"/>
              <w:spacing w:before="0" w:beforeAutospacing="0" w:after="0" w:afterAutospacing="0"/>
              <w:ind w:left="0" w:right="0"/>
              <w:jc w:val="center"/>
              <w:rPr>
                <w:rFonts w:hint="default"/>
                <w:szCs w:val="21"/>
              </w:rPr>
            </w:pPr>
            <w:r>
              <w:rPr>
                <w:rFonts w:hint="eastAsia"/>
                <w:szCs w:val="21"/>
              </w:rPr>
              <w:t>15</w:t>
            </w:r>
          </w:p>
        </w:tc>
        <w:tc>
          <w:tcPr>
            <w:tcW w:w="1245" w:type="pct"/>
            <w:noWrap w:val="0"/>
            <w:vAlign w:val="center"/>
          </w:tcPr>
          <w:p w14:paraId="27275D2C">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二母抽滤槽</w:t>
            </w:r>
          </w:p>
        </w:tc>
        <w:tc>
          <w:tcPr>
            <w:tcW w:w="1412" w:type="pct"/>
            <w:noWrap w:val="0"/>
            <w:vAlign w:val="center"/>
          </w:tcPr>
          <w:p w14:paraId="0B318AE8">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6.5 m</w:t>
            </w:r>
            <w:r>
              <w:rPr>
                <w:rFonts w:hint="eastAsia"/>
                <w:vertAlign w:val="superscript"/>
              </w:rPr>
              <w:t>3</w:t>
            </w:r>
          </w:p>
        </w:tc>
        <w:tc>
          <w:tcPr>
            <w:tcW w:w="1535" w:type="pct"/>
            <w:noWrap w:val="0"/>
            <w:vAlign w:val="center"/>
          </w:tcPr>
          <w:p w14:paraId="46628A25">
            <w:pPr>
              <w:keepNext w:val="0"/>
              <w:keepLines w:val="0"/>
              <w:suppressLineNumbers w:val="0"/>
              <w:spacing w:before="0" w:beforeAutospacing="0" w:after="0" w:afterAutospacing="0" w:line="360" w:lineRule="exact"/>
              <w:ind w:left="0" w:right="0"/>
              <w:jc w:val="center"/>
              <w:rPr>
                <w:rFonts w:hint="default"/>
                <w:bCs/>
                <w:szCs w:val="21"/>
              </w:rPr>
            </w:pPr>
            <w:r>
              <w:rPr>
                <w:rFonts w:hint="eastAsia"/>
                <w:bCs/>
                <w:szCs w:val="21"/>
              </w:rPr>
              <w:t>塑料</w:t>
            </w:r>
          </w:p>
        </w:tc>
        <w:tc>
          <w:tcPr>
            <w:tcW w:w="430" w:type="pct"/>
            <w:noWrap w:val="0"/>
            <w:vAlign w:val="center"/>
          </w:tcPr>
          <w:p w14:paraId="04EC7D34">
            <w:pPr>
              <w:keepNext w:val="0"/>
              <w:keepLines w:val="0"/>
              <w:suppressLineNumbers w:val="0"/>
              <w:spacing w:before="0" w:beforeAutospacing="0" w:after="0" w:afterAutospacing="0"/>
              <w:ind w:left="0" w:right="0"/>
              <w:jc w:val="center"/>
              <w:rPr>
                <w:rFonts w:hint="default" w:ascii="宋体" w:hAnsi="宋体" w:cs="宋体"/>
                <w:sz w:val="24"/>
              </w:rPr>
            </w:pPr>
            <w:r>
              <w:rPr>
                <w:rFonts w:hint="eastAsia"/>
              </w:rPr>
              <w:t>3个</w:t>
            </w:r>
          </w:p>
        </w:tc>
      </w:tr>
      <w:tr w14:paraId="1F80B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5"/>
            <w:noWrap w:val="0"/>
            <w:vAlign w:val="center"/>
          </w:tcPr>
          <w:p w14:paraId="4874CFD3">
            <w:pPr>
              <w:keepNext w:val="0"/>
              <w:keepLines w:val="0"/>
              <w:suppressLineNumbers w:val="0"/>
              <w:spacing w:before="0" w:beforeAutospacing="0" w:after="0" w:afterAutospacing="0"/>
              <w:ind w:left="0" w:right="0"/>
              <w:jc w:val="center"/>
              <w:rPr>
                <w:rFonts w:hint="eastAsia"/>
              </w:rPr>
            </w:pPr>
            <w:r>
              <w:rPr>
                <w:rFonts w:hint="default" w:eastAsia="宋体"/>
                <w:b w:val="0"/>
                <w:sz w:val="21"/>
                <w:szCs w:val="21"/>
              </w:rPr>
              <w:t>5-氯水杨酸</w:t>
            </w:r>
          </w:p>
        </w:tc>
      </w:tr>
      <w:tr w14:paraId="2B8F6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1E7B8A5F">
            <w:pPr>
              <w:keepNext w:val="0"/>
              <w:keepLines w:val="0"/>
              <w:suppressLineNumbers w:val="0"/>
              <w:spacing w:before="0" w:beforeAutospacing="0" w:after="0" w:afterAutospacing="0"/>
              <w:ind w:left="0" w:right="0"/>
              <w:jc w:val="center"/>
              <w:rPr>
                <w:rFonts w:hint="eastAsia" w:eastAsia="宋体"/>
                <w:szCs w:val="21"/>
                <w:lang w:val="en-US" w:eastAsia="zh-CN"/>
              </w:rPr>
            </w:pPr>
            <w:r>
              <w:rPr>
                <w:rFonts w:hint="eastAsia"/>
                <w:szCs w:val="21"/>
                <w:lang w:val="en-US" w:eastAsia="zh-CN"/>
              </w:rPr>
              <w:t>1</w:t>
            </w:r>
          </w:p>
        </w:tc>
        <w:tc>
          <w:tcPr>
            <w:tcW w:w="1245" w:type="pct"/>
            <w:noWrap w:val="0"/>
            <w:vAlign w:val="center"/>
          </w:tcPr>
          <w:p w14:paraId="5128708C">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kern w:val="2"/>
                <w:sz w:val="21"/>
                <w:szCs w:val="21"/>
                <w:lang w:val="en-US" w:eastAsia="zh-CN" w:bidi="ar-SA"/>
              </w:rPr>
            </w:pPr>
            <w:r>
              <w:rPr>
                <w:rFonts w:hint="default"/>
                <w:sz w:val="21"/>
                <w:szCs w:val="21"/>
              </w:rPr>
              <w:t>氯苯循环槽</w:t>
            </w:r>
          </w:p>
        </w:tc>
        <w:tc>
          <w:tcPr>
            <w:tcW w:w="1412" w:type="pct"/>
            <w:noWrap w:val="0"/>
            <w:vAlign w:val="center"/>
          </w:tcPr>
          <w:p w14:paraId="02749A09">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kern w:val="2"/>
                <w:sz w:val="21"/>
                <w:szCs w:val="21"/>
                <w:lang w:val="en-US" w:eastAsia="zh-CN" w:bidi="ar-SA"/>
              </w:rPr>
            </w:pPr>
            <w:r>
              <w:rPr>
                <w:rFonts w:hint="default"/>
                <w:sz w:val="21"/>
                <w:szCs w:val="21"/>
              </w:rPr>
              <w:t>Ø3600×4000</w:t>
            </w:r>
          </w:p>
        </w:tc>
        <w:tc>
          <w:tcPr>
            <w:tcW w:w="1535" w:type="pct"/>
            <w:noWrap w:val="0"/>
            <w:vAlign w:val="center"/>
          </w:tcPr>
          <w:p w14:paraId="55E4C040">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kern w:val="2"/>
                <w:sz w:val="21"/>
                <w:szCs w:val="21"/>
                <w:lang w:val="en-US" w:eastAsia="zh-CN" w:bidi="ar-SA"/>
              </w:rPr>
            </w:pPr>
            <w:r>
              <w:rPr>
                <w:rFonts w:hint="default"/>
                <w:sz w:val="21"/>
                <w:szCs w:val="21"/>
              </w:rPr>
              <w:t>碳钢</w:t>
            </w:r>
          </w:p>
        </w:tc>
        <w:tc>
          <w:tcPr>
            <w:tcW w:w="430" w:type="pct"/>
            <w:noWrap w:val="0"/>
            <w:vAlign w:val="center"/>
          </w:tcPr>
          <w:p w14:paraId="050822D2">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kern w:val="2"/>
                <w:sz w:val="21"/>
                <w:szCs w:val="21"/>
                <w:lang w:val="en-US" w:eastAsia="zh-CN" w:bidi="ar-SA"/>
              </w:rPr>
            </w:pPr>
            <w:r>
              <w:rPr>
                <w:rFonts w:hint="default"/>
                <w:sz w:val="21"/>
                <w:szCs w:val="21"/>
              </w:rPr>
              <w:t>1</w:t>
            </w:r>
          </w:p>
        </w:tc>
      </w:tr>
      <w:tr w14:paraId="1AFF7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35D5463C">
            <w:pPr>
              <w:keepNext w:val="0"/>
              <w:keepLines w:val="0"/>
              <w:suppressLineNumbers w:val="0"/>
              <w:spacing w:before="0" w:beforeAutospacing="0" w:after="0" w:afterAutospacing="0"/>
              <w:ind w:left="0" w:right="0"/>
              <w:jc w:val="center"/>
              <w:rPr>
                <w:rFonts w:hint="eastAsia" w:eastAsia="宋体"/>
                <w:szCs w:val="21"/>
                <w:lang w:val="en-US" w:eastAsia="zh-CN"/>
              </w:rPr>
            </w:pPr>
            <w:r>
              <w:rPr>
                <w:rFonts w:hint="eastAsia"/>
                <w:szCs w:val="21"/>
                <w:lang w:val="en-US" w:eastAsia="zh-CN"/>
              </w:rPr>
              <w:t>2</w:t>
            </w:r>
          </w:p>
        </w:tc>
        <w:tc>
          <w:tcPr>
            <w:tcW w:w="1245" w:type="pct"/>
            <w:noWrap w:val="0"/>
            <w:vAlign w:val="center"/>
          </w:tcPr>
          <w:p w14:paraId="14E6BAF0">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kern w:val="2"/>
                <w:sz w:val="21"/>
                <w:szCs w:val="21"/>
                <w:lang w:val="en-US" w:eastAsia="zh-CN" w:bidi="ar-SA"/>
              </w:rPr>
            </w:pPr>
            <w:r>
              <w:rPr>
                <w:rFonts w:hint="default"/>
                <w:sz w:val="21"/>
                <w:szCs w:val="21"/>
              </w:rPr>
              <w:t>氯苯计量槽</w:t>
            </w:r>
          </w:p>
        </w:tc>
        <w:tc>
          <w:tcPr>
            <w:tcW w:w="1412" w:type="pct"/>
            <w:noWrap w:val="0"/>
            <w:vAlign w:val="center"/>
          </w:tcPr>
          <w:p w14:paraId="12B9B83F">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kern w:val="2"/>
                <w:sz w:val="21"/>
                <w:szCs w:val="21"/>
                <w:lang w:val="en-US" w:eastAsia="zh-CN" w:bidi="ar-SA"/>
              </w:rPr>
            </w:pPr>
            <w:r>
              <w:rPr>
                <w:rFonts w:hint="default"/>
                <w:sz w:val="21"/>
                <w:szCs w:val="21"/>
              </w:rPr>
              <w:t>Ø2000×2000</w:t>
            </w:r>
          </w:p>
        </w:tc>
        <w:tc>
          <w:tcPr>
            <w:tcW w:w="1535" w:type="pct"/>
            <w:noWrap w:val="0"/>
            <w:vAlign w:val="center"/>
          </w:tcPr>
          <w:p w14:paraId="5852016E">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kern w:val="2"/>
                <w:sz w:val="21"/>
                <w:szCs w:val="21"/>
                <w:lang w:val="en-US" w:eastAsia="zh-CN" w:bidi="ar-SA"/>
              </w:rPr>
            </w:pPr>
            <w:r>
              <w:rPr>
                <w:rFonts w:hint="default"/>
                <w:sz w:val="21"/>
                <w:szCs w:val="21"/>
              </w:rPr>
              <w:t>304</w:t>
            </w:r>
          </w:p>
        </w:tc>
        <w:tc>
          <w:tcPr>
            <w:tcW w:w="430" w:type="pct"/>
            <w:noWrap w:val="0"/>
            <w:vAlign w:val="center"/>
          </w:tcPr>
          <w:p w14:paraId="100E9DD9">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kern w:val="2"/>
                <w:sz w:val="21"/>
                <w:szCs w:val="21"/>
                <w:lang w:val="en-US" w:eastAsia="zh-CN" w:bidi="ar-SA"/>
              </w:rPr>
            </w:pPr>
            <w:r>
              <w:rPr>
                <w:rFonts w:hint="default"/>
                <w:sz w:val="21"/>
                <w:szCs w:val="21"/>
              </w:rPr>
              <w:t>1</w:t>
            </w:r>
          </w:p>
        </w:tc>
      </w:tr>
      <w:tr w14:paraId="452CF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1256165D">
            <w:pPr>
              <w:keepNext w:val="0"/>
              <w:keepLines w:val="0"/>
              <w:suppressLineNumbers w:val="0"/>
              <w:spacing w:before="0" w:beforeAutospacing="0" w:after="0" w:afterAutospacing="0"/>
              <w:ind w:left="0" w:right="0"/>
              <w:jc w:val="center"/>
              <w:rPr>
                <w:rFonts w:hint="eastAsia" w:eastAsia="宋体"/>
                <w:szCs w:val="21"/>
                <w:lang w:val="en-US" w:eastAsia="zh-CN"/>
              </w:rPr>
            </w:pPr>
            <w:r>
              <w:rPr>
                <w:rFonts w:hint="eastAsia"/>
                <w:szCs w:val="21"/>
                <w:lang w:val="en-US" w:eastAsia="zh-CN"/>
              </w:rPr>
              <w:t>3</w:t>
            </w:r>
          </w:p>
        </w:tc>
        <w:tc>
          <w:tcPr>
            <w:tcW w:w="1245" w:type="pct"/>
            <w:noWrap w:val="0"/>
            <w:vAlign w:val="center"/>
          </w:tcPr>
          <w:p w14:paraId="4B27A42E">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氯化釜</w:t>
            </w:r>
          </w:p>
        </w:tc>
        <w:tc>
          <w:tcPr>
            <w:tcW w:w="1412" w:type="pct"/>
            <w:noWrap w:val="0"/>
            <w:vAlign w:val="center"/>
          </w:tcPr>
          <w:p w14:paraId="5A9EF4A2">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Ø1900×3042</w:t>
            </w:r>
          </w:p>
        </w:tc>
        <w:tc>
          <w:tcPr>
            <w:tcW w:w="1535" w:type="pct"/>
            <w:noWrap w:val="0"/>
            <w:vAlign w:val="center"/>
          </w:tcPr>
          <w:p w14:paraId="48244E5B">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搪玻璃</w:t>
            </w:r>
          </w:p>
        </w:tc>
        <w:tc>
          <w:tcPr>
            <w:tcW w:w="430" w:type="pct"/>
            <w:noWrap w:val="0"/>
            <w:vAlign w:val="center"/>
          </w:tcPr>
          <w:p w14:paraId="66D02168">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6</w:t>
            </w:r>
          </w:p>
        </w:tc>
      </w:tr>
      <w:tr w14:paraId="7EB5F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56848088">
            <w:pPr>
              <w:keepNext w:val="0"/>
              <w:keepLines w:val="0"/>
              <w:suppressLineNumbers w:val="0"/>
              <w:spacing w:before="0" w:beforeAutospacing="0" w:after="0" w:afterAutospacing="0"/>
              <w:ind w:left="0" w:right="0"/>
              <w:jc w:val="center"/>
              <w:rPr>
                <w:rFonts w:hint="eastAsia" w:eastAsia="宋体"/>
                <w:szCs w:val="21"/>
                <w:lang w:val="en-US" w:eastAsia="zh-CN"/>
              </w:rPr>
            </w:pPr>
            <w:r>
              <w:rPr>
                <w:rFonts w:hint="eastAsia"/>
                <w:szCs w:val="21"/>
                <w:lang w:val="en-US" w:eastAsia="zh-CN"/>
              </w:rPr>
              <w:t>4</w:t>
            </w:r>
          </w:p>
        </w:tc>
        <w:tc>
          <w:tcPr>
            <w:tcW w:w="1245" w:type="pct"/>
            <w:noWrap w:val="0"/>
            <w:vAlign w:val="center"/>
          </w:tcPr>
          <w:p w14:paraId="258E8140">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回流冷凝器</w:t>
            </w:r>
          </w:p>
        </w:tc>
        <w:tc>
          <w:tcPr>
            <w:tcW w:w="1412" w:type="pct"/>
            <w:noWrap w:val="0"/>
            <w:vAlign w:val="center"/>
          </w:tcPr>
          <w:p w14:paraId="61EBE7C1">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Ø600×2200</w:t>
            </w:r>
          </w:p>
        </w:tc>
        <w:tc>
          <w:tcPr>
            <w:tcW w:w="1535" w:type="pct"/>
            <w:noWrap w:val="0"/>
            <w:vAlign w:val="center"/>
          </w:tcPr>
          <w:p w14:paraId="6D87D624">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石墨</w:t>
            </w:r>
          </w:p>
        </w:tc>
        <w:tc>
          <w:tcPr>
            <w:tcW w:w="430" w:type="pct"/>
            <w:noWrap w:val="0"/>
            <w:vAlign w:val="center"/>
          </w:tcPr>
          <w:p w14:paraId="6C0C6111">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6</w:t>
            </w:r>
          </w:p>
        </w:tc>
      </w:tr>
      <w:tr w14:paraId="2593C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3B1051E3">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szCs w:val="21"/>
              </w:rPr>
              <w:t>5</w:t>
            </w:r>
          </w:p>
        </w:tc>
        <w:tc>
          <w:tcPr>
            <w:tcW w:w="1245" w:type="pct"/>
            <w:noWrap w:val="0"/>
            <w:vAlign w:val="center"/>
          </w:tcPr>
          <w:p w14:paraId="51B668D5">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蒸发水接收罐</w:t>
            </w:r>
          </w:p>
        </w:tc>
        <w:tc>
          <w:tcPr>
            <w:tcW w:w="1412" w:type="pct"/>
            <w:noWrap w:val="0"/>
            <w:vAlign w:val="center"/>
          </w:tcPr>
          <w:p w14:paraId="38C624D3">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Ø1300×1500</w:t>
            </w:r>
          </w:p>
        </w:tc>
        <w:tc>
          <w:tcPr>
            <w:tcW w:w="1535" w:type="pct"/>
            <w:noWrap w:val="0"/>
            <w:vAlign w:val="center"/>
          </w:tcPr>
          <w:p w14:paraId="6D658C81">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304</w:t>
            </w:r>
          </w:p>
        </w:tc>
        <w:tc>
          <w:tcPr>
            <w:tcW w:w="430" w:type="pct"/>
            <w:noWrap w:val="0"/>
            <w:vAlign w:val="center"/>
          </w:tcPr>
          <w:p w14:paraId="12ABB1AF">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1</w:t>
            </w:r>
          </w:p>
        </w:tc>
      </w:tr>
      <w:tr w14:paraId="7B793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5D318CBB">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szCs w:val="21"/>
              </w:rPr>
              <w:t>6</w:t>
            </w:r>
          </w:p>
        </w:tc>
        <w:tc>
          <w:tcPr>
            <w:tcW w:w="1245" w:type="pct"/>
            <w:noWrap w:val="0"/>
            <w:vAlign w:val="center"/>
          </w:tcPr>
          <w:p w14:paraId="67F95D65">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深冷冷凝器</w:t>
            </w:r>
          </w:p>
        </w:tc>
        <w:tc>
          <w:tcPr>
            <w:tcW w:w="1412" w:type="pct"/>
            <w:noWrap w:val="0"/>
            <w:vAlign w:val="center"/>
          </w:tcPr>
          <w:p w14:paraId="4E8E925A">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Ø700×4400</w:t>
            </w:r>
          </w:p>
        </w:tc>
        <w:tc>
          <w:tcPr>
            <w:tcW w:w="1535" w:type="pct"/>
            <w:noWrap w:val="0"/>
            <w:vAlign w:val="center"/>
          </w:tcPr>
          <w:p w14:paraId="574A104F">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p>
        </w:tc>
        <w:tc>
          <w:tcPr>
            <w:tcW w:w="430" w:type="pct"/>
            <w:noWrap w:val="0"/>
            <w:vAlign w:val="center"/>
          </w:tcPr>
          <w:p w14:paraId="42E49205">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1</w:t>
            </w:r>
          </w:p>
        </w:tc>
      </w:tr>
      <w:tr w14:paraId="0368A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59FD37F4">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szCs w:val="21"/>
              </w:rPr>
              <w:t>7</w:t>
            </w:r>
          </w:p>
        </w:tc>
        <w:tc>
          <w:tcPr>
            <w:tcW w:w="1245" w:type="pct"/>
            <w:noWrap w:val="0"/>
            <w:vAlign w:val="center"/>
          </w:tcPr>
          <w:p w14:paraId="19974CE7">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氯苯接收罐</w:t>
            </w:r>
          </w:p>
        </w:tc>
        <w:tc>
          <w:tcPr>
            <w:tcW w:w="1412" w:type="pct"/>
            <w:noWrap w:val="0"/>
            <w:vAlign w:val="center"/>
          </w:tcPr>
          <w:p w14:paraId="6F8F5B4B">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Ø1450×2288</w:t>
            </w:r>
          </w:p>
        </w:tc>
        <w:tc>
          <w:tcPr>
            <w:tcW w:w="1535" w:type="pct"/>
            <w:noWrap w:val="0"/>
            <w:vAlign w:val="center"/>
          </w:tcPr>
          <w:p w14:paraId="4785CE4F">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搪玻璃</w:t>
            </w:r>
          </w:p>
        </w:tc>
        <w:tc>
          <w:tcPr>
            <w:tcW w:w="430" w:type="pct"/>
            <w:noWrap w:val="0"/>
            <w:vAlign w:val="center"/>
          </w:tcPr>
          <w:p w14:paraId="38F91E48">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2</w:t>
            </w:r>
          </w:p>
        </w:tc>
      </w:tr>
      <w:tr w14:paraId="6E412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23C32275">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szCs w:val="21"/>
              </w:rPr>
              <w:t>8</w:t>
            </w:r>
          </w:p>
        </w:tc>
        <w:tc>
          <w:tcPr>
            <w:tcW w:w="1245" w:type="pct"/>
            <w:noWrap w:val="0"/>
            <w:vAlign w:val="center"/>
          </w:tcPr>
          <w:p w14:paraId="1A1C67A2">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三合一压滤机</w:t>
            </w:r>
          </w:p>
        </w:tc>
        <w:tc>
          <w:tcPr>
            <w:tcW w:w="1412" w:type="pct"/>
            <w:noWrap w:val="0"/>
            <w:vAlign w:val="center"/>
          </w:tcPr>
          <w:p w14:paraId="3D771F6F">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p>
        </w:tc>
        <w:tc>
          <w:tcPr>
            <w:tcW w:w="1535" w:type="pct"/>
            <w:noWrap w:val="0"/>
            <w:vAlign w:val="center"/>
          </w:tcPr>
          <w:p w14:paraId="5028A4D9">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钛材</w:t>
            </w:r>
          </w:p>
        </w:tc>
        <w:tc>
          <w:tcPr>
            <w:tcW w:w="430" w:type="pct"/>
            <w:noWrap w:val="0"/>
            <w:vAlign w:val="center"/>
          </w:tcPr>
          <w:p w14:paraId="5E723A5B">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2</w:t>
            </w:r>
          </w:p>
        </w:tc>
      </w:tr>
      <w:tr w14:paraId="76946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7E10CE8C">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szCs w:val="21"/>
              </w:rPr>
              <w:t>9</w:t>
            </w:r>
          </w:p>
        </w:tc>
        <w:tc>
          <w:tcPr>
            <w:tcW w:w="1245" w:type="pct"/>
            <w:noWrap w:val="0"/>
            <w:vAlign w:val="center"/>
          </w:tcPr>
          <w:p w14:paraId="5C9DBAD8">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母液处理釜</w:t>
            </w:r>
          </w:p>
        </w:tc>
        <w:tc>
          <w:tcPr>
            <w:tcW w:w="1412" w:type="pct"/>
            <w:noWrap w:val="0"/>
            <w:vAlign w:val="center"/>
          </w:tcPr>
          <w:p w14:paraId="15EAE6E9">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Ø1900×3042</w:t>
            </w:r>
          </w:p>
        </w:tc>
        <w:tc>
          <w:tcPr>
            <w:tcW w:w="1535" w:type="pct"/>
            <w:noWrap w:val="0"/>
            <w:vAlign w:val="center"/>
          </w:tcPr>
          <w:p w14:paraId="5AEE1875">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搪玻璃</w:t>
            </w:r>
          </w:p>
        </w:tc>
        <w:tc>
          <w:tcPr>
            <w:tcW w:w="430" w:type="pct"/>
            <w:noWrap w:val="0"/>
            <w:vAlign w:val="center"/>
          </w:tcPr>
          <w:p w14:paraId="4CEB6C97">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2</w:t>
            </w:r>
          </w:p>
        </w:tc>
      </w:tr>
      <w:tr w14:paraId="70160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4631D986">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szCs w:val="21"/>
              </w:rPr>
              <w:t>10</w:t>
            </w:r>
          </w:p>
        </w:tc>
        <w:tc>
          <w:tcPr>
            <w:tcW w:w="1245" w:type="pct"/>
            <w:noWrap w:val="0"/>
            <w:vAlign w:val="center"/>
          </w:tcPr>
          <w:p w14:paraId="209EA677">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氯苯回收釜</w:t>
            </w:r>
          </w:p>
        </w:tc>
        <w:tc>
          <w:tcPr>
            <w:tcW w:w="1412" w:type="pct"/>
            <w:noWrap w:val="0"/>
            <w:vAlign w:val="center"/>
          </w:tcPr>
          <w:p w14:paraId="1FBE1452">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Ø1900×3042</w:t>
            </w:r>
          </w:p>
        </w:tc>
        <w:tc>
          <w:tcPr>
            <w:tcW w:w="1535" w:type="pct"/>
            <w:noWrap w:val="0"/>
            <w:vAlign w:val="center"/>
          </w:tcPr>
          <w:p w14:paraId="6787D16B">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碳钢</w:t>
            </w:r>
          </w:p>
        </w:tc>
        <w:tc>
          <w:tcPr>
            <w:tcW w:w="430" w:type="pct"/>
            <w:noWrap w:val="0"/>
            <w:vAlign w:val="center"/>
          </w:tcPr>
          <w:p w14:paraId="6E02E3F3">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2</w:t>
            </w:r>
          </w:p>
        </w:tc>
      </w:tr>
      <w:tr w14:paraId="2E00D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56FC463C">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szCs w:val="21"/>
              </w:rPr>
              <w:t>11</w:t>
            </w:r>
          </w:p>
        </w:tc>
        <w:tc>
          <w:tcPr>
            <w:tcW w:w="1245" w:type="pct"/>
            <w:noWrap w:val="0"/>
            <w:vAlign w:val="center"/>
          </w:tcPr>
          <w:p w14:paraId="0B88134C">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氯苯冷凝器</w:t>
            </w:r>
          </w:p>
        </w:tc>
        <w:tc>
          <w:tcPr>
            <w:tcW w:w="1412" w:type="pct"/>
            <w:noWrap w:val="0"/>
            <w:vAlign w:val="center"/>
          </w:tcPr>
          <w:p w14:paraId="2B78D971">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Ø700×4400</w:t>
            </w:r>
          </w:p>
        </w:tc>
        <w:tc>
          <w:tcPr>
            <w:tcW w:w="1535" w:type="pct"/>
            <w:noWrap w:val="0"/>
            <w:vAlign w:val="center"/>
          </w:tcPr>
          <w:p w14:paraId="17E5FD61">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碳钢</w:t>
            </w:r>
          </w:p>
        </w:tc>
        <w:tc>
          <w:tcPr>
            <w:tcW w:w="430" w:type="pct"/>
            <w:noWrap w:val="0"/>
            <w:vAlign w:val="center"/>
          </w:tcPr>
          <w:p w14:paraId="26E071BE">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2</w:t>
            </w:r>
          </w:p>
        </w:tc>
      </w:tr>
      <w:tr w14:paraId="22EAB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0E6B87A4">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szCs w:val="21"/>
              </w:rPr>
              <w:t>12</w:t>
            </w:r>
          </w:p>
        </w:tc>
        <w:tc>
          <w:tcPr>
            <w:tcW w:w="1245" w:type="pct"/>
            <w:noWrap w:val="0"/>
            <w:vAlign w:val="center"/>
          </w:tcPr>
          <w:p w14:paraId="4B2E6E42">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精制釜</w:t>
            </w:r>
          </w:p>
        </w:tc>
        <w:tc>
          <w:tcPr>
            <w:tcW w:w="1412" w:type="pct"/>
            <w:noWrap w:val="0"/>
            <w:vAlign w:val="center"/>
          </w:tcPr>
          <w:p w14:paraId="5C06593F">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Ø2400×4053</w:t>
            </w:r>
          </w:p>
        </w:tc>
        <w:tc>
          <w:tcPr>
            <w:tcW w:w="1535" w:type="pct"/>
            <w:noWrap w:val="0"/>
            <w:vAlign w:val="center"/>
          </w:tcPr>
          <w:p w14:paraId="3DEA7FEE">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搪玻璃</w:t>
            </w:r>
          </w:p>
        </w:tc>
        <w:tc>
          <w:tcPr>
            <w:tcW w:w="430" w:type="pct"/>
            <w:noWrap w:val="0"/>
            <w:vAlign w:val="center"/>
          </w:tcPr>
          <w:p w14:paraId="18429906">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3</w:t>
            </w:r>
          </w:p>
        </w:tc>
      </w:tr>
      <w:tr w14:paraId="2C123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6FA5B5D8">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szCs w:val="21"/>
              </w:rPr>
              <w:t>13</w:t>
            </w:r>
          </w:p>
        </w:tc>
        <w:tc>
          <w:tcPr>
            <w:tcW w:w="1245" w:type="pct"/>
            <w:noWrap w:val="0"/>
            <w:vAlign w:val="center"/>
          </w:tcPr>
          <w:p w14:paraId="6186FFFC">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过桥罐</w:t>
            </w:r>
          </w:p>
        </w:tc>
        <w:tc>
          <w:tcPr>
            <w:tcW w:w="1412" w:type="pct"/>
            <w:noWrap w:val="0"/>
            <w:vAlign w:val="center"/>
          </w:tcPr>
          <w:p w14:paraId="4411C3AF">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Ø2400×4053</w:t>
            </w:r>
          </w:p>
        </w:tc>
        <w:tc>
          <w:tcPr>
            <w:tcW w:w="1535" w:type="pct"/>
            <w:noWrap w:val="0"/>
            <w:vAlign w:val="center"/>
          </w:tcPr>
          <w:p w14:paraId="08FB8B79">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搪玻璃</w:t>
            </w:r>
          </w:p>
        </w:tc>
        <w:tc>
          <w:tcPr>
            <w:tcW w:w="430" w:type="pct"/>
            <w:noWrap w:val="0"/>
            <w:vAlign w:val="center"/>
          </w:tcPr>
          <w:p w14:paraId="1FAAEEE8">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3</w:t>
            </w:r>
          </w:p>
        </w:tc>
      </w:tr>
      <w:tr w14:paraId="523B8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0AD2809E">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eastAsia"/>
                <w:szCs w:val="21"/>
              </w:rPr>
              <w:t>14</w:t>
            </w:r>
          </w:p>
        </w:tc>
        <w:tc>
          <w:tcPr>
            <w:tcW w:w="1245" w:type="pct"/>
            <w:noWrap w:val="0"/>
            <w:vAlign w:val="center"/>
          </w:tcPr>
          <w:p w14:paraId="53567BAC">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精制冷凝器</w:t>
            </w:r>
          </w:p>
        </w:tc>
        <w:tc>
          <w:tcPr>
            <w:tcW w:w="1412" w:type="pct"/>
            <w:noWrap w:val="0"/>
            <w:vAlign w:val="center"/>
          </w:tcPr>
          <w:p w14:paraId="4F08F286">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Ø700×4400</w:t>
            </w:r>
          </w:p>
        </w:tc>
        <w:tc>
          <w:tcPr>
            <w:tcW w:w="1535" w:type="pct"/>
            <w:noWrap w:val="0"/>
            <w:vAlign w:val="center"/>
          </w:tcPr>
          <w:p w14:paraId="63144971">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304</w:t>
            </w:r>
          </w:p>
        </w:tc>
        <w:tc>
          <w:tcPr>
            <w:tcW w:w="430" w:type="pct"/>
            <w:noWrap w:val="0"/>
            <w:vAlign w:val="center"/>
          </w:tcPr>
          <w:p w14:paraId="1422B367">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3</w:t>
            </w:r>
          </w:p>
        </w:tc>
      </w:tr>
      <w:tr w14:paraId="7282F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343E0A93">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eastAsia"/>
                <w:szCs w:val="21"/>
              </w:rPr>
              <w:t>15</w:t>
            </w:r>
          </w:p>
        </w:tc>
        <w:tc>
          <w:tcPr>
            <w:tcW w:w="1245" w:type="pct"/>
            <w:noWrap w:val="0"/>
            <w:vAlign w:val="center"/>
          </w:tcPr>
          <w:p w14:paraId="6B223052">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离心机</w:t>
            </w:r>
          </w:p>
        </w:tc>
        <w:tc>
          <w:tcPr>
            <w:tcW w:w="1412" w:type="pct"/>
            <w:noWrap w:val="0"/>
            <w:vAlign w:val="center"/>
          </w:tcPr>
          <w:p w14:paraId="031946AF">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1600</w:t>
            </w:r>
          </w:p>
        </w:tc>
        <w:tc>
          <w:tcPr>
            <w:tcW w:w="1535" w:type="pct"/>
            <w:noWrap w:val="0"/>
            <w:vAlign w:val="center"/>
          </w:tcPr>
          <w:p w14:paraId="40085DDC">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316L</w:t>
            </w:r>
          </w:p>
        </w:tc>
        <w:tc>
          <w:tcPr>
            <w:tcW w:w="430" w:type="pct"/>
            <w:noWrap w:val="0"/>
            <w:vAlign w:val="center"/>
          </w:tcPr>
          <w:p w14:paraId="2F0635F6">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2</w:t>
            </w:r>
          </w:p>
        </w:tc>
      </w:tr>
      <w:tr w14:paraId="63AB5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71422FAA">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eastAsia"/>
                <w:szCs w:val="21"/>
              </w:rPr>
              <w:t>16</w:t>
            </w:r>
          </w:p>
        </w:tc>
        <w:tc>
          <w:tcPr>
            <w:tcW w:w="1245" w:type="pct"/>
            <w:noWrap w:val="0"/>
            <w:vAlign w:val="center"/>
          </w:tcPr>
          <w:p w14:paraId="4255B01D">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废水沉淀槽</w:t>
            </w:r>
          </w:p>
        </w:tc>
        <w:tc>
          <w:tcPr>
            <w:tcW w:w="1412" w:type="pct"/>
            <w:noWrap w:val="0"/>
            <w:vAlign w:val="center"/>
          </w:tcPr>
          <w:p w14:paraId="3E24C16E">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Ø3600×4000</w:t>
            </w:r>
          </w:p>
        </w:tc>
        <w:tc>
          <w:tcPr>
            <w:tcW w:w="1535" w:type="pct"/>
            <w:noWrap w:val="0"/>
            <w:vAlign w:val="center"/>
          </w:tcPr>
          <w:p w14:paraId="5DDE5953">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PPH</w:t>
            </w:r>
          </w:p>
        </w:tc>
        <w:tc>
          <w:tcPr>
            <w:tcW w:w="430" w:type="pct"/>
            <w:noWrap w:val="0"/>
            <w:vAlign w:val="center"/>
          </w:tcPr>
          <w:p w14:paraId="2F112D7A">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2</w:t>
            </w:r>
          </w:p>
        </w:tc>
      </w:tr>
      <w:tr w14:paraId="65457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02D5FC80">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eastAsia"/>
                <w:szCs w:val="21"/>
              </w:rPr>
              <w:t>17</w:t>
            </w:r>
          </w:p>
        </w:tc>
        <w:tc>
          <w:tcPr>
            <w:tcW w:w="1245" w:type="pct"/>
            <w:noWrap w:val="0"/>
            <w:vAlign w:val="center"/>
          </w:tcPr>
          <w:p w14:paraId="265FFAAE">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干燥机</w:t>
            </w:r>
          </w:p>
        </w:tc>
        <w:tc>
          <w:tcPr>
            <w:tcW w:w="1412" w:type="pct"/>
            <w:noWrap w:val="0"/>
            <w:vAlign w:val="center"/>
          </w:tcPr>
          <w:p w14:paraId="57FEBB0A">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双锥</w:t>
            </w:r>
          </w:p>
        </w:tc>
        <w:tc>
          <w:tcPr>
            <w:tcW w:w="1535" w:type="pct"/>
            <w:noWrap w:val="0"/>
            <w:vAlign w:val="center"/>
          </w:tcPr>
          <w:p w14:paraId="78FDCDC1">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304</w:t>
            </w:r>
          </w:p>
        </w:tc>
        <w:tc>
          <w:tcPr>
            <w:tcW w:w="430" w:type="pct"/>
            <w:noWrap w:val="0"/>
            <w:vAlign w:val="center"/>
          </w:tcPr>
          <w:p w14:paraId="0CD7A5BB">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2</w:t>
            </w:r>
          </w:p>
        </w:tc>
      </w:tr>
      <w:tr w14:paraId="5E629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3C455E63">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eastAsia"/>
                <w:szCs w:val="21"/>
              </w:rPr>
              <w:t>18</w:t>
            </w:r>
          </w:p>
        </w:tc>
        <w:tc>
          <w:tcPr>
            <w:tcW w:w="1245" w:type="pct"/>
            <w:noWrap w:val="0"/>
            <w:vAlign w:val="center"/>
          </w:tcPr>
          <w:p w14:paraId="0A8855A7">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热水收集罐</w:t>
            </w:r>
          </w:p>
        </w:tc>
        <w:tc>
          <w:tcPr>
            <w:tcW w:w="1412" w:type="pct"/>
            <w:noWrap w:val="0"/>
            <w:vAlign w:val="center"/>
          </w:tcPr>
          <w:p w14:paraId="3E1A80FD">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Ø2000×4000</w:t>
            </w:r>
          </w:p>
        </w:tc>
        <w:tc>
          <w:tcPr>
            <w:tcW w:w="1535" w:type="pct"/>
            <w:noWrap w:val="0"/>
            <w:vAlign w:val="center"/>
          </w:tcPr>
          <w:p w14:paraId="2E16D482">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碳钢</w:t>
            </w:r>
          </w:p>
        </w:tc>
        <w:tc>
          <w:tcPr>
            <w:tcW w:w="430" w:type="pct"/>
            <w:noWrap w:val="0"/>
            <w:vAlign w:val="center"/>
          </w:tcPr>
          <w:p w14:paraId="6C212DD3">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1</w:t>
            </w:r>
          </w:p>
        </w:tc>
      </w:tr>
      <w:tr w14:paraId="6EFCB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2378C32B">
            <w:pPr>
              <w:keepNext w:val="0"/>
              <w:keepLines w:val="0"/>
              <w:suppressLineNumbers w:val="0"/>
              <w:spacing w:before="0" w:beforeAutospacing="0" w:after="0" w:afterAutospacing="0"/>
              <w:ind w:left="0" w:right="0"/>
              <w:jc w:val="center"/>
              <w:rPr>
                <w:rFonts w:hint="default" w:eastAsia="宋体"/>
                <w:szCs w:val="21"/>
                <w:lang w:val="en-US" w:eastAsia="zh-CN"/>
              </w:rPr>
            </w:pPr>
            <w:r>
              <w:rPr>
                <w:rFonts w:hint="eastAsia"/>
                <w:szCs w:val="21"/>
                <w:lang w:val="en-US" w:eastAsia="zh-CN"/>
              </w:rPr>
              <w:t>19</w:t>
            </w:r>
          </w:p>
        </w:tc>
        <w:tc>
          <w:tcPr>
            <w:tcW w:w="1245" w:type="pct"/>
            <w:noWrap w:val="0"/>
            <w:vAlign w:val="center"/>
          </w:tcPr>
          <w:p w14:paraId="1225DEC4">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盐酸吸收罐</w:t>
            </w:r>
          </w:p>
        </w:tc>
        <w:tc>
          <w:tcPr>
            <w:tcW w:w="1412" w:type="pct"/>
            <w:noWrap w:val="0"/>
            <w:vAlign w:val="center"/>
          </w:tcPr>
          <w:p w14:paraId="6E5666CA">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Ø1900×3042</w:t>
            </w:r>
          </w:p>
        </w:tc>
        <w:tc>
          <w:tcPr>
            <w:tcW w:w="1535" w:type="pct"/>
            <w:noWrap w:val="0"/>
            <w:vAlign w:val="center"/>
          </w:tcPr>
          <w:p w14:paraId="347B25EC">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搪玻璃</w:t>
            </w:r>
          </w:p>
        </w:tc>
        <w:tc>
          <w:tcPr>
            <w:tcW w:w="430" w:type="pct"/>
            <w:noWrap w:val="0"/>
            <w:vAlign w:val="center"/>
          </w:tcPr>
          <w:p w14:paraId="5A8DDCBC">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2</w:t>
            </w:r>
          </w:p>
        </w:tc>
      </w:tr>
      <w:tr w14:paraId="4A0DC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2669F35F">
            <w:pPr>
              <w:keepNext w:val="0"/>
              <w:keepLines w:val="0"/>
              <w:suppressLineNumbers w:val="0"/>
              <w:spacing w:before="0" w:beforeAutospacing="0" w:after="0" w:afterAutospacing="0"/>
              <w:ind w:left="0" w:right="0"/>
              <w:jc w:val="center"/>
              <w:rPr>
                <w:rFonts w:hint="default" w:eastAsia="宋体"/>
                <w:szCs w:val="21"/>
                <w:lang w:val="en-US" w:eastAsia="zh-CN"/>
              </w:rPr>
            </w:pPr>
            <w:r>
              <w:rPr>
                <w:rFonts w:hint="eastAsia"/>
                <w:szCs w:val="21"/>
                <w:lang w:val="en-US" w:eastAsia="zh-CN"/>
              </w:rPr>
              <w:t>20</w:t>
            </w:r>
          </w:p>
        </w:tc>
        <w:tc>
          <w:tcPr>
            <w:tcW w:w="1245" w:type="pct"/>
            <w:noWrap w:val="0"/>
            <w:vAlign w:val="center"/>
          </w:tcPr>
          <w:p w14:paraId="0CAFA401">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氯苯接收罐</w:t>
            </w:r>
          </w:p>
        </w:tc>
        <w:tc>
          <w:tcPr>
            <w:tcW w:w="1412" w:type="pct"/>
            <w:noWrap w:val="0"/>
            <w:vAlign w:val="center"/>
          </w:tcPr>
          <w:p w14:paraId="0F4358D7">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p>
        </w:tc>
        <w:tc>
          <w:tcPr>
            <w:tcW w:w="1535" w:type="pct"/>
            <w:noWrap w:val="0"/>
            <w:vAlign w:val="center"/>
          </w:tcPr>
          <w:p w14:paraId="6AB56B71">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p>
        </w:tc>
        <w:tc>
          <w:tcPr>
            <w:tcW w:w="430" w:type="pct"/>
            <w:noWrap w:val="0"/>
            <w:vAlign w:val="center"/>
          </w:tcPr>
          <w:p w14:paraId="0965B551">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1</w:t>
            </w:r>
          </w:p>
        </w:tc>
      </w:tr>
      <w:tr w14:paraId="414DD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5"/>
            <w:noWrap w:val="0"/>
            <w:vAlign w:val="center"/>
          </w:tcPr>
          <w:p w14:paraId="4C3E6DD8">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eastAsia="宋体"/>
                <w:b w:val="0"/>
                <w:sz w:val="21"/>
                <w:szCs w:val="21"/>
              </w:rPr>
            </w:pPr>
            <w:r>
              <w:rPr>
                <w:rFonts w:hint="eastAsia" w:eastAsia="宋体"/>
                <w:b w:val="0"/>
                <w:sz w:val="21"/>
                <w:szCs w:val="21"/>
              </w:rPr>
              <w:t>氯硝柳胺</w:t>
            </w:r>
          </w:p>
        </w:tc>
      </w:tr>
      <w:tr w14:paraId="7230F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66FD7602">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eastAsia"/>
                <w:szCs w:val="21"/>
                <w:lang w:val="en-US" w:eastAsia="zh-CN"/>
              </w:rPr>
              <w:t>1</w:t>
            </w:r>
          </w:p>
        </w:tc>
        <w:tc>
          <w:tcPr>
            <w:tcW w:w="1245" w:type="pct"/>
            <w:noWrap w:val="0"/>
            <w:vAlign w:val="center"/>
          </w:tcPr>
          <w:p w14:paraId="4534AAE0">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b w:val="0"/>
                <w:bCs/>
                <w:kern w:val="2"/>
                <w:sz w:val="21"/>
                <w:szCs w:val="21"/>
                <w:lang w:val="en-US" w:eastAsia="zh-CN" w:bidi="ar-SA"/>
              </w:rPr>
            </w:pPr>
            <w:r>
              <w:rPr>
                <w:rFonts w:hint="default" w:eastAsia="宋体"/>
                <w:b w:val="0"/>
                <w:sz w:val="21"/>
                <w:szCs w:val="21"/>
              </w:rPr>
              <w:t>氯苯循环槽</w:t>
            </w:r>
          </w:p>
        </w:tc>
        <w:tc>
          <w:tcPr>
            <w:tcW w:w="1412" w:type="pct"/>
            <w:noWrap w:val="0"/>
            <w:vAlign w:val="center"/>
          </w:tcPr>
          <w:p w14:paraId="3B605FF9">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Ø3600×4000</w:t>
            </w:r>
          </w:p>
        </w:tc>
        <w:tc>
          <w:tcPr>
            <w:tcW w:w="1535" w:type="pct"/>
            <w:noWrap w:val="0"/>
            <w:vAlign w:val="center"/>
          </w:tcPr>
          <w:p w14:paraId="6F9271F3">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　</w:t>
            </w:r>
          </w:p>
        </w:tc>
        <w:tc>
          <w:tcPr>
            <w:tcW w:w="430" w:type="pct"/>
            <w:noWrap w:val="0"/>
            <w:vAlign w:val="center"/>
          </w:tcPr>
          <w:p w14:paraId="636F8D0D">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b w:val="0"/>
                <w:bCs/>
                <w:kern w:val="2"/>
                <w:sz w:val="21"/>
                <w:szCs w:val="21"/>
                <w:lang w:val="en-US" w:eastAsia="zh-CN" w:bidi="ar-SA"/>
              </w:rPr>
            </w:pPr>
            <w:r>
              <w:rPr>
                <w:rFonts w:hint="default" w:eastAsia="宋体"/>
                <w:b w:val="0"/>
                <w:sz w:val="21"/>
                <w:szCs w:val="21"/>
              </w:rPr>
              <w:t>1</w:t>
            </w:r>
          </w:p>
        </w:tc>
      </w:tr>
      <w:tr w14:paraId="59C91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441AC099">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eastAsia"/>
                <w:szCs w:val="21"/>
                <w:lang w:val="en-US" w:eastAsia="zh-CN"/>
              </w:rPr>
              <w:t>2</w:t>
            </w:r>
          </w:p>
        </w:tc>
        <w:tc>
          <w:tcPr>
            <w:tcW w:w="1245" w:type="pct"/>
            <w:noWrap w:val="0"/>
            <w:vAlign w:val="center"/>
          </w:tcPr>
          <w:p w14:paraId="4295AA27">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b w:val="0"/>
                <w:bCs/>
                <w:kern w:val="2"/>
                <w:sz w:val="21"/>
                <w:szCs w:val="21"/>
                <w:lang w:val="en-US" w:eastAsia="zh-CN" w:bidi="ar-SA"/>
              </w:rPr>
            </w:pPr>
            <w:r>
              <w:rPr>
                <w:rFonts w:hint="default" w:eastAsia="宋体"/>
                <w:b w:val="0"/>
                <w:sz w:val="21"/>
                <w:szCs w:val="21"/>
              </w:rPr>
              <w:t>氯苯计量槽</w:t>
            </w:r>
          </w:p>
        </w:tc>
        <w:tc>
          <w:tcPr>
            <w:tcW w:w="1412" w:type="pct"/>
            <w:noWrap w:val="0"/>
            <w:vAlign w:val="center"/>
          </w:tcPr>
          <w:p w14:paraId="72E11E1D">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Ø2600×2500</w:t>
            </w:r>
          </w:p>
        </w:tc>
        <w:tc>
          <w:tcPr>
            <w:tcW w:w="1535" w:type="pct"/>
            <w:noWrap w:val="0"/>
            <w:vAlign w:val="center"/>
          </w:tcPr>
          <w:p w14:paraId="2FE4F51E">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电子秤</w:t>
            </w:r>
          </w:p>
        </w:tc>
        <w:tc>
          <w:tcPr>
            <w:tcW w:w="430" w:type="pct"/>
            <w:noWrap w:val="0"/>
            <w:vAlign w:val="center"/>
          </w:tcPr>
          <w:p w14:paraId="33EE784E">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b w:val="0"/>
                <w:bCs/>
                <w:kern w:val="2"/>
                <w:sz w:val="21"/>
                <w:szCs w:val="21"/>
                <w:lang w:val="en-US" w:eastAsia="zh-CN" w:bidi="ar-SA"/>
              </w:rPr>
            </w:pPr>
            <w:r>
              <w:rPr>
                <w:rFonts w:hint="default" w:eastAsia="宋体"/>
                <w:b w:val="0"/>
                <w:sz w:val="21"/>
                <w:szCs w:val="21"/>
              </w:rPr>
              <w:t>1</w:t>
            </w:r>
          </w:p>
        </w:tc>
      </w:tr>
      <w:tr w14:paraId="2AE1B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2D16FA1C">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eastAsia"/>
                <w:szCs w:val="21"/>
                <w:lang w:val="en-US" w:eastAsia="zh-CN"/>
              </w:rPr>
              <w:t>3</w:t>
            </w:r>
          </w:p>
        </w:tc>
        <w:tc>
          <w:tcPr>
            <w:tcW w:w="1245" w:type="pct"/>
            <w:noWrap w:val="0"/>
            <w:vAlign w:val="center"/>
          </w:tcPr>
          <w:p w14:paraId="44E31B30">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b w:val="0"/>
                <w:bCs/>
                <w:kern w:val="2"/>
                <w:sz w:val="21"/>
                <w:szCs w:val="21"/>
                <w:lang w:val="en-US" w:eastAsia="zh-CN" w:bidi="ar-SA"/>
              </w:rPr>
            </w:pPr>
            <w:r>
              <w:rPr>
                <w:rFonts w:hint="default" w:eastAsia="宋体"/>
                <w:b w:val="0"/>
                <w:sz w:val="21"/>
                <w:szCs w:val="21"/>
              </w:rPr>
              <w:t>三氯氧磷计量槽</w:t>
            </w:r>
          </w:p>
        </w:tc>
        <w:tc>
          <w:tcPr>
            <w:tcW w:w="1412" w:type="pct"/>
            <w:noWrap w:val="0"/>
            <w:vAlign w:val="center"/>
          </w:tcPr>
          <w:p w14:paraId="42CE1C20">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Ø1000×1500</w:t>
            </w:r>
          </w:p>
        </w:tc>
        <w:tc>
          <w:tcPr>
            <w:tcW w:w="1535" w:type="pct"/>
            <w:noWrap w:val="0"/>
            <w:vAlign w:val="center"/>
          </w:tcPr>
          <w:p w14:paraId="37A3C67D">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电子秤</w:t>
            </w:r>
          </w:p>
        </w:tc>
        <w:tc>
          <w:tcPr>
            <w:tcW w:w="430" w:type="pct"/>
            <w:noWrap w:val="0"/>
            <w:vAlign w:val="center"/>
          </w:tcPr>
          <w:p w14:paraId="7FB13BA8">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b w:val="0"/>
                <w:bCs/>
                <w:kern w:val="2"/>
                <w:sz w:val="21"/>
                <w:szCs w:val="21"/>
                <w:lang w:val="en-US" w:eastAsia="zh-CN" w:bidi="ar-SA"/>
              </w:rPr>
            </w:pPr>
            <w:r>
              <w:rPr>
                <w:rFonts w:hint="default" w:eastAsia="宋体"/>
                <w:b w:val="0"/>
                <w:sz w:val="21"/>
                <w:szCs w:val="21"/>
              </w:rPr>
              <w:t>4</w:t>
            </w:r>
          </w:p>
        </w:tc>
      </w:tr>
      <w:tr w14:paraId="553B6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183C3D47">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eastAsia"/>
                <w:szCs w:val="21"/>
                <w:lang w:val="en-US" w:eastAsia="zh-CN"/>
              </w:rPr>
              <w:t>4</w:t>
            </w:r>
          </w:p>
        </w:tc>
        <w:tc>
          <w:tcPr>
            <w:tcW w:w="1245" w:type="pct"/>
            <w:noWrap w:val="0"/>
            <w:vAlign w:val="center"/>
          </w:tcPr>
          <w:p w14:paraId="06FA3E6C">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b w:val="0"/>
                <w:bCs/>
                <w:kern w:val="2"/>
                <w:sz w:val="21"/>
                <w:szCs w:val="21"/>
                <w:lang w:val="en-US" w:eastAsia="zh-CN" w:bidi="ar-SA"/>
              </w:rPr>
            </w:pPr>
            <w:r>
              <w:rPr>
                <w:rFonts w:hint="default" w:eastAsia="宋体"/>
                <w:b w:val="0"/>
                <w:sz w:val="21"/>
                <w:szCs w:val="21"/>
              </w:rPr>
              <w:t>缩合釜</w:t>
            </w:r>
          </w:p>
        </w:tc>
        <w:tc>
          <w:tcPr>
            <w:tcW w:w="1412" w:type="pct"/>
            <w:noWrap w:val="0"/>
            <w:vAlign w:val="center"/>
          </w:tcPr>
          <w:p w14:paraId="41A94955">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Ø2400×3533</w:t>
            </w:r>
          </w:p>
        </w:tc>
        <w:tc>
          <w:tcPr>
            <w:tcW w:w="1535" w:type="pct"/>
            <w:noWrap w:val="0"/>
            <w:vAlign w:val="center"/>
          </w:tcPr>
          <w:p w14:paraId="010D0995">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轴流式搅拌、63r/min、11KW\BT4防爆</w:t>
            </w:r>
          </w:p>
        </w:tc>
        <w:tc>
          <w:tcPr>
            <w:tcW w:w="430" w:type="pct"/>
            <w:noWrap w:val="0"/>
            <w:vAlign w:val="center"/>
          </w:tcPr>
          <w:p w14:paraId="1987ACFD">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b w:val="0"/>
                <w:bCs/>
                <w:kern w:val="2"/>
                <w:sz w:val="21"/>
                <w:szCs w:val="21"/>
                <w:lang w:val="en-US" w:eastAsia="zh-CN" w:bidi="ar-SA"/>
              </w:rPr>
            </w:pPr>
            <w:r>
              <w:rPr>
                <w:rFonts w:hint="default" w:eastAsia="宋体"/>
                <w:b w:val="0"/>
                <w:sz w:val="21"/>
                <w:szCs w:val="21"/>
              </w:rPr>
              <w:t>4</w:t>
            </w:r>
          </w:p>
        </w:tc>
      </w:tr>
      <w:tr w14:paraId="26447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191A1131">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szCs w:val="21"/>
              </w:rPr>
              <w:t>5</w:t>
            </w:r>
          </w:p>
        </w:tc>
        <w:tc>
          <w:tcPr>
            <w:tcW w:w="1245" w:type="pct"/>
            <w:noWrap w:val="0"/>
            <w:vAlign w:val="center"/>
          </w:tcPr>
          <w:p w14:paraId="56744F6E">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b w:val="0"/>
                <w:bCs/>
                <w:kern w:val="2"/>
                <w:sz w:val="21"/>
                <w:szCs w:val="21"/>
                <w:lang w:val="en-US" w:eastAsia="zh-CN" w:bidi="ar-SA"/>
              </w:rPr>
            </w:pPr>
            <w:r>
              <w:rPr>
                <w:rFonts w:hint="default" w:eastAsia="宋体"/>
                <w:b w:val="0"/>
                <w:sz w:val="21"/>
                <w:szCs w:val="21"/>
              </w:rPr>
              <w:t>冷凝器</w:t>
            </w:r>
          </w:p>
        </w:tc>
        <w:tc>
          <w:tcPr>
            <w:tcW w:w="1412" w:type="pct"/>
            <w:noWrap w:val="0"/>
            <w:vAlign w:val="center"/>
          </w:tcPr>
          <w:p w14:paraId="279779C7">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Ø800×2200</w:t>
            </w:r>
          </w:p>
        </w:tc>
        <w:tc>
          <w:tcPr>
            <w:tcW w:w="1535" w:type="pct"/>
            <w:noWrap w:val="0"/>
            <w:vAlign w:val="center"/>
          </w:tcPr>
          <w:p w14:paraId="523845CE">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　</w:t>
            </w:r>
          </w:p>
        </w:tc>
        <w:tc>
          <w:tcPr>
            <w:tcW w:w="430" w:type="pct"/>
            <w:noWrap w:val="0"/>
            <w:vAlign w:val="center"/>
          </w:tcPr>
          <w:p w14:paraId="41A0DBD3">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b w:val="0"/>
                <w:bCs/>
                <w:kern w:val="2"/>
                <w:sz w:val="21"/>
                <w:szCs w:val="21"/>
                <w:lang w:val="en-US" w:eastAsia="zh-CN" w:bidi="ar-SA"/>
              </w:rPr>
            </w:pPr>
            <w:r>
              <w:rPr>
                <w:rFonts w:hint="default" w:eastAsia="宋体"/>
                <w:b w:val="0"/>
                <w:sz w:val="21"/>
                <w:szCs w:val="21"/>
              </w:rPr>
              <w:t>4</w:t>
            </w:r>
          </w:p>
        </w:tc>
      </w:tr>
      <w:tr w14:paraId="5CCB1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14113B4A">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szCs w:val="21"/>
              </w:rPr>
              <w:t>6</w:t>
            </w:r>
          </w:p>
        </w:tc>
        <w:tc>
          <w:tcPr>
            <w:tcW w:w="1245" w:type="pct"/>
            <w:noWrap w:val="0"/>
            <w:vAlign w:val="center"/>
          </w:tcPr>
          <w:p w14:paraId="7B47B5A9">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b w:val="0"/>
                <w:bCs/>
                <w:kern w:val="2"/>
                <w:sz w:val="21"/>
                <w:szCs w:val="21"/>
                <w:lang w:val="en-US" w:eastAsia="zh-CN" w:bidi="ar-SA"/>
              </w:rPr>
            </w:pPr>
            <w:r>
              <w:rPr>
                <w:rFonts w:hint="default" w:eastAsia="宋体"/>
                <w:b w:val="0"/>
                <w:sz w:val="21"/>
                <w:szCs w:val="21"/>
              </w:rPr>
              <w:t>液碱计量槽</w:t>
            </w:r>
          </w:p>
        </w:tc>
        <w:tc>
          <w:tcPr>
            <w:tcW w:w="1412" w:type="pct"/>
            <w:noWrap w:val="0"/>
            <w:vAlign w:val="center"/>
          </w:tcPr>
          <w:p w14:paraId="70A69E8D">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　</w:t>
            </w:r>
          </w:p>
        </w:tc>
        <w:tc>
          <w:tcPr>
            <w:tcW w:w="1535" w:type="pct"/>
            <w:noWrap w:val="0"/>
            <w:vAlign w:val="center"/>
          </w:tcPr>
          <w:p w14:paraId="47CD944C">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　</w:t>
            </w:r>
          </w:p>
        </w:tc>
        <w:tc>
          <w:tcPr>
            <w:tcW w:w="430" w:type="pct"/>
            <w:noWrap w:val="0"/>
            <w:vAlign w:val="center"/>
          </w:tcPr>
          <w:p w14:paraId="375202EC">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b w:val="0"/>
                <w:bCs/>
                <w:kern w:val="2"/>
                <w:sz w:val="21"/>
                <w:szCs w:val="21"/>
                <w:lang w:val="en-US" w:eastAsia="zh-CN" w:bidi="ar-SA"/>
              </w:rPr>
            </w:pPr>
            <w:r>
              <w:rPr>
                <w:rFonts w:hint="default" w:eastAsia="宋体"/>
                <w:b w:val="0"/>
                <w:sz w:val="21"/>
                <w:szCs w:val="21"/>
              </w:rPr>
              <w:t>1</w:t>
            </w:r>
          </w:p>
        </w:tc>
      </w:tr>
      <w:tr w14:paraId="0D12F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3CD38F76">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szCs w:val="21"/>
              </w:rPr>
              <w:t>7</w:t>
            </w:r>
          </w:p>
        </w:tc>
        <w:tc>
          <w:tcPr>
            <w:tcW w:w="1245" w:type="pct"/>
            <w:noWrap w:val="0"/>
            <w:vAlign w:val="center"/>
          </w:tcPr>
          <w:p w14:paraId="1F733403">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b w:val="0"/>
                <w:bCs/>
                <w:kern w:val="2"/>
                <w:sz w:val="21"/>
                <w:szCs w:val="21"/>
                <w:lang w:val="en-US" w:eastAsia="zh-CN" w:bidi="ar-SA"/>
              </w:rPr>
            </w:pPr>
            <w:r>
              <w:rPr>
                <w:rFonts w:hint="default" w:eastAsia="宋体"/>
                <w:b w:val="0"/>
                <w:sz w:val="21"/>
                <w:szCs w:val="21"/>
              </w:rPr>
              <w:t>盐酸计量槽</w:t>
            </w:r>
          </w:p>
        </w:tc>
        <w:tc>
          <w:tcPr>
            <w:tcW w:w="1412" w:type="pct"/>
            <w:noWrap w:val="0"/>
            <w:vAlign w:val="center"/>
          </w:tcPr>
          <w:p w14:paraId="09275753">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　</w:t>
            </w:r>
          </w:p>
        </w:tc>
        <w:tc>
          <w:tcPr>
            <w:tcW w:w="1535" w:type="pct"/>
            <w:noWrap w:val="0"/>
            <w:vAlign w:val="center"/>
          </w:tcPr>
          <w:p w14:paraId="228EF888">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　</w:t>
            </w:r>
          </w:p>
        </w:tc>
        <w:tc>
          <w:tcPr>
            <w:tcW w:w="430" w:type="pct"/>
            <w:noWrap w:val="0"/>
            <w:vAlign w:val="center"/>
          </w:tcPr>
          <w:p w14:paraId="1D687BED">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b w:val="0"/>
                <w:bCs/>
                <w:kern w:val="2"/>
                <w:sz w:val="21"/>
                <w:szCs w:val="21"/>
                <w:lang w:val="en-US" w:eastAsia="zh-CN" w:bidi="ar-SA"/>
              </w:rPr>
            </w:pPr>
            <w:r>
              <w:rPr>
                <w:rFonts w:hint="default" w:eastAsia="宋体"/>
                <w:b w:val="0"/>
                <w:sz w:val="21"/>
                <w:szCs w:val="21"/>
              </w:rPr>
              <w:t>1</w:t>
            </w:r>
          </w:p>
        </w:tc>
      </w:tr>
      <w:tr w14:paraId="1BF3E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074E7676">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szCs w:val="21"/>
              </w:rPr>
              <w:t>8</w:t>
            </w:r>
          </w:p>
        </w:tc>
        <w:tc>
          <w:tcPr>
            <w:tcW w:w="1245" w:type="pct"/>
            <w:noWrap w:val="0"/>
            <w:vAlign w:val="center"/>
          </w:tcPr>
          <w:p w14:paraId="7AF0E1EA">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b w:val="0"/>
                <w:bCs/>
                <w:kern w:val="2"/>
                <w:sz w:val="21"/>
                <w:szCs w:val="21"/>
                <w:lang w:val="en-US" w:eastAsia="zh-CN" w:bidi="ar-SA"/>
              </w:rPr>
            </w:pPr>
            <w:r>
              <w:rPr>
                <w:rFonts w:hint="default" w:eastAsia="宋体"/>
                <w:b w:val="0"/>
                <w:sz w:val="21"/>
                <w:szCs w:val="21"/>
              </w:rPr>
              <w:t>蒸馏釜</w:t>
            </w:r>
          </w:p>
        </w:tc>
        <w:tc>
          <w:tcPr>
            <w:tcW w:w="1412" w:type="pct"/>
            <w:noWrap w:val="0"/>
            <w:vAlign w:val="center"/>
          </w:tcPr>
          <w:p w14:paraId="17577A77">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Ø2400×3533</w:t>
            </w:r>
          </w:p>
        </w:tc>
        <w:tc>
          <w:tcPr>
            <w:tcW w:w="1535" w:type="pct"/>
            <w:noWrap w:val="0"/>
            <w:vAlign w:val="center"/>
          </w:tcPr>
          <w:p w14:paraId="4C2298AA">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轴流式搅拌、63r/min、11KW\BT4防爆</w:t>
            </w:r>
          </w:p>
        </w:tc>
        <w:tc>
          <w:tcPr>
            <w:tcW w:w="430" w:type="pct"/>
            <w:noWrap w:val="0"/>
            <w:vAlign w:val="center"/>
          </w:tcPr>
          <w:p w14:paraId="4746535F">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b w:val="0"/>
                <w:bCs/>
                <w:kern w:val="2"/>
                <w:sz w:val="21"/>
                <w:szCs w:val="21"/>
                <w:lang w:val="en-US" w:eastAsia="zh-CN" w:bidi="ar-SA"/>
              </w:rPr>
            </w:pPr>
            <w:r>
              <w:rPr>
                <w:rFonts w:hint="default" w:eastAsia="宋体"/>
                <w:b w:val="0"/>
                <w:sz w:val="21"/>
                <w:szCs w:val="21"/>
              </w:rPr>
              <w:t>8</w:t>
            </w:r>
          </w:p>
        </w:tc>
      </w:tr>
      <w:tr w14:paraId="18897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1EB25E86">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szCs w:val="21"/>
              </w:rPr>
              <w:t>9</w:t>
            </w:r>
          </w:p>
        </w:tc>
        <w:tc>
          <w:tcPr>
            <w:tcW w:w="1245" w:type="pct"/>
            <w:noWrap w:val="0"/>
            <w:vAlign w:val="center"/>
          </w:tcPr>
          <w:p w14:paraId="63DEA03E">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b w:val="0"/>
                <w:bCs/>
                <w:kern w:val="2"/>
                <w:sz w:val="21"/>
                <w:szCs w:val="21"/>
                <w:lang w:val="en-US" w:eastAsia="zh-CN" w:bidi="ar-SA"/>
              </w:rPr>
            </w:pPr>
            <w:r>
              <w:rPr>
                <w:rFonts w:hint="default" w:eastAsia="宋体"/>
                <w:b w:val="0"/>
                <w:sz w:val="21"/>
                <w:szCs w:val="21"/>
              </w:rPr>
              <w:t>蒸馏冷凝器</w:t>
            </w:r>
          </w:p>
        </w:tc>
        <w:tc>
          <w:tcPr>
            <w:tcW w:w="1412" w:type="pct"/>
            <w:noWrap w:val="0"/>
            <w:vAlign w:val="center"/>
          </w:tcPr>
          <w:p w14:paraId="2117D9DF">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Ø600×3623</w:t>
            </w:r>
          </w:p>
        </w:tc>
        <w:tc>
          <w:tcPr>
            <w:tcW w:w="1535" w:type="pct"/>
            <w:noWrap w:val="0"/>
            <w:vAlign w:val="center"/>
          </w:tcPr>
          <w:p w14:paraId="53A6ACAF">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　</w:t>
            </w:r>
          </w:p>
        </w:tc>
        <w:tc>
          <w:tcPr>
            <w:tcW w:w="430" w:type="pct"/>
            <w:noWrap w:val="0"/>
            <w:vAlign w:val="center"/>
          </w:tcPr>
          <w:p w14:paraId="4FF50E45">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b w:val="0"/>
                <w:bCs/>
                <w:kern w:val="2"/>
                <w:sz w:val="21"/>
                <w:szCs w:val="21"/>
                <w:lang w:val="en-US" w:eastAsia="zh-CN" w:bidi="ar-SA"/>
              </w:rPr>
            </w:pPr>
            <w:r>
              <w:rPr>
                <w:rFonts w:hint="default" w:eastAsia="宋体"/>
                <w:b w:val="0"/>
                <w:sz w:val="21"/>
                <w:szCs w:val="21"/>
              </w:rPr>
              <w:t>8</w:t>
            </w:r>
          </w:p>
        </w:tc>
      </w:tr>
      <w:tr w14:paraId="2D12D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1868CC1F">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szCs w:val="21"/>
              </w:rPr>
              <w:t>10</w:t>
            </w:r>
          </w:p>
        </w:tc>
        <w:tc>
          <w:tcPr>
            <w:tcW w:w="1245" w:type="pct"/>
            <w:noWrap w:val="0"/>
            <w:vAlign w:val="center"/>
          </w:tcPr>
          <w:p w14:paraId="58DBC759">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b w:val="0"/>
                <w:bCs/>
                <w:kern w:val="2"/>
                <w:sz w:val="21"/>
                <w:szCs w:val="21"/>
                <w:lang w:val="en-US" w:eastAsia="zh-CN" w:bidi="ar-SA"/>
              </w:rPr>
            </w:pPr>
            <w:r>
              <w:rPr>
                <w:rFonts w:hint="default" w:eastAsia="宋体"/>
                <w:b w:val="0"/>
                <w:sz w:val="21"/>
                <w:szCs w:val="21"/>
              </w:rPr>
              <w:t>一次母液罐</w:t>
            </w:r>
          </w:p>
        </w:tc>
        <w:tc>
          <w:tcPr>
            <w:tcW w:w="1412" w:type="pct"/>
            <w:noWrap w:val="0"/>
            <w:vAlign w:val="center"/>
          </w:tcPr>
          <w:p w14:paraId="1F89D6C5">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Ø3500×3000</w:t>
            </w:r>
          </w:p>
        </w:tc>
        <w:tc>
          <w:tcPr>
            <w:tcW w:w="1535" w:type="pct"/>
            <w:noWrap w:val="0"/>
            <w:vAlign w:val="center"/>
          </w:tcPr>
          <w:p w14:paraId="7354DEC8">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　</w:t>
            </w:r>
          </w:p>
        </w:tc>
        <w:tc>
          <w:tcPr>
            <w:tcW w:w="430" w:type="pct"/>
            <w:noWrap w:val="0"/>
            <w:vAlign w:val="center"/>
          </w:tcPr>
          <w:p w14:paraId="4F924A7B">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b w:val="0"/>
                <w:bCs/>
                <w:kern w:val="2"/>
                <w:sz w:val="21"/>
                <w:szCs w:val="21"/>
                <w:lang w:val="en-US" w:eastAsia="zh-CN" w:bidi="ar-SA"/>
              </w:rPr>
            </w:pPr>
            <w:r>
              <w:rPr>
                <w:rFonts w:hint="default" w:eastAsia="宋体"/>
                <w:b w:val="0"/>
                <w:sz w:val="21"/>
                <w:szCs w:val="21"/>
              </w:rPr>
              <w:t>1</w:t>
            </w:r>
          </w:p>
        </w:tc>
      </w:tr>
      <w:tr w14:paraId="7CF93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7507D753">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szCs w:val="21"/>
              </w:rPr>
              <w:t>11</w:t>
            </w:r>
          </w:p>
        </w:tc>
        <w:tc>
          <w:tcPr>
            <w:tcW w:w="1245" w:type="pct"/>
            <w:noWrap w:val="0"/>
            <w:vAlign w:val="center"/>
          </w:tcPr>
          <w:p w14:paraId="6D6AFEBE">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b w:val="0"/>
                <w:bCs/>
                <w:kern w:val="2"/>
                <w:sz w:val="21"/>
                <w:szCs w:val="21"/>
                <w:lang w:val="en-US" w:eastAsia="zh-CN" w:bidi="ar-SA"/>
              </w:rPr>
            </w:pPr>
            <w:r>
              <w:rPr>
                <w:rFonts w:hint="default" w:eastAsia="宋体"/>
                <w:b w:val="0"/>
                <w:sz w:val="21"/>
                <w:szCs w:val="21"/>
              </w:rPr>
              <w:t>氯苯接收釜</w:t>
            </w:r>
          </w:p>
        </w:tc>
        <w:tc>
          <w:tcPr>
            <w:tcW w:w="1412" w:type="pct"/>
            <w:noWrap w:val="0"/>
            <w:vAlign w:val="center"/>
          </w:tcPr>
          <w:p w14:paraId="17F6544C">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Ø2400×3640</w:t>
            </w:r>
          </w:p>
        </w:tc>
        <w:tc>
          <w:tcPr>
            <w:tcW w:w="1535" w:type="pct"/>
            <w:noWrap w:val="0"/>
            <w:vAlign w:val="center"/>
          </w:tcPr>
          <w:p w14:paraId="00C01223">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平顶单封头（下）锥底</w:t>
            </w:r>
          </w:p>
        </w:tc>
        <w:tc>
          <w:tcPr>
            <w:tcW w:w="430" w:type="pct"/>
            <w:noWrap w:val="0"/>
            <w:vAlign w:val="center"/>
          </w:tcPr>
          <w:p w14:paraId="45A570A1">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b w:val="0"/>
                <w:bCs/>
                <w:kern w:val="2"/>
                <w:sz w:val="21"/>
                <w:szCs w:val="21"/>
                <w:lang w:val="en-US" w:eastAsia="zh-CN" w:bidi="ar-SA"/>
              </w:rPr>
            </w:pPr>
            <w:r>
              <w:rPr>
                <w:rFonts w:hint="default" w:eastAsia="宋体"/>
                <w:b w:val="0"/>
                <w:sz w:val="21"/>
                <w:szCs w:val="21"/>
              </w:rPr>
              <w:t>4</w:t>
            </w:r>
          </w:p>
        </w:tc>
      </w:tr>
      <w:tr w14:paraId="7BA74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74DBCEDB">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szCs w:val="21"/>
              </w:rPr>
              <w:t>12</w:t>
            </w:r>
          </w:p>
        </w:tc>
        <w:tc>
          <w:tcPr>
            <w:tcW w:w="1245" w:type="pct"/>
            <w:noWrap w:val="0"/>
            <w:vAlign w:val="center"/>
          </w:tcPr>
          <w:p w14:paraId="098D000D">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b w:val="0"/>
                <w:bCs/>
                <w:kern w:val="2"/>
                <w:sz w:val="21"/>
                <w:szCs w:val="21"/>
                <w:lang w:val="en-US" w:eastAsia="zh-CN" w:bidi="ar-SA"/>
              </w:rPr>
            </w:pPr>
            <w:r>
              <w:rPr>
                <w:rFonts w:hint="default" w:eastAsia="宋体"/>
                <w:b w:val="0"/>
                <w:sz w:val="21"/>
                <w:szCs w:val="21"/>
              </w:rPr>
              <w:t>盐酸吸收槽</w:t>
            </w:r>
          </w:p>
        </w:tc>
        <w:tc>
          <w:tcPr>
            <w:tcW w:w="1412" w:type="pct"/>
            <w:noWrap w:val="0"/>
            <w:vAlign w:val="center"/>
          </w:tcPr>
          <w:p w14:paraId="2F9315ED">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Ø1900×3042</w:t>
            </w:r>
          </w:p>
        </w:tc>
        <w:tc>
          <w:tcPr>
            <w:tcW w:w="1535" w:type="pct"/>
            <w:noWrap w:val="0"/>
            <w:vAlign w:val="center"/>
          </w:tcPr>
          <w:p w14:paraId="3CCB3FE1">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　</w:t>
            </w:r>
          </w:p>
        </w:tc>
        <w:tc>
          <w:tcPr>
            <w:tcW w:w="430" w:type="pct"/>
            <w:noWrap w:val="0"/>
            <w:vAlign w:val="center"/>
          </w:tcPr>
          <w:p w14:paraId="689D82A9">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b w:val="0"/>
                <w:bCs/>
                <w:kern w:val="2"/>
                <w:sz w:val="21"/>
                <w:szCs w:val="21"/>
                <w:lang w:val="en-US" w:eastAsia="zh-CN" w:bidi="ar-SA"/>
              </w:rPr>
            </w:pPr>
            <w:r>
              <w:rPr>
                <w:rFonts w:hint="default" w:eastAsia="宋体"/>
                <w:b w:val="0"/>
                <w:sz w:val="21"/>
                <w:szCs w:val="21"/>
              </w:rPr>
              <w:t>2</w:t>
            </w:r>
          </w:p>
        </w:tc>
      </w:tr>
      <w:tr w14:paraId="3FD8F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39646AE3">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szCs w:val="21"/>
              </w:rPr>
              <w:t>13</w:t>
            </w:r>
          </w:p>
        </w:tc>
        <w:tc>
          <w:tcPr>
            <w:tcW w:w="1245" w:type="pct"/>
            <w:noWrap w:val="0"/>
            <w:vAlign w:val="center"/>
          </w:tcPr>
          <w:p w14:paraId="527AFD39">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b w:val="0"/>
                <w:bCs/>
                <w:kern w:val="2"/>
                <w:sz w:val="21"/>
                <w:szCs w:val="21"/>
                <w:lang w:val="en-US" w:eastAsia="zh-CN" w:bidi="ar-SA"/>
              </w:rPr>
            </w:pPr>
            <w:r>
              <w:rPr>
                <w:rFonts w:hint="default" w:eastAsia="宋体"/>
                <w:b w:val="0"/>
                <w:sz w:val="21"/>
                <w:szCs w:val="21"/>
              </w:rPr>
              <w:t>中间压滤机</w:t>
            </w:r>
          </w:p>
        </w:tc>
        <w:tc>
          <w:tcPr>
            <w:tcW w:w="1412" w:type="pct"/>
            <w:noWrap w:val="0"/>
            <w:vAlign w:val="center"/>
          </w:tcPr>
          <w:p w14:paraId="7DC1423D">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 xml:space="preserve"> </w:t>
            </w:r>
          </w:p>
        </w:tc>
        <w:tc>
          <w:tcPr>
            <w:tcW w:w="1535" w:type="pct"/>
            <w:noWrap w:val="0"/>
            <w:vAlign w:val="center"/>
          </w:tcPr>
          <w:p w14:paraId="044A6EE9">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　</w:t>
            </w:r>
          </w:p>
        </w:tc>
        <w:tc>
          <w:tcPr>
            <w:tcW w:w="430" w:type="pct"/>
            <w:noWrap w:val="0"/>
            <w:vAlign w:val="center"/>
          </w:tcPr>
          <w:p w14:paraId="72E92E88">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b w:val="0"/>
                <w:bCs/>
                <w:kern w:val="2"/>
                <w:sz w:val="21"/>
                <w:szCs w:val="21"/>
                <w:lang w:val="en-US" w:eastAsia="zh-CN" w:bidi="ar-SA"/>
              </w:rPr>
            </w:pPr>
            <w:r>
              <w:rPr>
                <w:rFonts w:hint="default" w:eastAsia="宋体"/>
                <w:b w:val="0"/>
                <w:sz w:val="21"/>
                <w:szCs w:val="21"/>
              </w:rPr>
              <w:t>2</w:t>
            </w:r>
          </w:p>
        </w:tc>
      </w:tr>
      <w:tr w14:paraId="67870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2217E050">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eastAsia"/>
                <w:szCs w:val="21"/>
              </w:rPr>
              <w:t>14</w:t>
            </w:r>
          </w:p>
        </w:tc>
        <w:tc>
          <w:tcPr>
            <w:tcW w:w="1245" w:type="pct"/>
            <w:noWrap w:val="0"/>
            <w:vAlign w:val="center"/>
          </w:tcPr>
          <w:p w14:paraId="1579C069">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b w:val="0"/>
                <w:bCs/>
                <w:kern w:val="2"/>
                <w:sz w:val="21"/>
                <w:szCs w:val="21"/>
                <w:lang w:val="en-US" w:eastAsia="zh-CN" w:bidi="ar-SA"/>
              </w:rPr>
            </w:pPr>
            <w:r>
              <w:rPr>
                <w:rFonts w:hint="default" w:eastAsia="宋体"/>
                <w:b w:val="0"/>
                <w:sz w:val="21"/>
                <w:szCs w:val="21"/>
              </w:rPr>
              <w:t>精制釜</w:t>
            </w:r>
          </w:p>
        </w:tc>
        <w:tc>
          <w:tcPr>
            <w:tcW w:w="1412" w:type="pct"/>
            <w:noWrap w:val="0"/>
            <w:vAlign w:val="center"/>
          </w:tcPr>
          <w:p w14:paraId="4A81292B">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Ø2400×3533</w:t>
            </w:r>
          </w:p>
        </w:tc>
        <w:tc>
          <w:tcPr>
            <w:tcW w:w="1535" w:type="pct"/>
            <w:noWrap w:val="0"/>
            <w:vAlign w:val="center"/>
          </w:tcPr>
          <w:p w14:paraId="4E356D9B">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轴流式搅拌、63r/min、11KW\BT4防爆</w:t>
            </w:r>
          </w:p>
        </w:tc>
        <w:tc>
          <w:tcPr>
            <w:tcW w:w="430" w:type="pct"/>
            <w:noWrap w:val="0"/>
            <w:vAlign w:val="center"/>
          </w:tcPr>
          <w:p w14:paraId="78FC3C84">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b w:val="0"/>
                <w:bCs/>
                <w:kern w:val="2"/>
                <w:sz w:val="21"/>
                <w:szCs w:val="21"/>
                <w:lang w:val="en-US" w:eastAsia="zh-CN" w:bidi="ar-SA"/>
              </w:rPr>
            </w:pPr>
            <w:r>
              <w:rPr>
                <w:rFonts w:hint="default" w:eastAsia="宋体"/>
                <w:b w:val="0"/>
                <w:sz w:val="21"/>
                <w:szCs w:val="21"/>
              </w:rPr>
              <w:t>4</w:t>
            </w:r>
          </w:p>
        </w:tc>
      </w:tr>
      <w:tr w14:paraId="2E9CC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7EA2521F">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eastAsia"/>
                <w:szCs w:val="21"/>
              </w:rPr>
              <w:t>15</w:t>
            </w:r>
          </w:p>
        </w:tc>
        <w:tc>
          <w:tcPr>
            <w:tcW w:w="1245" w:type="pct"/>
            <w:noWrap w:val="0"/>
            <w:vAlign w:val="center"/>
          </w:tcPr>
          <w:p w14:paraId="124D640C">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b w:val="0"/>
                <w:bCs/>
                <w:kern w:val="2"/>
                <w:sz w:val="21"/>
                <w:szCs w:val="21"/>
                <w:lang w:val="en-US" w:eastAsia="zh-CN" w:bidi="ar-SA"/>
              </w:rPr>
            </w:pPr>
            <w:r>
              <w:rPr>
                <w:rFonts w:hint="default" w:eastAsia="宋体"/>
                <w:b w:val="0"/>
                <w:sz w:val="21"/>
                <w:szCs w:val="21"/>
              </w:rPr>
              <w:t>成品压滤机</w:t>
            </w:r>
          </w:p>
        </w:tc>
        <w:tc>
          <w:tcPr>
            <w:tcW w:w="1412" w:type="pct"/>
            <w:noWrap w:val="0"/>
            <w:vAlign w:val="center"/>
          </w:tcPr>
          <w:p w14:paraId="2386BDCF">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　</w:t>
            </w:r>
          </w:p>
        </w:tc>
        <w:tc>
          <w:tcPr>
            <w:tcW w:w="1535" w:type="pct"/>
            <w:noWrap w:val="0"/>
            <w:vAlign w:val="center"/>
          </w:tcPr>
          <w:p w14:paraId="3CA55319">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　</w:t>
            </w:r>
          </w:p>
        </w:tc>
        <w:tc>
          <w:tcPr>
            <w:tcW w:w="430" w:type="pct"/>
            <w:noWrap w:val="0"/>
            <w:vAlign w:val="center"/>
          </w:tcPr>
          <w:p w14:paraId="7064A827">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b w:val="0"/>
                <w:bCs/>
                <w:kern w:val="2"/>
                <w:sz w:val="21"/>
                <w:szCs w:val="21"/>
                <w:lang w:val="en-US" w:eastAsia="zh-CN" w:bidi="ar-SA"/>
              </w:rPr>
            </w:pPr>
            <w:r>
              <w:rPr>
                <w:rFonts w:hint="default" w:eastAsia="宋体"/>
                <w:b w:val="0"/>
                <w:sz w:val="21"/>
                <w:szCs w:val="21"/>
              </w:rPr>
              <w:t>2</w:t>
            </w:r>
          </w:p>
        </w:tc>
      </w:tr>
      <w:tr w14:paraId="65403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2FF2C069">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eastAsia"/>
                <w:szCs w:val="21"/>
              </w:rPr>
              <w:t>16</w:t>
            </w:r>
          </w:p>
        </w:tc>
        <w:tc>
          <w:tcPr>
            <w:tcW w:w="1245" w:type="pct"/>
            <w:noWrap w:val="0"/>
            <w:vAlign w:val="center"/>
          </w:tcPr>
          <w:p w14:paraId="2D465E82">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b w:val="0"/>
                <w:bCs/>
                <w:kern w:val="2"/>
                <w:sz w:val="21"/>
                <w:szCs w:val="21"/>
                <w:lang w:val="en-US" w:eastAsia="zh-CN" w:bidi="ar-SA"/>
              </w:rPr>
            </w:pPr>
            <w:r>
              <w:rPr>
                <w:rFonts w:hint="default" w:eastAsia="宋体"/>
                <w:b w:val="0"/>
                <w:sz w:val="21"/>
                <w:szCs w:val="21"/>
              </w:rPr>
              <w:t>微波干燥机</w:t>
            </w:r>
          </w:p>
        </w:tc>
        <w:tc>
          <w:tcPr>
            <w:tcW w:w="1412" w:type="pct"/>
            <w:noWrap w:val="0"/>
            <w:vAlign w:val="center"/>
          </w:tcPr>
          <w:p w14:paraId="76CC1237">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　</w:t>
            </w:r>
          </w:p>
        </w:tc>
        <w:tc>
          <w:tcPr>
            <w:tcW w:w="1535" w:type="pct"/>
            <w:noWrap w:val="0"/>
            <w:vAlign w:val="center"/>
          </w:tcPr>
          <w:p w14:paraId="66A3373D">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　</w:t>
            </w:r>
          </w:p>
        </w:tc>
        <w:tc>
          <w:tcPr>
            <w:tcW w:w="430" w:type="pct"/>
            <w:noWrap w:val="0"/>
            <w:vAlign w:val="center"/>
          </w:tcPr>
          <w:p w14:paraId="7C443710">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b w:val="0"/>
                <w:bCs/>
                <w:kern w:val="2"/>
                <w:sz w:val="21"/>
                <w:szCs w:val="21"/>
                <w:lang w:val="en-US" w:eastAsia="zh-CN" w:bidi="ar-SA"/>
              </w:rPr>
            </w:pPr>
            <w:r>
              <w:rPr>
                <w:rFonts w:hint="default" w:eastAsia="宋体"/>
                <w:b w:val="0"/>
                <w:sz w:val="21"/>
                <w:szCs w:val="21"/>
              </w:rPr>
              <w:t>2</w:t>
            </w:r>
          </w:p>
        </w:tc>
      </w:tr>
      <w:tr w14:paraId="01F92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7C8679A7">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eastAsia"/>
                <w:szCs w:val="21"/>
              </w:rPr>
              <w:t>17</w:t>
            </w:r>
          </w:p>
        </w:tc>
        <w:tc>
          <w:tcPr>
            <w:tcW w:w="1245" w:type="pct"/>
            <w:noWrap w:val="0"/>
            <w:vAlign w:val="center"/>
          </w:tcPr>
          <w:p w14:paraId="0E854C78">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b w:val="0"/>
                <w:bCs/>
                <w:kern w:val="2"/>
                <w:sz w:val="21"/>
                <w:szCs w:val="21"/>
                <w:lang w:val="en-US" w:eastAsia="zh-CN" w:bidi="ar-SA"/>
              </w:rPr>
            </w:pPr>
            <w:r>
              <w:rPr>
                <w:rFonts w:hint="default" w:eastAsia="宋体"/>
                <w:b w:val="0"/>
                <w:sz w:val="21"/>
                <w:szCs w:val="21"/>
              </w:rPr>
              <w:t>一次母液蒸馏釜</w:t>
            </w:r>
          </w:p>
        </w:tc>
        <w:tc>
          <w:tcPr>
            <w:tcW w:w="1412" w:type="pct"/>
            <w:noWrap w:val="0"/>
            <w:vAlign w:val="center"/>
          </w:tcPr>
          <w:p w14:paraId="588A6682">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p>
        </w:tc>
        <w:tc>
          <w:tcPr>
            <w:tcW w:w="1535" w:type="pct"/>
            <w:noWrap w:val="0"/>
            <w:vAlign w:val="center"/>
          </w:tcPr>
          <w:p w14:paraId="432FB97C">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框式搅拌、63r/min、11KW\BT4防爆</w:t>
            </w:r>
          </w:p>
        </w:tc>
        <w:tc>
          <w:tcPr>
            <w:tcW w:w="430" w:type="pct"/>
            <w:noWrap w:val="0"/>
            <w:vAlign w:val="center"/>
          </w:tcPr>
          <w:p w14:paraId="37D9DC4F">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b w:val="0"/>
                <w:bCs/>
                <w:kern w:val="2"/>
                <w:sz w:val="21"/>
                <w:szCs w:val="21"/>
                <w:lang w:val="en-US" w:eastAsia="zh-CN" w:bidi="ar-SA"/>
              </w:rPr>
            </w:pPr>
            <w:r>
              <w:rPr>
                <w:rFonts w:hint="default" w:eastAsia="宋体"/>
                <w:b w:val="0"/>
                <w:sz w:val="21"/>
                <w:szCs w:val="21"/>
              </w:rPr>
              <w:t>4</w:t>
            </w:r>
          </w:p>
        </w:tc>
      </w:tr>
      <w:tr w14:paraId="03910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30A07BC9">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eastAsia"/>
                <w:szCs w:val="21"/>
              </w:rPr>
              <w:t>18</w:t>
            </w:r>
          </w:p>
        </w:tc>
        <w:tc>
          <w:tcPr>
            <w:tcW w:w="1245" w:type="pct"/>
            <w:noWrap w:val="0"/>
            <w:vAlign w:val="center"/>
          </w:tcPr>
          <w:p w14:paraId="39E1EDFA">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b w:val="0"/>
                <w:bCs/>
                <w:kern w:val="2"/>
                <w:sz w:val="21"/>
                <w:szCs w:val="21"/>
                <w:lang w:val="en-US" w:eastAsia="zh-CN" w:bidi="ar-SA"/>
              </w:rPr>
            </w:pPr>
            <w:r>
              <w:rPr>
                <w:rFonts w:hint="default" w:eastAsia="宋体"/>
                <w:b w:val="0"/>
                <w:sz w:val="21"/>
                <w:szCs w:val="21"/>
              </w:rPr>
              <w:t>母液蒸馏冷凝器</w:t>
            </w:r>
          </w:p>
        </w:tc>
        <w:tc>
          <w:tcPr>
            <w:tcW w:w="1412" w:type="pct"/>
            <w:noWrap w:val="0"/>
            <w:vAlign w:val="center"/>
          </w:tcPr>
          <w:p w14:paraId="52E451CF">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Ø600×3623</w:t>
            </w:r>
          </w:p>
        </w:tc>
        <w:tc>
          <w:tcPr>
            <w:tcW w:w="1535" w:type="pct"/>
            <w:noWrap w:val="0"/>
            <w:vAlign w:val="center"/>
          </w:tcPr>
          <w:p w14:paraId="7D9EDEF0">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　</w:t>
            </w:r>
          </w:p>
        </w:tc>
        <w:tc>
          <w:tcPr>
            <w:tcW w:w="430" w:type="pct"/>
            <w:noWrap w:val="0"/>
            <w:vAlign w:val="center"/>
          </w:tcPr>
          <w:p w14:paraId="426FDCF7">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b w:val="0"/>
                <w:bCs/>
                <w:kern w:val="2"/>
                <w:sz w:val="21"/>
                <w:szCs w:val="21"/>
                <w:lang w:val="en-US" w:eastAsia="zh-CN" w:bidi="ar-SA"/>
              </w:rPr>
            </w:pPr>
            <w:r>
              <w:rPr>
                <w:rFonts w:hint="default" w:eastAsia="宋体"/>
                <w:b w:val="0"/>
                <w:sz w:val="21"/>
                <w:szCs w:val="21"/>
              </w:rPr>
              <w:t>4</w:t>
            </w:r>
          </w:p>
        </w:tc>
      </w:tr>
      <w:tr w14:paraId="659EC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6806A7F8">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eastAsia"/>
                <w:szCs w:val="21"/>
                <w:lang w:val="en-US" w:eastAsia="zh-CN"/>
              </w:rPr>
              <w:t>19</w:t>
            </w:r>
          </w:p>
        </w:tc>
        <w:tc>
          <w:tcPr>
            <w:tcW w:w="1245" w:type="pct"/>
            <w:noWrap w:val="0"/>
            <w:vAlign w:val="center"/>
          </w:tcPr>
          <w:p w14:paraId="34ACB6B0">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b w:val="0"/>
                <w:bCs/>
                <w:kern w:val="2"/>
                <w:sz w:val="21"/>
                <w:szCs w:val="21"/>
                <w:lang w:val="en-US" w:eastAsia="zh-CN" w:bidi="ar-SA"/>
              </w:rPr>
            </w:pPr>
            <w:r>
              <w:rPr>
                <w:rFonts w:hint="default" w:eastAsia="宋体"/>
                <w:b w:val="0"/>
                <w:sz w:val="21"/>
                <w:szCs w:val="21"/>
              </w:rPr>
              <w:t>热水收集罐</w:t>
            </w:r>
          </w:p>
        </w:tc>
        <w:tc>
          <w:tcPr>
            <w:tcW w:w="1412" w:type="pct"/>
            <w:noWrap w:val="0"/>
            <w:vAlign w:val="center"/>
          </w:tcPr>
          <w:p w14:paraId="6D77408E">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Ø3500×3000</w:t>
            </w:r>
          </w:p>
        </w:tc>
        <w:tc>
          <w:tcPr>
            <w:tcW w:w="1535" w:type="pct"/>
            <w:noWrap w:val="0"/>
            <w:vAlign w:val="center"/>
          </w:tcPr>
          <w:p w14:paraId="5A8BC040">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p>
        </w:tc>
        <w:tc>
          <w:tcPr>
            <w:tcW w:w="430" w:type="pct"/>
            <w:noWrap w:val="0"/>
            <w:vAlign w:val="center"/>
          </w:tcPr>
          <w:p w14:paraId="36273FAF">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b w:val="0"/>
                <w:bCs/>
                <w:kern w:val="2"/>
                <w:sz w:val="21"/>
                <w:szCs w:val="21"/>
                <w:lang w:val="en-US" w:eastAsia="zh-CN" w:bidi="ar-SA"/>
              </w:rPr>
            </w:pPr>
            <w:r>
              <w:rPr>
                <w:rFonts w:hint="default" w:eastAsia="宋体"/>
                <w:b w:val="0"/>
                <w:sz w:val="21"/>
                <w:szCs w:val="21"/>
              </w:rPr>
              <w:t>1</w:t>
            </w:r>
          </w:p>
        </w:tc>
      </w:tr>
      <w:tr w14:paraId="56E9D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0E927715">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eastAsia"/>
                <w:szCs w:val="21"/>
                <w:lang w:val="en-US" w:eastAsia="zh-CN"/>
              </w:rPr>
              <w:t>20</w:t>
            </w:r>
          </w:p>
        </w:tc>
        <w:tc>
          <w:tcPr>
            <w:tcW w:w="1245" w:type="pct"/>
            <w:noWrap w:val="0"/>
            <w:vAlign w:val="center"/>
          </w:tcPr>
          <w:p w14:paraId="24479762">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b w:val="0"/>
                <w:bCs/>
                <w:kern w:val="2"/>
                <w:sz w:val="21"/>
                <w:szCs w:val="21"/>
                <w:lang w:val="en-US" w:eastAsia="zh-CN" w:bidi="ar-SA"/>
              </w:rPr>
            </w:pPr>
            <w:r>
              <w:rPr>
                <w:rFonts w:hint="default" w:eastAsia="宋体"/>
                <w:b w:val="0"/>
                <w:sz w:val="21"/>
                <w:szCs w:val="21"/>
              </w:rPr>
              <w:t>粉碎机</w:t>
            </w:r>
          </w:p>
        </w:tc>
        <w:tc>
          <w:tcPr>
            <w:tcW w:w="1412" w:type="pct"/>
            <w:noWrap w:val="0"/>
            <w:vAlign w:val="center"/>
          </w:tcPr>
          <w:p w14:paraId="49B2961A">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　</w:t>
            </w:r>
          </w:p>
        </w:tc>
        <w:tc>
          <w:tcPr>
            <w:tcW w:w="1535" w:type="pct"/>
            <w:noWrap w:val="0"/>
            <w:vAlign w:val="center"/>
          </w:tcPr>
          <w:p w14:paraId="2B76B3B6">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p>
        </w:tc>
        <w:tc>
          <w:tcPr>
            <w:tcW w:w="430" w:type="pct"/>
            <w:noWrap w:val="0"/>
            <w:vAlign w:val="center"/>
          </w:tcPr>
          <w:p w14:paraId="5AC2A8AD">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b w:val="0"/>
                <w:bCs/>
                <w:kern w:val="2"/>
                <w:sz w:val="21"/>
                <w:szCs w:val="21"/>
                <w:lang w:val="en-US" w:eastAsia="zh-CN" w:bidi="ar-SA"/>
              </w:rPr>
            </w:pPr>
            <w:r>
              <w:rPr>
                <w:rFonts w:hint="default" w:eastAsia="宋体"/>
                <w:b w:val="0"/>
                <w:sz w:val="21"/>
                <w:szCs w:val="21"/>
              </w:rPr>
              <w:t>2</w:t>
            </w:r>
          </w:p>
        </w:tc>
      </w:tr>
      <w:tr w14:paraId="6823C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4E0E6D07">
            <w:pPr>
              <w:keepNext w:val="0"/>
              <w:keepLines w:val="0"/>
              <w:suppressLineNumbers w:val="0"/>
              <w:spacing w:before="0" w:beforeAutospacing="0" w:after="0" w:afterAutospacing="0"/>
              <w:ind w:left="0" w:right="0"/>
              <w:jc w:val="center"/>
              <w:rPr>
                <w:rFonts w:hint="default" w:eastAsia="宋体"/>
                <w:szCs w:val="21"/>
                <w:lang w:val="en-US" w:eastAsia="zh-CN"/>
              </w:rPr>
            </w:pPr>
            <w:r>
              <w:rPr>
                <w:rFonts w:hint="eastAsia"/>
                <w:szCs w:val="21"/>
                <w:lang w:val="en-US" w:eastAsia="zh-CN"/>
              </w:rPr>
              <w:t>21</w:t>
            </w:r>
          </w:p>
        </w:tc>
        <w:tc>
          <w:tcPr>
            <w:tcW w:w="1245" w:type="pct"/>
            <w:noWrap w:val="0"/>
            <w:vAlign w:val="center"/>
          </w:tcPr>
          <w:p w14:paraId="33C6C49C">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b w:val="0"/>
                <w:bCs/>
                <w:kern w:val="2"/>
                <w:sz w:val="21"/>
                <w:szCs w:val="21"/>
                <w:lang w:val="en-US" w:eastAsia="zh-CN" w:bidi="ar-SA"/>
              </w:rPr>
            </w:pPr>
            <w:r>
              <w:rPr>
                <w:rFonts w:hint="default" w:eastAsia="宋体"/>
                <w:b w:val="0"/>
                <w:sz w:val="21"/>
                <w:szCs w:val="21"/>
              </w:rPr>
              <w:t>缩合釜氯苯接收罐</w:t>
            </w:r>
          </w:p>
        </w:tc>
        <w:tc>
          <w:tcPr>
            <w:tcW w:w="1412" w:type="pct"/>
            <w:noWrap w:val="0"/>
            <w:vAlign w:val="center"/>
          </w:tcPr>
          <w:p w14:paraId="4DB7372A">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p>
        </w:tc>
        <w:tc>
          <w:tcPr>
            <w:tcW w:w="1535" w:type="pct"/>
            <w:noWrap w:val="0"/>
            <w:vAlign w:val="center"/>
          </w:tcPr>
          <w:p w14:paraId="7FE33F69">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p>
        </w:tc>
        <w:tc>
          <w:tcPr>
            <w:tcW w:w="430" w:type="pct"/>
            <w:noWrap w:val="0"/>
            <w:vAlign w:val="center"/>
          </w:tcPr>
          <w:p w14:paraId="0EFC63BE">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b w:val="0"/>
                <w:bCs/>
                <w:kern w:val="2"/>
                <w:sz w:val="21"/>
                <w:szCs w:val="21"/>
                <w:lang w:val="en-US" w:eastAsia="zh-CN" w:bidi="ar-SA"/>
              </w:rPr>
            </w:pPr>
            <w:r>
              <w:rPr>
                <w:rFonts w:hint="default" w:eastAsia="宋体"/>
                <w:b w:val="0"/>
                <w:sz w:val="21"/>
                <w:szCs w:val="21"/>
              </w:rPr>
              <w:t>2</w:t>
            </w:r>
          </w:p>
        </w:tc>
      </w:tr>
      <w:tr w14:paraId="49D1C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5"/>
            <w:noWrap w:val="0"/>
            <w:vAlign w:val="center"/>
          </w:tcPr>
          <w:p w14:paraId="30693286">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eastAsia="宋体"/>
                <w:b w:val="0"/>
                <w:sz w:val="21"/>
                <w:szCs w:val="21"/>
              </w:rPr>
            </w:pPr>
            <w:r>
              <w:rPr>
                <w:rFonts w:hint="eastAsia" w:eastAsia="宋体"/>
                <w:b w:val="0"/>
                <w:sz w:val="21"/>
                <w:szCs w:val="21"/>
              </w:rPr>
              <w:t>氯硝柳胺</w:t>
            </w:r>
            <w:r>
              <w:rPr>
                <w:rFonts w:hint="default" w:eastAsia="宋体"/>
                <w:b w:val="0"/>
                <w:sz w:val="21"/>
                <w:szCs w:val="21"/>
              </w:rPr>
              <w:t>乙醇胺盐</w:t>
            </w:r>
          </w:p>
        </w:tc>
      </w:tr>
      <w:tr w14:paraId="5FC3F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54BE20C4">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eastAsia"/>
                <w:szCs w:val="21"/>
                <w:lang w:val="en-US" w:eastAsia="zh-CN"/>
              </w:rPr>
              <w:t>1</w:t>
            </w:r>
          </w:p>
        </w:tc>
        <w:tc>
          <w:tcPr>
            <w:tcW w:w="1245" w:type="pct"/>
            <w:noWrap w:val="0"/>
            <w:vAlign w:val="center"/>
          </w:tcPr>
          <w:p w14:paraId="73E2A21C">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b w:val="0"/>
                <w:bCs/>
                <w:kern w:val="2"/>
                <w:sz w:val="21"/>
                <w:szCs w:val="21"/>
                <w:lang w:val="en-US" w:eastAsia="zh-CN" w:bidi="ar-SA"/>
              </w:rPr>
            </w:pPr>
            <w:r>
              <w:rPr>
                <w:rFonts w:hint="default" w:eastAsia="宋体"/>
                <w:b w:val="0"/>
                <w:sz w:val="21"/>
                <w:szCs w:val="21"/>
              </w:rPr>
              <w:t>甲醇循环槽</w:t>
            </w:r>
          </w:p>
        </w:tc>
        <w:tc>
          <w:tcPr>
            <w:tcW w:w="1412" w:type="pct"/>
            <w:noWrap w:val="0"/>
            <w:vAlign w:val="center"/>
          </w:tcPr>
          <w:p w14:paraId="76E324B4">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Ø4000×4000</w:t>
            </w:r>
          </w:p>
        </w:tc>
        <w:tc>
          <w:tcPr>
            <w:tcW w:w="1535" w:type="pct"/>
            <w:noWrap w:val="0"/>
            <w:vAlign w:val="center"/>
          </w:tcPr>
          <w:p w14:paraId="416AAA6A">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p>
        </w:tc>
        <w:tc>
          <w:tcPr>
            <w:tcW w:w="430" w:type="pct"/>
            <w:noWrap w:val="0"/>
            <w:vAlign w:val="center"/>
          </w:tcPr>
          <w:p w14:paraId="0AB22923">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b w:val="0"/>
                <w:bCs/>
                <w:kern w:val="2"/>
                <w:sz w:val="21"/>
                <w:szCs w:val="21"/>
                <w:lang w:val="en-US" w:eastAsia="zh-CN" w:bidi="ar-SA"/>
              </w:rPr>
            </w:pPr>
            <w:r>
              <w:rPr>
                <w:rFonts w:hint="default" w:eastAsia="宋体"/>
                <w:b w:val="0"/>
                <w:sz w:val="21"/>
                <w:szCs w:val="21"/>
              </w:rPr>
              <w:t>2</w:t>
            </w:r>
          </w:p>
        </w:tc>
      </w:tr>
      <w:tr w14:paraId="1A087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1083FA76">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eastAsia"/>
                <w:szCs w:val="21"/>
                <w:lang w:val="en-US" w:eastAsia="zh-CN"/>
              </w:rPr>
              <w:t>2</w:t>
            </w:r>
          </w:p>
        </w:tc>
        <w:tc>
          <w:tcPr>
            <w:tcW w:w="1245" w:type="pct"/>
            <w:noWrap w:val="0"/>
            <w:vAlign w:val="center"/>
          </w:tcPr>
          <w:p w14:paraId="7C2A5832">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b w:val="0"/>
                <w:bCs/>
                <w:kern w:val="2"/>
                <w:sz w:val="21"/>
                <w:szCs w:val="21"/>
                <w:lang w:val="en-US" w:eastAsia="zh-CN" w:bidi="ar-SA"/>
              </w:rPr>
            </w:pPr>
            <w:r>
              <w:rPr>
                <w:rFonts w:hint="default" w:eastAsia="宋体"/>
                <w:b w:val="0"/>
                <w:sz w:val="21"/>
                <w:szCs w:val="21"/>
              </w:rPr>
              <w:t>乙醇胺循环槽</w:t>
            </w:r>
          </w:p>
        </w:tc>
        <w:tc>
          <w:tcPr>
            <w:tcW w:w="1412" w:type="pct"/>
            <w:noWrap w:val="0"/>
            <w:vAlign w:val="center"/>
          </w:tcPr>
          <w:p w14:paraId="0D7CE00C">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Ø3600×4000</w:t>
            </w:r>
          </w:p>
        </w:tc>
        <w:tc>
          <w:tcPr>
            <w:tcW w:w="1535" w:type="pct"/>
            <w:noWrap w:val="0"/>
            <w:vAlign w:val="center"/>
          </w:tcPr>
          <w:p w14:paraId="45C35F69">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p>
        </w:tc>
        <w:tc>
          <w:tcPr>
            <w:tcW w:w="430" w:type="pct"/>
            <w:noWrap w:val="0"/>
            <w:vAlign w:val="center"/>
          </w:tcPr>
          <w:p w14:paraId="6815423A">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b w:val="0"/>
                <w:bCs/>
                <w:kern w:val="2"/>
                <w:sz w:val="21"/>
                <w:szCs w:val="21"/>
                <w:lang w:val="en-US" w:eastAsia="zh-CN" w:bidi="ar-SA"/>
              </w:rPr>
            </w:pPr>
            <w:r>
              <w:rPr>
                <w:rFonts w:hint="default" w:eastAsia="宋体"/>
                <w:b w:val="0"/>
                <w:sz w:val="21"/>
                <w:szCs w:val="21"/>
              </w:rPr>
              <w:t>1</w:t>
            </w:r>
          </w:p>
        </w:tc>
      </w:tr>
      <w:tr w14:paraId="05F79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6EA31118">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eastAsia"/>
                <w:szCs w:val="21"/>
                <w:lang w:val="en-US" w:eastAsia="zh-CN"/>
              </w:rPr>
              <w:t>3</w:t>
            </w:r>
          </w:p>
        </w:tc>
        <w:tc>
          <w:tcPr>
            <w:tcW w:w="1245" w:type="pct"/>
            <w:noWrap w:val="0"/>
            <w:vAlign w:val="center"/>
          </w:tcPr>
          <w:p w14:paraId="11AE432D">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b w:val="0"/>
                <w:bCs/>
                <w:kern w:val="2"/>
                <w:sz w:val="21"/>
                <w:szCs w:val="21"/>
                <w:lang w:val="en-US" w:eastAsia="zh-CN" w:bidi="ar-SA"/>
              </w:rPr>
            </w:pPr>
            <w:r>
              <w:rPr>
                <w:rFonts w:hint="default" w:eastAsia="宋体"/>
                <w:b w:val="0"/>
                <w:sz w:val="21"/>
                <w:szCs w:val="21"/>
              </w:rPr>
              <w:t>甲醇计量槽</w:t>
            </w:r>
          </w:p>
        </w:tc>
        <w:tc>
          <w:tcPr>
            <w:tcW w:w="1412" w:type="pct"/>
            <w:noWrap w:val="0"/>
            <w:vAlign w:val="center"/>
          </w:tcPr>
          <w:p w14:paraId="522EDDA9">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Ø2600×2500</w:t>
            </w:r>
          </w:p>
        </w:tc>
        <w:tc>
          <w:tcPr>
            <w:tcW w:w="1535" w:type="pct"/>
            <w:noWrap w:val="0"/>
            <w:vAlign w:val="center"/>
          </w:tcPr>
          <w:p w14:paraId="26D6B21A">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　</w:t>
            </w:r>
          </w:p>
        </w:tc>
        <w:tc>
          <w:tcPr>
            <w:tcW w:w="430" w:type="pct"/>
            <w:noWrap w:val="0"/>
            <w:vAlign w:val="center"/>
          </w:tcPr>
          <w:p w14:paraId="3B78A535">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b w:val="0"/>
                <w:bCs/>
                <w:kern w:val="2"/>
                <w:sz w:val="21"/>
                <w:szCs w:val="21"/>
                <w:lang w:val="en-US" w:eastAsia="zh-CN" w:bidi="ar-SA"/>
              </w:rPr>
            </w:pPr>
            <w:r>
              <w:rPr>
                <w:rFonts w:hint="default" w:eastAsia="宋体"/>
                <w:b w:val="0"/>
                <w:sz w:val="21"/>
                <w:szCs w:val="21"/>
              </w:rPr>
              <w:t>1</w:t>
            </w:r>
          </w:p>
        </w:tc>
      </w:tr>
      <w:tr w14:paraId="2CBD6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23EDC220">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eastAsia"/>
                <w:szCs w:val="21"/>
                <w:lang w:val="en-US" w:eastAsia="zh-CN"/>
              </w:rPr>
              <w:t>4</w:t>
            </w:r>
          </w:p>
        </w:tc>
        <w:tc>
          <w:tcPr>
            <w:tcW w:w="1245" w:type="pct"/>
            <w:noWrap w:val="0"/>
            <w:vAlign w:val="center"/>
          </w:tcPr>
          <w:p w14:paraId="3F2155BA">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b w:val="0"/>
                <w:bCs/>
                <w:kern w:val="2"/>
                <w:sz w:val="21"/>
                <w:szCs w:val="21"/>
                <w:lang w:val="en-US" w:eastAsia="zh-CN" w:bidi="ar-SA"/>
              </w:rPr>
            </w:pPr>
            <w:r>
              <w:rPr>
                <w:rFonts w:hint="default" w:eastAsia="宋体"/>
                <w:b w:val="0"/>
                <w:sz w:val="21"/>
                <w:szCs w:val="21"/>
              </w:rPr>
              <w:t>乙醇胺计量槽</w:t>
            </w:r>
          </w:p>
        </w:tc>
        <w:tc>
          <w:tcPr>
            <w:tcW w:w="1412" w:type="pct"/>
            <w:noWrap w:val="0"/>
            <w:vAlign w:val="center"/>
          </w:tcPr>
          <w:p w14:paraId="48055FF5">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Ø1000×1500</w:t>
            </w:r>
          </w:p>
        </w:tc>
        <w:tc>
          <w:tcPr>
            <w:tcW w:w="1535" w:type="pct"/>
            <w:noWrap w:val="0"/>
            <w:vAlign w:val="center"/>
          </w:tcPr>
          <w:p w14:paraId="1E94146F">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　</w:t>
            </w:r>
          </w:p>
        </w:tc>
        <w:tc>
          <w:tcPr>
            <w:tcW w:w="430" w:type="pct"/>
            <w:noWrap w:val="0"/>
            <w:vAlign w:val="center"/>
          </w:tcPr>
          <w:p w14:paraId="6E4EEDD1">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b w:val="0"/>
                <w:bCs/>
                <w:kern w:val="2"/>
                <w:sz w:val="21"/>
                <w:szCs w:val="21"/>
                <w:lang w:val="en-US" w:eastAsia="zh-CN" w:bidi="ar-SA"/>
              </w:rPr>
            </w:pPr>
            <w:r>
              <w:rPr>
                <w:rFonts w:hint="default" w:eastAsia="宋体"/>
                <w:b w:val="0"/>
                <w:sz w:val="21"/>
                <w:szCs w:val="21"/>
              </w:rPr>
              <w:t>4</w:t>
            </w:r>
          </w:p>
        </w:tc>
      </w:tr>
      <w:tr w14:paraId="3AE4C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6FCDD773">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szCs w:val="21"/>
              </w:rPr>
              <w:t>5</w:t>
            </w:r>
          </w:p>
        </w:tc>
        <w:tc>
          <w:tcPr>
            <w:tcW w:w="1245" w:type="pct"/>
            <w:noWrap w:val="0"/>
            <w:vAlign w:val="center"/>
          </w:tcPr>
          <w:p w14:paraId="677C305D">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b w:val="0"/>
                <w:bCs/>
                <w:kern w:val="2"/>
                <w:sz w:val="21"/>
                <w:szCs w:val="21"/>
                <w:lang w:val="en-US" w:eastAsia="zh-CN" w:bidi="ar-SA"/>
              </w:rPr>
            </w:pPr>
            <w:r>
              <w:rPr>
                <w:rFonts w:hint="default" w:eastAsia="宋体"/>
                <w:b w:val="0"/>
                <w:sz w:val="21"/>
                <w:szCs w:val="21"/>
              </w:rPr>
              <w:t>成盐釜</w:t>
            </w:r>
          </w:p>
        </w:tc>
        <w:tc>
          <w:tcPr>
            <w:tcW w:w="1412" w:type="pct"/>
            <w:noWrap w:val="0"/>
            <w:vAlign w:val="center"/>
          </w:tcPr>
          <w:p w14:paraId="6FB92540">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Ø2400×3533</w:t>
            </w:r>
          </w:p>
        </w:tc>
        <w:tc>
          <w:tcPr>
            <w:tcW w:w="1535" w:type="pct"/>
            <w:noWrap w:val="0"/>
            <w:vAlign w:val="center"/>
          </w:tcPr>
          <w:p w14:paraId="1B9689A9">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轴流式搅拌、63r/min、11KW\BT4防爆</w:t>
            </w:r>
          </w:p>
        </w:tc>
        <w:tc>
          <w:tcPr>
            <w:tcW w:w="430" w:type="pct"/>
            <w:noWrap w:val="0"/>
            <w:vAlign w:val="center"/>
          </w:tcPr>
          <w:p w14:paraId="76302AE9">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b w:val="0"/>
                <w:bCs/>
                <w:kern w:val="2"/>
                <w:sz w:val="21"/>
                <w:szCs w:val="21"/>
                <w:lang w:val="en-US" w:eastAsia="zh-CN" w:bidi="ar-SA"/>
              </w:rPr>
            </w:pPr>
            <w:r>
              <w:rPr>
                <w:rFonts w:hint="default" w:eastAsia="宋体"/>
                <w:b w:val="0"/>
                <w:sz w:val="21"/>
                <w:szCs w:val="21"/>
              </w:rPr>
              <w:t>4</w:t>
            </w:r>
          </w:p>
        </w:tc>
      </w:tr>
      <w:tr w14:paraId="2FF47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765EA845">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szCs w:val="21"/>
              </w:rPr>
              <w:t>6</w:t>
            </w:r>
          </w:p>
        </w:tc>
        <w:tc>
          <w:tcPr>
            <w:tcW w:w="1245" w:type="pct"/>
            <w:noWrap w:val="0"/>
            <w:vAlign w:val="center"/>
          </w:tcPr>
          <w:p w14:paraId="1097DD04">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b w:val="0"/>
                <w:bCs/>
                <w:kern w:val="2"/>
                <w:sz w:val="21"/>
                <w:szCs w:val="21"/>
                <w:lang w:val="en-US" w:eastAsia="zh-CN" w:bidi="ar-SA"/>
              </w:rPr>
            </w:pPr>
            <w:r>
              <w:rPr>
                <w:rFonts w:hint="default" w:eastAsia="宋体"/>
                <w:b w:val="0"/>
                <w:sz w:val="21"/>
                <w:szCs w:val="21"/>
              </w:rPr>
              <w:t>甲醇冷凝器</w:t>
            </w:r>
          </w:p>
        </w:tc>
        <w:tc>
          <w:tcPr>
            <w:tcW w:w="1412" w:type="pct"/>
            <w:noWrap w:val="0"/>
            <w:vAlign w:val="center"/>
          </w:tcPr>
          <w:p w14:paraId="65E0AA65">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Ø800×3623</w:t>
            </w:r>
          </w:p>
        </w:tc>
        <w:tc>
          <w:tcPr>
            <w:tcW w:w="1535" w:type="pct"/>
            <w:noWrap w:val="0"/>
            <w:vAlign w:val="center"/>
          </w:tcPr>
          <w:p w14:paraId="4AE27EDE">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　</w:t>
            </w:r>
          </w:p>
        </w:tc>
        <w:tc>
          <w:tcPr>
            <w:tcW w:w="430" w:type="pct"/>
            <w:noWrap w:val="0"/>
            <w:vAlign w:val="center"/>
          </w:tcPr>
          <w:p w14:paraId="3C0F5746">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b w:val="0"/>
                <w:bCs/>
                <w:kern w:val="2"/>
                <w:sz w:val="21"/>
                <w:szCs w:val="21"/>
                <w:lang w:val="en-US" w:eastAsia="zh-CN" w:bidi="ar-SA"/>
              </w:rPr>
            </w:pPr>
            <w:r>
              <w:rPr>
                <w:rFonts w:hint="default" w:eastAsia="宋体"/>
                <w:b w:val="0"/>
                <w:sz w:val="21"/>
                <w:szCs w:val="21"/>
              </w:rPr>
              <w:t>4</w:t>
            </w:r>
          </w:p>
        </w:tc>
      </w:tr>
      <w:tr w14:paraId="17E53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5E2F8F16">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szCs w:val="21"/>
              </w:rPr>
              <w:t>7</w:t>
            </w:r>
          </w:p>
        </w:tc>
        <w:tc>
          <w:tcPr>
            <w:tcW w:w="1245" w:type="pct"/>
            <w:noWrap w:val="0"/>
            <w:vAlign w:val="center"/>
          </w:tcPr>
          <w:p w14:paraId="206700C4">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b w:val="0"/>
                <w:bCs/>
                <w:kern w:val="2"/>
                <w:sz w:val="21"/>
                <w:szCs w:val="21"/>
                <w:lang w:val="en-US" w:eastAsia="zh-CN" w:bidi="ar-SA"/>
              </w:rPr>
            </w:pPr>
            <w:r>
              <w:rPr>
                <w:rFonts w:hint="default" w:eastAsia="宋体"/>
                <w:b w:val="0"/>
                <w:sz w:val="21"/>
                <w:szCs w:val="21"/>
              </w:rPr>
              <w:t>结晶釜</w:t>
            </w:r>
          </w:p>
        </w:tc>
        <w:tc>
          <w:tcPr>
            <w:tcW w:w="1412" w:type="pct"/>
            <w:noWrap w:val="0"/>
            <w:vAlign w:val="center"/>
          </w:tcPr>
          <w:p w14:paraId="2E6DF95E">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Ø2400×3533</w:t>
            </w:r>
          </w:p>
        </w:tc>
        <w:tc>
          <w:tcPr>
            <w:tcW w:w="1535" w:type="pct"/>
            <w:noWrap w:val="0"/>
            <w:vAlign w:val="center"/>
          </w:tcPr>
          <w:p w14:paraId="2B3BF139">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轴流式搅拌、63r/min、11KW\BT4防爆</w:t>
            </w:r>
          </w:p>
        </w:tc>
        <w:tc>
          <w:tcPr>
            <w:tcW w:w="430" w:type="pct"/>
            <w:noWrap w:val="0"/>
            <w:vAlign w:val="center"/>
          </w:tcPr>
          <w:p w14:paraId="19F395CA">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b w:val="0"/>
                <w:bCs/>
                <w:kern w:val="2"/>
                <w:sz w:val="21"/>
                <w:szCs w:val="21"/>
                <w:lang w:val="en-US" w:eastAsia="zh-CN" w:bidi="ar-SA"/>
              </w:rPr>
            </w:pPr>
            <w:r>
              <w:rPr>
                <w:rFonts w:hint="default" w:eastAsia="宋体"/>
                <w:b w:val="0"/>
                <w:sz w:val="21"/>
                <w:szCs w:val="21"/>
              </w:rPr>
              <w:t>2</w:t>
            </w:r>
          </w:p>
        </w:tc>
      </w:tr>
      <w:tr w14:paraId="756E3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4EEB1F4F">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szCs w:val="21"/>
              </w:rPr>
              <w:t>8</w:t>
            </w:r>
          </w:p>
        </w:tc>
        <w:tc>
          <w:tcPr>
            <w:tcW w:w="1245" w:type="pct"/>
            <w:noWrap w:val="0"/>
            <w:vAlign w:val="center"/>
          </w:tcPr>
          <w:p w14:paraId="40CC6455">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b w:val="0"/>
                <w:bCs/>
                <w:kern w:val="2"/>
                <w:sz w:val="21"/>
                <w:szCs w:val="21"/>
                <w:lang w:val="en-US" w:eastAsia="zh-CN" w:bidi="ar-SA"/>
              </w:rPr>
            </w:pPr>
            <w:r>
              <w:rPr>
                <w:rFonts w:hint="default" w:eastAsia="宋体"/>
                <w:b w:val="0"/>
                <w:sz w:val="21"/>
                <w:szCs w:val="21"/>
              </w:rPr>
              <w:t>三合一压滤机</w:t>
            </w:r>
          </w:p>
        </w:tc>
        <w:tc>
          <w:tcPr>
            <w:tcW w:w="1412" w:type="pct"/>
            <w:noWrap w:val="0"/>
            <w:vAlign w:val="center"/>
          </w:tcPr>
          <w:p w14:paraId="794A485F">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　</w:t>
            </w:r>
          </w:p>
        </w:tc>
        <w:tc>
          <w:tcPr>
            <w:tcW w:w="1535" w:type="pct"/>
            <w:noWrap w:val="0"/>
            <w:vAlign w:val="center"/>
          </w:tcPr>
          <w:p w14:paraId="22D7CD36">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　</w:t>
            </w:r>
          </w:p>
        </w:tc>
        <w:tc>
          <w:tcPr>
            <w:tcW w:w="430" w:type="pct"/>
            <w:noWrap w:val="0"/>
            <w:vAlign w:val="center"/>
          </w:tcPr>
          <w:p w14:paraId="771D1FAC">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b w:val="0"/>
                <w:bCs/>
                <w:kern w:val="2"/>
                <w:sz w:val="21"/>
                <w:szCs w:val="21"/>
                <w:lang w:val="en-US" w:eastAsia="zh-CN" w:bidi="ar-SA"/>
              </w:rPr>
            </w:pPr>
            <w:r>
              <w:rPr>
                <w:rFonts w:hint="default" w:eastAsia="宋体"/>
                <w:b w:val="0"/>
                <w:sz w:val="21"/>
                <w:szCs w:val="21"/>
              </w:rPr>
              <w:t>2</w:t>
            </w:r>
          </w:p>
        </w:tc>
      </w:tr>
      <w:tr w14:paraId="3948E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0321DCF9">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szCs w:val="21"/>
              </w:rPr>
              <w:t>9</w:t>
            </w:r>
          </w:p>
        </w:tc>
        <w:tc>
          <w:tcPr>
            <w:tcW w:w="1245" w:type="pct"/>
            <w:noWrap w:val="0"/>
            <w:vAlign w:val="center"/>
          </w:tcPr>
          <w:p w14:paraId="15D1707C">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b w:val="0"/>
                <w:bCs/>
                <w:kern w:val="2"/>
                <w:sz w:val="21"/>
                <w:szCs w:val="21"/>
                <w:lang w:val="en-US" w:eastAsia="zh-CN" w:bidi="ar-SA"/>
              </w:rPr>
            </w:pPr>
            <w:r>
              <w:rPr>
                <w:rFonts w:hint="default" w:eastAsia="宋体"/>
                <w:b w:val="0"/>
                <w:sz w:val="21"/>
                <w:szCs w:val="21"/>
              </w:rPr>
              <w:t>母液槽</w:t>
            </w:r>
          </w:p>
        </w:tc>
        <w:tc>
          <w:tcPr>
            <w:tcW w:w="1412" w:type="pct"/>
            <w:noWrap w:val="0"/>
            <w:vAlign w:val="center"/>
          </w:tcPr>
          <w:p w14:paraId="69A852AE">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Ø3000×3000</w:t>
            </w:r>
          </w:p>
        </w:tc>
        <w:tc>
          <w:tcPr>
            <w:tcW w:w="1535" w:type="pct"/>
            <w:noWrap w:val="0"/>
            <w:vAlign w:val="center"/>
          </w:tcPr>
          <w:p w14:paraId="03A10478">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　</w:t>
            </w:r>
          </w:p>
        </w:tc>
        <w:tc>
          <w:tcPr>
            <w:tcW w:w="430" w:type="pct"/>
            <w:noWrap w:val="0"/>
            <w:vAlign w:val="center"/>
          </w:tcPr>
          <w:p w14:paraId="72C005E2">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b w:val="0"/>
                <w:bCs/>
                <w:kern w:val="2"/>
                <w:sz w:val="21"/>
                <w:szCs w:val="21"/>
                <w:lang w:val="en-US" w:eastAsia="zh-CN" w:bidi="ar-SA"/>
              </w:rPr>
            </w:pPr>
            <w:r>
              <w:rPr>
                <w:rFonts w:hint="default" w:eastAsia="宋体"/>
                <w:b w:val="0"/>
                <w:sz w:val="21"/>
                <w:szCs w:val="21"/>
              </w:rPr>
              <w:t>2</w:t>
            </w:r>
          </w:p>
        </w:tc>
      </w:tr>
      <w:tr w14:paraId="5C275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2486C4BC">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szCs w:val="21"/>
              </w:rPr>
              <w:t>10</w:t>
            </w:r>
          </w:p>
        </w:tc>
        <w:tc>
          <w:tcPr>
            <w:tcW w:w="1245" w:type="pct"/>
            <w:noWrap w:val="0"/>
            <w:vAlign w:val="center"/>
          </w:tcPr>
          <w:p w14:paraId="421159AA">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b w:val="0"/>
                <w:bCs/>
                <w:kern w:val="2"/>
                <w:sz w:val="21"/>
                <w:szCs w:val="21"/>
                <w:lang w:val="en-US" w:eastAsia="zh-CN" w:bidi="ar-SA"/>
              </w:rPr>
            </w:pPr>
            <w:r>
              <w:rPr>
                <w:rFonts w:hint="default" w:eastAsia="宋体"/>
                <w:b w:val="0"/>
                <w:sz w:val="21"/>
                <w:szCs w:val="21"/>
              </w:rPr>
              <w:t>精制釜</w:t>
            </w:r>
          </w:p>
        </w:tc>
        <w:tc>
          <w:tcPr>
            <w:tcW w:w="1412" w:type="pct"/>
            <w:noWrap w:val="0"/>
            <w:vAlign w:val="center"/>
          </w:tcPr>
          <w:p w14:paraId="212CC2BB">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Ø2400×3533</w:t>
            </w:r>
          </w:p>
        </w:tc>
        <w:tc>
          <w:tcPr>
            <w:tcW w:w="1535" w:type="pct"/>
            <w:noWrap w:val="0"/>
            <w:vAlign w:val="center"/>
          </w:tcPr>
          <w:p w14:paraId="7E8C9906">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轴流式搅拌、63r/min、11KW\BT4防爆</w:t>
            </w:r>
          </w:p>
        </w:tc>
        <w:tc>
          <w:tcPr>
            <w:tcW w:w="430" w:type="pct"/>
            <w:noWrap w:val="0"/>
            <w:vAlign w:val="center"/>
          </w:tcPr>
          <w:p w14:paraId="5B9D61F0">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b w:val="0"/>
                <w:bCs/>
                <w:kern w:val="2"/>
                <w:sz w:val="21"/>
                <w:szCs w:val="21"/>
                <w:lang w:val="en-US" w:eastAsia="zh-CN" w:bidi="ar-SA"/>
              </w:rPr>
            </w:pPr>
            <w:r>
              <w:rPr>
                <w:rFonts w:hint="default" w:eastAsia="宋体"/>
                <w:b w:val="0"/>
                <w:sz w:val="21"/>
                <w:szCs w:val="21"/>
              </w:rPr>
              <w:t>2</w:t>
            </w:r>
          </w:p>
        </w:tc>
      </w:tr>
      <w:tr w14:paraId="04F48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1BD5881A">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szCs w:val="21"/>
              </w:rPr>
              <w:t>11</w:t>
            </w:r>
          </w:p>
        </w:tc>
        <w:tc>
          <w:tcPr>
            <w:tcW w:w="1245" w:type="pct"/>
            <w:noWrap w:val="0"/>
            <w:vAlign w:val="center"/>
          </w:tcPr>
          <w:p w14:paraId="6D7F9B92">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b w:val="0"/>
                <w:bCs/>
                <w:kern w:val="2"/>
                <w:sz w:val="21"/>
                <w:szCs w:val="21"/>
                <w:lang w:val="en-US" w:eastAsia="zh-CN" w:bidi="ar-SA"/>
              </w:rPr>
            </w:pPr>
            <w:r>
              <w:rPr>
                <w:rFonts w:hint="default" w:eastAsia="宋体"/>
                <w:b w:val="0"/>
                <w:sz w:val="21"/>
                <w:szCs w:val="21"/>
              </w:rPr>
              <w:t>甲醇蒸馏釜</w:t>
            </w:r>
          </w:p>
        </w:tc>
        <w:tc>
          <w:tcPr>
            <w:tcW w:w="1412" w:type="pct"/>
            <w:noWrap w:val="0"/>
            <w:vAlign w:val="center"/>
          </w:tcPr>
          <w:p w14:paraId="36594BB6">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Ø2400×3533</w:t>
            </w:r>
          </w:p>
        </w:tc>
        <w:tc>
          <w:tcPr>
            <w:tcW w:w="1535" w:type="pct"/>
            <w:noWrap w:val="0"/>
            <w:vAlign w:val="center"/>
          </w:tcPr>
          <w:p w14:paraId="06BCFF77">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轴流式搅拌、63r/min、11KW\BT4防爆</w:t>
            </w:r>
          </w:p>
        </w:tc>
        <w:tc>
          <w:tcPr>
            <w:tcW w:w="430" w:type="pct"/>
            <w:noWrap w:val="0"/>
            <w:vAlign w:val="center"/>
          </w:tcPr>
          <w:p w14:paraId="13F80050">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b w:val="0"/>
                <w:bCs/>
                <w:kern w:val="2"/>
                <w:sz w:val="21"/>
                <w:szCs w:val="21"/>
                <w:lang w:val="en-US" w:eastAsia="zh-CN" w:bidi="ar-SA"/>
              </w:rPr>
            </w:pPr>
            <w:r>
              <w:rPr>
                <w:rFonts w:hint="default" w:eastAsia="宋体"/>
                <w:b w:val="0"/>
                <w:sz w:val="21"/>
                <w:szCs w:val="21"/>
              </w:rPr>
              <w:t>2</w:t>
            </w:r>
          </w:p>
        </w:tc>
      </w:tr>
      <w:tr w14:paraId="04BF3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60231562">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szCs w:val="21"/>
              </w:rPr>
              <w:t>12</w:t>
            </w:r>
          </w:p>
        </w:tc>
        <w:tc>
          <w:tcPr>
            <w:tcW w:w="1245" w:type="pct"/>
            <w:noWrap w:val="0"/>
            <w:vAlign w:val="center"/>
          </w:tcPr>
          <w:p w14:paraId="2F58D179">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b w:val="0"/>
                <w:bCs/>
                <w:kern w:val="2"/>
                <w:sz w:val="21"/>
                <w:szCs w:val="21"/>
                <w:lang w:val="en-US" w:eastAsia="zh-CN" w:bidi="ar-SA"/>
              </w:rPr>
            </w:pPr>
            <w:r>
              <w:rPr>
                <w:rFonts w:hint="default" w:eastAsia="宋体"/>
                <w:b w:val="0"/>
                <w:sz w:val="21"/>
                <w:szCs w:val="21"/>
              </w:rPr>
              <w:t>甲醇接收槽</w:t>
            </w:r>
          </w:p>
        </w:tc>
        <w:tc>
          <w:tcPr>
            <w:tcW w:w="1412" w:type="pct"/>
            <w:noWrap w:val="0"/>
            <w:vAlign w:val="center"/>
          </w:tcPr>
          <w:p w14:paraId="4865DA75">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Ø3000×3000</w:t>
            </w:r>
          </w:p>
        </w:tc>
        <w:tc>
          <w:tcPr>
            <w:tcW w:w="1535" w:type="pct"/>
            <w:noWrap w:val="0"/>
            <w:vAlign w:val="center"/>
          </w:tcPr>
          <w:p w14:paraId="79652184">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　</w:t>
            </w:r>
          </w:p>
        </w:tc>
        <w:tc>
          <w:tcPr>
            <w:tcW w:w="430" w:type="pct"/>
            <w:noWrap w:val="0"/>
            <w:vAlign w:val="center"/>
          </w:tcPr>
          <w:p w14:paraId="6D1711B6">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b w:val="0"/>
                <w:bCs/>
                <w:kern w:val="2"/>
                <w:sz w:val="21"/>
                <w:szCs w:val="21"/>
                <w:lang w:val="en-US" w:eastAsia="zh-CN" w:bidi="ar-SA"/>
              </w:rPr>
            </w:pPr>
            <w:r>
              <w:rPr>
                <w:rFonts w:hint="default" w:eastAsia="宋体"/>
                <w:b w:val="0"/>
                <w:sz w:val="21"/>
                <w:szCs w:val="21"/>
              </w:rPr>
              <w:t>2</w:t>
            </w:r>
          </w:p>
        </w:tc>
      </w:tr>
      <w:tr w14:paraId="1F019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1A68D1D9">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default"/>
                <w:szCs w:val="21"/>
              </w:rPr>
              <w:t>13</w:t>
            </w:r>
          </w:p>
        </w:tc>
        <w:tc>
          <w:tcPr>
            <w:tcW w:w="1245" w:type="pct"/>
            <w:noWrap w:val="0"/>
            <w:vAlign w:val="center"/>
          </w:tcPr>
          <w:p w14:paraId="521FD462">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b w:val="0"/>
                <w:bCs/>
                <w:kern w:val="2"/>
                <w:sz w:val="21"/>
                <w:szCs w:val="21"/>
                <w:lang w:val="en-US" w:eastAsia="zh-CN" w:bidi="ar-SA"/>
              </w:rPr>
            </w:pPr>
            <w:r>
              <w:rPr>
                <w:rFonts w:hint="default" w:eastAsia="宋体"/>
                <w:b w:val="0"/>
                <w:sz w:val="21"/>
                <w:szCs w:val="21"/>
              </w:rPr>
              <w:t>甲醇冷凝器</w:t>
            </w:r>
          </w:p>
        </w:tc>
        <w:tc>
          <w:tcPr>
            <w:tcW w:w="1412" w:type="pct"/>
            <w:noWrap w:val="0"/>
            <w:vAlign w:val="center"/>
          </w:tcPr>
          <w:p w14:paraId="4D050D98">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Ø800×3623</w:t>
            </w:r>
          </w:p>
        </w:tc>
        <w:tc>
          <w:tcPr>
            <w:tcW w:w="1535" w:type="pct"/>
            <w:noWrap w:val="0"/>
            <w:vAlign w:val="center"/>
          </w:tcPr>
          <w:p w14:paraId="1A020B75">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p>
        </w:tc>
        <w:tc>
          <w:tcPr>
            <w:tcW w:w="430" w:type="pct"/>
            <w:noWrap w:val="0"/>
            <w:vAlign w:val="center"/>
          </w:tcPr>
          <w:p w14:paraId="2B04FB63">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b w:val="0"/>
                <w:bCs/>
                <w:kern w:val="2"/>
                <w:sz w:val="21"/>
                <w:szCs w:val="21"/>
                <w:lang w:val="en-US" w:eastAsia="zh-CN" w:bidi="ar-SA"/>
              </w:rPr>
            </w:pPr>
            <w:r>
              <w:rPr>
                <w:rFonts w:hint="default" w:eastAsia="宋体"/>
                <w:b w:val="0"/>
                <w:sz w:val="21"/>
                <w:szCs w:val="21"/>
              </w:rPr>
              <w:t>2</w:t>
            </w:r>
          </w:p>
        </w:tc>
      </w:tr>
      <w:tr w14:paraId="56E27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27028551">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eastAsia"/>
                <w:szCs w:val="21"/>
              </w:rPr>
              <w:t>14</w:t>
            </w:r>
          </w:p>
        </w:tc>
        <w:tc>
          <w:tcPr>
            <w:tcW w:w="1245" w:type="pct"/>
            <w:noWrap w:val="0"/>
            <w:vAlign w:val="center"/>
          </w:tcPr>
          <w:p w14:paraId="7C6FE132">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b w:val="0"/>
                <w:bCs/>
                <w:kern w:val="2"/>
                <w:sz w:val="21"/>
                <w:szCs w:val="21"/>
                <w:lang w:val="en-US" w:eastAsia="zh-CN" w:bidi="ar-SA"/>
              </w:rPr>
            </w:pPr>
            <w:r>
              <w:rPr>
                <w:rFonts w:hint="default" w:eastAsia="宋体"/>
                <w:b w:val="0"/>
                <w:sz w:val="21"/>
                <w:szCs w:val="21"/>
              </w:rPr>
              <w:t>闪蒸干燥机</w:t>
            </w:r>
          </w:p>
        </w:tc>
        <w:tc>
          <w:tcPr>
            <w:tcW w:w="1412" w:type="pct"/>
            <w:noWrap w:val="0"/>
            <w:vAlign w:val="center"/>
          </w:tcPr>
          <w:p w14:paraId="4F322A23">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　</w:t>
            </w:r>
          </w:p>
        </w:tc>
        <w:tc>
          <w:tcPr>
            <w:tcW w:w="1535" w:type="pct"/>
            <w:noWrap w:val="0"/>
            <w:vAlign w:val="center"/>
          </w:tcPr>
          <w:p w14:paraId="54035D10">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p>
        </w:tc>
        <w:tc>
          <w:tcPr>
            <w:tcW w:w="430" w:type="pct"/>
            <w:noWrap w:val="0"/>
            <w:vAlign w:val="center"/>
          </w:tcPr>
          <w:p w14:paraId="201B537C">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b w:val="0"/>
                <w:bCs/>
                <w:kern w:val="2"/>
                <w:sz w:val="21"/>
                <w:szCs w:val="21"/>
                <w:lang w:val="en-US" w:eastAsia="zh-CN" w:bidi="ar-SA"/>
              </w:rPr>
            </w:pPr>
            <w:r>
              <w:rPr>
                <w:rFonts w:hint="default" w:eastAsia="宋体"/>
                <w:b w:val="0"/>
                <w:sz w:val="21"/>
                <w:szCs w:val="21"/>
              </w:rPr>
              <w:t>1</w:t>
            </w:r>
          </w:p>
        </w:tc>
      </w:tr>
      <w:tr w14:paraId="6189E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049A2FEF">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eastAsia"/>
                <w:szCs w:val="21"/>
              </w:rPr>
              <w:t>15</w:t>
            </w:r>
          </w:p>
        </w:tc>
        <w:tc>
          <w:tcPr>
            <w:tcW w:w="1245" w:type="pct"/>
            <w:noWrap w:val="0"/>
            <w:vAlign w:val="center"/>
          </w:tcPr>
          <w:p w14:paraId="6212DBBD">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b w:val="0"/>
                <w:bCs/>
                <w:kern w:val="2"/>
                <w:sz w:val="21"/>
                <w:szCs w:val="21"/>
                <w:lang w:val="en-US" w:eastAsia="zh-CN" w:bidi="ar-SA"/>
              </w:rPr>
            </w:pPr>
            <w:r>
              <w:rPr>
                <w:rFonts w:hint="default" w:eastAsia="宋体"/>
                <w:b w:val="0"/>
                <w:sz w:val="21"/>
                <w:szCs w:val="21"/>
              </w:rPr>
              <w:t>离心机</w:t>
            </w:r>
          </w:p>
        </w:tc>
        <w:tc>
          <w:tcPr>
            <w:tcW w:w="1412" w:type="pct"/>
            <w:noWrap w:val="0"/>
            <w:vAlign w:val="center"/>
          </w:tcPr>
          <w:p w14:paraId="4D9229A8">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　</w:t>
            </w:r>
          </w:p>
        </w:tc>
        <w:tc>
          <w:tcPr>
            <w:tcW w:w="1535" w:type="pct"/>
            <w:noWrap w:val="0"/>
            <w:vAlign w:val="center"/>
          </w:tcPr>
          <w:p w14:paraId="07F2CF2C">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p>
        </w:tc>
        <w:tc>
          <w:tcPr>
            <w:tcW w:w="430" w:type="pct"/>
            <w:noWrap w:val="0"/>
            <w:vAlign w:val="center"/>
          </w:tcPr>
          <w:p w14:paraId="7255435C">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b w:val="0"/>
                <w:bCs/>
                <w:kern w:val="2"/>
                <w:sz w:val="21"/>
                <w:szCs w:val="21"/>
                <w:lang w:val="en-US" w:eastAsia="zh-CN" w:bidi="ar-SA"/>
              </w:rPr>
            </w:pPr>
            <w:r>
              <w:rPr>
                <w:rFonts w:hint="default" w:eastAsia="宋体"/>
                <w:b w:val="0"/>
                <w:sz w:val="21"/>
                <w:szCs w:val="21"/>
              </w:rPr>
              <w:t>2</w:t>
            </w:r>
          </w:p>
        </w:tc>
      </w:tr>
      <w:tr w14:paraId="72D68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 w:type="pct"/>
            <w:noWrap w:val="0"/>
            <w:vAlign w:val="center"/>
          </w:tcPr>
          <w:p w14:paraId="38182D40">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eastAsia"/>
                <w:szCs w:val="21"/>
              </w:rPr>
              <w:t>16</w:t>
            </w:r>
          </w:p>
        </w:tc>
        <w:tc>
          <w:tcPr>
            <w:tcW w:w="1245" w:type="pct"/>
            <w:noWrap w:val="0"/>
            <w:vAlign w:val="center"/>
          </w:tcPr>
          <w:p w14:paraId="09E9F614">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b w:val="0"/>
                <w:bCs/>
                <w:kern w:val="2"/>
                <w:sz w:val="21"/>
                <w:szCs w:val="21"/>
                <w:lang w:val="en-US" w:eastAsia="zh-CN" w:bidi="ar-SA"/>
              </w:rPr>
            </w:pPr>
            <w:r>
              <w:rPr>
                <w:rFonts w:hint="default" w:eastAsia="宋体"/>
                <w:b w:val="0"/>
                <w:sz w:val="21"/>
                <w:szCs w:val="21"/>
              </w:rPr>
              <w:t>离心母液槽</w:t>
            </w:r>
          </w:p>
        </w:tc>
        <w:tc>
          <w:tcPr>
            <w:tcW w:w="1412" w:type="pct"/>
            <w:noWrap w:val="0"/>
            <w:vAlign w:val="center"/>
          </w:tcPr>
          <w:p w14:paraId="13B05D68">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r>
              <w:rPr>
                <w:rFonts w:hint="default" w:eastAsia="宋体"/>
                <w:b w:val="0"/>
                <w:sz w:val="21"/>
                <w:szCs w:val="21"/>
              </w:rPr>
              <w:t>Ø3000×3000</w:t>
            </w:r>
          </w:p>
        </w:tc>
        <w:tc>
          <w:tcPr>
            <w:tcW w:w="1535" w:type="pct"/>
            <w:noWrap w:val="0"/>
            <w:vAlign w:val="center"/>
          </w:tcPr>
          <w:p w14:paraId="00B58F8B">
            <w:pPr>
              <w:pStyle w:val="125"/>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b w:val="0"/>
                <w:bCs/>
                <w:kern w:val="2"/>
                <w:sz w:val="21"/>
                <w:szCs w:val="21"/>
                <w:lang w:val="en-US" w:eastAsia="zh-CN" w:bidi="ar-SA"/>
              </w:rPr>
            </w:pPr>
          </w:p>
        </w:tc>
        <w:tc>
          <w:tcPr>
            <w:tcW w:w="430" w:type="pct"/>
            <w:noWrap w:val="0"/>
            <w:vAlign w:val="center"/>
          </w:tcPr>
          <w:p w14:paraId="0AE28A3A">
            <w:pPr>
              <w:pStyle w:val="125"/>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b w:val="0"/>
                <w:bCs/>
                <w:kern w:val="2"/>
                <w:sz w:val="21"/>
                <w:szCs w:val="21"/>
                <w:lang w:val="en-US" w:eastAsia="zh-CN" w:bidi="ar-SA"/>
              </w:rPr>
            </w:pPr>
            <w:r>
              <w:rPr>
                <w:rFonts w:hint="default" w:eastAsia="宋体"/>
                <w:b w:val="0"/>
                <w:sz w:val="21"/>
                <w:szCs w:val="21"/>
              </w:rPr>
              <w:t>1</w:t>
            </w:r>
          </w:p>
        </w:tc>
      </w:tr>
    </w:tbl>
    <w:p w14:paraId="13FBDAC5">
      <w:pPr>
        <w:pStyle w:val="2"/>
        <w:ind w:left="0" w:leftChars="0" w:firstLine="0" w:firstLineChars="0"/>
        <w:rPr>
          <w:rFonts w:hint="eastAsia"/>
          <w:lang w:eastAsia="zh-CN"/>
        </w:rPr>
      </w:pPr>
    </w:p>
    <w:p w14:paraId="7898B722">
      <w:pPr>
        <w:spacing w:before="0" w:after="0"/>
        <w:jc w:val="left"/>
        <w:outlineLvl w:val="9"/>
        <w:rPr>
          <w:rFonts w:hint="default" w:ascii="Times New Roman" w:hAnsi="Times New Roman" w:cs="Times New Roman"/>
          <w:b/>
          <w:bCs/>
          <w:color w:val="auto"/>
          <w:sz w:val="24"/>
          <w:szCs w:val="32"/>
          <w:highlight w:val="none"/>
        </w:rPr>
      </w:pPr>
      <w:r>
        <w:rPr>
          <w:rFonts w:hint="default" w:ascii="Times New Roman" w:hAnsi="Times New Roman" w:cs="Times New Roman"/>
          <w:b/>
          <w:bCs/>
          <w:color w:val="auto"/>
          <w:sz w:val="24"/>
          <w:szCs w:val="32"/>
          <w:highlight w:val="none"/>
        </w:rPr>
        <w:t>3.4.</w:t>
      </w:r>
      <w:r>
        <w:rPr>
          <w:rFonts w:hint="default" w:ascii="Times New Roman" w:hAnsi="Times New Roman" w:cs="Times New Roman"/>
          <w:b/>
          <w:bCs/>
          <w:color w:val="auto"/>
          <w:sz w:val="24"/>
          <w:szCs w:val="32"/>
          <w:highlight w:val="none"/>
          <w:lang w:val="en-US" w:eastAsia="zh-CN"/>
        </w:rPr>
        <w:t>3</w:t>
      </w:r>
      <w:r>
        <w:rPr>
          <w:rFonts w:hint="default" w:ascii="Times New Roman" w:hAnsi="Times New Roman" w:cs="Times New Roman"/>
          <w:b/>
          <w:bCs/>
          <w:color w:val="auto"/>
          <w:sz w:val="24"/>
          <w:szCs w:val="32"/>
          <w:highlight w:val="none"/>
        </w:rPr>
        <w:t xml:space="preserve"> </w:t>
      </w:r>
      <w:r>
        <w:rPr>
          <w:rFonts w:hint="default" w:ascii="Times New Roman" w:hAnsi="Times New Roman" w:cs="Times New Roman"/>
          <w:b/>
          <w:bCs/>
          <w:color w:val="auto"/>
          <w:sz w:val="24"/>
          <w:szCs w:val="32"/>
          <w:highlight w:val="none"/>
          <w:lang w:eastAsia="zh-CN"/>
        </w:rPr>
        <w:t>行业及生产工艺</w:t>
      </w:r>
      <w:r>
        <w:rPr>
          <w:rFonts w:hint="default" w:ascii="Times New Roman" w:hAnsi="Times New Roman" w:cs="Times New Roman"/>
          <w:b/>
          <w:bCs/>
          <w:color w:val="auto"/>
          <w:sz w:val="24"/>
          <w:szCs w:val="32"/>
          <w:highlight w:val="none"/>
        </w:rPr>
        <w:t>风险识别</w:t>
      </w:r>
    </w:p>
    <w:p w14:paraId="3FAF4200">
      <w:pPr>
        <w:pStyle w:val="68"/>
        <w:spacing w:line="360" w:lineRule="auto"/>
        <w:ind w:firstLine="482"/>
        <w:rPr>
          <w:rFonts w:hint="default" w:ascii="Times New Roman" w:hAnsi="Times New Roman" w:cs="Times New Roman"/>
          <w:bCs w:val="0"/>
          <w:color w:val="auto"/>
          <w:highlight w:val="none"/>
        </w:rPr>
      </w:pPr>
      <w:r>
        <w:rPr>
          <w:rFonts w:hint="default" w:ascii="Times New Roman" w:hAnsi="Times New Roman" w:cs="Times New Roman"/>
          <w:bCs w:val="0"/>
          <w:color w:val="auto"/>
          <w:highlight w:val="none"/>
        </w:rPr>
        <w:t>表3.4-2  生产工艺风险识别一览表</w:t>
      </w:r>
    </w:p>
    <w:tbl>
      <w:tblPr>
        <w:tblStyle w:val="33"/>
        <w:tblW w:w="9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9"/>
        <w:gridCol w:w="2691"/>
        <w:gridCol w:w="3226"/>
        <w:gridCol w:w="2388"/>
      </w:tblGrid>
      <w:tr w14:paraId="1FCC7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049" w:type="dxa"/>
            <w:vAlign w:val="center"/>
          </w:tcPr>
          <w:p w14:paraId="6FCC95AF">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序号</w:t>
            </w:r>
          </w:p>
        </w:tc>
        <w:tc>
          <w:tcPr>
            <w:tcW w:w="2691" w:type="dxa"/>
            <w:vAlign w:val="center"/>
          </w:tcPr>
          <w:p w14:paraId="0E798F0F">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装置/工艺类别</w:t>
            </w:r>
          </w:p>
        </w:tc>
        <w:tc>
          <w:tcPr>
            <w:tcW w:w="3226" w:type="dxa"/>
            <w:vAlign w:val="center"/>
          </w:tcPr>
          <w:p w14:paraId="40916FB1">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auto"/>
                <w:szCs w:val="21"/>
                <w:highlight w:val="none"/>
                <w:lang w:eastAsia="zh-CN"/>
              </w:rPr>
            </w:pPr>
            <w:r>
              <w:rPr>
                <w:rFonts w:hint="default" w:ascii="Times New Roman" w:hAnsi="Times New Roman" w:cs="Times New Roman"/>
                <w:b/>
                <w:bCs/>
                <w:color w:val="auto"/>
                <w:szCs w:val="21"/>
                <w:highlight w:val="none"/>
                <w:lang w:eastAsia="zh-CN"/>
              </w:rPr>
              <w:t>生产工艺</w:t>
            </w:r>
          </w:p>
        </w:tc>
        <w:tc>
          <w:tcPr>
            <w:tcW w:w="2388" w:type="dxa"/>
            <w:vAlign w:val="center"/>
          </w:tcPr>
          <w:p w14:paraId="33018B88">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b/>
                <w:bCs/>
                <w:color w:val="auto"/>
                <w:szCs w:val="21"/>
                <w:highlight w:val="none"/>
                <w:lang w:val="en-US" w:eastAsia="zh-CN"/>
              </w:rPr>
            </w:pPr>
            <w:r>
              <w:rPr>
                <w:rFonts w:hint="default" w:ascii="Times New Roman" w:hAnsi="Times New Roman" w:cs="Times New Roman"/>
                <w:b/>
                <w:bCs/>
                <w:color w:val="auto"/>
                <w:szCs w:val="21"/>
                <w:highlight w:val="none"/>
                <w:lang w:eastAsia="zh-CN"/>
              </w:rPr>
              <w:t>数量</w:t>
            </w:r>
            <w:r>
              <w:rPr>
                <w:rFonts w:hint="default" w:ascii="Times New Roman" w:hAnsi="Times New Roman" w:cs="Times New Roman"/>
                <w:b/>
                <w:bCs/>
                <w:color w:val="auto"/>
                <w:szCs w:val="21"/>
                <w:highlight w:val="none"/>
                <w:lang w:val="en-US" w:eastAsia="zh-CN"/>
              </w:rPr>
              <w:t>/套</w:t>
            </w:r>
          </w:p>
        </w:tc>
      </w:tr>
      <w:tr w14:paraId="292FD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049" w:type="dxa"/>
            <w:vAlign w:val="center"/>
          </w:tcPr>
          <w:p w14:paraId="3DDC73E2">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color w:val="auto"/>
                <w:szCs w:val="21"/>
                <w:highlight w:val="none"/>
              </w:rPr>
            </w:pPr>
            <w:r>
              <w:rPr>
                <w:rFonts w:hint="default" w:ascii="Times New Roman" w:hAnsi="Times New Roman" w:eastAsia="宋体" w:cs="Times New Roman"/>
                <w:color w:val="auto"/>
                <w:szCs w:val="21"/>
                <w:highlight w:val="none"/>
              </w:rPr>
              <w:t>1</w:t>
            </w:r>
          </w:p>
        </w:tc>
        <w:tc>
          <w:tcPr>
            <w:tcW w:w="2691" w:type="dxa"/>
            <w:vAlign w:val="center"/>
          </w:tcPr>
          <w:p w14:paraId="6D62426B">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w:t>
            </w:r>
          </w:p>
        </w:tc>
        <w:tc>
          <w:tcPr>
            <w:tcW w:w="3226" w:type="dxa"/>
            <w:vAlign w:val="center"/>
          </w:tcPr>
          <w:p w14:paraId="3146A104">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eastAsia="zh-CN"/>
              </w:rPr>
              <w:t>易燃易爆物质</w:t>
            </w:r>
            <w:r>
              <w:rPr>
                <w:rFonts w:hint="eastAsia" w:cs="Times New Roman"/>
                <w:color w:val="auto"/>
                <w:szCs w:val="21"/>
                <w:highlight w:val="none"/>
                <w:lang w:eastAsia="zh-CN"/>
              </w:rPr>
              <w:t>（甲醇</w:t>
            </w:r>
            <w:r>
              <w:rPr>
                <w:rFonts w:hint="eastAsia" w:cs="Times New Roman"/>
                <w:color w:val="auto"/>
                <w:szCs w:val="21"/>
                <w:highlight w:val="none"/>
                <w:lang w:val="en-US" w:eastAsia="zh-CN"/>
              </w:rPr>
              <w:t xml:space="preserve"> 、氯</w:t>
            </w:r>
            <w:r>
              <w:rPr>
                <w:rFonts w:hint="eastAsia" w:cs="Times New Roman"/>
                <w:color w:val="auto"/>
                <w:szCs w:val="21"/>
                <w:highlight w:val="none"/>
                <w:lang w:eastAsia="zh-CN"/>
              </w:rPr>
              <w:t>）</w:t>
            </w:r>
          </w:p>
        </w:tc>
        <w:tc>
          <w:tcPr>
            <w:tcW w:w="2388" w:type="dxa"/>
            <w:vAlign w:val="center"/>
          </w:tcPr>
          <w:p w14:paraId="2B23543E">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1</w:t>
            </w:r>
          </w:p>
        </w:tc>
      </w:tr>
      <w:tr w14:paraId="16FB5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049" w:type="dxa"/>
            <w:vAlign w:val="center"/>
          </w:tcPr>
          <w:p w14:paraId="2AE6E347">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2</w:t>
            </w:r>
          </w:p>
        </w:tc>
        <w:tc>
          <w:tcPr>
            <w:tcW w:w="2691" w:type="dxa"/>
            <w:vAlign w:val="center"/>
          </w:tcPr>
          <w:p w14:paraId="3BA696A2">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w:t>
            </w:r>
          </w:p>
        </w:tc>
        <w:tc>
          <w:tcPr>
            <w:tcW w:w="3226" w:type="dxa"/>
            <w:vAlign w:val="center"/>
          </w:tcPr>
          <w:p w14:paraId="694DA5AB">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cs="Times New Roman"/>
                <w:color w:val="auto"/>
                <w:szCs w:val="21"/>
                <w:highlight w:val="none"/>
                <w:lang w:eastAsia="zh-CN"/>
              </w:rPr>
            </w:pPr>
            <w:r>
              <w:rPr>
                <w:rFonts w:hint="eastAsia" w:cs="Times New Roman"/>
                <w:color w:val="auto"/>
                <w:szCs w:val="21"/>
                <w:highlight w:val="none"/>
                <w:lang w:eastAsia="zh-CN"/>
              </w:rPr>
              <w:t>非典型性磺化工艺；氯化工艺；胺基化工艺</w:t>
            </w:r>
          </w:p>
        </w:tc>
        <w:tc>
          <w:tcPr>
            <w:tcW w:w="2388" w:type="dxa"/>
            <w:vAlign w:val="center"/>
          </w:tcPr>
          <w:p w14:paraId="68981AFC">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leftChars="0" w:right="0" w:rightChars="0"/>
              <w:jc w:val="center"/>
              <w:textAlignment w:val="auto"/>
              <w:rPr>
                <w:rFonts w:hint="default" w:cs="Times New Roman"/>
                <w:color w:val="auto"/>
                <w:szCs w:val="21"/>
                <w:highlight w:val="none"/>
                <w:lang w:val="en-US" w:eastAsia="zh-CN"/>
              </w:rPr>
            </w:pPr>
            <w:r>
              <w:rPr>
                <w:rFonts w:hint="eastAsia" w:cs="Times New Roman"/>
                <w:color w:val="auto"/>
                <w:szCs w:val="21"/>
                <w:highlight w:val="none"/>
                <w:lang w:val="en-US" w:eastAsia="zh-CN"/>
              </w:rPr>
              <w:t>各1</w:t>
            </w:r>
            <w:r>
              <w:rPr>
                <w:rFonts w:hint="default" w:ascii="Times New Roman" w:hAnsi="Times New Roman" w:cs="Times New Roman"/>
                <w:b/>
                <w:bCs/>
                <w:color w:val="auto"/>
                <w:szCs w:val="21"/>
                <w:highlight w:val="none"/>
                <w:lang w:val="en-US" w:eastAsia="zh-CN"/>
              </w:rPr>
              <w:t>套</w:t>
            </w:r>
          </w:p>
        </w:tc>
      </w:tr>
    </w:tbl>
    <w:p w14:paraId="712B20A9">
      <w:pPr>
        <w:adjustRightInd w:val="0"/>
        <w:snapToGrid w:val="0"/>
        <w:spacing w:line="360" w:lineRule="auto"/>
        <w:ind w:firstLine="486" w:firstLineChars="200"/>
        <w:rPr>
          <w:rFonts w:hint="default" w:ascii="Times New Roman" w:hAnsi="Times New Roman" w:cs="Times New Roman"/>
          <w:b/>
          <w:color w:val="auto"/>
          <w:sz w:val="24"/>
          <w:highlight w:val="none"/>
        </w:rPr>
      </w:pPr>
      <w:r>
        <w:rPr>
          <w:rFonts w:hint="default" w:ascii="Times New Roman" w:hAnsi="Times New Roman" w:cs="Times New Roman"/>
          <w:color w:val="auto"/>
          <w:sz w:val="24"/>
          <w:highlight w:val="none"/>
        </w:rPr>
        <w:t>按照表3.4-2</w:t>
      </w:r>
      <w:r>
        <w:rPr>
          <w:rFonts w:hint="default" w:ascii="Times New Roman" w:hAnsi="Times New Roman" w:cs="Times New Roman"/>
          <w:color w:val="auto"/>
          <w:sz w:val="24"/>
          <w:highlight w:val="none"/>
          <w:lang w:val="fr-FR"/>
        </w:rPr>
        <w:t>生产工艺风险识别一览表</w:t>
      </w:r>
      <w:r>
        <w:rPr>
          <w:rFonts w:hint="default" w:ascii="Times New Roman" w:hAnsi="Times New Roman" w:cs="Times New Roman"/>
          <w:color w:val="auto"/>
          <w:sz w:val="24"/>
          <w:highlight w:val="none"/>
        </w:rPr>
        <w:t>以及表3.4-3企业生产工艺评分依据，公司生产工艺的评分情况见表3.4-4。</w:t>
      </w:r>
    </w:p>
    <w:p w14:paraId="546FC534">
      <w:pPr>
        <w:pStyle w:val="68"/>
        <w:spacing w:line="360" w:lineRule="auto"/>
        <w:ind w:firstLine="482"/>
        <w:rPr>
          <w:rFonts w:hint="default" w:ascii="Times New Roman" w:hAnsi="Times New Roman" w:cs="Times New Roman"/>
          <w:bCs w:val="0"/>
          <w:color w:val="auto"/>
          <w:highlight w:val="none"/>
        </w:rPr>
      </w:pPr>
      <w:r>
        <w:rPr>
          <w:rFonts w:hint="default" w:ascii="Times New Roman" w:hAnsi="Times New Roman" w:cs="Times New Roman"/>
          <w:bCs w:val="0"/>
          <w:color w:val="auto"/>
          <w:highlight w:val="none"/>
        </w:rPr>
        <w:t>表3.4-3  企业生产工艺</w:t>
      </w:r>
      <w:r>
        <w:rPr>
          <w:rFonts w:hint="default" w:ascii="Times New Roman" w:hAnsi="Times New Roman" w:cs="Times New Roman"/>
          <w:bCs w:val="0"/>
          <w:color w:val="auto"/>
          <w:highlight w:val="none"/>
          <w:lang w:eastAsia="zh-CN"/>
        </w:rPr>
        <w:t>过程评估</w:t>
      </w:r>
    </w:p>
    <w:tbl>
      <w:tblPr>
        <w:tblStyle w:val="33"/>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19"/>
        <w:gridCol w:w="1309"/>
      </w:tblGrid>
      <w:tr w14:paraId="41C2F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blHeader/>
          <w:jc w:val="center"/>
        </w:trPr>
        <w:tc>
          <w:tcPr>
            <w:tcW w:w="8319" w:type="dxa"/>
            <w:vAlign w:val="center"/>
          </w:tcPr>
          <w:p w14:paraId="2CB369AD">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评估依据</w:t>
            </w:r>
          </w:p>
        </w:tc>
        <w:tc>
          <w:tcPr>
            <w:tcW w:w="1309" w:type="dxa"/>
            <w:vAlign w:val="center"/>
          </w:tcPr>
          <w:p w14:paraId="6BE2F638">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分值</w:t>
            </w:r>
          </w:p>
        </w:tc>
      </w:tr>
      <w:tr w14:paraId="702FD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319" w:type="dxa"/>
            <w:vAlign w:val="center"/>
          </w:tcPr>
          <w:p w14:paraId="4394AB49">
            <w:pPr>
              <w:keepNext w:val="0"/>
              <w:keepLines w:val="0"/>
              <w:suppressLineNumbers w:val="0"/>
              <w:adjustRightInd w:val="0"/>
              <w:snapToGrid w:val="0"/>
              <w:spacing w:before="0" w:beforeAutospacing="0" w:after="0" w:afterAutospacing="0" w:line="360" w:lineRule="auto"/>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涉及光气及光气化工艺、电解工艺（氯碱）、氯化工艺、硝化工艺、合成氨工艺、裂解（裂化）工艺、氟化工艺、加氢工艺、重氮化工艺、氧化工艺、过氧化工艺、胺基化工艺、磺化工艺、聚合工艺、烷基化工艺、新型煤化工工艺、电石生产工艺、偶氮化工艺</w:t>
            </w:r>
          </w:p>
        </w:tc>
        <w:tc>
          <w:tcPr>
            <w:tcW w:w="1309" w:type="dxa"/>
            <w:vAlign w:val="center"/>
          </w:tcPr>
          <w:p w14:paraId="402491C3">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10/每套</w:t>
            </w:r>
          </w:p>
        </w:tc>
      </w:tr>
      <w:tr w14:paraId="012DE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319" w:type="dxa"/>
            <w:vAlign w:val="center"/>
          </w:tcPr>
          <w:p w14:paraId="75E503CE">
            <w:pPr>
              <w:keepNext w:val="0"/>
              <w:keepLines w:val="0"/>
              <w:suppressLineNumbers w:val="0"/>
              <w:adjustRightInd w:val="0"/>
              <w:snapToGrid w:val="0"/>
              <w:spacing w:before="0" w:beforeAutospacing="0" w:after="0" w:afterAutospacing="0" w:line="360" w:lineRule="auto"/>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其他高温或高压、涉及易燃易爆等物质的工艺过程</w:t>
            </w:r>
            <w:r>
              <w:rPr>
                <w:rFonts w:hint="default" w:ascii="Times New Roman" w:hAnsi="Times New Roman" w:cs="Times New Roman"/>
                <w:color w:val="auto"/>
                <w:szCs w:val="21"/>
                <w:highlight w:val="none"/>
                <w:vertAlign w:val="superscript"/>
              </w:rPr>
              <w:t>a</w:t>
            </w:r>
          </w:p>
        </w:tc>
        <w:tc>
          <w:tcPr>
            <w:tcW w:w="1309" w:type="dxa"/>
            <w:vAlign w:val="center"/>
          </w:tcPr>
          <w:p w14:paraId="545C46E9">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5/每套</w:t>
            </w:r>
          </w:p>
        </w:tc>
      </w:tr>
      <w:tr w14:paraId="440C0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319" w:type="dxa"/>
            <w:vAlign w:val="center"/>
          </w:tcPr>
          <w:p w14:paraId="1446CC9B">
            <w:pPr>
              <w:keepNext w:val="0"/>
              <w:keepLines w:val="0"/>
              <w:suppressLineNumbers w:val="0"/>
              <w:adjustRightInd w:val="0"/>
              <w:snapToGrid w:val="0"/>
              <w:spacing w:before="0" w:beforeAutospacing="0" w:after="0" w:afterAutospacing="0" w:line="360" w:lineRule="auto"/>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具有国家规定限期淘汰的工艺名录和设备</w:t>
            </w:r>
            <w:r>
              <w:rPr>
                <w:rFonts w:hint="default" w:ascii="Times New Roman" w:hAnsi="Times New Roman" w:cs="Times New Roman"/>
                <w:color w:val="auto"/>
                <w:szCs w:val="21"/>
                <w:highlight w:val="none"/>
                <w:vertAlign w:val="superscript"/>
              </w:rPr>
              <w:t>b</w:t>
            </w:r>
          </w:p>
        </w:tc>
        <w:tc>
          <w:tcPr>
            <w:tcW w:w="1309" w:type="dxa"/>
            <w:vAlign w:val="center"/>
          </w:tcPr>
          <w:p w14:paraId="0CB62F58">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5/每套</w:t>
            </w:r>
          </w:p>
        </w:tc>
      </w:tr>
      <w:tr w14:paraId="3E218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319" w:type="dxa"/>
            <w:vAlign w:val="center"/>
          </w:tcPr>
          <w:p w14:paraId="66DA3583">
            <w:pPr>
              <w:keepNext w:val="0"/>
              <w:keepLines w:val="0"/>
              <w:suppressLineNumbers w:val="0"/>
              <w:adjustRightInd w:val="0"/>
              <w:snapToGrid w:val="0"/>
              <w:spacing w:before="0" w:beforeAutospacing="0" w:after="0" w:afterAutospacing="0" w:line="360" w:lineRule="auto"/>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不涉及以上危险工艺过程或国家规定的禁用工艺/设备</w:t>
            </w:r>
          </w:p>
        </w:tc>
        <w:tc>
          <w:tcPr>
            <w:tcW w:w="1309" w:type="dxa"/>
            <w:vAlign w:val="center"/>
          </w:tcPr>
          <w:p w14:paraId="19D11740">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r>
      <w:tr w14:paraId="0C37E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9628" w:type="dxa"/>
            <w:gridSpan w:val="2"/>
            <w:vAlign w:val="center"/>
          </w:tcPr>
          <w:p w14:paraId="674E549C">
            <w:pPr>
              <w:keepNext w:val="0"/>
              <w:keepLines w:val="0"/>
              <w:suppressLineNumbers w:val="0"/>
              <w:adjustRightInd w:val="0"/>
              <w:snapToGrid w:val="0"/>
              <w:spacing w:before="0" w:beforeAutospacing="0" w:after="0" w:afterAutospacing="0" w:line="360" w:lineRule="auto"/>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注：</w:t>
            </w:r>
            <w:r>
              <w:rPr>
                <w:rFonts w:hint="default" w:ascii="Times New Roman" w:hAnsi="Times New Roman" w:cs="Times New Roman"/>
                <w:color w:val="auto"/>
                <w:szCs w:val="21"/>
                <w:highlight w:val="none"/>
                <w:vertAlign w:val="superscript"/>
              </w:rPr>
              <w:t>a</w:t>
            </w:r>
            <w:r>
              <w:rPr>
                <w:rFonts w:hint="default" w:ascii="Times New Roman" w:hAnsi="Times New Roman" w:cs="Times New Roman"/>
                <w:color w:val="auto"/>
                <w:szCs w:val="21"/>
                <w:highlight w:val="none"/>
              </w:rPr>
              <w:t>高温工艺温度≧300℃，高压指压力容器的设计压力（p）≧10.0MPa，易燃易爆等物质是指按照GB30000.2至GB30000.13所确定的化学物质；b指《产业结构调整指导目录》中有淘汰期限的淘汰类落后生产工艺装备</w:t>
            </w:r>
          </w:p>
        </w:tc>
      </w:tr>
    </w:tbl>
    <w:p w14:paraId="4AD85329">
      <w:pPr>
        <w:pStyle w:val="68"/>
        <w:spacing w:beforeLines="50" w:line="360" w:lineRule="auto"/>
        <w:ind w:firstLine="482"/>
        <w:rPr>
          <w:rFonts w:hint="default" w:ascii="Times New Roman" w:hAnsi="Times New Roman" w:cs="Times New Roman"/>
          <w:bCs w:val="0"/>
          <w:color w:val="auto"/>
          <w:highlight w:val="none"/>
        </w:rPr>
      </w:pPr>
      <w:r>
        <w:rPr>
          <w:rFonts w:hint="default" w:ascii="Times New Roman" w:hAnsi="Times New Roman" w:cs="Times New Roman"/>
          <w:bCs w:val="0"/>
          <w:color w:val="auto"/>
          <w:highlight w:val="none"/>
        </w:rPr>
        <w:t>表3.4-4 公司生产工艺评分表</w:t>
      </w:r>
    </w:p>
    <w:tbl>
      <w:tblPr>
        <w:tblStyle w:val="33"/>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19"/>
        <w:gridCol w:w="1309"/>
      </w:tblGrid>
      <w:tr w14:paraId="66690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blHeader/>
          <w:jc w:val="center"/>
        </w:trPr>
        <w:tc>
          <w:tcPr>
            <w:tcW w:w="8319" w:type="dxa"/>
            <w:vAlign w:val="center"/>
          </w:tcPr>
          <w:p w14:paraId="069469F0">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评估依据</w:t>
            </w:r>
          </w:p>
        </w:tc>
        <w:tc>
          <w:tcPr>
            <w:tcW w:w="1309" w:type="dxa"/>
            <w:vAlign w:val="center"/>
          </w:tcPr>
          <w:p w14:paraId="5266AB0F">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分值</w:t>
            </w:r>
          </w:p>
        </w:tc>
      </w:tr>
      <w:tr w14:paraId="5E6DB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319" w:type="dxa"/>
            <w:vAlign w:val="center"/>
          </w:tcPr>
          <w:p w14:paraId="0354F4B1">
            <w:pPr>
              <w:keepNext w:val="0"/>
              <w:keepLines w:val="0"/>
              <w:suppressLineNumbers w:val="0"/>
              <w:adjustRightInd w:val="0"/>
              <w:snapToGrid w:val="0"/>
              <w:spacing w:before="0" w:beforeAutospacing="0" w:after="0" w:afterAutospacing="0" w:line="360" w:lineRule="auto"/>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涉及光气及光气化工艺、电解工艺（氯碱）、氯化工艺、硝化工艺、合成氨工艺、裂解（裂化）工艺、氟化工艺、加氢工艺、重氮化工艺、氧化工艺、过氧化工艺、胺基化工艺、磺化工艺、聚合工艺、烷基化工艺、新型煤化工工艺、电石生产工艺、偶氮化工艺</w:t>
            </w:r>
          </w:p>
        </w:tc>
        <w:tc>
          <w:tcPr>
            <w:tcW w:w="1309" w:type="dxa"/>
            <w:vAlign w:val="center"/>
          </w:tcPr>
          <w:p w14:paraId="38E6A534">
            <w:pPr>
              <w:keepNext w:val="0"/>
              <w:keepLines w:val="0"/>
              <w:suppressLineNumbers w:val="0"/>
              <w:adjustRightInd w:val="0"/>
              <w:snapToGrid w:val="0"/>
              <w:spacing w:before="0" w:beforeAutospacing="0" w:after="0" w:afterAutospacing="0" w:line="360"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磺基水杨酸装置涉及磺化工艺，分值为10</w:t>
            </w:r>
          </w:p>
        </w:tc>
      </w:tr>
      <w:tr w14:paraId="5E26B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319" w:type="dxa"/>
            <w:vAlign w:val="center"/>
          </w:tcPr>
          <w:p w14:paraId="624F2EEF">
            <w:pPr>
              <w:keepNext w:val="0"/>
              <w:keepLines w:val="0"/>
              <w:suppressLineNumbers w:val="0"/>
              <w:adjustRightInd w:val="0"/>
              <w:snapToGrid w:val="0"/>
              <w:spacing w:before="0" w:beforeAutospacing="0" w:after="0" w:afterAutospacing="0" w:line="360" w:lineRule="auto"/>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其他高温或高压、涉及易燃易爆等物质的工艺过程</w:t>
            </w:r>
            <w:r>
              <w:rPr>
                <w:rFonts w:hint="default" w:ascii="Times New Roman" w:hAnsi="Times New Roman" w:cs="Times New Roman"/>
                <w:color w:val="auto"/>
                <w:szCs w:val="21"/>
                <w:highlight w:val="none"/>
                <w:vertAlign w:val="superscript"/>
              </w:rPr>
              <w:t>a</w:t>
            </w:r>
          </w:p>
        </w:tc>
        <w:tc>
          <w:tcPr>
            <w:tcW w:w="1309" w:type="dxa"/>
            <w:vAlign w:val="center"/>
          </w:tcPr>
          <w:p w14:paraId="142E28F0">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1"/>
                <w:highlight w:val="none"/>
                <w:lang w:eastAsia="zh-CN"/>
              </w:rPr>
            </w:pPr>
            <w:r>
              <w:rPr>
                <w:rFonts w:hint="eastAsia" w:cs="Times New Roman"/>
                <w:color w:val="auto"/>
                <w:szCs w:val="21"/>
                <w:highlight w:val="none"/>
                <w:lang w:val="en-US" w:eastAsia="zh-CN"/>
              </w:rPr>
              <w:t>水杨酸</w:t>
            </w:r>
            <w:r>
              <w:rPr>
                <w:rFonts w:hint="default" w:ascii="Times New Roman" w:hAnsi="Times New Roman" w:cs="Times New Roman"/>
                <w:color w:val="auto"/>
                <w:szCs w:val="21"/>
                <w:highlight w:val="none"/>
                <w:lang w:val="en-US" w:eastAsia="zh-CN"/>
              </w:rPr>
              <w:t>装置</w:t>
            </w:r>
            <w:r>
              <w:rPr>
                <w:rFonts w:hint="default" w:ascii="Times New Roman" w:hAnsi="Times New Roman" w:eastAsia="宋体" w:cs="Times New Roman"/>
                <w:color w:val="auto"/>
                <w:szCs w:val="21"/>
                <w:highlight w:val="none"/>
                <w:lang w:eastAsia="zh-CN"/>
              </w:rPr>
              <w:t>涉及易燃易爆物质</w:t>
            </w:r>
            <w:r>
              <w:rPr>
                <w:rFonts w:hint="eastAsia"/>
                <w:lang w:eastAsia="zh-CN"/>
              </w:rPr>
              <w:t>甲醇</w:t>
            </w:r>
            <w:r>
              <w:rPr>
                <w:rFonts w:hint="default" w:ascii="Times New Roman" w:hAnsi="Times New Roman" w:eastAsia="宋体" w:cs="Times New Roman"/>
                <w:color w:val="auto"/>
                <w:szCs w:val="21"/>
                <w:highlight w:val="none"/>
                <w:lang w:eastAsia="zh-CN"/>
              </w:rPr>
              <w:t>。</w:t>
            </w:r>
          </w:p>
          <w:p w14:paraId="10330C2B">
            <w:pPr>
              <w:keepNext w:val="0"/>
              <w:keepLines w:val="0"/>
              <w:suppressLineNumbers w:val="0"/>
              <w:adjustRightInd w:val="0"/>
              <w:snapToGrid w:val="0"/>
              <w:spacing w:before="0" w:beforeAutospacing="0" w:after="0" w:afterAutospacing="0" w:line="360"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lang w:eastAsia="zh-CN"/>
              </w:rPr>
              <w:t>分值为</w:t>
            </w:r>
            <w:r>
              <w:rPr>
                <w:rFonts w:hint="eastAsia" w:cs="Times New Roman"/>
                <w:color w:val="auto"/>
                <w:szCs w:val="21"/>
                <w:highlight w:val="none"/>
                <w:lang w:val="en-US" w:eastAsia="zh-CN"/>
              </w:rPr>
              <w:t>5</w:t>
            </w:r>
          </w:p>
        </w:tc>
      </w:tr>
      <w:tr w14:paraId="5AB84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319" w:type="dxa"/>
            <w:vAlign w:val="center"/>
          </w:tcPr>
          <w:p w14:paraId="2E1F297C">
            <w:pPr>
              <w:keepNext w:val="0"/>
              <w:keepLines w:val="0"/>
              <w:suppressLineNumbers w:val="0"/>
              <w:adjustRightInd w:val="0"/>
              <w:snapToGrid w:val="0"/>
              <w:spacing w:before="0" w:beforeAutospacing="0" w:after="0" w:afterAutospacing="0" w:line="360" w:lineRule="auto"/>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具有国家规定限期淘汰的工艺名录和设备</w:t>
            </w:r>
            <w:r>
              <w:rPr>
                <w:rFonts w:hint="default" w:ascii="Times New Roman" w:hAnsi="Times New Roman" w:cs="Times New Roman"/>
                <w:color w:val="auto"/>
                <w:szCs w:val="21"/>
                <w:highlight w:val="none"/>
                <w:vertAlign w:val="superscript"/>
              </w:rPr>
              <w:t>b</w:t>
            </w:r>
          </w:p>
        </w:tc>
        <w:tc>
          <w:tcPr>
            <w:tcW w:w="1309" w:type="dxa"/>
            <w:vAlign w:val="center"/>
          </w:tcPr>
          <w:p w14:paraId="079647A7">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r>
      <w:tr w14:paraId="5FEB3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319" w:type="dxa"/>
            <w:vAlign w:val="center"/>
          </w:tcPr>
          <w:p w14:paraId="2D6ADA9D">
            <w:pPr>
              <w:keepNext w:val="0"/>
              <w:keepLines w:val="0"/>
              <w:suppressLineNumbers w:val="0"/>
              <w:adjustRightInd w:val="0"/>
              <w:snapToGrid w:val="0"/>
              <w:spacing w:before="0" w:beforeAutospacing="0" w:after="0" w:afterAutospacing="0" w:line="360" w:lineRule="auto"/>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不涉及以上危险工艺过程或国家规定的禁用工艺/设备</w:t>
            </w:r>
          </w:p>
        </w:tc>
        <w:tc>
          <w:tcPr>
            <w:tcW w:w="1309" w:type="dxa"/>
            <w:vAlign w:val="center"/>
          </w:tcPr>
          <w:p w14:paraId="00F9C672">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0</w:t>
            </w:r>
          </w:p>
        </w:tc>
      </w:tr>
      <w:tr w14:paraId="1F734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9628" w:type="dxa"/>
            <w:gridSpan w:val="2"/>
            <w:vAlign w:val="center"/>
          </w:tcPr>
          <w:p w14:paraId="0732F5FE">
            <w:pPr>
              <w:keepNext w:val="0"/>
              <w:keepLines w:val="0"/>
              <w:suppressLineNumbers w:val="0"/>
              <w:adjustRightInd w:val="0"/>
              <w:snapToGrid w:val="0"/>
              <w:spacing w:before="0" w:beforeAutospacing="0" w:after="0" w:afterAutospacing="0" w:line="360" w:lineRule="auto"/>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注：</w:t>
            </w:r>
            <w:r>
              <w:rPr>
                <w:rFonts w:hint="default" w:ascii="Times New Roman" w:hAnsi="Times New Roman" w:cs="Times New Roman"/>
                <w:color w:val="auto"/>
                <w:szCs w:val="21"/>
                <w:highlight w:val="none"/>
                <w:vertAlign w:val="superscript"/>
              </w:rPr>
              <w:t>a</w:t>
            </w:r>
            <w:r>
              <w:rPr>
                <w:rFonts w:hint="default" w:ascii="Times New Roman" w:hAnsi="Times New Roman" w:cs="Times New Roman"/>
                <w:color w:val="auto"/>
                <w:szCs w:val="21"/>
                <w:highlight w:val="none"/>
              </w:rPr>
              <w:t>高温工艺温度≧300℃，高压指压力容器的设计压力（p）≧10.0MPa，易燃易爆等物质是指按照GB30000.2至GB30000.13所确定的化学物质；b指《产业结构调整指导目录》中有淘汰期限的淘汰类落后生产工艺装备</w:t>
            </w:r>
          </w:p>
        </w:tc>
      </w:tr>
    </w:tbl>
    <w:p w14:paraId="4B03BE80">
      <w:pPr>
        <w:adjustRightInd w:val="0"/>
        <w:snapToGrid w:val="0"/>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备注：企业生产工艺最高分值为</w:t>
      </w:r>
      <w:r>
        <w:rPr>
          <w:rFonts w:hint="default" w:ascii="Times New Roman" w:hAnsi="Times New Roman" w:cs="Times New Roman"/>
          <w:color w:val="auto"/>
          <w:szCs w:val="21"/>
          <w:highlight w:val="none"/>
          <w:lang w:val="en-US" w:eastAsia="zh-CN"/>
        </w:rPr>
        <w:t>5</w:t>
      </w:r>
      <w:r>
        <w:rPr>
          <w:rFonts w:hint="default" w:ascii="Times New Roman" w:hAnsi="Times New Roman" w:cs="Times New Roman"/>
          <w:color w:val="auto"/>
          <w:szCs w:val="21"/>
          <w:highlight w:val="none"/>
        </w:rPr>
        <w:t>分，超过</w:t>
      </w:r>
      <w:r>
        <w:rPr>
          <w:rFonts w:hint="default" w:ascii="Times New Roman" w:hAnsi="Times New Roman" w:cs="Times New Roman"/>
          <w:color w:val="auto"/>
          <w:szCs w:val="21"/>
          <w:highlight w:val="none"/>
          <w:lang w:val="en-US" w:eastAsia="zh-CN"/>
        </w:rPr>
        <w:t>30</w:t>
      </w:r>
      <w:r>
        <w:rPr>
          <w:rFonts w:hint="default" w:ascii="Times New Roman" w:hAnsi="Times New Roman" w:cs="Times New Roman"/>
          <w:color w:val="auto"/>
          <w:szCs w:val="21"/>
          <w:highlight w:val="none"/>
        </w:rPr>
        <w:t>分则按最高分计。</w:t>
      </w:r>
    </w:p>
    <w:p w14:paraId="70BC86BD">
      <w:pPr>
        <w:pStyle w:val="7"/>
        <w:spacing w:before="0" w:after="0"/>
        <w:rPr>
          <w:rFonts w:hint="default" w:ascii="Times New Roman" w:hAnsi="Times New Roman" w:cs="Times New Roman"/>
          <w:color w:val="auto"/>
          <w:highlight w:val="none"/>
        </w:rPr>
      </w:pPr>
      <w:bookmarkStart w:id="70" w:name="_Toc2858"/>
      <w:bookmarkStart w:id="71" w:name="_Toc15246"/>
      <w:bookmarkStart w:id="72" w:name="_Toc16016"/>
      <w:bookmarkStart w:id="73" w:name="_Toc425866195"/>
      <w:bookmarkStart w:id="74" w:name="_Toc424627691"/>
      <w:bookmarkStart w:id="75" w:name="_Toc15339"/>
      <w:r>
        <w:rPr>
          <w:rFonts w:hint="default" w:ascii="Times New Roman" w:hAnsi="Times New Roman" w:cs="Times New Roman"/>
          <w:color w:val="auto"/>
          <w:highlight w:val="none"/>
        </w:rPr>
        <w:t>3.5 安全生产管理</w:t>
      </w:r>
      <w:bookmarkEnd w:id="70"/>
      <w:bookmarkEnd w:id="71"/>
      <w:bookmarkEnd w:id="72"/>
      <w:bookmarkEnd w:id="73"/>
      <w:bookmarkEnd w:id="74"/>
      <w:bookmarkEnd w:id="75"/>
    </w:p>
    <w:p w14:paraId="4D59B088">
      <w:pPr>
        <w:keepNext w:val="0"/>
        <w:keepLines w:val="0"/>
        <w:pageBreakBefore w:val="0"/>
        <w:widowControl w:val="0"/>
        <w:kinsoku/>
        <w:wordWrap/>
        <w:overflowPunct/>
        <w:topLinePunct w:val="0"/>
        <w:autoSpaceDE/>
        <w:autoSpaceDN/>
        <w:bidi w:val="0"/>
        <w:spacing w:before="0" w:after="0" w:line="360" w:lineRule="auto"/>
        <w:textAlignment w:val="auto"/>
        <w:outlineLvl w:val="9"/>
        <w:rPr>
          <w:rFonts w:hint="default" w:ascii="Times New Roman" w:hAnsi="Times New Roman" w:cs="Times New Roman"/>
          <w:b/>
          <w:bCs/>
          <w:color w:val="auto"/>
          <w:sz w:val="24"/>
          <w:szCs w:val="32"/>
          <w:highlight w:val="none"/>
        </w:rPr>
      </w:pPr>
      <w:r>
        <w:rPr>
          <w:rFonts w:hint="default" w:ascii="Times New Roman" w:hAnsi="Times New Roman" w:cs="Times New Roman"/>
          <w:b/>
          <w:bCs/>
          <w:color w:val="auto"/>
          <w:sz w:val="24"/>
          <w:szCs w:val="32"/>
          <w:highlight w:val="none"/>
        </w:rPr>
        <w:t>3.5.1 安全环保机构设置</w:t>
      </w:r>
    </w:p>
    <w:p w14:paraId="0C30913A">
      <w:pPr>
        <w:keepNext w:val="0"/>
        <w:keepLines w:val="0"/>
        <w:pageBreakBefore w:val="0"/>
        <w:widowControl w:val="0"/>
        <w:kinsoku/>
        <w:wordWrap/>
        <w:overflowPunct/>
        <w:topLinePunct w:val="0"/>
        <w:autoSpaceDE/>
        <w:autoSpaceDN/>
        <w:bidi w:val="0"/>
        <w:adjustRightInd w:val="0"/>
        <w:snapToGrid w:val="0"/>
        <w:spacing w:line="360" w:lineRule="auto"/>
        <w:ind w:firstLine="486" w:firstLineChars="200"/>
        <w:jc w:val="left"/>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eastAsia="zh-CN"/>
        </w:rPr>
        <w:t>山东隆信药业有限公司实行总经理负责制，下设生产车间和相关职能科室，设置安全环保部门，配备专职安全环保管理人员，纳入公司管理网络，按照精简机构，提高劳动生产率的原则，尽量减少管理人员和非生产人员。</w:t>
      </w:r>
    </w:p>
    <w:p w14:paraId="642D1BA1">
      <w:pPr>
        <w:spacing w:before="0" w:after="0"/>
        <w:outlineLvl w:val="9"/>
        <w:rPr>
          <w:rFonts w:hint="default" w:ascii="Times New Roman" w:hAnsi="Times New Roman" w:cs="Times New Roman"/>
          <w:b/>
          <w:bCs/>
          <w:color w:val="auto"/>
          <w:sz w:val="24"/>
          <w:szCs w:val="32"/>
          <w:highlight w:val="none"/>
        </w:rPr>
      </w:pPr>
      <w:r>
        <w:rPr>
          <w:rFonts w:hint="default" w:ascii="Times New Roman" w:hAnsi="Times New Roman" w:cs="Times New Roman"/>
          <w:b/>
          <w:bCs/>
          <w:color w:val="auto"/>
          <w:sz w:val="24"/>
          <w:szCs w:val="32"/>
          <w:highlight w:val="none"/>
        </w:rPr>
        <w:t>3.5.2 安全培训和环境风险应急演练</w:t>
      </w:r>
    </w:p>
    <w:p w14:paraId="644EC10C">
      <w:pPr>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企业按照安全生产法和有关法律、行政法规建立安全培训工作制度，每个季度进行一次培训。参加安全培训的人员包括主要负责人、安全生产管理人员、特种作业人员和其他从业人员。各生产车间从业人员应均接受安全培训，熟悉有关安全生产规章制度和安全操作规程，具备必要的安全生产知识，掌握本岗位的安全操作技能，增强预防事故、控制职业危害和应急处理的能力。所有员工经安全培训合格后才上岗。</w:t>
      </w:r>
    </w:p>
    <w:p w14:paraId="14224C5F">
      <w:pPr>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企业制定了完善的环境风险应急演练计划，每年进行一次环境风险应急演练。</w:t>
      </w:r>
    </w:p>
    <w:p w14:paraId="1E270693">
      <w:pPr>
        <w:keepNext w:val="0"/>
        <w:keepLines w:val="0"/>
        <w:pageBreakBefore w:val="0"/>
        <w:widowControl w:val="0"/>
        <w:kinsoku/>
        <w:wordWrap/>
        <w:overflowPunct/>
        <w:topLinePunct w:val="0"/>
        <w:autoSpaceDE/>
        <w:autoSpaceDN/>
        <w:bidi w:val="0"/>
        <w:spacing w:before="0" w:after="0" w:line="360" w:lineRule="auto"/>
        <w:textAlignment w:val="auto"/>
        <w:outlineLvl w:val="9"/>
        <w:rPr>
          <w:rFonts w:hint="default" w:ascii="Times New Roman" w:hAnsi="Times New Roman" w:eastAsia="宋体" w:cs="Times New Roman"/>
          <w:b/>
          <w:bCs/>
          <w:color w:val="auto"/>
          <w:sz w:val="24"/>
          <w:szCs w:val="32"/>
          <w:highlight w:val="none"/>
        </w:rPr>
      </w:pPr>
      <w:r>
        <w:rPr>
          <w:rFonts w:hint="default" w:ascii="Times New Roman" w:hAnsi="Times New Roman" w:eastAsia="宋体" w:cs="Times New Roman"/>
          <w:b/>
          <w:bCs/>
          <w:color w:val="auto"/>
          <w:sz w:val="24"/>
          <w:szCs w:val="32"/>
          <w:highlight w:val="none"/>
        </w:rPr>
        <w:t>3.5.3 消防验收</w:t>
      </w:r>
    </w:p>
    <w:p w14:paraId="041E55C5">
      <w:pPr>
        <w:keepNext w:val="0"/>
        <w:keepLines w:val="0"/>
        <w:pageBreakBefore w:val="0"/>
        <w:widowControl w:val="0"/>
        <w:kinsoku/>
        <w:wordWrap/>
        <w:overflowPunct/>
        <w:topLinePunct w:val="0"/>
        <w:autoSpaceDE/>
        <w:autoSpaceDN/>
        <w:bidi w:val="0"/>
        <w:adjustRightInd w:val="0"/>
        <w:snapToGrid w:val="0"/>
        <w:spacing w:line="360" w:lineRule="auto"/>
        <w:ind w:firstLine="607" w:firstLineChars="25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公司</w:t>
      </w:r>
      <w:r>
        <w:rPr>
          <w:rFonts w:hint="default" w:ascii="Times New Roman" w:hAnsi="Times New Roman" w:cs="Times New Roman"/>
          <w:color w:val="auto"/>
          <w:sz w:val="24"/>
          <w:highlight w:val="none"/>
          <w:lang w:eastAsia="zh-CN"/>
        </w:rPr>
        <w:t>于20</w:t>
      </w:r>
      <w:r>
        <w:rPr>
          <w:rFonts w:hint="default" w:ascii="Times New Roman" w:hAnsi="Times New Roman" w:cs="Times New Roman"/>
          <w:color w:val="auto"/>
          <w:sz w:val="24"/>
          <w:highlight w:val="none"/>
          <w:lang w:val="en-US" w:eastAsia="zh-CN"/>
        </w:rPr>
        <w:t>18</w:t>
      </w:r>
      <w:r>
        <w:rPr>
          <w:rFonts w:hint="default" w:ascii="Times New Roman" w:hAnsi="Times New Roman" w:cs="Times New Roman"/>
          <w:color w:val="auto"/>
          <w:sz w:val="24"/>
          <w:highlight w:val="none"/>
          <w:lang w:eastAsia="zh-CN"/>
        </w:rPr>
        <w:t>年</w:t>
      </w:r>
      <w:r>
        <w:rPr>
          <w:rFonts w:hint="default" w:ascii="Times New Roman" w:hAnsi="Times New Roman" w:cs="Times New Roman"/>
          <w:color w:val="auto"/>
          <w:sz w:val="24"/>
          <w:highlight w:val="none"/>
          <w:lang w:val="en-US" w:eastAsia="zh-CN"/>
        </w:rPr>
        <w:t>7</w:t>
      </w:r>
      <w:r>
        <w:rPr>
          <w:rFonts w:hint="default" w:ascii="Times New Roman" w:hAnsi="Times New Roman" w:cs="Times New Roman"/>
          <w:color w:val="auto"/>
          <w:sz w:val="24"/>
          <w:highlight w:val="none"/>
          <w:lang w:eastAsia="zh-CN"/>
        </w:rPr>
        <w:t>月</w:t>
      </w:r>
      <w:r>
        <w:rPr>
          <w:rFonts w:hint="default" w:ascii="Times New Roman" w:hAnsi="Times New Roman" w:cs="Times New Roman"/>
          <w:color w:val="auto"/>
          <w:sz w:val="24"/>
          <w:highlight w:val="none"/>
          <w:lang w:val="en-US" w:eastAsia="zh-CN"/>
        </w:rPr>
        <w:t>26</w:t>
      </w:r>
      <w:r>
        <w:rPr>
          <w:rFonts w:hint="default" w:ascii="Times New Roman" w:hAnsi="Times New Roman" w:cs="Times New Roman"/>
          <w:color w:val="auto"/>
          <w:sz w:val="24"/>
          <w:highlight w:val="none"/>
          <w:lang w:eastAsia="zh-CN"/>
        </w:rPr>
        <w:t>日通过淄博市公安局组织的消防验收，验收合格，同意启用，并出具《建筑工程消防验收意见书》（淄公消验【</w:t>
      </w:r>
      <w:r>
        <w:rPr>
          <w:rFonts w:hint="default" w:ascii="Times New Roman" w:hAnsi="Times New Roman" w:cs="Times New Roman"/>
          <w:color w:val="auto"/>
          <w:sz w:val="24"/>
          <w:highlight w:val="none"/>
          <w:lang w:val="en-US" w:eastAsia="zh-CN"/>
        </w:rPr>
        <w:t>2018</w:t>
      </w:r>
      <w:r>
        <w:rPr>
          <w:rFonts w:hint="default" w:ascii="Times New Roman" w:hAnsi="Times New Roman" w:cs="Times New Roman"/>
          <w:color w:val="auto"/>
          <w:sz w:val="24"/>
          <w:highlight w:val="none"/>
          <w:lang w:eastAsia="zh-CN"/>
        </w:rPr>
        <w:t>】第</w:t>
      </w:r>
      <w:r>
        <w:rPr>
          <w:rFonts w:hint="default" w:ascii="Times New Roman" w:hAnsi="Times New Roman" w:cs="Times New Roman"/>
          <w:color w:val="auto"/>
          <w:sz w:val="24"/>
          <w:highlight w:val="none"/>
          <w:lang w:val="en-US" w:eastAsia="zh-CN"/>
        </w:rPr>
        <w:t>0425</w:t>
      </w:r>
      <w:r>
        <w:rPr>
          <w:rFonts w:hint="default" w:ascii="Times New Roman" w:hAnsi="Times New Roman" w:cs="Times New Roman"/>
          <w:color w:val="auto"/>
          <w:sz w:val="24"/>
          <w:highlight w:val="none"/>
          <w:lang w:eastAsia="zh-CN"/>
        </w:rPr>
        <w:t>号）</w:t>
      </w:r>
      <w:r>
        <w:rPr>
          <w:rFonts w:hint="default" w:ascii="Times New Roman" w:hAnsi="Times New Roman" w:cs="Times New Roman"/>
          <w:color w:val="auto"/>
          <w:sz w:val="24"/>
          <w:highlight w:val="none"/>
        </w:rPr>
        <w:t>。</w:t>
      </w:r>
    </w:p>
    <w:p w14:paraId="27DB2328">
      <w:pPr>
        <w:keepNext w:val="0"/>
        <w:keepLines w:val="0"/>
        <w:pageBreakBefore w:val="0"/>
        <w:widowControl w:val="0"/>
        <w:kinsoku/>
        <w:wordWrap/>
        <w:overflowPunct/>
        <w:topLinePunct w:val="0"/>
        <w:autoSpaceDE/>
        <w:autoSpaceDN/>
        <w:bidi w:val="0"/>
        <w:spacing w:before="0" w:after="0" w:line="360" w:lineRule="auto"/>
        <w:textAlignment w:val="auto"/>
        <w:outlineLvl w:val="9"/>
        <w:rPr>
          <w:rFonts w:hint="default" w:ascii="Times New Roman" w:hAnsi="Times New Roman" w:eastAsia="宋体" w:cs="Times New Roman"/>
          <w:b/>
          <w:bCs/>
          <w:color w:val="auto"/>
          <w:sz w:val="24"/>
          <w:szCs w:val="32"/>
          <w:highlight w:val="none"/>
        </w:rPr>
      </w:pPr>
      <w:r>
        <w:rPr>
          <w:rFonts w:hint="default" w:ascii="Times New Roman" w:hAnsi="Times New Roman" w:eastAsia="宋体" w:cs="Times New Roman"/>
          <w:b/>
          <w:bCs/>
          <w:color w:val="auto"/>
          <w:sz w:val="24"/>
          <w:szCs w:val="32"/>
          <w:highlight w:val="none"/>
        </w:rPr>
        <w:t>3.5.4 安全生产许可</w:t>
      </w:r>
    </w:p>
    <w:p w14:paraId="60B70802">
      <w:pPr>
        <w:keepNext w:val="0"/>
        <w:keepLines w:val="0"/>
        <w:pageBreakBefore w:val="0"/>
        <w:widowControl w:val="0"/>
        <w:kinsoku/>
        <w:wordWrap/>
        <w:overflowPunct/>
        <w:topLinePunct w:val="0"/>
        <w:autoSpaceDE/>
        <w:autoSpaceDN/>
        <w:bidi w:val="0"/>
        <w:adjustRightInd w:val="0"/>
        <w:snapToGrid w:val="0"/>
        <w:spacing w:line="360" w:lineRule="auto"/>
        <w:ind w:firstLine="607" w:firstLineChars="25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矿山企业、建筑施工企业以及危险化学品、烟花爆竹、民用爆破器材生产企业施行安全生产许可制度，企业未取得安全生产许可证的，不得从事生产活动。</w:t>
      </w:r>
    </w:p>
    <w:p w14:paraId="64EBD9B0">
      <w:pPr>
        <w:keepNext w:val="0"/>
        <w:keepLines w:val="0"/>
        <w:pageBreakBefore w:val="0"/>
        <w:widowControl w:val="0"/>
        <w:kinsoku/>
        <w:wordWrap/>
        <w:overflowPunct/>
        <w:topLinePunct w:val="0"/>
        <w:autoSpaceDE/>
        <w:autoSpaceDN/>
        <w:bidi w:val="0"/>
        <w:spacing w:before="0" w:after="0" w:line="360" w:lineRule="auto"/>
        <w:textAlignment w:val="auto"/>
        <w:outlineLvl w:val="9"/>
        <w:rPr>
          <w:rFonts w:hint="default" w:ascii="Times New Roman" w:hAnsi="Times New Roman" w:eastAsia="宋体" w:cs="Times New Roman"/>
          <w:b/>
          <w:bCs/>
          <w:color w:val="auto"/>
          <w:sz w:val="24"/>
          <w:szCs w:val="32"/>
          <w:highlight w:val="none"/>
        </w:rPr>
      </w:pPr>
      <w:r>
        <w:rPr>
          <w:rFonts w:hint="default" w:ascii="Times New Roman" w:hAnsi="Times New Roman" w:eastAsia="宋体" w:cs="Times New Roman"/>
          <w:b/>
          <w:bCs/>
          <w:color w:val="auto"/>
          <w:sz w:val="24"/>
          <w:szCs w:val="32"/>
          <w:highlight w:val="none"/>
        </w:rPr>
        <w:t>3.5.5 重大危险源备案</w:t>
      </w:r>
    </w:p>
    <w:p w14:paraId="5C83A843">
      <w:pPr>
        <w:keepNext w:val="0"/>
        <w:keepLines w:val="0"/>
        <w:pageBreakBefore w:val="0"/>
        <w:widowControl w:val="0"/>
        <w:kinsoku/>
        <w:wordWrap/>
        <w:overflowPunct/>
        <w:topLinePunct w:val="0"/>
        <w:autoSpaceDE/>
        <w:autoSpaceDN/>
        <w:bidi w:val="0"/>
        <w:adjustRightInd w:val="0"/>
        <w:snapToGrid w:val="0"/>
        <w:spacing w:line="360" w:lineRule="auto"/>
        <w:ind w:firstLine="486"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kern w:val="0"/>
          <w:sz w:val="24"/>
          <w:highlight w:val="none"/>
        </w:rPr>
        <w:t>企业厂区内涉及的危险化学品构成重大危险源</w:t>
      </w:r>
      <w:r>
        <w:rPr>
          <w:rFonts w:hint="eastAsia" w:cs="Times New Roman"/>
          <w:color w:val="auto"/>
          <w:kern w:val="0"/>
          <w:sz w:val="24"/>
          <w:highlight w:val="none"/>
          <w:lang w:eastAsia="zh-CN"/>
        </w:rPr>
        <w:t>，已备案</w:t>
      </w:r>
      <w:r>
        <w:rPr>
          <w:rFonts w:hint="default" w:ascii="Times New Roman" w:hAnsi="Times New Roman" w:cs="Times New Roman"/>
          <w:color w:val="auto"/>
          <w:kern w:val="0"/>
          <w:sz w:val="24"/>
          <w:highlight w:val="none"/>
        </w:rPr>
        <w:t>。</w:t>
      </w:r>
    </w:p>
    <w:p w14:paraId="737B0DC4">
      <w:pPr>
        <w:pStyle w:val="7"/>
        <w:spacing w:before="0" w:after="0"/>
        <w:rPr>
          <w:rFonts w:hint="default" w:ascii="Times New Roman" w:hAnsi="Times New Roman" w:cs="Times New Roman"/>
          <w:color w:val="auto"/>
          <w:highlight w:val="none"/>
        </w:rPr>
      </w:pPr>
      <w:bookmarkStart w:id="76" w:name="_Toc25695"/>
      <w:bookmarkStart w:id="77" w:name="_Toc19812"/>
      <w:bookmarkStart w:id="78" w:name="_Toc425866197"/>
      <w:bookmarkStart w:id="79" w:name="_Toc424627692"/>
      <w:bookmarkStart w:id="80" w:name="_Toc12026"/>
      <w:bookmarkStart w:id="81" w:name="_Toc28852"/>
      <w:r>
        <w:rPr>
          <w:rFonts w:hint="default" w:ascii="Times New Roman" w:hAnsi="Times New Roman" w:cs="Times New Roman"/>
          <w:color w:val="auto"/>
          <w:highlight w:val="none"/>
        </w:rPr>
        <w:t>3.6 现有环境风险防控与应急措施情况</w:t>
      </w:r>
      <w:bookmarkEnd w:id="76"/>
      <w:bookmarkEnd w:id="77"/>
      <w:bookmarkEnd w:id="78"/>
      <w:bookmarkEnd w:id="79"/>
      <w:bookmarkEnd w:id="80"/>
      <w:bookmarkEnd w:id="81"/>
    </w:p>
    <w:p w14:paraId="5A7D706C">
      <w:pPr>
        <w:keepNext w:val="0"/>
        <w:keepLines w:val="0"/>
        <w:pageBreakBefore w:val="0"/>
        <w:widowControl w:val="0"/>
        <w:kinsoku/>
        <w:wordWrap/>
        <w:overflowPunct/>
        <w:topLinePunct w:val="0"/>
        <w:autoSpaceDE/>
        <w:autoSpaceDN/>
        <w:bidi w:val="0"/>
        <w:spacing w:before="0" w:after="0" w:line="360" w:lineRule="auto"/>
        <w:textAlignment w:val="auto"/>
        <w:outlineLvl w:val="9"/>
        <w:rPr>
          <w:rFonts w:hint="default" w:ascii="Times New Roman" w:hAnsi="Times New Roman" w:eastAsia="宋体" w:cs="Times New Roman"/>
          <w:b/>
          <w:bCs/>
          <w:color w:val="auto"/>
          <w:sz w:val="24"/>
          <w:szCs w:val="32"/>
          <w:highlight w:val="none"/>
        </w:rPr>
      </w:pPr>
      <w:r>
        <w:rPr>
          <w:rFonts w:hint="default" w:ascii="Times New Roman" w:hAnsi="Times New Roman" w:eastAsia="宋体" w:cs="Times New Roman"/>
          <w:b/>
          <w:bCs/>
          <w:color w:val="auto"/>
          <w:sz w:val="24"/>
          <w:szCs w:val="32"/>
          <w:highlight w:val="none"/>
        </w:rPr>
        <w:t>3.6.1风险单元的划分</w:t>
      </w:r>
    </w:p>
    <w:p w14:paraId="52C67B57">
      <w:pPr>
        <w:keepNext w:val="0"/>
        <w:keepLines w:val="0"/>
        <w:pageBreakBefore w:val="0"/>
        <w:widowControl w:val="0"/>
        <w:kinsoku/>
        <w:wordWrap/>
        <w:overflowPunct/>
        <w:topLinePunct w:val="0"/>
        <w:autoSpaceDE/>
        <w:autoSpaceDN/>
        <w:bidi w:val="0"/>
        <w:adjustRightInd w:val="0"/>
        <w:snapToGrid w:val="0"/>
        <w:spacing w:line="360" w:lineRule="auto"/>
        <w:ind w:firstLine="510" w:firstLineChars="200"/>
        <w:textAlignment w:val="auto"/>
        <w:rPr>
          <w:rFonts w:hint="default" w:ascii="Times New Roman" w:hAnsi="Times New Roman" w:cs="Times New Roman"/>
          <w:b/>
          <w:bCs/>
          <w:color w:val="auto"/>
          <w:sz w:val="24"/>
          <w:highlight w:val="none"/>
        </w:rPr>
      </w:pPr>
      <w:r>
        <w:rPr>
          <w:rFonts w:hint="default" w:ascii="Times New Roman" w:hAnsi="Times New Roman" w:cs="Times New Roman"/>
          <w:color w:val="auto"/>
          <w:spacing w:val="6"/>
          <w:sz w:val="24"/>
          <w:highlight w:val="none"/>
        </w:rPr>
        <w:t>根据本项目对环境风险物质的筛选和工艺流程，确定生产设施风险单元及风险类型见下表。</w:t>
      </w:r>
    </w:p>
    <w:p w14:paraId="2C6FE217">
      <w:pPr>
        <w:adjustRightInd w:val="0"/>
        <w:snapToGrid w:val="0"/>
        <w:spacing w:line="360" w:lineRule="auto"/>
        <w:jc w:val="center"/>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表3.6-1厂区风险单元及风险类型一览表</w:t>
      </w:r>
    </w:p>
    <w:tbl>
      <w:tblPr>
        <w:tblStyle w:val="33"/>
        <w:tblpPr w:leftFromText="180" w:rightFromText="180" w:vertAnchor="text" w:horzAnchor="page" w:tblpX="1112" w:tblpY="271"/>
        <w:tblOverlap w:val="never"/>
        <w:tblW w:w="5152" w:type="pct"/>
        <w:tblInd w:w="0" w:type="dxa"/>
        <w:tblLayout w:type="autofit"/>
        <w:tblCellMar>
          <w:top w:w="0" w:type="dxa"/>
          <w:left w:w="0" w:type="dxa"/>
          <w:bottom w:w="0" w:type="dxa"/>
          <w:right w:w="0" w:type="dxa"/>
        </w:tblCellMar>
      </w:tblPr>
      <w:tblGrid>
        <w:gridCol w:w="552"/>
        <w:gridCol w:w="969"/>
        <w:gridCol w:w="1863"/>
        <w:gridCol w:w="1492"/>
        <w:gridCol w:w="1381"/>
        <w:gridCol w:w="1278"/>
        <w:gridCol w:w="2173"/>
      </w:tblGrid>
      <w:tr w14:paraId="1FCB1BE5">
        <w:tblPrEx>
          <w:tblCellMar>
            <w:top w:w="0" w:type="dxa"/>
            <w:left w:w="0" w:type="dxa"/>
            <w:bottom w:w="0" w:type="dxa"/>
            <w:right w:w="0" w:type="dxa"/>
          </w:tblCellMar>
        </w:tblPrEx>
        <w:trPr>
          <w:trHeight w:val="397" w:hRule="atLeast"/>
        </w:trPr>
        <w:tc>
          <w:tcPr>
            <w:tcW w:w="284" w:type="pct"/>
            <w:tcBorders>
              <w:top w:val="single" w:color="000000" w:sz="4" w:space="0"/>
              <w:left w:val="single" w:color="000000" w:sz="4" w:space="0"/>
              <w:bottom w:val="single" w:color="000000" w:sz="4" w:space="0"/>
              <w:right w:val="single" w:color="000000" w:sz="4" w:space="0"/>
            </w:tcBorders>
            <w:noWrap w:val="0"/>
            <w:vAlign w:val="center"/>
          </w:tcPr>
          <w:p w14:paraId="72BDEB8D">
            <w:pPr>
              <w:pStyle w:val="127"/>
              <w:keepNext w:val="0"/>
              <w:keepLines w:val="0"/>
              <w:widowControl/>
              <w:suppressLineNumbers w:val="0"/>
              <w:spacing w:before="0" w:beforeAutospacing="0" w:after="0" w:afterAutospacing="0"/>
              <w:ind w:left="0" w:right="0"/>
              <w:rPr>
                <w:rFonts w:hint="default"/>
                <w:color w:val="000000"/>
              </w:rPr>
            </w:pPr>
            <w:r>
              <w:rPr>
                <w:rFonts w:hint="eastAsia"/>
                <w:color w:val="000000"/>
              </w:rPr>
              <w:t>序号</w:t>
            </w:r>
          </w:p>
        </w:tc>
        <w:tc>
          <w:tcPr>
            <w:tcW w:w="499" w:type="pct"/>
            <w:tcBorders>
              <w:top w:val="single" w:color="000000" w:sz="4" w:space="0"/>
              <w:left w:val="single" w:color="000000" w:sz="4" w:space="0"/>
              <w:bottom w:val="single" w:color="000000" w:sz="4" w:space="0"/>
              <w:right w:val="single" w:color="000000" w:sz="4" w:space="0"/>
            </w:tcBorders>
            <w:noWrap w:val="0"/>
            <w:vAlign w:val="center"/>
          </w:tcPr>
          <w:p w14:paraId="7659D52F">
            <w:pPr>
              <w:pStyle w:val="127"/>
              <w:keepNext w:val="0"/>
              <w:keepLines w:val="0"/>
              <w:widowControl/>
              <w:suppressLineNumbers w:val="0"/>
              <w:spacing w:before="0" w:beforeAutospacing="0" w:after="0" w:afterAutospacing="0"/>
              <w:ind w:left="0" w:right="0"/>
              <w:rPr>
                <w:rFonts w:hint="default"/>
                <w:color w:val="000000"/>
              </w:rPr>
            </w:pPr>
            <w:r>
              <w:rPr>
                <w:rFonts w:hint="eastAsia"/>
                <w:color w:val="000000"/>
              </w:rPr>
              <w:t>危险单元</w:t>
            </w:r>
          </w:p>
        </w:tc>
        <w:tc>
          <w:tcPr>
            <w:tcW w:w="959" w:type="pct"/>
            <w:tcBorders>
              <w:top w:val="single" w:color="000000" w:sz="4" w:space="0"/>
              <w:left w:val="single" w:color="000000" w:sz="4" w:space="0"/>
              <w:bottom w:val="single" w:color="000000" w:sz="4" w:space="0"/>
              <w:right w:val="single" w:color="000000" w:sz="4" w:space="0"/>
            </w:tcBorders>
            <w:noWrap w:val="0"/>
            <w:vAlign w:val="center"/>
          </w:tcPr>
          <w:p w14:paraId="1D592926">
            <w:pPr>
              <w:pStyle w:val="127"/>
              <w:keepNext w:val="0"/>
              <w:keepLines w:val="0"/>
              <w:widowControl/>
              <w:suppressLineNumbers w:val="0"/>
              <w:spacing w:before="0" w:beforeAutospacing="0" w:after="0" w:afterAutospacing="0"/>
              <w:ind w:left="0" w:right="0"/>
              <w:rPr>
                <w:rFonts w:hint="default"/>
                <w:color w:val="000000"/>
              </w:rPr>
            </w:pPr>
            <w:r>
              <w:rPr>
                <w:rFonts w:hint="eastAsia"/>
                <w:color w:val="000000"/>
              </w:rPr>
              <w:t>风险源</w:t>
            </w:r>
          </w:p>
        </w:tc>
        <w:tc>
          <w:tcPr>
            <w:tcW w:w="768" w:type="pct"/>
            <w:tcBorders>
              <w:top w:val="single" w:color="000000" w:sz="4" w:space="0"/>
              <w:left w:val="single" w:color="000000" w:sz="4" w:space="0"/>
              <w:bottom w:val="single" w:color="000000" w:sz="4" w:space="0"/>
              <w:right w:val="single" w:color="000000" w:sz="4" w:space="0"/>
            </w:tcBorders>
            <w:noWrap w:val="0"/>
            <w:vAlign w:val="center"/>
          </w:tcPr>
          <w:p w14:paraId="2E32F4E8">
            <w:pPr>
              <w:pStyle w:val="127"/>
              <w:keepNext w:val="0"/>
              <w:keepLines w:val="0"/>
              <w:widowControl/>
              <w:suppressLineNumbers w:val="0"/>
              <w:spacing w:before="0" w:beforeAutospacing="0" w:after="0" w:afterAutospacing="0"/>
              <w:ind w:left="0" w:right="0"/>
              <w:rPr>
                <w:rFonts w:hint="default"/>
                <w:color w:val="000000"/>
              </w:rPr>
            </w:pPr>
            <w:r>
              <w:rPr>
                <w:rFonts w:hint="eastAsia"/>
                <w:color w:val="000000"/>
              </w:rPr>
              <w:t>主要</w:t>
            </w:r>
            <w:r>
              <w:rPr>
                <w:rFonts w:hint="eastAsia"/>
                <w:color w:val="000000"/>
                <w:lang w:eastAsia="zh-CN"/>
              </w:rPr>
              <w:t>风险</w:t>
            </w:r>
            <w:r>
              <w:rPr>
                <w:rFonts w:hint="eastAsia"/>
                <w:color w:val="000000"/>
              </w:rPr>
              <w:t>物质</w:t>
            </w:r>
          </w:p>
        </w:tc>
        <w:tc>
          <w:tcPr>
            <w:tcW w:w="711" w:type="pct"/>
            <w:tcBorders>
              <w:top w:val="single" w:color="000000" w:sz="4" w:space="0"/>
              <w:left w:val="single" w:color="000000" w:sz="4" w:space="0"/>
              <w:bottom w:val="single" w:color="000000" w:sz="4" w:space="0"/>
              <w:right w:val="single" w:color="000000" w:sz="4" w:space="0"/>
            </w:tcBorders>
            <w:noWrap w:val="0"/>
            <w:vAlign w:val="center"/>
          </w:tcPr>
          <w:p w14:paraId="43B45796">
            <w:pPr>
              <w:pStyle w:val="127"/>
              <w:keepNext w:val="0"/>
              <w:keepLines w:val="0"/>
              <w:widowControl/>
              <w:suppressLineNumbers w:val="0"/>
              <w:spacing w:before="0" w:beforeAutospacing="0" w:after="0" w:afterAutospacing="0"/>
              <w:ind w:left="0" w:right="0"/>
              <w:rPr>
                <w:rFonts w:hint="default"/>
                <w:color w:val="000000"/>
              </w:rPr>
            </w:pPr>
            <w:r>
              <w:rPr>
                <w:rFonts w:hint="eastAsia"/>
                <w:color w:val="000000"/>
              </w:rPr>
              <w:t>环境风险类型</w:t>
            </w:r>
          </w:p>
        </w:tc>
        <w:tc>
          <w:tcPr>
            <w:tcW w:w="658" w:type="pct"/>
            <w:tcBorders>
              <w:top w:val="single" w:color="000000" w:sz="4" w:space="0"/>
              <w:left w:val="single" w:color="000000" w:sz="4" w:space="0"/>
              <w:bottom w:val="single" w:color="000000" w:sz="4" w:space="0"/>
              <w:right w:val="single" w:color="000000" w:sz="4" w:space="0"/>
            </w:tcBorders>
            <w:noWrap w:val="0"/>
            <w:vAlign w:val="center"/>
          </w:tcPr>
          <w:p w14:paraId="247DBF48">
            <w:pPr>
              <w:pStyle w:val="127"/>
              <w:keepNext w:val="0"/>
              <w:keepLines w:val="0"/>
              <w:widowControl/>
              <w:suppressLineNumbers w:val="0"/>
              <w:spacing w:before="0" w:beforeAutospacing="0" w:after="0" w:afterAutospacing="0"/>
              <w:ind w:left="0" w:right="0"/>
              <w:rPr>
                <w:rFonts w:hint="default"/>
                <w:color w:val="000000"/>
              </w:rPr>
            </w:pPr>
            <w:r>
              <w:rPr>
                <w:rFonts w:hint="eastAsia"/>
                <w:color w:val="000000"/>
              </w:rPr>
              <w:t>环境影响途径</w:t>
            </w:r>
          </w:p>
        </w:tc>
        <w:tc>
          <w:tcPr>
            <w:tcW w:w="1118" w:type="pct"/>
            <w:tcBorders>
              <w:top w:val="single" w:color="000000" w:sz="4" w:space="0"/>
              <w:left w:val="single" w:color="000000" w:sz="4" w:space="0"/>
              <w:bottom w:val="single" w:color="000000" w:sz="4" w:space="0"/>
              <w:right w:val="single" w:color="000000" w:sz="4" w:space="0"/>
            </w:tcBorders>
            <w:noWrap w:val="0"/>
            <w:vAlign w:val="center"/>
          </w:tcPr>
          <w:p w14:paraId="4602B662">
            <w:pPr>
              <w:pStyle w:val="127"/>
              <w:keepNext w:val="0"/>
              <w:keepLines w:val="0"/>
              <w:widowControl/>
              <w:suppressLineNumbers w:val="0"/>
              <w:spacing w:before="0" w:beforeAutospacing="0" w:after="0" w:afterAutospacing="0"/>
              <w:ind w:left="0" w:right="0"/>
              <w:rPr>
                <w:rFonts w:hint="eastAsia" w:eastAsia="宋体"/>
                <w:color w:val="000000"/>
                <w:lang w:eastAsia="zh-CN"/>
              </w:rPr>
            </w:pPr>
            <w:r>
              <w:rPr>
                <w:rFonts w:hint="eastAsia"/>
                <w:color w:val="000000"/>
                <w:lang w:eastAsia="zh-CN"/>
              </w:rPr>
              <w:t>事故触发因素</w:t>
            </w:r>
          </w:p>
        </w:tc>
      </w:tr>
      <w:tr w14:paraId="39F2BAD4">
        <w:tblPrEx>
          <w:tblCellMar>
            <w:top w:w="0" w:type="dxa"/>
            <w:left w:w="0" w:type="dxa"/>
            <w:bottom w:w="0" w:type="dxa"/>
            <w:right w:w="0" w:type="dxa"/>
          </w:tblCellMar>
        </w:tblPrEx>
        <w:trPr>
          <w:trHeight w:val="397" w:hRule="atLeast"/>
        </w:trPr>
        <w:tc>
          <w:tcPr>
            <w:tcW w:w="284" w:type="pct"/>
            <w:vMerge w:val="restart"/>
            <w:tcBorders>
              <w:top w:val="single" w:color="000000" w:sz="4" w:space="0"/>
              <w:left w:val="single" w:color="000000" w:sz="4" w:space="0"/>
              <w:right w:val="single" w:color="000000" w:sz="4" w:space="0"/>
            </w:tcBorders>
            <w:noWrap w:val="0"/>
            <w:vAlign w:val="center"/>
          </w:tcPr>
          <w:p w14:paraId="144EECE4">
            <w:pPr>
              <w:pStyle w:val="127"/>
              <w:keepNext w:val="0"/>
              <w:keepLines w:val="0"/>
              <w:widowControl/>
              <w:suppressLineNumbers w:val="0"/>
              <w:spacing w:before="0" w:beforeAutospacing="0" w:after="0" w:afterAutospacing="0"/>
              <w:ind w:left="0" w:right="0"/>
              <w:rPr>
                <w:rFonts w:hint="eastAsia" w:eastAsia="宋体" w:cs="Times New Roman"/>
                <w:color w:val="000000"/>
                <w:lang w:val="en-US" w:eastAsia="zh-CN"/>
              </w:rPr>
            </w:pPr>
            <w:r>
              <w:rPr>
                <w:rFonts w:hint="eastAsia" w:cs="Times New Roman"/>
                <w:color w:val="000000"/>
                <w:lang w:val="en-US" w:eastAsia="zh-CN"/>
              </w:rPr>
              <w:t>1</w:t>
            </w:r>
          </w:p>
        </w:tc>
        <w:tc>
          <w:tcPr>
            <w:tcW w:w="499" w:type="pct"/>
            <w:vMerge w:val="restart"/>
            <w:tcBorders>
              <w:top w:val="single" w:color="000000" w:sz="4" w:space="0"/>
              <w:left w:val="single" w:color="000000" w:sz="4" w:space="0"/>
              <w:right w:val="single" w:color="000000" w:sz="4" w:space="0"/>
            </w:tcBorders>
            <w:noWrap w:val="0"/>
            <w:vAlign w:val="center"/>
          </w:tcPr>
          <w:p w14:paraId="603F528A">
            <w:pPr>
              <w:pStyle w:val="127"/>
              <w:keepNext w:val="0"/>
              <w:keepLines w:val="0"/>
              <w:widowControl/>
              <w:suppressLineNumbers w:val="0"/>
              <w:spacing w:before="0" w:beforeAutospacing="0" w:after="0" w:afterAutospacing="0"/>
              <w:ind w:left="0" w:right="0"/>
              <w:rPr>
                <w:rFonts w:hint="eastAsia" w:eastAsia="宋体"/>
                <w:color w:val="000000"/>
                <w:lang w:eastAsia="zh-CN"/>
              </w:rPr>
            </w:pPr>
            <w:r>
              <w:rPr>
                <w:rFonts w:hint="eastAsia"/>
                <w:color w:val="000000"/>
                <w:lang w:eastAsia="zh-CN"/>
              </w:rPr>
              <w:t>储罐区</w:t>
            </w:r>
          </w:p>
        </w:tc>
        <w:tc>
          <w:tcPr>
            <w:tcW w:w="959" w:type="pct"/>
            <w:tcBorders>
              <w:top w:val="single" w:color="000000" w:sz="4" w:space="0"/>
              <w:left w:val="single" w:color="000000" w:sz="4" w:space="0"/>
              <w:bottom w:val="single" w:color="000000" w:sz="4" w:space="0"/>
              <w:right w:val="single" w:color="000000" w:sz="4" w:space="0"/>
            </w:tcBorders>
            <w:noWrap w:val="0"/>
            <w:vAlign w:val="center"/>
          </w:tcPr>
          <w:p w14:paraId="37E92FC4">
            <w:pPr>
              <w:pStyle w:val="127"/>
              <w:keepNext w:val="0"/>
              <w:keepLines w:val="0"/>
              <w:widowControl/>
              <w:suppressLineNumbers w:val="0"/>
              <w:spacing w:before="0" w:beforeAutospacing="0" w:after="0" w:afterAutospacing="0"/>
              <w:ind w:left="0" w:right="0"/>
              <w:rPr>
                <w:rFonts w:hint="eastAsia" w:eastAsia="宋体"/>
                <w:color w:val="000000"/>
                <w:lang w:eastAsia="zh-CN"/>
              </w:rPr>
            </w:pPr>
            <w:r>
              <w:rPr>
                <w:rFonts w:hint="eastAsia"/>
                <w:color w:val="000000"/>
                <w:lang w:eastAsia="zh-CN"/>
              </w:rPr>
              <w:t>苯酚</w:t>
            </w:r>
          </w:p>
        </w:tc>
        <w:tc>
          <w:tcPr>
            <w:tcW w:w="768" w:type="pct"/>
            <w:tcBorders>
              <w:top w:val="single" w:color="000000" w:sz="4" w:space="0"/>
              <w:left w:val="single" w:color="000000" w:sz="4" w:space="0"/>
              <w:bottom w:val="single" w:color="000000" w:sz="4" w:space="0"/>
              <w:right w:val="single" w:color="000000" w:sz="4" w:space="0"/>
            </w:tcBorders>
            <w:noWrap w:val="0"/>
            <w:vAlign w:val="center"/>
          </w:tcPr>
          <w:p w14:paraId="03939B53">
            <w:pPr>
              <w:pStyle w:val="127"/>
              <w:keepNext w:val="0"/>
              <w:keepLines w:val="0"/>
              <w:widowControl/>
              <w:suppressLineNumbers w:val="0"/>
              <w:spacing w:before="0" w:beforeAutospacing="0" w:after="0" w:afterAutospacing="0"/>
              <w:ind w:left="0" w:right="0"/>
              <w:rPr>
                <w:rFonts w:hint="eastAsia" w:eastAsia="宋体"/>
                <w:color w:val="000000"/>
                <w:lang w:eastAsia="zh-CN"/>
              </w:rPr>
            </w:pPr>
            <w:r>
              <w:rPr>
                <w:rFonts w:hint="eastAsia"/>
                <w:color w:val="000000"/>
                <w:lang w:eastAsia="zh-CN"/>
              </w:rPr>
              <w:t>苯酚</w:t>
            </w:r>
          </w:p>
        </w:tc>
        <w:tc>
          <w:tcPr>
            <w:tcW w:w="711" w:type="pct"/>
            <w:tcBorders>
              <w:top w:val="single" w:color="000000" w:sz="4" w:space="0"/>
              <w:left w:val="single" w:color="000000" w:sz="4" w:space="0"/>
              <w:bottom w:val="single" w:color="auto" w:sz="4" w:space="0"/>
              <w:right w:val="single" w:color="000000" w:sz="4" w:space="0"/>
            </w:tcBorders>
            <w:noWrap w:val="0"/>
            <w:vAlign w:val="center"/>
          </w:tcPr>
          <w:p w14:paraId="21FA7DBE">
            <w:pPr>
              <w:pStyle w:val="127"/>
              <w:keepNext w:val="0"/>
              <w:keepLines w:val="0"/>
              <w:widowControl/>
              <w:suppressLineNumbers w:val="0"/>
              <w:spacing w:before="0" w:beforeAutospacing="0" w:after="0" w:afterAutospacing="0"/>
              <w:ind w:left="0" w:right="0"/>
              <w:rPr>
                <w:rFonts w:hint="default"/>
                <w:color w:val="000000"/>
              </w:rPr>
            </w:pPr>
            <w:r>
              <w:rPr>
                <w:rFonts w:hint="eastAsia"/>
                <w:color w:val="000000"/>
              </w:rPr>
              <w:t>泄露</w:t>
            </w:r>
          </w:p>
        </w:tc>
        <w:tc>
          <w:tcPr>
            <w:tcW w:w="658" w:type="pct"/>
            <w:vMerge w:val="restart"/>
            <w:tcBorders>
              <w:top w:val="single" w:color="000000" w:sz="4" w:space="0"/>
              <w:left w:val="single" w:color="000000" w:sz="4" w:space="0"/>
              <w:right w:val="single" w:color="000000" w:sz="4" w:space="0"/>
            </w:tcBorders>
            <w:noWrap w:val="0"/>
            <w:vAlign w:val="center"/>
          </w:tcPr>
          <w:p w14:paraId="6F5BE99B">
            <w:pPr>
              <w:pStyle w:val="127"/>
              <w:keepNext w:val="0"/>
              <w:keepLines w:val="0"/>
              <w:widowControl/>
              <w:suppressLineNumbers w:val="0"/>
              <w:spacing w:before="0" w:beforeAutospacing="0" w:after="0" w:afterAutospacing="0"/>
              <w:ind w:left="0" w:right="0"/>
              <w:rPr>
                <w:rFonts w:hint="default"/>
                <w:color w:val="000000"/>
              </w:rPr>
            </w:pPr>
            <w:r>
              <w:rPr>
                <w:rFonts w:hint="eastAsia"/>
                <w:color w:val="000000"/>
                <w:lang w:eastAsia="zh-CN"/>
              </w:rPr>
              <w:t>大气、</w:t>
            </w:r>
            <w:r>
              <w:rPr>
                <w:rFonts w:hint="eastAsia"/>
                <w:color w:val="000000"/>
              </w:rPr>
              <w:t>土壤、水环境</w:t>
            </w:r>
          </w:p>
        </w:tc>
        <w:tc>
          <w:tcPr>
            <w:tcW w:w="1118" w:type="pct"/>
            <w:tcBorders>
              <w:top w:val="single" w:color="000000" w:sz="4" w:space="0"/>
              <w:left w:val="single" w:color="000000" w:sz="4" w:space="0"/>
              <w:bottom w:val="single" w:color="auto" w:sz="4" w:space="0"/>
              <w:right w:val="single" w:color="000000" w:sz="4" w:space="0"/>
            </w:tcBorders>
            <w:noWrap w:val="0"/>
            <w:vAlign w:val="center"/>
          </w:tcPr>
          <w:p w14:paraId="72C801C6">
            <w:pPr>
              <w:pStyle w:val="127"/>
              <w:keepNext w:val="0"/>
              <w:keepLines w:val="0"/>
              <w:widowControl/>
              <w:suppressLineNumbers w:val="0"/>
              <w:spacing w:before="0" w:beforeAutospacing="0" w:after="0" w:afterAutospacing="0"/>
              <w:ind w:left="0" w:right="0"/>
              <w:jc w:val="both"/>
              <w:rPr>
                <w:rFonts w:hint="eastAsia"/>
                <w:color w:val="000000"/>
                <w:lang w:eastAsia="zh-CN"/>
              </w:rPr>
            </w:pPr>
            <w:r>
              <w:rPr>
                <w:rFonts w:hint="eastAsia"/>
                <w:color w:val="000000"/>
                <w:lang w:eastAsia="zh-CN"/>
              </w:rPr>
              <w:t>反应失控引发爆炸</w:t>
            </w:r>
          </w:p>
        </w:tc>
      </w:tr>
      <w:tr w14:paraId="24913EFB">
        <w:tblPrEx>
          <w:tblCellMar>
            <w:top w:w="0" w:type="dxa"/>
            <w:left w:w="0" w:type="dxa"/>
            <w:bottom w:w="0" w:type="dxa"/>
            <w:right w:w="0" w:type="dxa"/>
          </w:tblCellMar>
        </w:tblPrEx>
        <w:trPr>
          <w:trHeight w:val="397" w:hRule="atLeast"/>
        </w:trPr>
        <w:tc>
          <w:tcPr>
            <w:tcW w:w="284" w:type="pct"/>
            <w:vMerge w:val="continue"/>
            <w:tcBorders>
              <w:left w:val="single" w:color="000000" w:sz="4" w:space="0"/>
              <w:right w:val="single" w:color="000000" w:sz="4" w:space="0"/>
            </w:tcBorders>
            <w:noWrap w:val="0"/>
            <w:vAlign w:val="center"/>
          </w:tcPr>
          <w:p w14:paraId="66D35E18">
            <w:pPr>
              <w:pStyle w:val="127"/>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499" w:type="pct"/>
            <w:vMerge w:val="continue"/>
            <w:tcBorders>
              <w:left w:val="single" w:color="000000" w:sz="4" w:space="0"/>
              <w:right w:val="single" w:color="000000" w:sz="4" w:space="0"/>
            </w:tcBorders>
            <w:noWrap w:val="0"/>
            <w:vAlign w:val="center"/>
          </w:tcPr>
          <w:p w14:paraId="6464A27F">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959" w:type="pct"/>
            <w:tcBorders>
              <w:top w:val="single" w:color="000000" w:sz="4" w:space="0"/>
              <w:left w:val="single" w:color="000000" w:sz="4" w:space="0"/>
              <w:bottom w:val="single" w:color="000000" w:sz="4" w:space="0"/>
              <w:right w:val="single" w:color="000000" w:sz="4" w:space="0"/>
            </w:tcBorders>
            <w:noWrap w:val="0"/>
            <w:vAlign w:val="center"/>
          </w:tcPr>
          <w:p w14:paraId="5D6EB308">
            <w:pPr>
              <w:pStyle w:val="127"/>
              <w:keepNext w:val="0"/>
              <w:keepLines w:val="0"/>
              <w:widowControl/>
              <w:suppressLineNumbers w:val="0"/>
              <w:spacing w:before="0" w:beforeAutospacing="0" w:after="0" w:afterAutospacing="0"/>
              <w:ind w:left="0" w:right="0"/>
              <w:rPr>
                <w:rFonts w:hint="eastAsia" w:eastAsia="宋体"/>
                <w:color w:val="000000"/>
                <w:lang w:eastAsia="zh-CN"/>
              </w:rPr>
            </w:pPr>
            <w:r>
              <w:rPr>
                <w:rFonts w:hint="eastAsia"/>
                <w:color w:val="000000"/>
                <w:lang w:eastAsia="zh-CN"/>
              </w:rPr>
              <w:t>甲醇</w:t>
            </w:r>
          </w:p>
        </w:tc>
        <w:tc>
          <w:tcPr>
            <w:tcW w:w="768" w:type="pct"/>
            <w:tcBorders>
              <w:top w:val="single" w:color="000000" w:sz="4" w:space="0"/>
              <w:left w:val="single" w:color="000000" w:sz="4" w:space="0"/>
              <w:bottom w:val="single" w:color="000000" w:sz="4" w:space="0"/>
              <w:right w:val="single" w:color="000000" w:sz="4" w:space="0"/>
            </w:tcBorders>
            <w:noWrap w:val="0"/>
            <w:vAlign w:val="center"/>
          </w:tcPr>
          <w:p w14:paraId="69929D69">
            <w:pPr>
              <w:pStyle w:val="127"/>
              <w:keepNext w:val="0"/>
              <w:keepLines w:val="0"/>
              <w:widowControl/>
              <w:suppressLineNumbers w:val="0"/>
              <w:spacing w:before="0" w:beforeAutospacing="0" w:after="0" w:afterAutospacing="0"/>
              <w:ind w:left="0" w:right="0"/>
              <w:rPr>
                <w:rFonts w:hint="eastAsia"/>
                <w:color w:val="000000"/>
              </w:rPr>
            </w:pPr>
            <w:r>
              <w:rPr>
                <w:rFonts w:hint="eastAsia"/>
                <w:color w:val="000000"/>
                <w:lang w:eastAsia="zh-CN"/>
              </w:rPr>
              <w:t>甲醇</w:t>
            </w:r>
          </w:p>
        </w:tc>
        <w:tc>
          <w:tcPr>
            <w:tcW w:w="711" w:type="pct"/>
            <w:tcBorders>
              <w:top w:val="single" w:color="auto" w:sz="4" w:space="0"/>
              <w:left w:val="single" w:color="000000" w:sz="4" w:space="0"/>
              <w:bottom w:val="single" w:color="auto" w:sz="4" w:space="0"/>
              <w:right w:val="single" w:color="000000" w:sz="4" w:space="0"/>
            </w:tcBorders>
            <w:noWrap w:val="0"/>
            <w:vAlign w:val="center"/>
          </w:tcPr>
          <w:p w14:paraId="6771B8C9">
            <w:pPr>
              <w:pStyle w:val="127"/>
              <w:keepNext w:val="0"/>
              <w:keepLines w:val="0"/>
              <w:widowControl/>
              <w:suppressLineNumbers w:val="0"/>
              <w:spacing w:before="0" w:beforeAutospacing="0" w:after="0" w:afterAutospacing="0"/>
              <w:ind w:left="0" w:right="0"/>
              <w:rPr>
                <w:rFonts w:hint="eastAsia"/>
                <w:color w:val="000000"/>
              </w:rPr>
            </w:pPr>
            <w:r>
              <w:rPr>
                <w:rFonts w:hint="eastAsia"/>
                <w:color w:val="000000"/>
                <w:lang w:eastAsia="zh-CN"/>
              </w:rPr>
              <w:t>火灾、爆炸</w:t>
            </w:r>
          </w:p>
        </w:tc>
        <w:tc>
          <w:tcPr>
            <w:tcW w:w="658" w:type="pct"/>
            <w:vMerge w:val="continue"/>
            <w:tcBorders>
              <w:left w:val="single" w:color="000000" w:sz="4" w:space="0"/>
              <w:right w:val="single" w:color="000000" w:sz="4" w:space="0"/>
            </w:tcBorders>
            <w:noWrap w:val="0"/>
            <w:vAlign w:val="center"/>
          </w:tcPr>
          <w:p w14:paraId="1AB1A83F">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1118" w:type="pct"/>
            <w:tcBorders>
              <w:top w:val="single" w:color="auto" w:sz="4" w:space="0"/>
              <w:left w:val="single" w:color="000000" w:sz="4" w:space="0"/>
              <w:bottom w:val="single" w:color="auto" w:sz="4" w:space="0"/>
              <w:right w:val="single" w:color="000000" w:sz="4" w:space="0"/>
            </w:tcBorders>
            <w:noWrap w:val="0"/>
            <w:vAlign w:val="center"/>
          </w:tcPr>
          <w:p w14:paraId="660F0B85">
            <w:pPr>
              <w:pStyle w:val="127"/>
              <w:keepNext w:val="0"/>
              <w:keepLines w:val="0"/>
              <w:widowControl/>
              <w:suppressLineNumbers w:val="0"/>
              <w:spacing w:before="0" w:beforeAutospacing="0" w:after="0" w:afterAutospacing="0"/>
              <w:ind w:left="0" w:right="0"/>
              <w:rPr>
                <w:rFonts w:hint="eastAsia"/>
                <w:color w:val="000000"/>
                <w:lang w:eastAsia="zh-CN"/>
              </w:rPr>
            </w:pPr>
            <w:r>
              <w:rPr>
                <w:rFonts w:hint="eastAsia" w:ascii="宋体" w:hAnsi="宋体" w:cs="宋体"/>
                <w:szCs w:val="21"/>
              </w:rPr>
              <w:t>易燃，其蒸气与空气可形成爆炸性混合物，遇明火、高热能引起燃烧爆炸</w:t>
            </w:r>
          </w:p>
        </w:tc>
      </w:tr>
      <w:tr w14:paraId="50CDADE1">
        <w:tblPrEx>
          <w:tblCellMar>
            <w:top w:w="0" w:type="dxa"/>
            <w:left w:w="0" w:type="dxa"/>
            <w:bottom w:w="0" w:type="dxa"/>
            <w:right w:w="0" w:type="dxa"/>
          </w:tblCellMar>
        </w:tblPrEx>
        <w:trPr>
          <w:trHeight w:val="397" w:hRule="atLeast"/>
        </w:trPr>
        <w:tc>
          <w:tcPr>
            <w:tcW w:w="284" w:type="pct"/>
            <w:vMerge w:val="continue"/>
            <w:tcBorders>
              <w:left w:val="single" w:color="000000" w:sz="4" w:space="0"/>
              <w:right w:val="single" w:color="000000" w:sz="4" w:space="0"/>
            </w:tcBorders>
            <w:noWrap w:val="0"/>
            <w:vAlign w:val="center"/>
          </w:tcPr>
          <w:p w14:paraId="63B371C1">
            <w:pPr>
              <w:pStyle w:val="127"/>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499" w:type="pct"/>
            <w:vMerge w:val="continue"/>
            <w:tcBorders>
              <w:left w:val="single" w:color="000000" w:sz="4" w:space="0"/>
              <w:right w:val="single" w:color="000000" w:sz="4" w:space="0"/>
            </w:tcBorders>
            <w:noWrap w:val="0"/>
            <w:vAlign w:val="center"/>
          </w:tcPr>
          <w:p w14:paraId="556EA987">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959" w:type="pct"/>
            <w:tcBorders>
              <w:top w:val="single" w:color="000000" w:sz="4" w:space="0"/>
              <w:left w:val="single" w:color="000000" w:sz="4" w:space="0"/>
              <w:bottom w:val="single" w:color="000000" w:sz="4" w:space="0"/>
              <w:right w:val="single" w:color="000000" w:sz="4" w:space="0"/>
            </w:tcBorders>
            <w:noWrap w:val="0"/>
            <w:vAlign w:val="center"/>
          </w:tcPr>
          <w:p w14:paraId="16B466CD">
            <w:pPr>
              <w:pStyle w:val="127"/>
              <w:keepNext w:val="0"/>
              <w:keepLines w:val="0"/>
              <w:widowControl/>
              <w:suppressLineNumbers w:val="0"/>
              <w:spacing w:before="0" w:beforeAutospacing="0" w:after="0" w:afterAutospacing="0"/>
              <w:ind w:left="0" w:right="0"/>
              <w:rPr>
                <w:rFonts w:hint="eastAsia"/>
                <w:color w:val="000000"/>
                <w:lang w:eastAsia="zh-CN"/>
              </w:rPr>
            </w:pPr>
            <w:r>
              <w:rPr>
                <w:rFonts w:hint="eastAsia"/>
                <w:color w:val="000000"/>
                <w:lang w:eastAsia="zh-CN"/>
              </w:rPr>
              <w:t>硫酸</w:t>
            </w:r>
          </w:p>
        </w:tc>
        <w:tc>
          <w:tcPr>
            <w:tcW w:w="768" w:type="pct"/>
            <w:tcBorders>
              <w:top w:val="single" w:color="000000" w:sz="4" w:space="0"/>
              <w:left w:val="single" w:color="000000" w:sz="4" w:space="0"/>
              <w:bottom w:val="single" w:color="000000" w:sz="4" w:space="0"/>
              <w:right w:val="single" w:color="000000" w:sz="4" w:space="0"/>
            </w:tcBorders>
            <w:noWrap w:val="0"/>
            <w:vAlign w:val="center"/>
          </w:tcPr>
          <w:p w14:paraId="511C33DA">
            <w:pPr>
              <w:pStyle w:val="127"/>
              <w:keepNext w:val="0"/>
              <w:keepLines w:val="0"/>
              <w:widowControl/>
              <w:suppressLineNumbers w:val="0"/>
              <w:spacing w:before="0" w:beforeAutospacing="0" w:after="0" w:afterAutospacing="0"/>
              <w:ind w:left="0" w:right="0"/>
              <w:rPr>
                <w:rFonts w:hint="eastAsia"/>
                <w:color w:val="000000"/>
              </w:rPr>
            </w:pPr>
            <w:r>
              <w:rPr>
                <w:rFonts w:hint="eastAsia"/>
                <w:color w:val="000000"/>
                <w:lang w:eastAsia="zh-CN"/>
              </w:rPr>
              <w:t>硫酸</w:t>
            </w:r>
          </w:p>
        </w:tc>
        <w:tc>
          <w:tcPr>
            <w:tcW w:w="711" w:type="pct"/>
            <w:tcBorders>
              <w:top w:val="single" w:color="auto" w:sz="4" w:space="0"/>
              <w:left w:val="single" w:color="000000" w:sz="4" w:space="0"/>
              <w:bottom w:val="single" w:color="auto" w:sz="4" w:space="0"/>
              <w:right w:val="single" w:color="000000" w:sz="4" w:space="0"/>
            </w:tcBorders>
            <w:noWrap w:val="0"/>
            <w:vAlign w:val="center"/>
          </w:tcPr>
          <w:p w14:paraId="77909899">
            <w:pPr>
              <w:pStyle w:val="127"/>
              <w:keepNext w:val="0"/>
              <w:keepLines w:val="0"/>
              <w:widowControl/>
              <w:suppressLineNumbers w:val="0"/>
              <w:spacing w:before="0" w:beforeAutospacing="0" w:after="0" w:afterAutospacing="0"/>
              <w:ind w:left="0" w:right="0"/>
              <w:rPr>
                <w:rFonts w:hint="eastAsia"/>
                <w:color w:val="000000"/>
              </w:rPr>
            </w:pPr>
            <w:r>
              <w:rPr>
                <w:rFonts w:hint="eastAsia"/>
                <w:color w:val="000000"/>
                <w:lang w:eastAsia="zh-CN"/>
              </w:rPr>
              <w:t>火灾、爆炸</w:t>
            </w:r>
          </w:p>
        </w:tc>
        <w:tc>
          <w:tcPr>
            <w:tcW w:w="658" w:type="pct"/>
            <w:vMerge w:val="continue"/>
            <w:tcBorders>
              <w:left w:val="single" w:color="000000" w:sz="4" w:space="0"/>
              <w:right w:val="single" w:color="000000" w:sz="4" w:space="0"/>
            </w:tcBorders>
            <w:noWrap w:val="0"/>
            <w:vAlign w:val="center"/>
          </w:tcPr>
          <w:p w14:paraId="5516C51F">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1118" w:type="pct"/>
            <w:tcBorders>
              <w:top w:val="single" w:color="auto" w:sz="4" w:space="0"/>
              <w:left w:val="single" w:color="000000" w:sz="4" w:space="0"/>
              <w:bottom w:val="single" w:color="auto" w:sz="4" w:space="0"/>
              <w:right w:val="single" w:color="000000" w:sz="4" w:space="0"/>
            </w:tcBorders>
            <w:noWrap w:val="0"/>
            <w:vAlign w:val="center"/>
          </w:tcPr>
          <w:p w14:paraId="052AA9D2">
            <w:pPr>
              <w:pStyle w:val="127"/>
              <w:keepNext w:val="0"/>
              <w:keepLines w:val="0"/>
              <w:widowControl/>
              <w:suppressLineNumbers w:val="0"/>
              <w:spacing w:before="0" w:beforeAutospacing="0" w:after="0" w:afterAutospacing="0"/>
              <w:ind w:left="0" w:right="0"/>
              <w:jc w:val="both"/>
              <w:rPr>
                <w:rFonts w:hint="eastAsia"/>
                <w:color w:val="000000"/>
                <w:lang w:eastAsia="zh-CN"/>
              </w:rPr>
            </w:pPr>
            <w:r>
              <w:rPr>
                <w:rFonts w:hint="eastAsia"/>
                <w:color w:val="000000"/>
                <w:lang w:eastAsia="zh-CN"/>
              </w:rPr>
              <w:t>在空气中形成爆炸混合物</w:t>
            </w:r>
          </w:p>
        </w:tc>
      </w:tr>
      <w:tr w14:paraId="05B60C1D">
        <w:tblPrEx>
          <w:tblCellMar>
            <w:top w:w="0" w:type="dxa"/>
            <w:left w:w="0" w:type="dxa"/>
            <w:bottom w:w="0" w:type="dxa"/>
            <w:right w:w="0" w:type="dxa"/>
          </w:tblCellMar>
        </w:tblPrEx>
        <w:trPr>
          <w:trHeight w:val="397" w:hRule="atLeast"/>
        </w:trPr>
        <w:tc>
          <w:tcPr>
            <w:tcW w:w="284" w:type="pct"/>
            <w:vMerge w:val="continue"/>
            <w:tcBorders>
              <w:left w:val="single" w:color="000000" w:sz="4" w:space="0"/>
              <w:bottom w:val="single" w:color="000000" w:sz="4" w:space="0"/>
              <w:right w:val="single" w:color="000000" w:sz="4" w:space="0"/>
            </w:tcBorders>
            <w:noWrap w:val="0"/>
            <w:vAlign w:val="center"/>
          </w:tcPr>
          <w:p w14:paraId="21138D9B">
            <w:pPr>
              <w:pStyle w:val="127"/>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499" w:type="pct"/>
            <w:vMerge w:val="continue"/>
            <w:tcBorders>
              <w:left w:val="single" w:color="000000" w:sz="4" w:space="0"/>
              <w:bottom w:val="single" w:color="000000" w:sz="4" w:space="0"/>
              <w:right w:val="single" w:color="000000" w:sz="4" w:space="0"/>
            </w:tcBorders>
            <w:noWrap w:val="0"/>
            <w:vAlign w:val="center"/>
          </w:tcPr>
          <w:p w14:paraId="3C0A456F">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ECC27C">
            <w:pPr>
              <w:pStyle w:val="127"/>
              <w:keepNext w:val="0"/>
              <w:keepLines w:val="0"/>
              <w:widowControl/>
              <w:suppressLineNumbers w:val="0"/>
              <w:spacing w:before="0" w:beforeAutospacing="0" w:after="0" w:afterAutospacing="0"/>
              <w:ind w:left="0" w:leftChars="0" w:right="0" w:rightChars="0"/>
              <w:rPr>
                <w:rFonts w:hint="eastAsia" w:ascii="Times New Roman" w:hAnsi="Times New Roman" w:eastAsia="宋体" w:cs="Times New Roman"/>
                <w:color w:val="000000"/>
                <w:kern w:val="2"/>
                <w:sz w:val="21"/>
                <w:szCs w:val="21"/>
                <w:lang w:val="en-US" w:eastAsia="zh-CN" w:bidi="ar-SA"/>
              </w:rPr>
            </w:pPr>
            <w:r>
              <w:rPr>
                <w:rFonts w:hint="eastAsia"/>
                <w:color w:val="000000"/>
                <w:lang w:eastAsia="zh-CN"/>
              </w:rPr>
              <w:t>氢氧化钠溶液</w:t>
            </w:r>
          </w:p>
        </w:tc>
        <w:tc>
          <w:tcPr>
            <w:tcW w:w="76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D440CB">
            <w:pPr>
              <w:pStyle w:val="127"/>
              <w:keepNext w:val="0"/>
              <w:keepLines w:val="0"/>
              <w:widowControl/>
              <w:suppressLineNumbers w:val="0"/>
              <w:spacing w:before="0" w:beforeAutospacing="0" w:after="0" w:afterAutospacing="0"/>
              <w:ind w:left="0" w:leftChars="0" w:right="0" w:rightChars="0"/>
              <w:rPr>
                <w:rFonts w:hint="eastAsia" w:ascii="Times New Roman" w:hAnsi="Times New Roman" w:eastAsia="宋体" w:cs="Times New Roman"/>
                <w:color w:val="000000"/>
                <w:kern w:val="2"/>
                <w:sz w:val="21"/>
                <w:szCs w:val="21"/>
                <w:lang w:val="en-US" w:eastAsia="zh-CN" w:bidi="ar-SA"/>
              </w:rPr>
            </w:pPr>
            <w:r>
              <w:rPr>
                <w:rFonts w:hint="eastAsia"/>
                <w:color w:val="000000"/>
                <w:lang w:eastAsia="zh-CN"/>
              </w:rPr>
              <w:t>氢氧化钠</w:t>
            </w:r>
          </w:p>
        </w:tc>
        <w:tc>
          <w:tcPr>
            <w:tcW w:w="711" w:type="pct"/>
            <w:tcBorders>
              <w:top w:val="single" w:color="auto" w:sz="4" w:space="0"/>
              <w:left w:val="single" w:color="000000" w:sz="4" w:space="0"/>
              <w:bottom w:val="single" w:color="auto" w:sz="4" w:space="0"/>
              <w:right w:val="single" w:color="000000" w:sz="4" w:space="0"/>
            </w:tcBorders>
            <w:shd w:val="clear" w:color="auto" w:fill="auto"/>
            <w:noWrap w:val="0"/>
            <w:vAlign w:val="center"/>
          </w:tcPr>
          <w:p w14:paraId="520F79D8">
            <w:pPr>
              <w:pStyle w:val="127"/>
              <w:keepNext w:val="0"/>
              <w:keepLines w:val="0"/>
              <w:widowControl/>
              <w:suppressLineNumbers w:val="0"/>
              <w:spacing w:before="0" w:beforeAutospacing="0" w:after="0" w:afterAutospacing="0"/>
              <w:ind w:left="0" w:leftChars="0" w:right="0" w:rightChars="0"/>
              <w:rPr>
                <w:rFonts w:hint="eastAsia" w:ascii="Times New Roman" w:hAnsi="Times New Roman" w:eastAsia="宋体" w:cs="Times New Roman"/>
                <w:color w:val="000000"/>
                <w:kern w:val="2"/>
                <w:sz w:val="21"/>
                <w:szCs w:val="21"/>
                <w:lang w:val="en-US" w:eastAsia="zh-CN" w:bidi="ar-SA"/>
              </w:rPr>
            </w:pPr>
            <w:r>
              <w:rPr>
                <w:rFonts w:hint="eastAsia"/>
                <w:color w:val="000000"/>
              </w:rPr>
              <w:t>泄露</w:t>
            </w:r>
          </w:p>
        </w:tc>
        <w:tc>
          <w:tcPr>
            <w:tcW w:w="658" w:type="pct"/>
            <w:vMerge w:val="continue"/>
            <w:tcBorders>
              <w:left w:val="single" w:color="000000" w:sz="4" w:space="0"/>
              <w:bottom w:val="single" w:color="000000" w:sz="4" w:space="0"/>
              <w:right w:val="single" w:color="000000" w:sz="4" w:space="0"/>
            </w:tcBorders>
            <w:noWrap w:val="0"/>
            <w:vAlign w:val="center"/>
          </w:tcPr>
          <w:p w14:paraId="762977CC">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1118" w:type="pct"/>
            <w:tcBorders>
              <w:top w:val="single" w:color="auto" w:sz="4" w:space="0"/>
              <w:left w:val="single" w:color="000000" w:sz="4" w:space="0"/>
              <w:bottom w:val="single" w:color="000000" w:sz="4" w:space="0"/>
              <w:right w:val="single" w:color="000000" w:sz="4" w:space="0"/>
            </w:tcBorders>
            <w:noWrap w:val="0"/>
            <w:vAlign w:val="center"/>
          </w:tcPr>
          <w:p w14:paraId="52F1A628">
            <w:pPr>
              <w:pStyle w:val="127"/>
              <w:keepNext w:val="0"/>
              <w:keepLines w:val="0"/>
              <w:widowControl/>
              <w:suppressLineNumbers w:val="0"/>
              <w:spacing w:before="0" w:beforeAutospacing="0" w:after="0" w:afterAutospacing="0"/>
              <w:ind w:left="0" w:right="0"/>
              <w:rPr>
                <w:rFonts w:hint="eastAsia"/>
                <w:color w:val="000000"/>
                <w:lang w:eastAsia="zh-CN"/>
              </w:rPr>
            </w:pPr>
            <w:r>
              <w:rPr>
                <w:rFonts w:hint="eastAsia" w:ascii="宋体" w:hAnsi="宋体" w:cs="宋体"/>
                <w:szCs w:val="21"/>
              </w:rPr>
              <w:t>不燃，具强腐蚀性、强刺激性</w:t>
            </w:r>
          </w:p>
        </w:tc>
      </w:tr>
      <w:tr w14:paraId="3B6D5F4E">
        <w:tblPrEx>
          <w:tblCellMar>
            <w:top w:w="0" w:type="dxa"/>
            <w:left w:w="0" w:type="dxa"/>
            <w:bottom w:w="0" w:type="dxa"/>
            <w:right w:w="0" w:type="dxa"/>
          </w:tblCellMar>
        </w:tblPrEx>
        <w:trPr>
          <w:trHeight w:val="397" w:hRule="atLeast"/>
        </w:trPr>
        <w:tc>
          <w:tcPr>
            <w:tcW w:w="284" w:type="pct"/>
            <w:vMerge w:val="continue"/>
            <w:tcBorders>
              <w:left w:val="single" w:color="000000" w:sz="4" w:space="0"/>
              <w:bottom w:val="single" w:color="000000" w:sz="4" w:space="0"/>
              <w:right w:val="single" w:color="000000" w:sz="4" w:space="0"/>
            </w:tcBorders>
            <w:noWrap w:val="0"/>
            <w:vAlign w:val="center"/>
          </w:tcPr>
          <w:p w14:paraId="43DE19B3">
            <w:pPr>
              <w:pStyle w:val="127"/>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499" w:type="pct"/>
            <w:vMerge w:val="continue"/>
            <w:tcBorders>
              <w:left w:val="single" w:color="000000" w:sz="4" w:space="0"/>
              <w:bottom w:val="single" w:color="000000" w:sz="4" w:space="0"/>
              <w:right w:val="single" w:color="000000" w:sz="4" w:space="0"/>
            </w:tcBorders>
            <w:noWrap w:val="0"/>
            <w:vAlign w:val="center"/>
          </w:tcPr>
          <w:p w14:paraId="38C741CE">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7A1231">
            <w:pPr>
              <w:keepNext w:val="0"/>
              <w:keepLines w:val="0"/>
              <w:suppressLineNumbers w:val="0"/>
              <w:spacing w:before="0" w:beforeAutospacing="0" w:after="0" w:afterAutospacing="0" w:line="240" w:lineRule="auto"/>
              <w:ind w:left="0" w:leftChars="0" w:right="0" w:rightChars="0" w:firstLine="0" w:firstLineChars="0"/>
              <w:jc w:val="center"/>
              <w:rPr>
                <w:rFonts w:hint="eastAsia" w:ascii="宋体" w:hAnsi="宋体" w:cs="宋体"/>
                <w:kern w:val="2"/>
                <w:sz w:val="21"/>
                <w:szCs w:val="21"/>
                <w:lang w:val="en-US" w:eastAsia="zh-CN" w:bidi="ar-SA"/>
              </w:rPr>
            </w:pPr>
            <w:r>
              <w:rPr>
                <w:rFonts w:hint="eastAsia" w:ascii="宋体" w:hAnsi="宋体" w:cs="宋体"/>
                <w:sz w:val="21"/>
                <w:szCs w:val="21"/>
              </w:rPr>
              <w:t>氯苯</w:t>
            </w:r>
          </w:p>
        </w:tc>
        <w:tc>
          <w:tcPr>
            <w:tcW w:w="768" w:type="pct"/>
            <w:tcBorders>
              <w:top w:val="single" w:color="000000" w:sz="4" w:space="0"/>
              <w:left w:val="single" w:color="000000" w:sz="4" w:space="0"/>
              <w:bottom w:val="single" w:color="000000" w:sz="4" w:space="0"/>
              <w:right w:val="single" w:color="000000" w:sz="4" w:space="0"/>
            </w:tcBorders>
            <w:noWrap w:val="0"/>
            <w:vAlign w:val="center"/>
          </w:tcPr>
          <w:p w14:paraId="2C15BB1D">
            <w:pPr>
              <w:pStyle w:val="127"/>
              <w:keepNext w:val="0"/>
              <w:keepLines w:val="0"/>
              <w:widowControl/>
              <w:suppressLineNumbers w:val="0"/>
              <w:spacing w:before="0" w:beforeAutospacing="0" w:after="0" w:afterAutospacing="0"/>
              <w:ind w:left="0" w:right="0"/>
              <w:rPr>
                <w:rFonts w:hint="eastAsia"/>
                <w:color w:val="000000"/>
                <w:lang w:eastAsia="zh-CN"/>
              </w:rPr>
            </w:pPr>
            <w:r>
              <w:rPr>
                <w:rFonts w:hint="eastAsia" w:ascii="宋体" w:hAnsi="宋体" w:cs="宋体"/>
                <w:sz w:val="21"/>
                <w:szCs w:val="21"/>
              </w:rPr>
              <w:t>氯苯</w:t>
            </w:r>
          </w:p>
        </w:tc>
        <w:tc>
          <w:tcPr>
            <w:tcW w:w="711" w:type="pct"/>
            <w:tcBorders>
              <w:top w:val="single" w:color="auto" w:sz="4" w:space="0"/>
              <w:left w:val="single" w:color="000000" w:sz="4" w:space="0"/>
              <w:bottom w:val="single" w:color="auto" w:sz="4" w:space="0"/>
              <w:right w:val="single" w:color="000000" w:sz="4" w:space="0"/>
            </w:tcBorders>
            <w:noWrap w:val="0"/>
            <w:vAlign w:val="center"/>
          </w:tcPr>
          <w:p w14:paraId="4C705BC8">
            <w:pPr>
              <w:pStyle w:val="127"/>
              <w:keepNext w:val="0"/>
              <w:keepLines w:val="0"/>
              <w:widowControl/>
              <w:suppressLineNumbers w:val="0"/>
              <w:spacing w:before="0" w:beforeAutospacing="0" w:after="0" w:afterAutospacing="0"/>
              <w:ind w:left="0" w:right="0"/>
              <w:rPr>
                <w:rFonts w:hint="eastAsia"/>
                <w:color w:val="000000"/>
              </w:rPr>
            </w:pPr>
            <w:r>
              <w:rPr>
                <w:rFonts w:hint="eastAsia"/>
                <w:color w:val="000000"/>
                <w:lang w:eastAsia="zh-CN"/>
              </w:rPr>
              <w:t>火灾、爆炸</w:t>
            </w:r>
          </w:p>
        </w:tc>
        <w:tc>
          <w:tcPr>
            <w:tcW w:w="658" w:type="pct"/>
            <w:vMerge w:val="continue"/>
            <w:tcBorders>
              <w:left w:val="single" w:color="000000" w:sz="4" w:space="0"/>
              <w:bottom w:val="single" w:color="000000" w:sz="4" w:space="0"/>
              <w:right w:val="single" w:color="000000" w:sz="4" w:space="0"/>
            </w:tcBorders>
            <w:noWrap w:val="0"/>
            <w:vAlign w:val="center"/>
          </w:tcPr>
          <w:p w14:paraId="1A20752C">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1118" w:type="pct"/>
            <w:tcBorders>
              <w:top w:val="single" w:color="auto" w:sz="4" w:space="0"/>
              <w:left w:val="single" w:color="000000" w:sz="4" w:space="0"/>
              <w:bottom w:val="single" w:color="000000" w:sz="4" w:space="0"/>
              <w:right w:val="single" w:color="000000" w:sz="4" w:space="0"/>
            </w:tcBorders>
            <w:noWrap w:val="0"/>
            <w:vAlign w:val="center"/>
          </w:tcPr>
          <w:p w14:paraId="2D136FCA">
            <w:pPr>
              <w:pStyle w:val="127"/>
              <w:keepNext w:val="0"/>
              <w:keepLines w:val="0"/>
              <w:widowControl/>
              <w:suppressLineNumbers w:val="0"/>
              <w:spacing w:before="0" w:beforeAutospacing="0" w:after="0" w:afterAutospacing="0"/>
              <w:ind w:left="0" w:right="0"/>
              <w:rPr>
                <w:rFonts w:hint="eastAsia"/>
                <w:color w:val="000000"/>
                <w:lang w:eastAsia="zh-CN"/>
              </w:rPr>
            </w:pPr>
            <w:r>
              <w:rPr>
                <w:rFonts w:hint="eastAsia" w:ascii="宋体" w:hAnsi="宋体" w:cs="宋体"/>
                <w:szCs w:val="21"/>
              </w:rPr>
              <w:t>遇明火、高热或与氧化剂接触，有引起燃烧爆炸的危险</w:t>
            </w:r>
          </w:p>
        </w:tc>
      </w:tr>
      <w:tr w14:paraId="7F4970E5">
        <w:tblPrEx>
          <w:tblCellMar>
            <w:top w:w="0" w:type="dxa"/>
            <w:left w:w="0" w:type="dxa"/>
            <w:bottom w:w="0" w:type="dxa"/>
            <w:right w:w="0" w:type="dxa"/>
          </w:tblCellMar>
        </w:tblPrEx>
        <w:trPr>
          <w:trHeight w:val="397" w:hRule="atLeast"/>
        </w:trPr>
        <w:tc>
          <w:tcPr>
            <w:tcW w:w="284" w:type="pct"/>
            <w:vMerge w:val="continue"/>
            <w:tcBorders>
              <w:left w:val="single" w:color="000000" w:sz="4" w:space="0"/>
              <w:bottom w:val="single" w:color="000000" w:sz="4" w:space="0"/>
              <w:right w:val="single" w:color="000000" w:sz="4" w:space="0"/>
            </w:tcBorders>
            <w:noWrap w:val="0"/>
            <w:vAlign w:val="center"/>
          </w:tcPr>
          <w:p w14:paraId="4922DE52">
            <w:pPr>
              <w:pStyle w:val="127"/>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499" w:type="pct"/>
            <w:vMerge w:val="continue"/>
            <w:tcBorders>
              <w:left w:val="single" w:color="000000" w:sz="4" w:space="0"/>
              <w:bottom w:val="single" w:color="000000" w:sz="4" w:space="0"/>
              <w:right w:val="single" w:color="000000" w:sz="4" w:space="0"/>
            </w:tcBorders>
            <w:noWrap w:val="0"/>
            <w:vAlign w:val="center"/>
          </w:tcPr>
          <w:p w14:paraId="054DA791">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B48D09">
            <w:pPr>
              <w:keepNext w:val="0"/>
              <w:keepLines w:val="0"/>
              <w:suppressLineNumbers w:val="0"/>
              <w:spacing w:before="0" w:beforeAutospacing="0" w:after="0" w:afterAutospacing="0" w:line="240" w:lineRule="auto"/>
              <w:ind w:left="0" w:leftChars="0" w:right="0" w:rightChars="0" w:firstLine="0" w:firstLineChars="0"/>
              <w:jc w:val="center"/>
              <w:rPr>
                <w:rFonts w:hint="eastAsia" w:ascii="宋体" w:hAnsi="宋体" w:cs="宋体"/>
                <w:kern w:val="2"/>
                <w:sz w:val="21"/>
                <w:szCs w:val="21"/>
                <w:lang w:val="en-US" w:eastAsia="zh-CN" w:bidi="ar-SA"/>
              </w:rPr>
            </w:pPr>
            <w:r>
              <w:rPr>
                <w:rFonts w:hint="eastAsia" w:ascii="宋体" w:hAnsi="宋体" w:cs="宋体"/>
                <w:sz w:val="21"/>
                <w:szCs w:val="21"/>
              </w:rPr>
              <w:t>氯</w:t>
            </w:r>
          </w:p>
        </w:tc>
        <w:tc>
          <w:tcPr>
            <w:tcW w:w="76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1C1BC3">
            <w:pPr>
              <w:keepNext w:val="0"/>
              <w:keepLines w:val="0"/>
              <w:suppressLineNumbers w:val="0"/>
              <w:spacing w:before="0" w:beforeAutospacing="0" w:after="0" w:afterAutospacing="0" w:line="240" w:lineRule="auto"/>
              <w:ind w:left="0" w:leftChars="0" w:right="0" w:rightChars="0" w:firstLine="0" w:firstLineChars="0"/>
              <w:jc w:val="center"/>
              <w:rPr>
                <w:rFonts w:hint="eastAsia" w:ascii="宋体" w:hAnsi="宋体" w:cs="宋体"/>
                <w:kern w:val="2"/>
                <w:sz w:val="21"/>
                <w:szCs w:val="21"/>
                <w:lang w:val="en-US" w:eastAsia="zh-CN" w:bidi="ar-SA"/>
              </w:rPr>
            </w:pPr>
            <w:r>
              <w:rPr>
                <w:rFonts w:hint="eastAsia" w:ascii="宋体" w:hAnsi="宋体" w:cs="宋体"/>
                <w:sz w:val="21"/>
                <w:szCs w:val="21"/>
              </w:rPr>
              <w:t>氯</w:t>
            </w:r>
          </w:p>
        </w:tc>
        <w:tc>
          <w:tcPr>
            <w:tcW w:w="711" w:type="pct"/>
            <w:tcBorders>
              <w:top w:val="single" w:color="auto" w:sz="4" w:space="0"/>
              <w:left w:val="single" w:color="000000" w:sz="4" w:space="0"/>
              <w:bottom w:val="single" w:color="auto" w:sz="4" w:space="0"/>
              <w:right w:val="single" w:color="000000" w:sz="4" w:space="0"/>
            </w:tcBorders>
            <w:noWrap w:val="0"/>
            <w:vAlign w:val="center"/>
          </w:tcPr>
          <w:p w14:paraId="1CB9E669">
            <w:pPr>
              <w:pStyle w:val="127"/>
              <w:keepNext w:val="0"/>
              <w:keepLines w:val="0"/>
              <w:widowControl/>
              <w:suppressLineNumbers w:val="0"/>
              <w:spacing w:before="0" w:beforeAutospacing="0" w:after="0" w:afterAutospacing="0"/>
              <w:ind w:left="0" w:right="0"/>
              <w:rPr>
                <w:rFonts w:hint="eastAsia"/>
                <w:color w:val="000000"/>
              </w:rPr>
            </w:pPr>
            <w:r>
              <w:rPr>
                <w:rFonts w:hint="eastAsia"/>
                <w:color w:val="000000"/>
              </w:rPr>
              <w:t>泄露</w:t>
            </w:r>
          </w:p>
        </w:tc>
        <w:tc>
          <w:tcPr>
            <w:tcW w:w="658" w:type="pct"/>
            <w:vMerge w:val="continue"/>
            <w:tcBorders>
              <w:left w:val="single" w:color="000000" w:sz="4" w:space="0"/>
              <w:bottom w:val="single" w:color="000000" w:sz="4" w:space="0"/>
              <w:right w:val="single" w:color="000000" w:sz="4" w:space="0"/>
            </w:tcBorders>
            <w:noWrap w:val="0"/>
            <w:vAlign w:val="center"/>
          </w:tcPr>
          <w:p w14:paraId="7A148B93">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1118" w:type="pct"/>
            <w:tcBorders>
              <w:top w:val="single" w:color="auto" w:sz="4" w:space="0"/>
              <w:left w:val="single" w:color="000000" w:sz="4" w:space="0"/>
              <w:bottom w:val="single" w:color="000000" w:sz="4" w:space="0"/>
              <w:right w:val="single" w:color="000000" w:sz="4" w:space="0"/>
            </w:tcBorders>
            <w:noWrap w:val="0"/>
            <w:vAlign w:val="center"/>
          </w:tcPr>
          <w:p w14:paraId="063A4EB6">
            <w:pPr>
              <w:pStyle w:val="127"/>
              <w:keepNext w:val="0"/>
              <w:keepLines w:val="0"/>
              <w:widowControl/>
              <w:suppressLineNumbers w:val="0"/>
              <w:spacing w:before="0" w:beforeAutospacing="0" w:after="0" w:afterAutospacing="0"/>
              <w:ind w:left="0" w:right="0"/>
              <w:rPr>
                <w:rFonts w:hint="eastAsia"/>
                <w:color w:val="000000"/>
                <w:lang w:eastAsia="zh-CN"/>
              </w:rPr>
            </w:pPr>
            <w:r>
              <w:rPr>
                <w:rFonts w:hint="eastAsia" w:ascii="宋体" w:hAnsi="宋体" w:cs="宋体"/>
                <w:szCs w:val="21"/>
              </w:rPr>
              <w:t>助燃，高毒</w:t>
            </w:r>
          </w:p>
        </w:tc>
      </w:tr>
      <w:tr w14:paraId="5847FEA2">
        <w:tblPrEx>
          <w:tblCellMar>
            <w:top w:w="0" w:type="dxa"/>
            <w:left w:w="0" w:type="dxa"/>
            <w:bottom w:w="0" w:type="dxa"/>
            <w:right w:w="0" w:type="dxa"/>
          </w:tblCellMar>
        </w:tblPrEx>
        <w:trPr>
          <w:trHeight w:val="397" w:hRule="atLeast"/>
        </w:trPr>
        <w:tc>
          <w:tcPr>
            <w:tcW w:w="284" w:type="pct"/>
            <w:vMerge w:val="continue"/>
            <w:tcBorders>
              <w:left w:val="single" w:color="000000" w:sz="4" w:space="0"/>
              <w:bottom w:val="single" w:color="000000" w:sz="4" w:space="0"/>
              <w:right w:val="single" w:color="000000" w:sz="4" w:space="0"/>
            </w:tcBorders>
            <w:noWrap w:val="0"/>
            <w:vAlign w:val="center"/>
          </w:tcPr>
          <w:p w14:paraId="49C75F59">
            <w:pPr>
              <w:pStyle w:val="127"/>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499" w:type="pct"/>
            <w:vMerge w:val="continue"/>
            <w:tcBorders>
              <w:left w:val="single" w:color="000000" w:sz="4" w:space="0"/>
              <w:bottom w:val="single" w:color="000000" w:sz="4" w:space="0"/>
              <w:right w:val="single" w:color="000000" w:sz="4" w:space="0"/>
            </w:tcBorders>
            <w:noWrap w:val="0"/>
            <w:vAlign w:val="center"/>
          </w:tcPr>
          <w:p w14:paraId="54D5FA0D">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E42032">
            <w:pPr>
              <w:keepNext w:val="0"/>
              <w:keepLines w:val="0"/>
              <w:suppressLineNumbers w:val="0"/>
              <w:adjustRightInd w:val="0"/>
              <w:snapToGrid w:val="0"/>
              <w:spacing w:before="62" w:beforeLines="20" w:beforeAutospacing="0" w:after="62" w:afterLines="20" w:afterAutospacing="0"/>
              <w:ind w:left="0" w:right="0"/>
              <w:jc w:val="center"/>
              <w:rPr>
                <w:rFonts w:hint="eastAsia" w:ascii="宋体" w:hAnsi="宋体" w:cs="宋体"/>
                <w:kern w:val="2"/>
                <w:sz w:val="21"/>
                <w:szCs w:val="21"/>
                <w:lang w:val="en-US" w:eastAsia="zh-CN" w:bidi="ar-SA"/>
              </w:rPr>
            </w:pPr>
            <w:r>
              <w:rPr>
                <w:rFonts w:hint="eastAsia" w:ascii="宋体" w:hAnsi="宋体" w:cs="宋体"/>
                <w:sz w:val="21"/>
                <w:szCs w:val="21"/>
              </w:rPr>
              <w:t>三氯氧磷</w:t>
            </w:r>
          </w:p>
        </w:tc>
        <w:tc>
          <w:tcPr>
            <w:tcW w:w="76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783A38">
            <w:pPr>
              <w:keepNext w:val="0"/>
              <w:keepLines w:val="0"/>
              <w:suppressLineNumbers w:val="0"/>
              <w:adjustRightInd w:val="0"/>
              <w:snapToGrid w:val="0"/>
              <w:spacing w:before="62" w:beforeLines="20" w:beforeAutospacing="0" w:after="62" w:afterLines="20" w:afterAutospacing="0"/>
              <w:ind w:left="0" w:right="0"/>
              <w:jc w:val="center"/>
              <w:rPr>
                <w:rFonts w:hint="eastAsia" w:ascii="宋体" w:hAnsi="宋体" w:cs="宋体"/>
                <w:kern w:val="2"/>
                <w:sz w:val="21"/>
                <w:szCs w:val="21"/>
                <w:lang w:val="en-US" w:eastAsia="zh-CN" w:bidi="ar-SA"/>
              </w:rPr>
            </w:pPr>
            <w:r>
              <w:rPr>
                <w:rFonts w:hint="eastAsia" w:ascii="宋体" w:hAnsi="宋体" w:cs="宋体"/>
                <w:sz w:val="21"/>
                <w:szCs w:val="21"/>
              </w:rPr>
              <w:t>三氯氧磷</w:t>
            </w:r>
          </w:p>
        </w:tc>
        <w:tc>
          <w:tcPr>
            <w:tcW w:w="711" w:type="pct"/>
            <w:tcBorders>
              <w:top w:val="single" w:color="auto" w:sz="4" w:space="0"/>
              <w:left w:val="single" w:color="000000" w:sz="4" w:space="0"/>
              <w:bottom w:val="single" w:color="auto" w:sz="4" w:space="0"/>
              <w:right w:val="single" w:color="000000" w:sz="4" w:space="0"/>
            </w:tcBorders>
            <w:noWrap w:val="0"/>
            <w:vAlign w:val="center"/>
          </w:tcPr>
          <w:p w14:paraId="6E1E4A22">
            <w:pPr>
              <w:pStyle w:val="127"/>
              <w:keepNext w:val="0"/>
              <w:keepLines w:val="0"/>
              <w:widowControl/>
              <w:suppressLineNumbers w:val="0"/>
              <w:spacing w:before="0" w:beforeAutospacing="0" w:after="0" w:afterAutospacing="0"/>
              <w:ind w:left="0" w:right="0"/>
              <w:rPr>
                <w:rFonts w:hint="eastAsia" w:eastAsia="宋体"/>
                <w:color w:val="000000"/>
                <w:lang w:eastAsia="zh-CN"/>
              </w:rPr>
            </w:pPr>
            <w:r>
              <w:rPr>
                <w:rFonts w:hint="eastAsia"/>
                <w:color w:val="000000"/>
              </w:rPr>
              <w:t>泄露</w:t>
            </w:r>
          </w:p>
        </w:tc>
        <w:tc>
          <w:tcPr>
            <w:tcW w:w="658" w:type="pct"/>
            <w:vMerge w:val="continue"/>
            <w:tcBorders>
              <w:left w:val="single" w:color="000000" w:sz="4" w:space="0"/>
              <w:bottom w:val="single" w:color="000000" w:sz="4" w:space="0"/>
              <w:right w:val="single" w:color="000000" w:sz="4" w:space="0"/>
            </w:tcBorders>
            <w:noWrap w:val="0"/>
            <w:vAlign w:val="center"/>
          </w:tcPr>
          <w:p w14:paraId="1562B122">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1118" w:type="pct"/>
            <w:tcBorders>
              <w:top w:val="single" w:color="auto" w:sz="4" w:space="0"/>
              <w:left w:val="single" w:color="000000" w:sz="4" w:space="0"/>
              <w:bottom w:val="single" w:color="000000" w:sz="4" w:space="0"/>
              <w:right w:val="single" w:color="000000" w:sz="4" w:space="0"/>
            </w:tcBorders>
            <w:noWrap w:val="0"/>
            <w:vAlign w:val="center"/>
          </w:tcPr>
          <w:p w14:paraId="103D96BD">
            <w:pPr>
              <w:pStyle w:val="127"/>
              <w:keepNext w:val="0"/>
              <w:keepLines w:val="0"/>
              <w:widowControl/>
              <w:suppressLineNumbers w:val="0"/>
              <w:spacing w:before="0" w:beforeAutospacing="0" w:after="0" w:afterAutospacing="0"/>
              <w:ind w:left="0" w:right="0"/>
              <w:rPr>
                <w:rFonts w:hint="eastAsia" w:eastAsia="宋体"/>
                <w:color w:val="000000"/>
                <w:lang w:eastAsia="zh-CN"/>
              </w:rPr>
            </w:pPr>
            <w:r>
              <w:rPr>
                <w:rFonts w:hint="eastAsia" w:ascii="宋体" w:hAnsi="宋体" w:cs="宋体"/>
                <w:szCs w:val="21"/>
              </w:rPr>
              <w:t>不燃</w:t>
            </w:r>
            <w:r>
              <w:rPr>
                <w:rFonts w:hint="eastAsia" w:ascii="宋体" w:hAnsi="宋体" w:cs="宋体"/>
                <w:szCs w:val="21"/>
                <w:lang w:eastAsia="zh-CN"/>
              </w:rPr>
              <w:t>，有毒</w:t>
            </w:r>
          </w:p>
        </w:tc>
      </w:tr>
      <w:tr w14:paraId="0CD05D68">
        <w:tblPrEx>
          <w:tblCellMar>
            <w:top w:w="0" w:type="dxa"/>
            <w:left w:w="0" w:type="dxa"/>
            <w:bottom w:w="0" w:type="dxa"/>
            <w:right w:w="0" w:type="dxa"/>
          </w:tblCellMar>
        </w:tblPrEx>
        <w:trPr>
          <w:trHeight w:val="397" w:hRule="atLeast"/>
        </w:trPr>
        <w:tc>
          <w:tcPr>
            <w:tcW w:w="284" w:type="pct"/>
            <w:vMerge w:val="continue"/>
            <w:tcBorders>
              <w:left w:val="single" w:color="000000" w:sz="4" w:space="0"/>
              <w:bottom w:val="single" w:color="000000" w:sz="4" w:space="0"/>
              <w:right w:val="single" w:color="000000" w:sz="4" w:space="0"/>
            </w:tcBorders>
            <w:noWrap w:val="0"/>
            <w:vAlign w:val="center"/>
          </w:tcPr>
          <w:p w14:paraId="1B5B5FBB">
            <w:pPr>
              <w:pStyle w:val="127"/>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499" w:type="pct"/>
            <w:vMerge w:val="continue"/>
            <w:tcBorders>
              <w:left w:val="single" w:color="000000" w:sz="4" w:space="0"/>
              <w:bottom w:val="single" w:color="000000" w:sz="4" w:space="0"/>
              <w:right w:val="single" w:color="000000" w:sz="4" w:space="0"/>
            </w:tcBorders>
            <w:noWrap w:val="0"/>
            <w:vAlign w:val="center"/>
          </w:tcPr>
          <w:p w14:paraId="3927B59C">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9DAFD9">
            <w:pPr>
              <w:keepNext w:val="0"/>
              <w:keepLines w:val="0"/>
              <w:suppressLineNumbers w:val="0"/>
              <w:adjustRightInd w:val="0"/>
              <w:snapToGrid w:val="0"/>
              <w:spacing w:before="62" w:beforeLines="20" w:beforeAutospacing="0" w:after="62" w:afterLines="20" w:afterAutospacing="0"/>
              <w:ind w:left="0" w:right="0"/>
              <w:jc w:val="center"/>
              <w:rPr>
                <w:rFonts w:hint="eastAsia" w:ascii="宋体" w:hAnsi="宋体" w:cs="宋体"/>
                <w:kern w:val="2"/>
                <w:sz w:val="21"/>
                <w:szCs w:val="21"/>
                <w:lang w:val="en-US" w:eastAsia="zh-CN" w:bidi="ar-SA"/>
              </w:rPr>
            </w:pPr>
            <w:r>
              <w:rPr>
                <w:rFonts w:hint="eastAsia" w:ascii="宋体" w:hAnsi="宋体" w:cs="宋体"/>
                <w:sz w:val="21"/>
                <w:szCs w:val="21"/>
              </w:rPr>
              <w:t>乙醇胺</w:t>
            </w:r>
          </w:p>
        </w:tc>
        <w:tc>
          <w:tcPr>
            <w:tcW w:w="76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134E88">
            <w:pPr>
              <w:keepNext w:val="0"/>
              <w:keepLines w:val="0"/>
              <w:suppressLineNumbers w:val="0"/>
              <w:adjustRightInd w:val="0"/>
              <w:snapToGrid w:val="0"/>
              <w:spacing w:before="62" w:beforeLines="20" w:beforeAutospacing="0" w:after="62" w:afterLines="20" w:afterAutospacing="0"/>
              <w:ind w:left="0" w:right="0"/>
              <w:jc w:val="center"/>
              <w:rPr>
                <w:rFonts w:hint="eastAsia" w:ascii="宋体" w:hAnsi="宋体" w:cs="宋体"/>
                <w:kern w:val="2"/>
                <w:sz w:val="21"/>
                <w:szCs w:val="21"/>
                <w:lang w:val="en-US" w:eastAsia="zh-CN" w:bidi="ar-SA"/>
              </w:rPr>
            </w:pPr>
            <w:r>
              <w:rPr>
                <w:rFonts w:hint="eastAsia" w:ascii="宋体" w:hAnsi="宋体" w:cs="宋体"/>
                <w:sz w:val="21"/>
                <w:szCs w:val="21"/>
              </w:rPr>
              <w:t>乙醇胺</w:t>
            </w:r>
          </w:p>
        </w:tc>
        <w:tc>
          <w:tcPr>
            <w:tcW w:w="711" w:type="pct"/>
            <w:tcBorders>
              <w:top w:val="single" w:color="auto" w:sz="4" w:space="0"/>
              <w:left w:val="single" w:color="000000" w:sz="4" w:space="0"/>
              <w:bottom w:val="single" w:color="auto" w:sz="4" w:space="0"/>
              <w:right w:val="single" w:color="000000" w:sz="4" w:space="0"/>
            </w:tcBorders>
            <w:noWrap w:val="0"/>
            <w:vAlign w:val="center"/>
          </w:tcPr>
          <w:p w14:paraId="41E09D41">
            <w:pPr>
              <w:pStyle w:val="127"/>
              <w:keepNext w:val="0"/>
              <w:keepLines w:val="0"/>
              <w:widowControl/>
              <w:suppressLineNumbers w:val="0"/>
              <w:spacing w:before="0" w:beforeAutospacing="0" w:after="0" w:afterAutospacing="0"/>
              <w:ind w:left="0" w:right="0"/>
              <w:rPr>
                <w:rFonts w:hint="eastAsia"/>
                <w:color w:val="000000"/>
              </w:rPr>
            </w:pPr>
            <w:r>
              <w:rPr>
                <w:rFonts w:hint="eastAsia"/>
                <w:color w:val="000000"/>
              </w:rPr>
              <w:t>泄露</w:t>
            </w:r>
            <w:r>
              <w:rPr>
                <w:rFonts w:hint="eastAsia"/>
                <w:color w:val="000000"/>
                <w:lang w:eastAsia="zh-CN"/>
              </w:rPr>
              <w:t>、火灾</w:t>
            </w:r>
          </w:p>
        </w:tc>
        <w:tc>
          <w:tcPr>
            <w:tcW w:w="658" w:type="pct"/>
            <w:vMerge w:val="continue"/>
            <w:tcBorders>
              <w:left w:val="single" w:color="000000" w:sz="4" w:space="0"/>
              <w:bottom w:val="single" w:color="000000" w:sz="4" w:space="0"/>
              <w:right w:val="single" w:color="000000" w:sz="4" w:space="0"/>
            </w:tcBorders>
            <w:noWrap w:val="0"/>
            <w:vAlign w:val="center"/>
          </w:tcPr>
          <w:p w14:paraId="74982301">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1118" w:type="pct"/>
            <w:tcBorders>
              <w:top w:val="single" w:color="auto" w:sz="4" w:space="0"/>
              <w:left w:val="single" w:color="000000" w:sz="4" w:space="0"/>
              <w:bottom w:val="single" w:color="000000" w:sz="4" w:space="0"/>
              <w:right w:val="single" w:color="000000" w:sz="4" w:space="0"/>
            </w:tcBorders>
            <w:noWrap w:val="0"/>
            <w:vAlign w:val="center"/>
          </w:tcPr>
          <w:p w14:paraId="2F6E76F8">
            <w:pPr>
              <w:pStyle w:val="127"/>
              <w:keepNext w:val="0"/>
              <w:keepLines w:val="0"/>
              <w:widowControl/>
              <w:suppressLineNumbers w:val="0"/>
              <w:spacing w:before="0" w:beforeAutospacing="0" w:after="0" w:afterAutospacing="0"/>
              <w:ind w:left="0" w:right="0"/>
              <w:rPr>
                <w:rFonts w:hint="eastAsia"/>
                <w:color w:val="000000"/>
                <w:lang w:eastAsia="zh-CN"/>
              </w:rPr>
            </w:pPr>
            <w:r>
              <w:rPr>
                <w:rFonts w:hint="eastAsia" w:ascii="宋体" w:hAnsi="宋体" w:cs="宋体"/>
                <w:szCs w:val="21"/>
              </w:rPr>
              <w:t>遇明火、高热可燃</w:t>
            </w:r>
          </w:p>
        </w:tc>
      </w:tr>
      <w:tr w14:paraId="46B7656A">
        <w:tblPrEx>
          <w:tblCellMar>
            <w:top w:w="0" w:type="dxa"/>
            <w:left w:w="0" w:type="dxa"/>
            <w:bottom w:w="0" w:type="dxa"/>
            <w:right w:w="0" w:type="dxa"/>
          </w:tblCellMar>
        </w:tblPrEx>
        <w:trPr>
          <w:trHeight w:val="397" w:hRule="atLeast"/>
        </w:trPr>
        <w:tc>
          <w:tcPr>
            <w:tcW w:w="284" w:type="pct"/>
            <w:vMerge w:val="continue"/>
            <w:tcBorders>
              <w:left w:val="single" w:color="000000" w:sz="4" w:space="0"/>
              <w:bottom w:val="single" w:color="000000" w:sz="4" w:space="0"/>
              <w:right w:val="single" w:color="000000" w:sz="4" w:space="0"/>
            </w:tcBorders>
            <w:noWrap w:val="0"/>
            <w:vAlign w:val="center"/>
          </w:tcPr>
          <w:p w14:paraId="412DF56B">
            <w:pPr>
              <w:pStyle w:val="127"/>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499" w:type="pct"/>
            <w:vMerge w:val="continue"/>
            <w:tcBorders>
              <w:left w:val="single" w:color="000000" w:sz="4" w:space="0"/>
              <w:bottom w:val="single" w:color="000000" w:sz="4" w:space="0"/>
              <w:right w:val="single" w:color="000000" w:sz="4" w:space="0"/>
            </w:tcBorders>
            <w:noWrap w:val="0"/>
            <w:vAlign w:val="center"/>
          </w:tcPr>
          <w:p w14:paraId="691A3DA8">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959" w:type="pct"/>
            <w:tcBorders>
              <w:top w:val="single" w:color="000000" w:sz="4" w:space="0"/>
              <w:left w:val="single" w:color="000000" w:sz="4" w:space="0"/>
              <w:bottom w:val="single" w:color="000000" w:sz="4" w:space="0"/>
              <w:right w:val="single" w:color="000000" w:sz="4" w:space="0"/>
            </w:tcBorders>
            <w:noWrap w:val="0"/>
            <w:vAlign w:val="center"/>
          </w:tcPr>
          <w:p w14:paraId="56D7B12F">
            <w:pPr>
              <w:pStyle w:val="127"/>
              <w:keepNext w:val="0"/>
              <w:keepLines w:val="0"/>
              <w:widowControl/>
              <w:suppressLineNumbers w:val="0"/>
              <w:spacing w:before="0" w:beforeAutospacing="0" w:after="0" w:afterAutospacing="0"/>
              <w:ind w:left="0" w:right="0"/>
              <w:rPr>
                <w:rFonts w:hint="eastAsia"/>
                <w:color w:val="000000"/>
                <w:lang w:eastAsia="zh-CN"/>
              </w:rPr>
            </w:pPr>
            <w:r>
              <w:rPr>
                <w:rFonts w:hint="eastAsia" w:ascii="宋体" w:hAnsi="宋体" w:cs="宋体"/>
                <w:sz w:val="21"/>
                <w:szCs w:val="21"/>
              </w:rPr>
              <w:t>氨</w:t>
            </w:r>
          </w:p>
        </w:tc>
        <w:tc>
          <w:tcPr>
            <w:tcW w:w="76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F4AAE0">
            <w:pPr>
              <w:pStyle w:val="127"/>
              <w:keepNext w:val="0"/>
              <w:keepLines w:val="0"/>
              <w:widowControl/>
              <w:suppressLineNumbers w:val="0"/>
              <w:spacing w:before="0" w:beforeAutospacing="0" w:after="0" w:afterAutospacing="0"/>
              <w:ind w:left="0" w:leftChars="0" w:right="0" w:rightChars="0"/>
              <w:rPr>
                <w:rFonts w:hint="eastAsia" w:ascii="Times New Roman" w:hAnsi="Times New Roman" w:eastAsia="宋体" w:cs="Times New Roman"/>
                <w:color w:val="000000"/>
                <w:kern w:val="2"/>
                <w:sz w:val="21"/>
                <w:szCs w:val="21"/>
                <w:lang w:val="en-US" w:eastAsia="zh-CN" w:bidi="ar-SA"/>
              </w:rPr>
            </w:pPr>
            <w:r>
              <w:rPr>
                <w:rFonts w:hint="eastAsia" w:ascii="宋体" w:hAnsi="宋体" w:cs="宋体"/>
                <w:sz w:val="21"/>
                <w:szCs w:val="21"/>
              </w:rPr>
              <w:t>氨</w:t>
            </w:r>
          </w:p>
        </w:tc>
        <w:tc>
          <w:tcPr>
            <w:tcW w:w="711" w:type="pct"/>
            <w:tcBorders>
              <w:top w:val="single" w:color="auto" w:sz="4" w:space="0"/>
              <w:left w:val="single" w:color="000000" w:sz="4" w:space="0"/>
              <w:bottom w:val="single" w:color="auto" w:sz="4" w:space="0"/>
              <w:right w:val="single" w:color="000000" w:sz="4" w:space="0"/>
            </w:tcBorders>
            <w:noWrap w:val="0"/>
            <w:vAlign w:val="center"/>
          </w:tcPr>
          <w:p w14:paraId="0A13C6CA">
            <w:pPr>
              <w:pStyle w:val="127"/>
              <w:keepNext w:val="0"/>
              <w:keepLines w:val="0"/>
              <w:widowControl/>
              <w:suppressLineNumbers w:val="0"/>
              <w:spacing w:before="0" w:beforeAutospacing="0" w:after="0" w:afterAutospacing="0"/>
              <w:ind w:left="0" w:right="0"/>
              <w:rPr>
                <w:rFonts w:hint="eastAsia"/>
                <w:color w:val="000000"/>
              </w:rPr>
            </w:pPr>
            <w:r>
              <w:rPr>
                <w:rFonts w:hint="eastAsia"/>
                <w:color w:val="000000"/>
              </w:rPr>
              <w:t>泄露</w:t>
            </w:r>
            <w:r>
              <w:rPr>
                <w:rFonts w:hint="eastAsia"/>
                <w:color w:val="000000"/>
                <w:lang w:eastAsia="zh-CN"/>
              </w:rPr>
              <w:t>、火灾</w:t>
            </w:r>
          </w:p>
        </w:tc>
        <w:tc>
          <w:tcPr>
            <w:tcW w:w="658" w:type="pct"/>
            <w:vMerge w:val="continue"/>
            <w:tcBorders>
              <w:left w:val="single" w:color="000000" w:sz="4" w:space="0"/>
              <w:bottom w:val="single" w:color="000000" w:sz="4" w:space="0"/>
              <w:right w:val="single" w:color="000000" w:sz="4" w:space="0"/>
            </w:tcBorders>
            <w:noWrap w:val="0"/>
            <w:vAlign w:val="center"/>
          </w:tcPr>
          <w:p w14:paraId="53BEF73A">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1118" w:type="pct"/>
            <w:tcBorders>
              <w:top w:val="single" w:color="auto" w:sz="4" w:space="0"/>
              <w:left w:val="single" w:color="000000" w:sz="4" w:space="0"/>
              <w:bottom w:val="single" w:color="000000" w:sz="4" w:space="0"/>
              <w:right w:val="single" w:color="000000" w:sz="4" w:space="0"/>
            </w:tcBorders>
            <w:noWrap w:val="0"/>
            <w:vAlign w:val="center"/>
          </w:tcPr>
          <w:p w14:paraId="4C829AFD">
            <w:pPr>
              <w:pStyle w:val="127"/>
              <w:keepNext w:val="0"/>
              <w:keepLines w:val="0"/>
              <w:widowControl/>
              <w:suppressLineNumbers w:val="0"/>
              <w:spacing w:before="0" w:beforeAutospacing="0" w:after="0" w:afterAutospacing="0"/>
              <w:ind w:left="0" w:right="0"/>
              <w:rPr>
                <w:rFonts w:hint="eastAsia"/>
                <w:color w:val="000000"/>
                <w:lang w:eastAsia="zh-CN"/>
              </w:rPr>
            </w:pPr>
            <w:r>
              <w:rPr>
                <w:rFonts w:hint="eastAsia" w:ascii="宋体" w:hAnsi="宋体" w:cs="宋体"/>
                <w:szCs w:val="21"/>
              </w:rPr>
              <w:t>易燃，有毒</w:t>
            </w:r>
          </w:p>
        </w:tc>
      </w:tr>
      <w:tr w14:paraId="0595360F">
        <w:tblPrEx>
          <w:tblCellMar>
            <w:top w:w="0" w:type="dxa"/>
            <w:left w:w="0" w:type="dxa"/>
            <w:bottom w:w="0" w:type="dxa"/>
            <w:right w:w="0" w:type="dxa"/>
          </w:tblCellMar>
        </w:tblPrEx>
        <w:trPr>
          <w:trHeight w:val="397" w:hRule="atLeast"/>
        </w:trPr>
        <w:tc>
          <w:tcPr>
            <w:tcW w:w="284" w:type="pct"/>
            <w:vMerge w:val="restart"/>
            <w:tcBorders>
              <w:top w:val="single" w:color="000000" w:sz="4" w:space="0"/>
              <w:left w:val="single" w:color="000000" w:sz="4" w:space="0"/>
              <w:right w:val="single" w:color="000000" w:sz="4" w:space="0"/>
            </w:tcBorders>
            <w:noWrap w:val="0"/>
            <w:vAlign w:val="center"/>
          </w:tcPr>
          <w:p w14:paraId="5E73712F">
            <w:pPr>
              <w:pStyle w:val="127"/>
              <w:keepNext w:val="0"/>
              <w:keepLines w:val="0"/>
              <w:widowControl/>
              <w:suppressLineNumbers w:val="0"/>
              <w:spacing w:before="0" w:beforeAutospacing="0" w:after="0" w:afterAutospacing="0"/>
              <w:ind w:left="0" w:right="0"/>
              <w:rPr>
                <w:rFonts w:hint="eastAsia" w:eastAsia="宋体" w:cs="Times New Roman"/>
                <w:color w:val="000000"/>
                <w:lang w:eastAsia="zh-CN"/>
              </w:rPr>
            </w:pPr>
            <w:r>
              <w:rPr>
                <w:rFonts w:hint="eastAsia" w:cs="Times New Roman"/>
                <w:color w:val="000000"/>
                <w:lang w:val="en-US" w:eastAsia="zh-CN"/>
              </w:rPr>
              <w:t>2</w:t>
            </w:r>
          </w:p>
        </w:tc>
        <w:tc>
          <w:tcPr>
            <w:tcW w:w="499" w:type="pct"/>
            <w:vMerge w:val="restart"/>
            <w:tcBorders>
              <w:top w:val="single" w:color="000000" w:sz="4" w:space="0"/>
              <w:left w:val="single" w:color="000000" w:sz="4" w:space="0"/>
              <w:right w:val="single" w:color="000000" w:sz="4" w:space="0"/>
            </w:tcBorders>
            <w:noWrap w:val="0"/>
            <w:vAlign w:val="center"/>
          </w:tcPr>
          <w:p w14:paraId="2A565E4E">
            <w:pPr>
              <w:pStyle w:val="127"/>
              <w:keepNext w:val="0"/>
              <w:keepLines w:val="0"/>
              <w:widowControl/>
              <w:suppressLineNumbers w:val="0"/>
              <w:spacing w:before="0" w:beforeAutospacing="0" w:after="0" w:afterAutospacing="0"/>
              <w:ind w:left="0" w:right="0"/>
              <w:rPr>
                <w:rFonts w:hint="default"/>
                <w:color w:val="000000"/>
              </w:rPr>
            </w:pPr>
            <w:r>
              <w:rPr>
                <w:rFonts w:hint="eastAsia"/>
                <w:color w:val="000000"/>
              </w:rPr>
              <w:t>危废暂存</w:t>
            </w:r>
            <w:r>
              <w:rPr>
                <w:rFonts w:hint="eastAsia"/>
                <w:color w:val="000000"/>
                <w:lang w:eastAsia="zh-CN"/>
              </w:rPr>
              <w:t>间</w:t>
            </w:r>
            <w:r>
              <w:rPr>
                <w:rFonts w:hint="eastAsia"/>
                <w:color w:val="000000"/>
              </w:rPr>
              <w:t>库</w:t>
            </w:r>
          </w:p>
        </w:tc>
        <w:tc>
          <w:tcPr>
            <w:tcW w:w="959" w:type="pct"/>
            <w:vMerge w:val="restart"/>
            <w:tcBorders>
              <w:top w:val="single" w:color="000000" w:sz="4" w:space="0"/>
              <w:left w:val="single" w:color="000000" w:sz="4" w:space="0"/>
              <w:right w:val="single" w:color="000000" w:sz="4" w:space="0"/>
            </w:tcBorders>
            <w:noWrap w:val="0"/>
            <w:vAlign w:val="center"/>
          </w:tcPr>
          <w:p w14:paraId="6B82569F">
            <w:pPr>
              <w:pStyle w:val="127"/>
              <w:keepNext w:val="0"/>
              <w:keepLines w:val="0"/>
              <w:widowControl/>
              <w:suppressLineNumbers w:val="0"/>
              <w:spacing w:before="0" w:beforeAutospacing="0" w:after="0" w:afterAutospacing="0"/>
              <w:ind w:left="0" w:right="0"/>
              <w:rPr>
                <w:rFonts w:hint="default"/>
                <w:color w:val="000000"/>
              </w:rPr>
            </w:pPr>
            <w:r>
              <w:rPr>
                <w:rFonts w:hint="eastAsia"/>
                <w:color w:val="000000"/>
              </w:rPr>
              <w:t>危险废物</w:t>
            </w:r>
          </w:p>
        </w:tc>
        <w:tc>
          <w:tcPr>
            <w:tcW w:w="768" w:type="pct"/>
            <w:tcBorders>
              <w:top w:val="single" w:color="000000" w:sz="4" w:space="0"/>
              <w:left w:val="single" w:color="000000" w:sz="4" w:space="0"/>
              <w:bottom w:val="single" w:color="000000" w:sz="4" w:space="0"/>
              <w:right w:val="single" w:color="000000" w:sz="4" w:space="0"/>
            </w:tcBorders>
            <w:noWrap w:val="0"/>
            <w:vAlign w:val="center"/>
          </w:tcPr>
          <w:p w14:paraId="19EAE7E7">
            <w:pPr>
              <w:keepNext w:val="0"/>
              <w:keepLines w:val="0"/>
              <w:suppressLineNumbers w:val="0"/>
              <w:spacing w:before="0" w:beforeAutospacing="0" w:after="0" w:afterAutospacing="0"/>
              <w:ind w:left="0" w:right="0"/>
              <w:jc w:val="center"/>
              <w:rPr>
                <w:rFonts w:hint="default"/>
                <w:color w:val="000000"/>
              </w:rPr>
            </w:pPr>
            <w:r>
              <w:rPr>
                <w:rFonts w:hint="default" w:eastAsia="新宋体"/>
                <w:sz w:val="21"/>
                <w:szCs w:val="21"/>
              </w:rPr>
              <w:t>压滤残渣</w:t>
            </w:r>
          </w:p>
        </w:tc>
        <w:tc>
          <w:tcPr>
            <w:tcW w:w="711" w:type="pct"/>
            <w:vMerge w:val="restart"/>
            <w:tcBorders>
              <w:top w:val="single" w:color="auto" w:sz="4" w:space="0"/>
              <w:left w:val="single" w:color="000000" w:sz="4" w:space="0"/>
              <w:bottom w:val="single" w:color="auto" w:sz="4" w:space="0"/>
              <w:right w:val="single" w:color="000000" w:sz="4" w:space="0"/>
            </w:tcBorders>
            <w:noWrap w:val="0"/>
            <w:vAlign w:val="center"/>
          </w:tcPr>
          <w:p w14:paraId="74DAEED9">
            <w:pPr>
              <w:pStyle w:val="127"/>
              <w:keepNext w:val="0"/>
              <w:keepLines w:val="0"/>
              <w:widowControl/>
              <w:suppressLineNumbers w:val="0"/>
              <w:spacing w:before="0" w:beforeAutospacing="0" w:after="0" w:afterAutospacing="0"/>
              <w:ind w:left="0" w:right="0"/>
              <w:rPr>
                <w:rFonts w:hint="default"/>
                <w:color w:val="000000"/>
              </w:rPr>
            </w:pPr>
            <w:r>
              <w:rPr>
                <w:rFonts w:hint="eastAsia"/>
                <w:color w:val="000000"/>
              </w:rPr>
              <w:t>泄露</w:t>
            </w:r>
          </w:p>
        </w:tc>
        <w:tc>
          <w:tcPr>
            <w:tcW w:w="658" w:type="pct"/>
            <w:vMerge w:val="restart"/>
            <w:tcBorders>
              <w:top w:val="single" w:color="000000" w:sz="4" w:space="0"/>
              <w:left w:val="single" w:color="000000" w:sz="4" w:space="0"/>
              <w:right w:val="single" w:color="000000" w:sz="4" w:space="0"/>
            </w:tcBorders>
            <w:noWrap w:val="0"/>
            <w:vAlign w:val="center"/>
          </w:tcPr>
          <w:p w14:paraId="3CB7E027">
            <w:pPr>
              <w:pStyle w:val="127"/>
              <w:keepNext w:val="0"/>
              <w:keepLines w:val="0"/>
              <w:widowControl/>
              <w:suppressLineNumbers w:val="0"/>
              <w:spacing w:before="0" w:beforeAutospacing="0" w:after="0" w:afterAutospacing="0"/>
              <w:ind w:left="0" w:right="0"/>
              <w:rPr>
                <w:rFonts w:hint="default"/>
                <w:color w:val="000000"/>
              </w:rPr>
            </w:pPr>
            <w:r>
              <w:rPr>
                <w:rFonts w:hint="eastAsia"/>
                <w:color w:val="000000"/>
                <w:lang w:eastAsia="zh-CN"/>
              </w:rPr>
              <w:t>大气、</w:t>
            </w:r>
            <w:r>
              <w:rPr>
                <w:rFonts w:hint="default"/>
                <w:color w:val="000000"/>
              </w:rPr>
              <w:t>土壤、水环境</w:t>
            </w:r>
          </w:p>
        </w:tc>
        <w:tc>
          <w:tcPr>
            <w:tcW w:w="1118" w:type="pct"/>
            <w:tcBorders>
              <w:top w:val="single" w:color="000000" w:sz="4" w:space="0"/>
              <w:left w:val="single" w:color="000000" w:sz="4" w:space="0"/>
              <w:bottom w:val="single" w:color="auto" w:sz="4" w:space="0"/>
              <w:right w:val="single" w:color="000000" w:sz="4" w:space="0"/>
            </w:tcBorders>
            <w:noWrap w:val="0"/>
            <w:vAlign w:val="center"/>
          </w:tcPr>
          <w:p w14:paraId="78F31555">
            <w:pPr>
              <w:pStyle w:val="127"/>
              <w:keepNext w:val="0"/>
              <w:keepLines w:val="0"/>
              <w:widowControl/>
              <w:suppressLineNumbers w:val="0"/>
              <w:spacing w:before="0" w:beforeAutospacing="0" w:after="0" w:afterAutospacing="0"/>
              <w:ind w:left="0" w:right="0"/>
              <w:rPr>
                <w:rFonts w:hint="eastAsia"/>
                <w:color w:val="000000"/>
                <w:lang w:eastAsia="zh-CN"/>
              </w:rPr>
            </w:pPr>
            <w:r>
              <w:rPr>
                <w:rFonts w:hint="eastAsia"/>
                <w:color w:val="000000"/>
                <w:lang w:eastAsia="zh-CN"/>
              </w:rPr>
              <w:t>贮存环境高温，热量积聚可达自燃点</w:t>
            </w:r>
          </w:p>
        </w:tc>
      </w:tr>
      <w:tr w14:paraId="521A61CA">
        <w:tblPrEx>
          <w:tblCellMar>
            <w:top w:w="0" w:type="dxa"/>
            <w:left w:w="0" w:type="dxa"/>
            <w:bottom w:w="0" w:type="dxa"/>
            <w:right w:w="0" w:type="dxa"/>
          </w:tblCellMar>
        </w:tblPrEx>
        <w:trPr>
          <w:trHeight w:val="397" w:hRule="atLeast"/>
        </w:trPr>
        <w:tc>
          <w:tcPr>
            <w:tcW w:w="284" w:type="pct"/>
            <w:vMerge w:val="continue"/>
            <w:tcBorders>
              <w:left w:val="single" w:color="000000" w:sz="4" w:space="0"/>
              <w:right w:val="single" w:color="000000" w:sz="4" w:space="0"/>
            </w:tcBorders>
            <w:noWrap w:val="0"/>
            <w:vAlign w:val="center"/>
          </w:tcPr>
          <w:p w14:paraId="699C957B">
            <w:pPr>
              <w:pStyle w:val="127"/>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499" w:type="pct"/>
            <w:vMerge w:val="continue"/>
            <w:tcBorders>
              <w:left w:val="single" w:color="000000" w:sz="4" w:space="0"/>
              <w:right w:val="single" w:color="000000" w:sz="4" w:space="0"/>
            </w:tcBorders>
            <w:noWrap w:val="0"/>
            <w:vAlign w:val="center"/>
          </w:tcPr>
          <w:p w14:paraId="451A8D56">
            <w:pPr>
              <w:pStyle w:val="127"/>
              <w:keepNext w:val="0"/>
              <w:keepLines w:val="0"/>
              <w:widowControl/>
              <w:suppressLineNumbers w:val="0"/>
              <w:spacing w:before="0" w:beforeAutospacing="0" w:after="0" w:afterAutospacing="0"/>
              <w:ind w:left="0" w:right="0"/>
              <w:rPr>
                <w:rFonts w:hint="eastAsia"/>
                <w:color w:val="000000"/>
              </w:rPr>
            </w:pPr>
          </w:p>
        </w:tc>
        <w:tc>
          <w:tcPr>
            <w:tcW w:w="959" w:type="pct"/>
            <w:vMerge w:val="continue"/>
            <w:tcBorders>
              <w:left w:val="single" w:color="000000" w:sz="4" w:space="0"/>
              <w:right w:val="single" w:color="000000" w:sz="4" w:space="0"/>
            </w:tcBorders>
            <w:noWrap w:val="0"/>
            <w:vAlign w:val="center"/>
          </w:tcPr>
          <w:p w14:paraId="306B18AA">
            <w:pPr>
              <w:pStyle w:val="127"/>
              <w:keepNext w:val="0"/>
              <w:keepLines w:val="0"/>
              <w:widowControl/>
              <w:suppressLineNumbers w:val="0"/>
              <w:spacing w:before="0" w:beforeAutospacing="0" w:after="0" w:afterAutospacing="0"/>
              <w:ind w:left="0" w:right="0"/>
              <w:rPr>
                <w:rFonts w:hint="eastAsia"/>
                <w:color w:val="000000"/>
              </w:rPr>
            </w:pPr>
          </w:p>
        </w:tc>
        <w:tc>
          <w:tcPr>
            <w:tcW w:w="768" w:type="pct"/>
            <w:tcBorders>
              <w:top w:val="single" w:color="000000" w:sz="4" w:space="0"/>
              <w:left w:val="single" w:color="000000" w:sz="4" w:space="0"/>
              <w:bottom w:val="single" w:color="000000" w:sz="4" w:space="0"/>
              <w:right w:val="single" w:color="000000" w:sz="4" w:space="0"/>
            </w:tcBorders>
            <w:noWrap w:val="0"/>
            <w:vAlign w:val="center"/>
          </w:tcPr>
          <w:p w14:paraId="144A0131">
            <w:pPr>
              <w:keepNext w:val="0"/>
              <w:keepLines w:val="0"/>
              <w:suppressLineNumbers w:val="0"/>
              <w:spacing w:before="0" w:beforeAutospacing="0" w:after="0" w:afterAutospacing="0"/>
              <w:ind w:left="0" w:right="0"/>
              <w:jc w:val="center"/>
              <w:rPr>
                <w:rFonts w:hint="eastAsia"/>
                <w:color w:val="000000"/>
              </w:rPr>
            </w:pPr>
            <w:r>
              <w:rPr>
                <w:rFonts w:hint="default" w:eastAsia="新宋体"/>
                <w:sz w:val="21"/>
                <w:szCs w:val="21"/>
              </w:rPr>
              <w:t>冷凝残渣</w:t>
            </w:r>
          </w:p>
        </w:tc>
        <w:tc>
          <w:tcPr>
            <w:tcW w:w="711" w:type="pct"/>
            <w:vMerge w:val="continue"/>
            <w:tcBorders>
              <w:top w:val="single" w:color="auto" w:sz="4" w:space="0"/>
              <w:left w:val="single" w:color="000000" w:sz="4" w:space="0"/>
              <w:bottom w:val="single" w:color="auto" w:sz="4" w:space="0"/>
              <w:right w:val="single" w:color="000000" w:sz="4" w:space="0"/>
            </w:tcBorders>
            <w:noWrap w:val="0"/>
            <w:vAlign w:val="center"/>
          </w:tcPr>
          <w:p w14:paraId="680C9BEF">
            <w:pPr>
              <w:pStyle w:val="127"/>
              <w:keepNext w:val="0"/>
              <w:keepLines w:val="0"/>
              <w:widowControl/>
              <w:suppressLineNumbers w:val="0"/>
              <w:spacing w:before="0" w:beforeAutospacing="0" w:after="0" w:afterAutospacing="0"/>
              <w:ind w:left="0" w:right="0"/>
              <w:rPr>
                <w:rFonts w:hint="eastAsia"/>
                <w:color w:val="000000"/>
              </w:rPr>
            </w:pPr>
          </w:p>
        </w:tc>
        <w:tc>
          <w:tcPr>
            <w:tcW w:w="658" w:type="pct"/>
            <w:vMerge w:val="continue"/>
            <w:tcBorders>
              <w:left w:val="single" w:color="000000" w:sz="4" w:space="0"/>
              <w:right w:val="single" w:color="000000" w:sz="4" w:space="0"/>
            </w:tcBorders>
            <w:noWrap w:val="0"/>
            <w:vAlign w:val="center"/>
          </w:tcPr>
          <w:p w14:paraId="5B141A3B">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1118" w:type="pct"/>
            <w:tcBorders>
              <w:top w:val="single" w:color="auto" w:sz="4" w:space="0"/>
              <w:left w:val="single" w:color="000000" w:sz="4" w:space="0"/>
              <w:bottom w:val="single" w:color="auto" w:sz="4" w:space="0"/>
              <w:right w:val="single" w:color="000000" w:sz="4" w:space="0"/>
            </w:tcBorders>
            <w:noWrap w:val="0"/>
            <w:vAlign w:val="center"/>
          </w:tcPr>
          <w:p w14:paraId="2377AB55">
            <w:pPr>
              <w:pStyle w:val="127"/>
              <w:keepNext w:val="0"/>
              <w:keepLines w:val="0"/>
              <w:widowControl/>
              <w:suppressLineNumbers w:val="0"/>
              <w:spacing w:before="0" w:beforeAutospacing="0" w:after="0" w:afterAutospacing="0"/>
              <w:ind w:left="0" w:right="0"/>
              <w:rPr>
                <w:rFonts w:hint="eastAsia"/>
                <w:color w:val="000000"/>
                <w:lang w:eastAsia="zh-CN"/>
              </w:rPr>
            </w:pPr>
            <w:r>
              <w:rPr>
                <w:rFonts w:hint="eastAsia"/>
                <w:color w:val="000000"/>
                <w:lang w:eastAsia="zh-CN"/>
              </w:rPr>
              <w:t>反应失控和操作不当</w:t>
            </w:r>
          </w:p>
        </w:tc>
      </w:tr>
      <w:tr w14:paraId="09455A4C">
        <w:tblPrEx>
          <w:tblCellMar>
            <w:top w:w="0" w:type="dxa"/>
            <w:left w:w="0" w:type="dxa"/>
            <w:bottom w:w="0" w:type="dxa"/>
            <w:right w:w="0" w:type="dxa"/>
          </w:tblCellMar>
        </w:tblPrEx>
        <w:trPr>
          <w:trHeight w:val="391" w:hRule="atLeast"/>
        </w:trPr>
        <w:tc>
          <w:tcPr>
            <w:tcW w:w="284" w:type="pct"/>
            <w:vMerge w:val="continue"/>
            <w:tcBorders>
              <w:left w:val="single" w:color="000000" w:sz="4" w:space="0"/>
              <w:right w:val="single" w:color="000000" w:sz="4" w:space="0"/>
            </w:tcBorders>
            <w:noWrap w:val="0"/>
            <w:vAlign w:val="center"/>
          </w:tcPr>
          <w:p w14:paraId="1137E518">
            <w:pPr>
              <w:pStyle w:val="127"/>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499" w:type="pct"/>
            <w:vMerge w:val="continue"/>
            <w:tcBorders>
              <w:left w:val="single" w:color="000000" w:sz="4" w:space="0"/>
              <w:right w:val="single" w:color="000000" w:sz="4" w:space="0"/>
            </w:tcBorders>
            <w:noWrap w:val="0"/>
            <w:vAlign w:val="center"/>
          </w:tcPr>
          <w:p w14:paraId="32FFCB16">
            <w:pPr>
              <w:pStyle w:val="127"/>
              <w:keepNext w:val="0"/>
              <w:keepLines w:val="0"/>
              <w:widowControl/>
              <w:suppressLineNumbers w:val="0"/>
              <w:spacing w:before="0" w:beforeAutospacing="0" w:after="0" w:afterAutospacing="0"/>
              <w:ind w:left="0" w:right="0"/>
              <w:rPr>
                <w:rFonts w:hint="eastAsia"/>
                <w:color w:val="000000"/>
              </w:rPr>
            </w:pPr>
          </w:p>
        </w:tc>
        <w:tc>
          <w:tcPr>
            <w:tcW w:w="959" w:type="pct"/>
            <w:vMerge w:val="continue"/>
            <w:tcBorders>
              <w:left w:val="single" w:color="000000" w:sz="4" w:space="0"/>
              <w:right w:val="single" w:color="000000" w:sz="4" w:space="0"/>
            </w:tcBorders>
            <w:noWrap w:val="0"/>
            <w:vAlign w:val="center"/>
          </w:tcPr>
          <w:p w14:paraId="1AE92BD3">
            <w:pPr>
              <w:pStyle w:val="127"/>
              <w:keepNext w:val="0"/>
              <w:keepLines w:val="0"/>
              <w:widowControl/>
              <w:suppressLineNumbers w:val="0"/>
              <w:spacing w:before="0" w:beforeAutospacing="0" w:after="0" w:afterAutospacing="0"/>
              <w:ind w:left="0" w:right="0"/>
              <w:rPr>
                <w:rFonts w:hint="eastAsia"/>
                <w:color w:val="000000"/>
              </w:rPr>
            </w:pPr>
          </w:p>
        </w:tc>
        <w:tc>
          <w:tcPr>
            <w:tcW w:w="768" w:type="pct"/>
            <w:tcBorders>
              <w:top w:val="single" w:color="000000" w:sz="4" w:space="0"/>
              <w:left w:val="single" w:color="000000" w:sz="4" w:space="0"/>
              <w:bottom w:val="single" w:color="000000" w:sz="4" w:space="0"/>
              <w:right w:val="single" w:color="000000" w:sz="4" w:space="0"/>
            </w:tcBorders>
            <w:noWrap w:val="0"/>
            <w:vAlign w:val="center"/>
          </w:tcPr>
          <w:p w14:paraId="0EFA20C2">
            <w:pPr>
              <w:keepNext w:val="0"/>
              <w:keepLines w:val="0"/>
              <w:suppressLineNumbers w:val="0"/>
              <w:spacing w:before="0" w:beforeAutospacing="0" w:after="0" w:afterAutospacing="0"/>
              <w:ind w:left="0" w:right="0"/>
              <w:jc w:val="center"/>
              <w:rPr>
                <w:rFonts w:hint="eastAsia"/>
                <w:color w:val="000000"/>
                <w:lang w:eastAsia="zh-CN"/>
              </w:rPr>
            </w:pPr>
            <w:r>
              <w:rPr>
                <w:rFonts w:hint="eastAsia" w:eastAsia="新宋体"/>
                <w:sz w:val="21"/>
                <w:szCs w:val="21"/>
                <w:lang w:eastAsia="zh-CN"/>
              </w:rPr>
              <w:t>浓缩残渣</w:t>
            </w:r>
          </w:p>
        </w:tc>
        <w:tc>
          <w:tcPr>
            <w:tcW w:w="711" w:type="pct"/>
            <w:vMerge w:val="continue"/>
            <w:tcBorders>
              <w:top w:val="single" w:color="auto" w:sz="4" w:space="0"/>
              <w:left w:val="single" w:color="000000" w:sz="4" w:space="0"/>
              <w:bottom w:val="single" w:color="auto" w:sz="4" w:space="0"/>
              <w:right w:val="single" w:color="000000" w:sz="4" w:space="0"/>
            </w:tcBorders>
            <w:noWrap w:val="0"/>
            <w:vAlign w:val="center"/>
          </w:tcPr>
          <w:p w14:paraId="095F4D0B">
            <w:pPr>
              <w:pStyle w:val="127"/>
              <w:keepNext w:val="0"/>
              <w:keepLines w:val="0"/>
              <w:widowControl/>
              <w:suppressLineNumbers w:val="0"/>
              <w:spacing w:before="0" w:beforeAutospacing="0" w:after="0" w:afterAutospacing="0"/>
              <w:ind w:left="0" w:right="0"/>
              <w:rPr>
                <w:rFonts w:hint="eastAsia"/>
                <w:color w:val="000000"/>
              </w:rPr>
            </w:pPr>
          </w:p>
        </w:tc>
        <w:tc>
          <w:tcPr>
            <w:tcW w:w="658" w:type="pct"/>
            <w:vMerge w:val="continue"/>
            <w:tcBorders>
              <w:left w:val="single" w:color="000000" w:sz="4" w:space="0"/>
              <w:right w:val="single" w:color="000000" w:sz="4" w:space="0"/>
            </w:tcBorders>
            <w:noWrap w:val="0"/>
            <w:vAlign w:val="center"/>
          </w:tcPr>
          <w:p w14:paraId="68FEAF74">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1118" w:type="pct"/>
            <w:tcBorders>
              <w:top w:val="single" w:color="auto" w:sz="4" w:space="0"/>
              <w:left w:val="single" w:color="000000" w:sz="4" w:space="0"/>
              <w:bottom w:val="single" w:color="auto" w:sz="4" w:space="0"/>
              <w:right w:val="single" w:color="000000" w:sz="4" w:space="0"/>
            </w:tcBorders>
            <w:noWrap w:val="0"/>
            <w:vAlign w:val="center"/>
          </w:tcPr>
          <w:p w14:paraId="2B4993C1">
            <w:pPr>
              <w:pStyle w:val="127"/>
              <w:keepNext w:val="0"/>
              <w:keepLines w:val="0"/>
              <w:widowControl/>
              <w:suppressLineNumbers w:val="0"/>
              <w:spacing w:before="0" w:beforeAutospacing="0" w:after="0" w:afterAutospacing="0"/>
              <w:ind w:left="0" w:right="0"/>
              <w:rPr>
                <w:rFonts w:hint="eastAsia"/>
                <w:color w:val="000000"/>
                <w:lang w:eastAsia="zh-CN"/>
              </w:rPr>
            </w:pPr>
            <w:r>
              <w:rPr>
                <w:rFonts w:hint="eastAsia"/>
                <w:color w:val="000000"/>
                <w:lang w:eastAsia="zh-CN"/>
              </w:rPr>
              <w:t>遇明火、切割火花等</w:t>
            </w:r>
          </w:p>
        </w:tc>
      </w:tr>
      <w:tr w14:paraId="235B3AEE">
        <w:tblPrEx>
          <w:tblCellMar>
            <w:top w:w="0" w:type="dxa"/>
            <w:left w:w="0" w:type="dxa"/>
            <w:bottom w:w="0" w:type="dxa"/>
            <w:right w:w="0" w:type="dxa"/>
          </w:tblCellMar>
        </w:tblPrEx>
        <w:trPr>
          <w:trHeight w:val="397" w:hRule="atLeast"/>
        </w:trPr>
        <w:tc>
          <w:tcPr>
            <w:tcW w:w="284" w:type="pct"/>
            <w:vMerge w:val="continue"/>
            <w:tcBorders>
              <w:left w:val="single" w:color="000000" w:sz="4" w:space="0"/>
              <w:bottom w:val="single" w:color="000000" w:sz="4" w:space="0"/>
              <w:right w:val="single" w:color="000000" w:sz="4" w:space="0"/>
            </w:tcBorders>
            <w:noWrap w:val="0"/>
            <w:vAlign w:val="center"/>
          </w:tcPr>
          <w:p w14:paraId="221D16A5">
            <w:pPr>
              <w:pStyle w:val="127"/>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499" w:type="pct"/>
            <w:vMerge w:val="continue"/>
            <w:tcBorders>
              <w:left w:val="single" w:color="000000" w:sz="4" w:space="0"/>
              <w:bottom w:val="single" w:color="000000" w:sz="4" w:space="0"/>
              <w:right w:val="single" w:color="000000" w:sz="4" w:space="0"/>
            </w:tcBorders>
            <w:noWrap w:val="0"/>
            <w:vAlign w:val="center"/>
          </w:tcPr>
          <w:p w14:paraId="7AB74C52">
            <w:pPr>
              <w:pStyle w:val="127"/>
              <w:keepNext w:val="0"/>
              <w:keepLines w:val="0"/>
              <w:widowControl/>
              <w:suppressLineNumbers w:val="0"/>
              <w:spacing w:before="0" w:beforeAutospacing="0" w:after="0" w:afterAutospacing="0"/>
              <w:ind w:left="0" w:right="0"/>
              <w:rPr>
                <w:rFonts w:hint="eastAsia"/>
                <w:color w:val="000000"/>
              </w:rPr>
            </w:pPr>
          </w:p>
        </w:tc>
        <w:tc>
          <w:tcPr>
            <w:tcW w:w="959" w:type="pct"/>
            <w:vMerge w:val="continue"/>
            <w:tcBorders>
              <w:left w:val="single" w:color="000000" w:sz="4" w:space="0"/>
              <w:bottom w:val="single" w:color="000000" w:sz="4" w:space="0"/>
              <w:right w:val="single" w:color="000000" w:sz="4" w:space="0"/>
            </w:tcBorders>
            <w:noWrap w:val="0"/>
            <w:vAlign w:val="center"/>
          </w:tcPr>
          <w:p w14:paraId="32B8C0F2">
            <w:pPr>
              <w:pStyle w:val="127"/>
              <w:keepNext w:val="0"/>
              <w:keepLines w:val="0"/>
              <w:widowControl/>
              <w:suppressLineNumbers w:val="0"/>
              <w:spacing w:before="0" w:beforeAutospacing="0" w:after="0" w:afterAutospacing="0"/>
              <w:ind w:left="0" w:right="0"/>
              <w:rPr>
                <w:rFonts w:hint="eastAsia"/>
                <w:color w:val="000000"/>
              </w:rPr>
            </w:pPr>
          </w:p>
        </w:tc>
        <w:tc>
          <w:tcPr>
            <w:tcW w:w="768" w:type="pct"/>
            <w:tcBorders>
              <w:top w:val="single" w:color="000000" w:sz="4" w:space="0"/>
              <w:left w:val="single" w:color="000000" w:sz="4" w:space="0"/>
              <w:bottom w:val="single" w:color="000000" w:sz="4" w:space="0"/>
              <w:right w:val="single" w:color="000000" w:sz="4" w:space="0"/>
            </w:tcBorders>
            <w:noWrap w:val="0"/>
            <w:vAlign w:val="center"/>
          </w:tcPr>
          <w:p w14:paraId="66BCD507">
            <w:pPr>
              <w:keepNext w:val="0"/>
              <w:keepLines w:val="0"/>
              <w:suppressLineNumbers w:val="0"/>
              <w:spacing w:before="0" w:beforeAutospacing="0" w:after="0" w:afterAutospacing="0"/>
              <w:ind w:left="0" w:right="0"/>
              <w:jc w:val="center"/>
              <w:rPr>
                <w:rStyle w:val="35"/>
                <w:rFonts w:hint="eastAsia" w:ascii="Times New Roman" w:hAnsi="Times New Roman" w:eastAsia="宋体" w:cs="Times New Roman"/>
                <w:color w:val="000000"/>
                <w:kern w:val="2"/>
                <w:sz w:val="21"/>
                <w:szCs w:val="20"/>
                <w:lang w:val="en-US" w:eastAsia="zh-CN" w:bidi="ar-SA"/>
              </w:rPr>
            </w:pPr>
            <w:r>
              <w:rPr>
                <w:rFonts w:hint="eastAsia" w:eastAsia="新宋体"/>
                <w:sz w:val="21"/>
                <w:szCs w:val="21"/>
                <w:lang w:eastAsia="zh-CN"/>
              </w:rPr>
              <w:t>废酸</w:t>
            </w:r>
          </w:p>
        </w:tc>
        <w:tc>
          <w:tcPr>
            <w:tcW w:w="711" w:type="pct"/>
            <w:vMerge w:val="continue"/>
            <w:tcBorders>
              <w:top w:val="single" w:color="auto" w:sz="4" w:space="0"/>
              <w:left w:val="single" w:color="000000" w:sz="4" w:space="0"/>
              <w:bottom w:val="single" w:color="auto" w:sz="4" w:space="0"/>
              <w:right w:val="single" w:color="000000" w:sz="4" w:space="0"/>
            </w:tcBorders>
            <w:noWrap w:val="0"/>
            <w:vAlign w:val="center"/>
          </w:tcPr>
          <w:p w14:paraId="54F6E5D3">
            <w:pPr>
              <w:pStyle w:val="127"/>
              <w:keepNext w:val="0"/>
              <w:keepLines w:val="0"/>
              <w:widowControl/>
              <w:suppressLineNumbers w:val="0"/>
              <w:spacing w:before="0" w:beforeAutospacing="0" w:after="0" w:afterAutospacing="0"/>
              <w:ind w:left="0" w:right="0"/>
              <w:rPr>
                <w:rFonts w:hint="eastAsia"/>
                <w:color w:val="000000"/>
              </w:rPr>
            </w:pPr>
          </w:p>
        </w:tc>
        <w:tc>
          <w:tcPr>
            <w:tcW w:w="658" w:type="pct"/>
            <w:vMerge w:val="continue"/>
            <w:tcBorders>
              <w:left w:val="single" w:color="000000" w:sz="4" w:space="0"/>
              <w:bottom w:val="single" w:color="000000" w:sz="4" w:space="0"/>
              <w:right w:val="single" w:color="000000" w:sz="4" w:space="0"/>
            </w:tcBorders>
            <w:noWrap w:val="0"/>
            <w:vAlign w:val="center"/>
          </w:tcPr>
          <w:p w14:paraId="0A848A86">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1118" w:type="pct"/>
            <w:tcBorders>
              <w:top w:val="single" w:color="auto" w:sz="4" w:space="0"/>
              <w:left w:val="single" w:color="000000" w:sz="4" w:space="0"/>
              <w:bottom w:val="single" w:color="000000" w:sz="4" w:space="0"/>
              <w:right w:val="single" w:color="auto" w:sz="4" w:space="0"/>
            </w:tcBorders>
            <w:noWrap w:val="0"/>
            <w:vAlign w:val="center"/>
          </w:tcPr>
          <w:p w14:paraId="02477000">
            <w:pPr>
              <w:pStyle w:val="127"/>
              <w:keepNext w:val="0"/>
              <w:keepLines w:val="0"/>
              <w:widowControl/>
              <w:suppressLineNumbers w:val="0"/>
              <w:spacing w:before="0" w:beforeAutospacing="0" w:after="0" w:afterAutospacing="0"/>
              <w:ind w:left="0" w:right="0"/>
              <w:rPr>
                <w:rFonts w:hint="eastAsia"/>
                <w:color w:val="000000"/>
                <w:lang w:eastAsia="zh-CN"/>
              </w:rPr>
            </w:pPr>
            <w:r>
              <w:rPr>
                <w:rFonts w:hint="eastAsia"/>
                <w:color w:val="000000"/>
                <w:lang w:eastAsia="zh-CN"/>
              </w:rPr>
              <w:t>遇明火、切割火花等</w:t>
            </w:r>
          </w:p>
        </w:tc>
      </w:tr>
      <w:tr w14:paraId="7A1BC4C1">
        <w:tblPrEx>
          <w:tblCellMar>
            <w:top w:w="0" w:type="dxa"/>
            <w:left w:w="0" w:type="dxa"/>
            <w:bottom w:w="0" w:type="dxa"/>
            <w:right w:w="0" w:type="dxa"/>
          </w:tblCellMar>
        </w:tblPrEx>
        <w:trPr>
          <w:trHeight w:val="397" w:hRule="atLeast"/>
        </w:trPr>
        <w:tc>
          <w:tcPr>
            <w:tcW w:w="284" w:type="pct"/>
            <w:vMerge w:val="continue"/>
            <w:tcBorders>
              <w:left w:val="single" w:color="000000" w:sz="4" w:space="0"/>
              <w:bottom w:val="single" w:color="000000" w:sz="4" w:space="0"/>
              <w:right w:val="single" w:color="000000" w:sz="4" w:space="0"/>
            </w:tcBorders>
            <w:noWrap w:val="0"/>
            <w:vAlign w:val="center"/>
          </w:tcPr>
          <w:p w14:paraId="3355A867">
            <w:pPr>
              <w:pStyle w:val="127"/>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499" w:type="pct"/>
            <w:vMerge w:val="continue"/>
            <w:tcBorders>
              <w:left w:val="single" w:color="000000" w:sz="4" w:space="0"/>
              <w:bottom w:val="single" w:color="000000" w:sz="4" w:space="0"/>
              <w:right w:val="single" w:color="000000" w:sz="4" w:space="0"/>
            </w:tcBorders>
            <w:noWrap w:val="0"/>
            <w:vAlign w:val="center"/>
          </w:tcPr>
          <w:p w14:paraId="6A0AC16D">
            <w:pPr>
              <w:pStyle w:val="127"/>
              <w:keepNext w:val="0"/>
              <w:keepLines w:val="0"/>
              <w:widowControl/>
              <w:suppressLineNumbers w:val="0"/>
              <w:spacing w:before="0" w:beforeAutospacing="0" w:after="0" w:afterAutospacing="0"/>
              <w:ind w:left="0" w:right="0"/>
              <w:rPr>
                <w:rFonts w:hint="eastAsia"/>
                <w:color w:val="000000"/>
              </w:rPr>
            </w:pPr>
          </w:p>
        </w:tc>
        <w:tc>
          <w:tcPr>
            <w:tcW w:w="959" w:type="pct"/>
            <w:vMerge w:val="continue"/>
            <w:tcBorders>
              <w:left w:val="single" w:color="000000" w:sz="4" w:space="0"/>
              <w:bottom w:val="single" w:color="000000" w:sz="4" w:space="0"/>
              <w:right w:val="single" w:color="000000" w:sz="4" w:space="0"/>
            </w:tcBorders>
            <w:noWrap w:val="0"/>
            <w:vAlign w:val="center"/>
          </w:tcPr>
          <w:p w14:paraId="2890CD89">
            <w:pPr>
              <w:pStyle w:val="127"/>
              <w:keepNext w:val="0"/>
              <w:keepLines w:val="0"/>
              <w:widowControl/>
              <w:suppressLineNumbers w:val="0"/>
              <w:spacing w:before="0" w:beforeAutospacing="0" w:after="0" w:afterAutospacing="0"/>
              <w:ind w:left="0" w:right="0"/>
              <w:rPr>
                <w:rFonts w:hint="eastAsia"/>
                <w:color w:val="000000"/>
              </w:rPr>
            </w:pPr>
          </w:p>
        </w:tc>
        <w:tc>
          <w:tcPr>
            <w:tcW w:w="768" w:type="pct"/>
            <w:tcBorders>
              <w:top w:val="single" w:color="000000" w:sz="4" w:space="0"/>
              <w:left w:val="single" w:color="000000" w:sz="4" w:space="0"/>
              <w:bottom w:val="single" w:color="000000" w:sz="4" w:space="0"/>
              <w:right w:val="single" w:color="000000" w:sz="4" w:space="0"/>
            </w:tcBorders>
            <w:noWrap w:val="0"/>
            <w:vAlign w:val="center"/>
          </w:tcPr>
          <w:p w14:paraId="30F18169">
            <w:pPr>
              <w:keepNext w:val="0"/>
              <w:keepLines w:val="0"/>
              <w:suppressLineNumbers w:val="0"/>
              <w:spacing w:before="0" w:beforeAutospacing="0" w:after="0" w:afterAutospacing="0"/>
              <w:ind w:left="0" w:right="0"/>
              <w:jc w:val="center"/>
              <w:rPr>
                <w:rStyle w:val="35"/>
                <w:rFonts w:hint="eastAsia" w:ascii="Times New Roman" w:hAnsi="Times New Roman" w:eastAsia="宋体" w:cs="Times New Roman"/>
                <w:color w:val="000000"/>
                <w:kern w:val="2"/>
                <w:sz w:val="21"/>
                <w:szCs w:val="20"/>
                <w:lang w:val="en-US" w:eastAsia="zh-CN" w:bidi="ar-SA"/>
              </w:rPr>
            </w:pPr>
            <w:r>
              <w:rPr>
                <w:rFonts w:hint="default" w:eastAsia="新宋体"/>
                <w:sz w:val="21"/>
                <w:szCs w:val="21"/>
              </w:rPr>
              <w:t>压滤残渣</w:t>
            </w:r>
          </w:p>
        </w:tc>
        <w:tc>
          <w:tcPr>
            <w:tcW w:w="711" w:type="pct"/>
            <w:vMerge w:val="continue"/>
            <w:tcBorders>
              <w:top w:val="single" w:color="auto" w:sz="4" w:space="0"/>
              <w:left w:val="single" w:color="000000" w:sz="4" w:space="0"/>
              <w:bottom w:val="single" w:color="auto" w:sz="4" w:space="0"/>
              <w:right w:val="single" w:color="000000" w:sz="4" w:space="0"/>
            </w:tcBorders>
            <w:noWrap w:val="0"/>
            <w:vAlign w:val="center"/>
          </w:tcPr>
          <w:p w14:paraId="23AA5651">
            <w:pPr>
              <w:pStyle w:val="127"/>
              <w:keepNext w:val="0"/>
              <w:keepLines w:val="0"/>
              <w:widowControl/>
              <w:suppressLineNumbers w:val="0"/>
              <w:spacing w:before="0" w:beforeAutospacing="0" w:after="0" w:afterAutospacing="0"/>
              <w:ind w:left="0" w:right="0"/>
              <w:rPr>
                <w:rFonts w:hint="eastAsia"/>
                <w:color w:val="000000"/>
              </w:rPr>
            </w:pPr>
          </w:p>
        </w:tc>
        <w:tc>
          <w:tcPr>
            <w:tcW w:w="658" w:type="pct"/>
            <w:vMerge w:val="continue"/>
            <w:tcBorders>
              <w:left w:val="single" w:color="000000" w:sz="4" w:space="0"/>
              <w:bottom w:val="single" w:color="000000" w:sz="4" w:space="0"/>
              <w:right w:val="single" w:color="000000" w:sz="4" w:space="0"/>
            </w:tcBorders>
            <w:noWrap w:val="0"/>
            <w:vAlign w:val="center"/>
          </w:tcPr>
          <w:p w14:paraId="2B1A1C2F">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1118" w:type="pct"/>
            <w:tcBorders>
              <w:top w:val="single" w:color="auto" w:sz="4" w:space="0"/>
              <w:left w:val="single" w:color="000000" w:sz="4" w:space="0"/>
              <w:bottom w:val="single" w:color="000000" w:sz="4" w:space="0"/>
              <w:right w:val="single" w:color="auto" w:sz="4" w:space="0"/>
            </w:tcBorders>
            <w:noWrap w:val="0"/>
            <w:vAlign w:val="center"/>
          </w:tcPr>
          <w:p w14:paraId="21FAA357">
            <w:pPr>
              <w:pStyle w:val="127"/>
              <w:keepNext w:val="0"/>
              <w:keepLines w:val="0"/>
              <w:widowControl/>
              <w:suppressLineNumbers w:val="0"/>
              <w:spacing w:before="0" w:beforeAutospacing="0" w:after="0" w:afterAutospacing="0"/>
              <w:ind w:left="0" w:right="0"/>
              <w:rPr>
                <w:rFonts w:hint="eastAsia"/>
                <w:color w:val="000000"/>
                <w:lang w:eastAsia="zh-CN"/>
              </w:rPr>
            </w:pPr>
            <w:r>
              <w:rPr>
                <w:rFonts w:hint="eastAsia"/>
                <w:color w:val="000000"/>
                <w:lang w:eastAsia="zh-CN"/>
              </w:rPr>
              <w:t>贮存环境高温，热量积聚可达自燃点</w:t>
            </w:r>
          </w:p>
        </w:tc>
      </w:tr>
      <w:tr w14:paraId="7F5B8258">
        <w:tblPrEx>
          <w:tblCellMar>
            <w:top w:w="0" w:type="dxa"/>
            <w:left w:w="0" w:type="dxa"/>
            <w:bottom w:w="0" w:type="dxa"/>
            <w:right w:w="0" w:type="dxa"/>
          </w:tblCellMar>
        </w:tblPrEx>
        <w:trPr>
          <w:trHeight w:val="397" w:hRule="atLeast"/>
        </w:trPr>
        <w:tc>
          <w:tcPr>
            <w:tcW w:w="284" w:type="pct"/>
            <w:vMerge w:val="continue"/>
            <w:tcBorders>
              <w:left w:val="single" w:color="000000" w:sz="4" w:space="0"/>
              <w:bottom w:val="single" w:color="000000" w:sz="4" w:space="0"/>
              <w:right w:val="single" w:color="000000" w:sz="4" w:space="0"/>
            </w:tcBorders>
            <w:noWrap w:val="0"/>
            <w:vAlign w:val="center"/>
          </w:tcPr>
          <w:p w14:paraId="47142455">
            <w:pPr>
              <w:pStyle w:val="127"/>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499" w:type="pct"/>
            <w:vMerge w:val="continue"/>
            <w:tcBorders>
              <w:left w:val="single" w:color="000000" w:sz="4" w:space="0"/>
              <w:bottom w:val="single" w:color="000000" w:sz="4" w:space="0"/>
              <w:right w:val="single" w:color="000000" w:sz="4" w:space="0"/>
            </w:tcBorders>
            <w:noWrap w:val="0"/>
            <w:vAlign w:val="center"/>
          </w:tcPr>
          <w:p w14:paraId="5BC80A26">
            <w:pPr>
              <w:pStyle w:val="127"/>
              <w:keepNext w:val="0"/>
              <w:keepLines w:val="0"/>
              <w:widowControl/>
              <w:suppressLineNumbers w:val="0"/>
              <w:spacing w:before="0" w:beforeAutospacing="0" w:after="0" w:afterAutospacing="0"/>
              <w:ind w:left="0" w:right="0"/>
              <w:rPr>
                <w:rFonts w:hint="eastAsia"/>
                <w:color w:val="000000"/>
              </w:rPr>
            </w:pPr>
          </w:p>
        </w:tc>
        <w:tc>
          <w:tcPr>
            <w:tcW w:w="959" w:type="pct"/>
            <w:vMerge w:val="continue"/>
            <w:tcBorders>
              <w:left w:val="single" w:color="000000" w:sz="4" w:space="0"/>
              <w:bottom w:val="single" w:color="000000" w:sz="4" w:space="0"/>
              <w:right w:val="single" w:color="000000" w:sz="4" w:space="0"/>
            </w:tcBorders>
            <w:noWrap w:val="0"/>
            <w:vAlign w:val="center"/>
          </w:tcPr>
          <w:p w14:paraId="5CB55950">
            <w:pPr>
              <w:pStyle w:val="127"/>
              <w:keepNext w:val="0"/>
              <w:keepLines w:val="0"/>
              <w:widowControl/>
              <w:suppressLineNumbers w:val="0"/>
              <w:spacing w:before="0" w:beforeAutospacing="0" w:after="0" w:afterAutospacing="0"/>
              <w:ind w:left="0" w:right="0"/>
              <w:rPr>
                <w:rFonts w:hint="eastAsia"/>
                <w:color w:val="000000"/>
              </w:rPr>
            </w:pPr>
          </w:p>
        </w:tc>
        <w:tc>
          <w:tcPr>
            <w:tcW w:w="768" w:type="pct"/>
            <w:tcBorders>
              <w:top w:val="single" w:color="000000" w:sz="4" w:space="0"/>
              <w:left w:val="single" w:color="000000" w:sz="4" w:space="0"/>
              <w:bottom w:val="single" w:color="000000" w:sz="4" w:space="0"/>
              <w:right w:val="single" w:color="000000" w:sz="4" w:space="0"/>
            </w:tcBorders>
            <w:noWrap w:val="0"/>
            <w:vAlign w:val="center"/>
          </w:tcPr>
          <w:p w14:paraId="1ABAC3C8">
            <w:pPr>
              <w:keepNext w:val="0"/>
              <w:keepLines w:val="0"/>
              <w:suppressLineNumbers w:val="0"/>
              <w:spacing w:before="0" w:beforeAutospacing="0" w:after="0" w:afterAutospacing="0" w:line="240" w:lineRule="auto"/>
              <w:ind w:left="0" w:leftChars="0" w:right="0" w:rightChars="0" w:firstLine="0" w:firstLineChars="0"/>
              <w:jc w:val="center"/>
              <w:rPr>
                <w:rStyle w:val="35"/>
                <w:rFonts w:hint="eastAsia" w:ascii="Times New Roman" w:hAnsi="Times New Roman" w:eastAsia="宋体" w:cs="Times New Roman"/>
                <w:color w:val="000000"/>
                <w:kern w:val="2"/>
                <w:sz w:val="21"/>
                <w:szCs w:val="20"/>
                <w:lang w:val="en-US" w:eastAsia="zh-CN" w:bidi="ar-SA"/>
              </w:rPr>
            </w:pPr>
            <w:r>
              <w:rPr>
                <w:rStyle w:val="35"/>
                <w:rFonts w:hint="eastAsia" w:ascii="Times New Roman" w:hAnsi="Times New Roman" w:eastAsia="宋体" w:cs="Times New Roman"/>
                <w:color w:val="000000"/>
                <w:kern w:val="2"/>
                <w:sz w:val="21"/>
                <w:szCs w:val="20"/>
                <w:lang w:val="en-US" w:eastAsia="zh-CN" w:bidi="ar-SA"/>
              </w:rPr>
              <w:t>沾染物料的包装物</w:t>
            </w:r>
          </w:p>
        </w:tc>
        <w:tc>
          <w:tcPr>
            <w:tcW w:w="711" w:type="pct"/>
            <w:vMerge w:val="continue"/>
            <w:tcBorders>
              <w:top w:val="single" w:color="auto" w:sz="4" w:space="0"/>
              <w:left w:val="single" w:color="000000" w:sz="4" w:space="0"/>
              <w:bottom w:val="single" w:color="auto" w:sz="4" w:space="0"/>
              <w:right w:val="single" w:color="000000" w:sz="4" w:space="0"/>
            </w:tcBorders>
            <w:noWrap w:val="0"/>
            <w:vAlign w:val="center"/>
          </w:tcPr>
          <w:p w14:paraId="2D00AD74">
            <w:pPr>
              <w:pStyle w:val="127"/>
              <w:keepNext w:val="0"/>
              <w:keepLines w:val="0"/>
              <w:widowControl/>
              <w:suppressLineNumbers w:val="0"/>
              <w:spacing w:before="0" w:beforeAutospacing="0" w:after="0" w:afterAutospacing="0"/>
              <w:ind w:left="0" w:right="0"/>
              <w:rPr>
                <w:rFonts w:hint="eastAsia"/>
                <w:color w:val="000000"/>
              </w:rPr>
            </w:pPr>
          </w:p>
        </w:tc>
        <w:tc>
          <w:tcPr>
            <w:tcW w:w="658" w:type="pct"/>
            <w:vMerge w:val="continue"/>
            <w:tcBorders>
              <w:left w:val="single" w:color="000000" w:sz="4" w:space="0"/>
              <w:bottom w:val="single" w:color="000000" w:sz="4" w:space="0"/>
              <w:right w:val="single" w:color="000000" w:sz="4" w:space="0"/>
            </w:tcBorders>
            <w:noWrap w:val="0"/>
            <w:vAlign w:val="center"/>
          </w:tcPr>
          <w:p w14:paraId="1A1932AD">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1118" w:type="pct"/>
            <w:tcBorders>
              <w:top w:val="single" w:color="auto" w:sz="4" w:space="0"/>
              <w:left w:val="single" w:color="000000" w:sz="4" w:space="0"/>
              <w:bottom w:val="single" w:color="000000" w:sz="4" w:space="0"/>
              <w:right w:val="single" w:color="auto" w:sz="4" w:space="0"/>
            </w:tcBorders>
            <w:noWrap w:val="0"/>
            <w:vAlign w:val="center"/>
          </w:tcPr>
          <w:p w14:paraId="3C1B3208">
            <w:pPr>
              <w:pStyle w:val="127"/>
              <w:keepNext w:val="0"/>
              <w:keepLines w:val="0"/>
              <w:widowControl/>
              <w:suppressLineNumbers w:val="0"/>
              <w:spacing w:before="0" w:beforeAutospacing="0" w:after="0" w:afterAutospacing="0"/>
              <w:ind w:left="0" w:right="0"/>
              <w:rPr>
                <w:rFonts w:hint="eastAsia"/>
                <w:color w:val="000000"/>
                <w:lang w:eastAsia="zh-CN"/>
              </w:rPr>
            </w:pPr>
            <w:r>
              <w:rPr>
                <w:rFonts w:hint="eastAsia"/>
                <w:color w:val="000000"/>
                <w:lang w:eastAsia="zh-CN"/>
              </w:rPr>
              <w:t>反应失控和操作不当</w:t>
            </w:r>
          </w:p>
        </w:tc>
      </w:tr>
      <w:tr w14:paraId="4FF56109">
        <w:tblPrEx>
          <w:tblCellMar>
            <w:top w:w="0" w:type="dxa"/>
            <w:left w:w="0" w:type="dxa"/>
            <w:bottom w:w="0" w:type="dxa"/>
            <w:right w:w="0" w:type="dxa"/>
          </w:tblCellMar>
        </w:tblPrEx>
        <w:trPr>
          <w:trHeight w:val="397" w:hRule="atLeast"/>
        </w:trPr>
        <w:tc>
          <w:tcPr>
            <w:tcW w:w="284" w:type="pct"/>
            <w:vMerge w:val="continue"/>
            <w:tcBorders>
              <w:left w:val="single" w:color="000000" w:sz="4" w:space="0"/>
              <w:bottom w:val="single" w:color="000000" w:sz="4" w:space="0"/>
              <w:right w:val="single" w:color="000000" w:sz="4" w:space="0"/>
            </w:tcBorders>
            <w:noWrap w:val="0"/>
            <w:vAlign w:val="center"/>
          </w:tcPr>
          <w:p w14:paraId="1933D6D4">
            <w:pPr>
              <w:pStyle w:val="127"/>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499" w:type="pct"/>
            <w:vMerge w:val="continue"/>
            <w:tcBorders>
              <w:left w:val="single" w:color="000000" w:sz="4" w:space="0"/>
              <w:bottom w:val="single" w:color="000000" w:sz="4" w:space="0"/>
              <w:right w:val="single" w:color="000000" w:sz="4" w:space="0"/>
            </w:tcBorders>
            <w:noWrap w:val="0"/>
            <w:vAlign w:val="center"/>
          </w:tcPr>
          <w:p w14:paraId="51F3B5C6">
            <w:pPr>
              <w:pStyle w:val="127"/>
              <w:keepNext w:val="0"/>
              <w:keepLines w:val="0"/>
              <w:widowControl/>
              <w:suppressLineNumbers w:val="0"/>
              <w:spacing w:before="0" w:beforeAutospacing="0" w:after="0" w:afterAutospacing="0"/>
              <w:ind w:left="0" w:right="0"/>
              <w:rPr>
                <w:rFonts w:hint="eastAsia"/>
                <w:color w:val="000000"/>
              </w:rPr>
            </w:pPr>
          </w:p>
        </w:tc>
        <w:tc>
          <w:tcPr>
            <w:tcW w:w="959" w:type="pct"/>
            <w:vMerge w:val="continue"/>
            <w:tcBorders>
              <w:left w:val="single" w:color="000000" w:sz="4" w:space="0"/>
              <w:bottom w:val="single" w:color="000000" w:sz="4" w:space="0"/>
              <w:right w:val="single" w:color="000000" w:sz="4" w:space="0"/>
            </w:tcBorders>
            <w:noWrap w:val="0"/>
            <w:vAlign w:val="center"/>
          </w:tcPr>
          <w:p w14:paraId="76690D9F">
            <w:pPr>
              <w:pStyle w:val="127"/>
              <w:keepNext w:val="0"/>
              <w:keepLines w:val="0"/>
              <w:widowControl/>
              <w:suppressLineNumbers w:val="0"/>
              <w:spacing w:before="0" w:beforeAutospacing="0" w:after="0" w:afterAutospacing="0"/>
              <w:ind w:left="0" w:right="0"/>
              <w:rPr>
                <w:rFonts w:hint="eastAsia"/>
                <w:color w:val="000000"/>
              </w:rPr>
            </w:pPr>
          </w:p>
        </w:tc>
        <w:tc>
          <w:tcPr>
            <w:tcW w:w="768" w:type="pct"/>
            <w:tcBorders>
              <w:top w:val="single" w:color="000000" w:sz="4" w:space="0"/>
              <w:left w:val="single" w:color="000000" w:sz="4" w:space="0"/>
              <w:bottom w:val="single" w:color="000000" w:sz="4" w:space="0"/>
              <w:right w:val="single" w:color="000000" w:sz="4" w:space="0"/>
            </w:tcBorders>
            <w:noWrap w:val="0"/>
            <w:vAlign w:val="center"/>
          </w:tcPr>
          <w:p w14:paraId="6AAFBD37">
            <w:pPr>
              <w:keepNext w:val="0"/>
              <w:keepLines w:val="0"/>
              <w:suppressLineNumbers w:val="0"/>
              <w:spacing w:before="0" w:beforeAutospacing="0" w:after="0" w:afterAutospacing="0" w:line="240" w:lineRule="auto"/>
              <w:ind w:left="0" w:leftChars="0" w:right="0" w:rightChars="0" w:firstLine="0" w:firstLineChars="0"/>
              <w:jc w:val="center"/>
              <w:rPr>
                <w:rStyle w:val="35"/>
                <w:rFonts w:hint="eastAsia" w:ascii="Times New Roman" w:hAnsi="Times New Roman" w:eastAsia="宋体" w:cs="Times New Roman"/>
                <w:color w:val="000000"/>
                <w:kern w:val="2"/>
                <w:sz w:val="21"/>
                <w:szCs w:val="20"/>
                <w:lang w:val="en-US" w:eastAsia="zh-CN" w:bidi="ar-SA"/>
              </w:rPr>
            </w:pPr>
            <w:r>
              <w:rPr>
                <w:rStyle w:val="35"/>
                <w:rFonts w:hint="eastAsia" w:ascii="Times New Roman" w:hAnsi="Times New Roman" w:eastAsia="宋体" w:cs="Times New Roman"/>
                <w:color w:val="000000"/>
                <w:kern w:val="2"/>
                <w:sz w:val="21"/>
                <w:szCs w:val="20"/>
                <w:lang w:val="en-US" w:eastAsia="zh-CN" w:bidi="ar-SA"/>
              </w:rPr>
              <w:t>蒸馏残渣</w:t>
            </w:r>
          </w:p>
        </w:tc>
        <w:tc>
          <w:tcPr>
            <w:tcW w:w="711" w:type="pct"/>
            <w:vMerge w:val="continue"/>
            <w:tcBorders>
              <w:top w:val="single" w:color="auto" w:sz="4" w:space="0"/>
              <w:left w:val="single" w:color="000000" w:sz="4" w:space="0"/>
              <w:bottom w:val="single" w:color="auto" w:sz="4" w:space="0"/>
              <w:right w:val="single" w:color="000000" w:sz="4" w:space="0"/>
            </w:tcBorders>
            <w:noWrap w:val="0"/>
            <w:vAlign w:val="center"/>
          </w:tcPr>
          <w:p w14:paraId="611CD759">
            <w:pPr>
              <w:pStyle w:val="127"/>
              <w:keepNext w:val="0"/>
              <w:keepLines w:val="0"/>
              <w:widowControl/>
              <w:suppressLineNumbers w:val="0"/>
              <w:spacing w:before="0" w:beforeAutospacing="0" w:after="0" w:afterAutospacing="0"/>
              <w:ind w:left="0" w:right="0"/>
              <w:rPr>
                <w:rFonts w:hint="eastAsia"/>
                <w:color w:val="000000"/>
              </w:rPr>
            </w:pPr>
          </w:p>
        </w:tc>
        <w:tc>
          <w:tcPr>
            <w:tcW w:w="658" w:type="pct"/>
            <w:vMerge w:val="continue"/>
            <w:tcBorders>
              <w:left w:val="single" w:color="000000" w:sz="4" w:space="0"/>
              <w:bottom w:val="single" w:color="000000" w:sz="4" w:space="0"/>
              <w:right w:val="single" w:color="000000" w:sz="4" w:space="0"/>
            </w:tcBorders>
            <w:noWrap w:val="0"/>
            <w:vAlign w:val="center"/>
          </w:tcPr>
          <w:p w14:paraId="43BE0A0D">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1118" w:type="pct"/>
            <w:tcBorders>
              <w:top w:val="single" w:color="auto" w:sz="4" w:space="0"/>
              <w:left w:val="single" w:color="000000" w:sz="4" w:space="0"/>
              <w:bottom w:val="single" w:color="000000" w:sz="4" w:space="0"/>
              <w:right w:val="single" w:color="auto" w:sz="4" w:space="0"/>
            </w:tcBorders>
            <w:noWrap w:val="0"/>
            <w:vAlign w:val="center"/>
          </w:tcPr>
          <w:p w14:paraId="1167AEDD">
            <w:pPr>
              <w:pStyle w:val="127"/>
              <w:keepNext w:val="0"/>
              <w:keepLines w:val="0"/>
              <w:widowControl/>
              <w:suppressLineNumbers w:val="0"/>
              <w:spacing w:before="0" w:beforeAutospacing="0" w:after="0" w:afterAutospacing="0"/>
              <w:ind w:left="0" w:right="0"/>
              <w:rPr>
                <w:rFonts w:hint="eastAsia"/>
                <w:color w:val="000000"/>
                <w:lang w:eastAsia="zh-CN"/>
              </w:rPr>
            </w:pPr>
            <w:r>
              <w:rPr>
                <w:rFonts w:hint="eastAsia"/>
                <w:color w:val="000000"/>
                <w:lang w:eastAsia="zh-CN"/>
              </w:rPr>
              <w:t>反应失控和操作不当</w:t>
            </w:r>
          </w:p>
        </w:tc>
      </w:tr>
      <w:tr w14:paraId="3DB0CC32">
        <w:tblPrEx>
          <w:tblCellMar>
            <w:top w:w="0" w:type="dxa"/>
            <w:left w:w="0" w:type="dxa"/>
            <w:bottom w:w="0" w:type="dxa"/>
            <w:right w:w="0" w:type="dxa"/>
          </w:tblCellMar>
        </w:tblPrEx>
        <w:trPr>
          <w:trHeight w:val="397" w:hRule="atLeast"/>
        </w:trPr>
        <w:tc>
          <w:tcPr>
            <w:tcW w:w="284" w:type="pct"/>
            <w:vMerge w:val="restart"/>
            <w:tcBorders>
              <w:top w:val="single" w:color="000000" w:sz="4" w:space="0"/>
              <w:left w:val="single" w:color="000000" w:sz="4" w:space="0"/>
              <w:right w:val="single" w:color="000000" w:sz="4" w:space="0"/>
            </w:tcBorders>
            <w:noWrap w:val="0"/>
            <w:vAlign w:val="center"/>
          </w:tcPr>
          <w:p w14:paraId="791A3000">
            <w:pPr>
              <w:pStyle w:val="127"/>
              <w:keepNext w:val="0"/>
              <w:keepLines w:val="0"/>
              <w:widowControl/>
              <w:suppressLineNumbers w:val="0"/>
              <w:spacing w:before="0" w:beforeAutospacing="0" w:after="0" w:afterAutospacing="0"/>
              <w:ind w:left="0" w:right="0"/>
              <w:rPr>
                <w:rFonts w:hint="default" w:cs="Times New Roman"/>
                <w:color w:val="000000"/>
                <w:lang w:val="en-US" w:eastAsia="zh-CN"/>
              </w:rPr>
            </w:pPr>
            <w:r>
              <w:rPr>
                <w:rFonts w:hint="eastAsia" w:cs="Times New Roman"/>
                <w:color w:val="000000"/>
                <w:lang w:val="en-US" w:eastAsia="zh-CN"/>
              </w:rPr>
              <w:t>3</w:t>
            </w:r>
          </w:p>
        </w:tc>
        <w:tc>
          <w:tcPr>
            <w:tcW w:w="499" w:type="pct"/>
            <w:vMerge w:val="restart"/>
            <w:tcBorders>
              <w:top w:val="single" w:color="000000" w:sz="4" w:space="0"/>
              <w:left w:val="single" w:color="000000" w:sz="4" w:space="0"/>
              <w:right w:val="single" w:color="000000" w:sz="4" w:space="0"/>
            </w:tcBorders>
            <w:noWrap w:val="0"/>
            <w:vAlign w:val="center"/>
          </w:tcPr>
          <w:p w14:paraId="1591335E">
            <w:pPr>
              <w:pStyle w:val="127"/>
              <w:keepNext w:val="0"/>
              <w:keepLines w:val="0"/>
              <w:widowControl/>
              <w:suppressLineNumbers w:val="0"/>
              <w:spacing w:before="0" w:beforeAutospacing="0" w:after="0" w:afterAutospacing="0"/>
              <w:ind w:left="0" w:right="0"/>
              <w:rPr>
                <w:rFonts w:hint="eastAsia"/>
                <w:color w:val="000000"/>
                <w:lang w:eastAsia="zh-CN"/>
              </w:rPr>
            </w:pPr>
            <w:r>
              <w:rPr>
                <w:rFonts w:hint="eastAsia"/>
                <w:color w:val="000000"/>
                <w:lang w:eastAsia="zh-CN"/>
              </w:rPr>
              <w:t>生产装置</w:t>
            </w:r>
          </w:p>
        </w:tc>
        <w:tc>
          <w:tcPr>
            <w:tcW w:w="959" w:type="pct"/>
            <w:tcBorders>
              <w:top w:val="single" w:color="000000" w:sz="4" w:space="0"/>
              <w:left w:val="single" w:color="000000" w:sz="4" w:space="0"/>
              <w:bottom w:val="single" w:color="000000" w:sz="4" w:space="0"/>
              <w:right w:val="single" w:color="000000" w:sz="4" w:space="0"/>
            </w:tcBorders>
            <w:noWrap w:val="0"/>
            <w:vAlign w:val="center"/>
          </w:tcPr>
          <w:p w14:paraId="4148B638">
            <w:pPr>
              <w:pStyle w:val="127"/>
              <w:keepNext w:val="0"/>
              <w:keepLines w:val="0"/>
              <w:widowControl/>
              <w:suppressLineNumbers w:val="0"/>
              <w:spacing w:before="0" w:beforeAutospacing="0" w:after="0" w:afterAutospacing="0"/>
              <w:ind w:left="0" w:leftChars="0" w:right="0" w:rightChars="0"/>
              <w:rPr>
                <w:rFonts w:hint="eastAsia" w:ascii="Times New Roman" w:hAnsi="Times New Roman" w:eastAsia="宋体" w:cs="Times New Roman"/>
                <w:color w:val="000000"/>
                <w:kern w:val="2"/>
                <w:sz w:val="21"/>
                <w:szCs w:val="21"/>
                <w:lang w:val="en-US" w:eastAsia="zh-CN" w:bidi="ar-SA"/>
              </w:rPr>
            </w:pPr>
            <w:r>
              <w:rPr>
                <w:rFonts w:hint="eastAsia"/>
                <w:color w:val="000000"/>
                <w:lang w:eastAsia="zh-CN"/>
              </w:rPr>
              <w:t>苯酚</w:t>
            </w:r>
          </w:p>
        </w:tc>
        <w:tc>
          <w:tcPr>
            <w:tcW w:w="768" w:type="pct"/>
            <w:tcBorders>
              <w:top w:val="single" w:color="000000" w:sz="4" w:space="0"/>
              <w:left w:val="single" w:color="000000" w:sz="4" w:space="0"/>
              <w:bottom w:val="single" w:color="000000" w:sz="4" w:space="0"/>
              <w:right w:val="single" w:color="000000" w:sz="4" w:space="0"/>
            </w:tcBorders>
            <w:noWrap w:val="0"/>
            <w:vAlign w:val="center"/>
          </w:tcPr>
          <w:p w14:paraId="043F9F0D">
            <w:pPr>
              <w:pStyle w:val="127"/>
              <w:keepNext w:val="0"/>
              <w:keepLines w:val="0"/>
              <w:widowControl/>
              <w:suppressLineNumbers w:val="0"/>
              <w:spacing w:before="0" w:beforeAutospacing="0" w:after="0" w:afterAutospacing="0"/>
              <w:ind w:left="0" w:leftChars="0" w:right="0" w:rightChars="0"/>
              <w:rPr>
                <w:rFonts w:hint="eastAsia" w:ascii="Times New Roman" w:hAnsi="Times New Roman" w:eastAsia="宋体" w:cs="Times New Roman"/>
                <w:color w:val="000000"/>
                <w:kern w:val="2"/>
                <w:sz w:val="21"/>
                <w:szCs w:val="21"/>
                <w:lang w:val="en-US" w:eastAsia="zh-CN" w:bidi="ar-SA"/>
              </w:rPr>
            </w:pPr>
            <w:r>
              <w:rPr>
                <w:rFonts w:hint="eastAsia"/>
                <w:color w:val="000000"/>
                <w:lang w:eastAsia="zh-CN"/>
              </w:rPr>
              <w:t>苯酚</w:t>
            </w:r>
          </w:p>
        </w:tc>
        <w:tc>
          <w:tcPr>
            <w:tcW w:w="711" w:type="pct"/>
            <w:tcBorders>
              <w:top w:val="single" w:color="auto" w:sz="4" w:space="0"/>
              <w:left w:val="single" w:color="000000" w:sz="4" w:space="0"/>
              <w:bottom w:val="single" w:color="000000" w:sz="4" w:space="0"/>
              <w:right w:val="single" w:color="000000" w:sz="4" w:space="0"/>
            </w:tcBorders>
            <w:noWrap w:val="0"/>
            <w:vAlign w:val="center"/>
          </w:tcPr>
          <w:p w14:paraId="00D8240F">
            <w:pPr>
              <w:pStyle w:val="127"/>
              <w:keepNext w:val="0"/>
              <w:keepLines w:val="0"/>
              <w:widowControl/>
              <w:suppressLineNumbers w:val="0"/>
              <w:spacing w:before="0" w:beforeAutospacing="0" w:after="0" w:afterAutospacing="0"/>
              <w:ind w:left="0" w:leftChars="0" w:right="0" w:rightChars="0"/>
              <w:rPr>
                <w:rFonts w:hint="eastAsia"/>
                <w:color w:val="000000"/>
              </w:rPr>
            </w:pPr>
            <w:r>
              <w:rPr>
                <w:rFonts w:hint="eastAsia"/>
                <w:color w:val="000000"/>
              </w:rPr>
              <w:t>泄露</w:t>
            </w:r>
          </w:p>
        </w:tc>
        <w:tc>
          <w:tcPr>
            <w:tcW w:w="658" w:type="pct"/>
            <w:vMerge w:val="restart"/>
            <w:tcBorders>
              <w:top w:val="single" w:color="000000" w:sz="4" w:space="0"/>
              <w:left w:val="single" w:color="000000" w:sz="4" w:space="0"/>
              <w:right w:val="single" w:color="auto" w:sz="4" w:space="0"/>
            </w:tcBorders>
            <w:noWrap w:val="0"/>
            <w:vAlign w:val="center"/>
          </w:tcPr>
          <w:p w14:paraId="0B72BF86">
            <w:pPr>
              <w:pStyle w:val="127"/>
              <w:keepNext w:val="0"/>
              <w:keepLines w:val="0"/>
              <w:widowControl/>
              <w:suppressLineNumbers w:val="0"/>
              <w:spacing w:before="0" w:beforeAutospacing="0" w:after="0" w:afterAutospacing="0"/>
              <w:ind w:left="0" w:right="0"/>
              <w:rPr>
                <w:rFonts w:hint="eastAsia"/>
                <w:color w:val="000000"/>
                <w:lang w:eastAsia="zh-CN"/>
              </w:rPr>
            </w:pPr>
            <w:r>
              <w:rPr>
                <w:rFonts w:hint="eastAsia"/>
                <w:color w:val="000000"/>
                <w:lang w:eastAsia="zh-CN"/>
              </w:rPr>
              <w:t>大气、</w:t>
            </w:r>
            <w:r>
              <w:rPr>
                <w:rFonts w:hint="default"/>
                <w:color w:val="000000"/>
              </w:rPr>
              <w:t>土壤、水环境</w:t>
            </w:r>
          </w:p>
        </w:tc>
        <w:tc>
          <w:tcPr>
            <w:tcW w:w="1118" w:type="pct"/>
            <w:tcBorders>
              <w:top w:val="single" w:color="000000" w:sz="4" w:space="0"/>
              <w:left w:val="single" w:color="auto" w:sz="4" w:space="0"/>
              <w:bottom w:val="single" w:color="auto" w:sz="4" w:space="0"/>
              <w:right w:val="single" w:color="000000" w:sz="4" w:space="0"/>
            </w:tcBorders>
            <w:noWrap w:val="0"/>
            <w:vAlign w:val="center"/>
          </w:tcPr>
          <w:p w14:paraId="2B226304">
            <w:pPr>
              <w:pStyle w:val="127"/>
              <w:keepNext w:val="0"/>
              <w:keepLines w:val="0"/>
              <w:widowControl/>
              <w:suppressLineNumbers w:val="0"/>
              <w:spacing w:before="0" w:beforeAutospacing="0" w:after="0" w:afterAutospacing="0"/>
              <w:ind w:left="0" w:leftChars="0" w:right="0" w:rightChars="0"/>
              <w:rPr>
                <w:rFonts w:hint="eastAsia"/>
                <w:color w:val="000000"/>
                <w:lang w:eastAsia="zh-CN"/>
              </w:rPr>
            </w:pPr>
            <w:r>
              <w:rPr>
                <w:rFonts w:hint="eastAsia"/>
                <w:color w:val="000000"/>
                <w:lang w:eastAsia="zh-CN"/>
              </w:rPr>
              <w:t>反应失控引发爆炸</w:t>
            </w:r>
          </w:p>
        </w:tc>
      </w:tr>
      <w:tr w14:paraId="371CB584">
        <w:tblPrEx>
          <w:tblCellMar>
            <w:top w:w="0" w:type="dxa"/>
            <w:left w:w="0" w:type="dxa"/>
            <w:bottom w:w="0" w:type="dxa"/>
            <w:right w:w="0" w:type="dxa"/>
          </w:tblCellMar>
        </w:tblPrEx>
        <w:trPr>
          <w:trHeight w:val="397" w:hRule="atLeast"/>
        </w:trPr>
        <w:tc>
          <w:tcPr>
            <w:tcW w:w="284" w:type="pct"/>
            <w:vMerge w:val="continue"/>
            <w:tcBorders>
              <w:left w:val="single" w:color="000000" w:sz="4" w:space="0"/>
              <w:right w:val="single" w:color="000000" w:sz="4" w:space="0"/>
            </w:tcBorders>
            <w:noWrap w:val="0"/>
            <w:vAlign w:val="center"/>
          </w:tcPr>
          <w:p w14:paraId="55486E8C">
            <w:pPr>
              <w:pStyle w:val="127"/>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499" w:type="pct"/>
            <w:vMerge w:val="continue"/>
            <w:tcBorders>
              <w:left w:val="single" w:color="000000" w:sz="4" w:space="0"/>
              <w:right w:val="single" w:color="000000" w:sz="4" w:space="0"/>
            </w:tcBorders>
            <w:noWrap w:val="0"/>
            <w:vAlign w:val="center"/>
          </w:tcPr>
          <w:p w14:paraId="1ABB81C7">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959" w:type="pct"/>
            <w:tcBorders>
              <w:top w:val="single" w:color="000000" w:sz="4" w:space="0"/>
              <w:left w:val="single" w:color="000000" w:sz="4" w:space="0"/>
              <w:bottom w:val="single" w:color="000000" w:sz="4" w:space="0"/>
              <w:right w:val="single" w:color="000000" w:sz="4" w:space="0"/>
            </w:tcBorders>
            <w:noWrap w:val="0"/>
            <w:vAlign w:val="center"/>
          </w:tcPr>
          <w:p w14:paraId="6FBCE9E3">
            <w:pPr>
              <w:pStyle w:val="127"/>
              <w:keepNext w:val="0"/>
              <w:keepLines w:val="0"/>
              <w:widowControl/>
              <w:suppressLineNumbers w:val="0"/>
              <w:spacing w:before="0" w:beforeAutospacing="0" w:after="0" w:afterAutospacing="0"/>
              <w:ind w:left="0" w:leftChars="0" w:right="0" w:rightChars="0"/>
              <w:rPr>
                <w:rFonts w:hint="eastAsia" w:ascii="Times New Roman" w:hAnsi="Times New Roman" w:eastAsia="宋体" w:cs="Times New Roman"/>
                <w:color w:val="000000"/>
                <w:kern w:val="2"/>
                <w:sz w:val="21"/>
                <w:szCs w:val="21"/>
                <w:lang w:val="en-US" w:eastAsia="zh-CN" w:bidi="ar-SA"/>
              </w:rPr>
            </w:pPr>
            <w:r>
              <w:rPr>
                <w:rFonts w:hint="eastAsia"/>
                <w:color w:val="000000"/>
                <w:lang w:eastAsia="zh-CN"/>
              </w:rPr>
              <w:t>甲醇</w:t>
            </w:r>
          </w:p>
        </w:tc>
        <w:tc>
          <w:tcPr>
            <w:tcW w:w="768" w:type="pct"/>
            <w:tcBorders>
              <w:top w:val="single" w:color="000000" w:sz="4" w:space="0"/>
              <w:left w:val="single" w:color="000000" w:sz="4" w:space="0"/>
              <w:bottom w:val="single" w:color="000000" w:sz="4" w:space="0"/>
              <w:right w:val="single" w:color="000000" w:sz="4" w:space="0"/>
            </w:tcBorders>
            <w:noWrap w:val="0"/>
            <w:vAlign w:val="center"/>
          </w:tcPr>
          <w:p w14:paraId="49E38A92">
            <w:pPr>
              <w:pStyle w:val="127"/>
              <w:keepNext w:val="0"/>
              <w:keepLines w:val="0"/>
              <w:widowControl/>
              <w:suppressLineNumbers w:val="0"/>
              <w:spacing w:before="0" w:beforeAutospacing="0" w:after="0" w:afterAutospacing="0"/>
              <w:ind w:left="0" w:leftChars="0" w:right="0" w:rightChars="0"/>
              <w:rPr>
                <w:rFonts w:hint="eastAsia" w:ascii="Times New Roman" w:hAnsi="Times New Roman" w:eastAsia="宋体" w:cs="Times New Roman"/>
                <w:color w:val="000000"/>
                <w:kern w:val="2"/>
                <w:sz w:val="21"/>
                <w:szCs w:val="21"/>
                <w:lang w:val="en-US" w:eastAsia="zh-CN" w:bidi="ar-SA"/>
              </w:rPr>
            </w:pPr>
            <w:r>
              <w:rPr>
                <w:rFonts w:hint="eastAsia"/>
                <w:color w:val="000000"/>
                <w:lang w:eastAsia="zh-CN"/>
              </w:rPr>
              <w:t>甲醇</w:t>
            </w:r>
          </w:p>
        </w:tc>
        <w:tc>
          <w:tcPr>
            <w:tcW w:w="711" w:type="pct"/>
            <w:tcBorders>
              <w:top w:val="single" w:color="000000" w:sz="4" w:space="0"/>
              <w:left w:val="single" w:color="000000" w:sz="4" w:space="0"/>
              <w:bottom w:val="single" w:color="000000" w:sz="4" w:space="0"/>
              <w:right w:val="single" w:color="000000" w:sz="4" w:space="0"/>
            </w:tcBorders>
            <w:noWrap w:val="0"/>
            <w:vAlign w:val="center"/>
          </w:tcPr>
          <w:p w14:paraId="45F23914">
            <w:pPr>
              <w:pStyle w:val="127"/>
              <w:keepNext w:val="0"/>
              <w:keepLines w:val="0"/>
              <w:widowControl/>
              <w:suppressLineNumbers w:val="0"/>
              <w:spacing w:before="0" w:beforeAutospacing="0" w:after="0" w:afterAutospacing="0"/>
              <w:ind w:left="0" w:leftChars="0" w:right="0" w:rightChars="0"/>
              <w:rPr>
                <w:rFonts w:hint="eastAsia"/>
                <w:color w:val="000000"/>
              </w:rPr>
            </w:pPr>
            <w:r>
              <w:rPr>
                <w:rFonts w:hint="eastAsia"/>
                <w:color w:val="000000"/>
                <w:lang w:eastAsia="zh-CN"/>
              </w:rPr>
              <w:t>火灾、爆炸</w:t>
            </w:r>
          </w:p>
        </w:tc>
        <w:tc>
          <w:tcPr>
            <w:tcW w:w="658" w:type="pct"/>
            <w:vMerge w:val="continue"/>
            <w:tcBorders>
              <w:left w:val="single" w:color="000000" w:sz="4" w:space="0"/>
              <w:right w:val="single" w:color="000000" w:sz="4" w:space="0"/>
            </w:tcBorders>
            <w:noWrap w:val="0"/>
            <w:vAlign w:val="center"/>
          </w:tcPr>
          <w:p w14:paraId="22D2A1C4">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1118" w:type="pct"/>
            <w:tcBorders>
              <w:top w:val="single" w:color="auto" w:sz="4" w:space="0"/>
              <w:left w:val="single" w:color="000000" w:sz="4" w:space="0"/>
              <w:bottom w:val="single" w:color="auto" w:sz="4" w:space="0"/>
              <w:right w:val="single" w:color="000000" w:sz="4" w:space="0"/>
            </w:tcBorders>
            <w:noWrap w:val="0"/>
            <w:vAlign w:val="center"/>
          </w:tcPr>
          <w:p w14:paraId="5B4A8E7E">
            <w:pPr>
              <w:pStyle w:val="127"/>
              <w:keepNext w:val="0"/>
              <w:keepLines w:val="0"/>
              <w:widowControl/>
              <w:suppressLineNumbers w:val="0"/>
              <w:spacing w:before="0" w:beforeAutospacing="0" w:after="0" w:afterAutospacing="0"/>
              <w:ind w:left="0" w:leftChars="0" w:right="0" w:rightChars="0"/>
              <w:rPr>
                <w:rFonts w:hint="eastAsia"/>
                <w:color w:val="000000"/>
                <w:lang w:eastAsia="zh-CN"/>
              </w:rPr>
            </w:pPr>
            <w:r>
              <w:rPr>
                <w:rFonts w:hint="eastAsia" w:ascii="宋体" w:hAnsi="宋体" w:cs="宋体"/>
                <w:szCs w:val="21"/>
              </w:rPr>
              <w:t>易燃，其蒸气与空气可形成爆炸性混合物，遇明火、高热能引起燃烧爆炸</w:t>
            </w:r>
          </w:p>
        </w:tc>
      </w:tr>
      <w:tr w14:paraId="33A73602">
        <w:tblPrEx>
          <w:tblCellMar>
            <w:top w:w="0" w:type="dxa"/>
            <w:left w:w="0" w:type="dxa"/>
            <w:bottom w:w="0" w:type="dxa"/>
            <w:right w:w="0" w:type="dxa"/>
          </w:tblCellMar>
        </w:tblPrEx>
        <w:trPr>
          <w:trHeight w:val="397" w:hRule="atLeast"/>
        </w:trPr>
        <w:tc>
          <w:tcPr>
            <w:tcW w:w="284" w:type="pct"/>
            <w:vMerge w:val="continue"/>
            <w:tcBorders>
              <w:left w:val="single" w:color="000000" w:sz="4" w:space="0"/>
              <w:right w:val="single" w:color="000000" w:sz="4" w:space="0"/>
            </w:tcBorders>
            <w:noWrap w:val="0"/>
            <w:vAlign w:val="center"/>
          </w:tcPr>
          <w:p w14:paraId="15164155">
            <w:pPr>
              <w:pStyle w:val="127"/>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499" w:type="pct"/>
            <w:vMerge w:val="continue"/>
            <w:tcBorders>
              <w:left w:val="single" w:color="000000" w:sz="4" w:space="0"/>
              <w:right w:val="single" w:color="000000" w:sz="4" w:space="0"/>
            </w:tcBorders>
            <w:noWrap w:val="0"/>
            <w:vAlign w:val="center"/>
          </w:tcPr>
          <w:p w14:paraId="22740338">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959" w:type="pct"/>
            <w:tcBorders>
              <w:top w:val="single" w:color="000000" w:sz="4" w:space="0"/>
              <w:left w:val="single" w:color="000000" w:sz="4" w:space="0"/>
              <w:bottom w:val="single" w:color="000000" w:sz="4" w:space="0"/>
              <w:right w:val="single" w:color="000000" w:sz="4" w:space="0"/>
            </w:tcBorders>
            <w:noWrap w:val="0"/>
            <w:vAlign w:val="center"/>
          </w:tcPr>
          <w:p w14:paraId="01BA18A6">
            <w:pPr>
              <w:pStyle w:val="127"/>
              <w:keepNext w:val="0"/>
              <w:keepLines w:val="0"/>
              <w:widowControl/>
              <w:suppressLineNumbers w:val="0"/>
              <w:spacing w:before="0" w:beforeAutospacing="0" w:after="0" w:afterAutospacing="0"/>
              <w:ind w:left="0" w:leftChars="0" w:right="0" w:rightChars="0"/>
              <w:rPr>
                <w:rFonts w:hint="eastAsia" w:ascii="Times New Roman" w:hAnsi="Times New Roman" w:eastAsia="宋体" w:cs="Times New Roman"/>
                <w:color w:val="000000"/>
                <w:kern w:val="2"/>
                <w:sz w:val="21"/>
                <w:szCs w:val="21"/>
                <w:lang w:val="en-US" w:eastAsia="zh-CN" w:bidi="ar-SA"/>
              </w:rPr>
            </w:pPr>
            <w:r>
              <w:rPr>
                <w:rFonts w:hint="eastAsia"/>
                <w:color w:val="000000"/>
                <w:lang w:eastAsia="zh-CN"/>
              </w:rPr>
              <w:t>硫酸</w:t>
            </w:r>
          </w:p>
        </w:tc>
        <w:tc>
          <w:tcPr>
            <w:tcW w:w="768" w:type="pct"/>
            <w:tcBorders>
              <w:top w:val="single" w:color="000000" w:sz="4" w:space="0"/>
              <w:left w:val="single" w:color="000000" w:sz="4" w:space="0"/>
              <w:bottom w:val="single" w:color="000000" w:sz="4" w:space="0"/>
              <w:right w:val="single" w:color="000000" w:sz="4" w:space="0"/>
            </w:tcBorders>
            <w:noWrap w:val="0"/>
            <w:vAlign w:val="center"/>
          </w:tcPr>
          <w:p w14:paraId="37888885">
            <w:pPr>
              <w:pStyle w:val="127"/>
              <w:keepNext w:val="0"/>
              <w:keepLines w:val="0"/>
              <w:widowControl/>
              <w:suppressLineNumbers w:val="0"/>
              <w:spacing w:before="0" w:beforeAutospacing="0" w:after="0" w:afterAutospacing="0"/>
              <w:ind w:left="0" w:leftChars="0" w:right="0" w:rightChars="0"/>
              <w:rPr>
                <w:rFonts w:hint="eastAsia" w:ascii="Times New Roman" w:hAnsi="Times New Roman" w:eastAsia="宋体" w:cs="Times New Roman"/>
                <w:color w:val="000000"/>
                <w:kern w:val="2"/>
                <w:sz w:val="21"/>
                <w:szCs w:val="21"/>
                <w:lang w:val="en-US" w:eastAsia="zh-CN" w:bidi="ar-SA"/>
              </w:rPr>
            </w:pPr>
            <w:r>
              <w:rPr>
                <w:rFonts w:hint="eastAsia"/>
                <w:color w:val="000000"/>
                <w:lang w:eastAsia="zh-CN"/>
              </w:rPr>
              <w:t>硫酸</w:t>
            </w:r>
          </w:p>
        </w:tc>
        <w:tc>
          <w:tcPr>
            <w:tcW w:w="711" w:type="pct"/>
            <w:tcBorders>
              <w:top w:val="single" w:color="000000" w:sz="4" w:space="0"/>
              <w:left w:val="single" w:color="000000" w:sz="4" w:space="0"/>
              <w:bottom w:val="single" w:color="000000" w:sz="4" w:space="0"/>
              <w:right w:val="single" w:color="000000" w:sz="4" w:space="0"/>
            </w:tcBorders>
            <w:noWrap w:val="0"/>
            <w:vAlign w:val="center"/>
          </w:tcPr>
          <w:p w14:paraId="53BDC600">
            <w:pPr>
              <w:pStyle w:val="127"/>
              <w:keepNext w:val="0"/>
              <w:keepLines w:val="0"/>
              <w:widowControl/>
              <w:suppressLineNumbers w:val="0"/>
              <w:spacing w:before="0" w:beforeAutospacing="0" w:after="0" w:afterAutospacing="0"/>
              <w:ind w:left="0" w:leftChars="0" w:right="0" w:rightChars="0"/>
              <w:rPr>
                <w:rFonts w:hint="eastAsia" w:eastAsia="宋体"/>
                <w:color w:val="000000"/>
                <w:lang w:eastAsia="zh-CN"/>
              </w:rPr>
            </w:pPr>
            <w:r>
              <w:rPr>
                <w:rFonts w:hint="eastAsia"/>
                <w:color w:val="000000"/>
                <w:lang w:eastAsia="zh-CN"/>
              </w:rPr>
              <w:t>火灾、爆炸</w:t>
            </w:r>
          </w:p>
        </w:tc>
        <w:tc>
          <w:tcPr>
            <w:tcW w:w="658" w:type="pct"/>
            <w:vMerge w:val="continue"/>
            <w:tcBorders>
              <w:left w:val="single" w:color="000000" w:sz="4" w:space="0"/>
              <w:right w:val="single" w:color="000000" w:sz="4" w:space="0"/>
            </w:tcBorders>
            <w:noWrap w:val="0"/>
            <w:vAlign w:val="center"/>
          </w:tcPr>
          <w:p w14:paraId="22AD413B">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1118" w:type="pct"/>
            <w:tcBorders>
              <w:top w:val="single" w:color="auto" w:sz="4" w:space="0"/>
              <w:left w:val="single" w:color="000000" w:sz="4" w:space="0"/>
              <w:bottom w:val="single" w:color="auto" w:sz="4" w:space="0"/>
              <w:right w:val="single" w:color="000000" w:sz="4" w:space="0"/>
            </w:tcBorders>
            <w:noWrap w:val="0"/>
            <w:vAlign w:val="center"/>
          </w:tcPr>
          <w:p w14:paraId="07001400">
            <w:pPr>
              <w:pStyle w:val="127"/>
              <w:keepNext w:val="0"/>
              <w:keepLines w:val="0"/>
              <w:widowControl/>
              <w:suppressLineNumbers w:val="0"/>
              <w:spacing w:before="0" w:beforeAutospacing="0" w:after="0" w:afterAutospacing="0"/>
              <w:ind w:left="0" w:leftChars="0" w:right="0" w:rightChars="0"/>
              <w:jc w:val="both"/>
              <w:rPr>
                <w:rFonts w:hint="eastAsia"/>
                <w:color w:val="000000"/>
                <w:lang w:eastAsia="zh-CN"/>
              </w:rPr>
            </w:pPr>
            <w:r>
              <w:rPr>
                <w:rFonts w:hint="eastAsia"/>
                <w:color w:val="000000"/>
                <w:lang w:eastAsia="zh-CN"/>
              </w:rPr>
              <w:t>在空气中形成爆炸混合物</w:t>
            </w:r>
          </w:p>
        </w:tc>
      </w:tr>
      <w:tr w14:paraId="4DD12A95">
        <w:tblPrEx>
          <w:tblCellMar>
            <w:top w:w="0" w:type="dxa"/>
            <w:left w:w="0" w:type="dxa"/>
            <w:bottom w:w="0" w:type="dxa"/>
            <w:right w:w="0" w:type="dxa"/>
          </w:tblCellMar>
        </w:tblPrEx>
        <w:trPr>
          <w:trHeight w:val="397" w:hRule="atLeast"/>
        </w:trPr>
        <w:tc>
          <w:tcPr>
            <w:tcW w:w="284" w:type="pct"/>
            <w:vMerge w:val="continue"/>
            <w:tcBorders>
              <w:left w:val="single" w:color="000000" w:sz="4" w:space="0"/>
              <w:right w:val="single" w:color="000000" w:sz="4" w:space="0"/>
            </w:tcBorders>
            <w:noWrap w:val="0"/>
            <w:vAlign w:val="center"/>
          </w:tcPr>
          <w:p w14:paraId="14854365">
            <w:pPr>
              <w:pStyle w:val="127"/>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499" w:type="pct"/>
            <w:vMerge w:val="continue"/>
            <w:tcBorders>
              <w:left w:val="single" w:color="000000" w:sz="4" w:space="0"/>
              <w:right w:val="single" w:color="000000" w:sz="4" w:space="0"/>
            </w:tcBorders>
            <w:noWrap w:val="0"/>
            <w:vAlign w:val="center"/>
          </w:tcPr>
          <w:p w14:paraId="42D212B1">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959" w:type="pct"/>
            <w:tcBorders>
              <w:top w:val="single" w:color="000000" w:sz="4" w:space="0"/>
              <w:left w:val="single" w:color="000000" w:sz="4" w:space="0"/>
              <w:bottom w:val="single" w:color="000000" w:sz="4" w:space="0"/>
              <w:right w:val="single" w:color="000000" w:sz="4" w:space="0"/>
            </w:tcBorders>
            <w:noWrap w:val="0"/>
            <w:vAlign w:val="center"/>
          </w:tcPr>
          <w:p w14:paraId="156EE520">
            <w:pPr>
              <w:pStyle w:val="127"/>
              <w:keepNext w:val="0"/>
              <w:keepLines w:val="0"/>
              <w:widowControl/>
              <w:suppressLineNumbers w:val="0"/>
              <w:spacing w:before="0" w:beforeAutospacing="0" w:after="0" w:afterAutospacing="0"/>
              <w:ind w:left="0" w:leftChars="0" w:right="0" w:rightChars="0"/>
              <w:rPr>
                <w:rFonts w:hint="eastAsia"/>
                <w:color w:val="000000"/>
                <w:lang w:eastAsia="zh-CN"/>
              </w:rPr>
            </w:pPr>
            <w:r>
              <w:rPr>
                <w:rFonts w:hint="eastAsia"/>
                <w:color w:val="000000"/>
                <w:lang w:eastAsia="zh-CN"/>
              </w:rPr>
              <w:t>氢氧化钠溶液</w:t>
            </w:r>
          </w:p>
        </w:tc>
        <w:tc>
          <w:tcPr>
            <w:tcW w:w="768" w:type="pct"/>
            <w:tcBorders>
              <w:top w:val="single" w:color="000000" w:sz="4" w:space="0"/>
              <w:left w:val="single" w:color="000000" w:sz="4" w:space="0"/>
              <w:bottom w:val="single" w:color="000000" w:sz="4" w:space="0"/>
              <w:right w:val="single" w:color="000000" w:sz="4" w:space="0"/>
            </w:tcBorders>
            <w:noWrap w:val="0"/>
            <w:vAlign w:val="center"/>
          </w:tcPr>
          <w:p w14:paraId="408F810E">
            <w:pPr>
              <w:pStyle w:val="127"/>
              <w:keepNext w:val="0"/>
              <w:keepLines w:val="0"/>
              <w:widowControl/>
              <w:suppressLineNumbers w:val="0"/>
              <w:spacing w:before="0" w:beforeAutospacing="0" w:after="0" w:afterAutospacing="0"/>
              <w:ind w:left="0" w:leftChars="0" w:right="0" w:rightChars="0"/>
              <w:rPr>
                <w:rFonts w:hint="eastAsia"/>
                <w:color w:val="000000"/>
                <w:lang w:eastAsia="zh-CN"/>
              </w:rPr>
            </w:pPr>
            <w:r>
              <w:rPr>
                <w:rFonts w:hint="eastAsia"/>
                <w:color w:val="000000"/>
                <w:lang w:eastAsia="zh-CN"/>
              </w:rPr>
              <w:t>氢氧化钠溶液</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48FD14">
            <w:pPr>
              <w:pStyle w:val="127"/>
              <w:keepNext w:val="0"/>
              <w:keepLines w:val="0"/>
              <w:widowControl/>
              <w:suppressLineNumbers w:val="0"/>
              <w:spacing w:before="0" w:beforeAutospacing="0" w:after="0" w:afterAutospacing="0"/>
              <w:ind w:left="0" w:leftChars="0" w:right="0" w:rightChars="0"/>
              <w:rPr>
                <w:rFonts w:hint="eastAsia" w:ascii="Times New Roman" w:hAnsi="Times New Roman" w:eastAsia="宋体" w:cs="Times New Roman"/>
                <w:color w:val="000000"/>
                <w:kern w:val="2"/>
                <w:sz w:val="21"/>
                <w:szCs w:val="21"/>
                <w:lang w:val="en-US" w:eastAsia="zh-CN" w:bidi="ar-SA"/>
              </w:rPr>
            </w:pPr>
            <w:r>
              <w:rPr>
                <w:rFonts w:hint="eastAsia"/>
                <w:color w:val="000000"/>
              </w:rPr>
              <w:t>泄露</w:t>
            </w:r>
          </w:p>
        </w:tc>
        <w:tc>
          <w:tcPr>
            <w:tcW w:w="658" w:type="pct"/>
            <w:vMerge w:val="continue"/>
            <w:tcBorders>
              <w:left w:val="single" w:color="000000" w:sz="4" w:space="0"/>
              <w:right w:val="single" w:color="000000" w:sz="4" w:space="0"/>
            </w:tcBorders>
            <w:noWrap w:val="0"/>
            <w:vAlign w:val="center"/>
          </w:tcPr>
          <w:p w14:paraId="6F414DF7">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1118" w:type="pct"/>
            <w:tcBorders>
              <w:top w:val="single" w:color="auto" w:sz="4" w:space="0"/>
              <w:left w:val="single" w:color="000000" w:sz="4" w:space="0"/>
              <w:right w:val="single" w:color="000000" w:sz="4" w:space="0"/>
            </w:tcBorders>
            <w:noWrap w:val="0"/>
            <w:vAlign w:val="center"/>
          </w:tcPr>
          <w:p w14:paraId="41220828">
            <w:pPr>
              <w:pStyle w:val="127"/>
              <w:keepNext w:val="0"/>
              <w:keepLines w:val="0"/>
              <w:widowControl/>
              <w:suppressLineNumbers w:val="0"/>
              <w:spacing w:before="0" w:beforeAutospacing="0" w:after="0" w:afterAutospacing="0"/>
              <w:ind w:left="0" w:leftChars="0" w:right="0" w:rightChars="0"/>
              <w:rPr>
                <w:rFonts w:hint="eastAsia"/>
                <w:color w:val="000000"/>
                <w:lang w:eastAsia="zh-CN"/>
              </w:rPr>
            </w:pPr>
            <w:r>
              <w:rPr>
                <w:rFonts w:hint="eastAsia" w:ascii="宋体" w:hAnsi="宋体" w:cs="宋体"/>
                <w:szCs w:val="21"/>
              </w:rPr>
              <w:t>不燃，具强腐蚀性、强刺激性</w:t>
            </w:r>
          </w:p>
        </w:tc>
      </w:tr>
      <w:tr w14:paraId="676B1DC6">
        <w:tblPrEx>
          <w:tblCellMar>
            <w:top w:w="0" w:type="dxa"/>
            <w:left w:w="0" w:type="dxa"/>
            <w:bottom w:w="0" w:type="dxa"/>
            <w:right w:w="0" w:type="dxa"/>
          </w:tblCellMar>
        </w:tblPrEx>
        <w:trPr>
          <w:trHeight w:val="397" w:hRule="atLeast"/>
        </w:trPr>
        <w:tc>
          <w:tcPr>
            <w:tcW w:w="284" w:type="pct"/>
            <w:vMerge w:val="continue"/>
            <w:tcBorders>
              <w:left w:val="single" w:color="000000" w:sz="4" w:space="0"/>
              <w:right w:val="single" w:color="000000" w:sz="4" w:space="0"/>
            </w:tcBorders>
            <w:noWrap w:val="0"/>
            <w:vAlign w:val="center"/>
          </w:tcPr>
          <w:p w14:paraId="1B685034">
            <w:pPr>
              <w:pStyle w:val="127"/>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499" w:type="pct"/>
            <w:vMerge w:val="continue"/>
            <w:tcBorders>
              <w:left w:val="single" w:color="000000" w:sz="4" w:space="0"/>
              <w:right w:val="single" w:color="000000" w:sz="4" w:space="0"/>
            </w:tcBorders>
            <w:noWrap w:val="0"/>
            <w:vAlign w:val="center"/>
          </w:tcPr>
          <w:p w14:paraId="1840462A">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959" w:type="pct"/>
            <w:tcBorders>
              <w:top w:val="single" w:color="000000" w:sz="4" w:space="0"/>
              <w:left w:val="single" w:color="000000" w:sz="4" w:space="0"/>
              <w:bottom w:val="single" w:color="000000" w:sz="4" w:space="0"/>
              <w:right w:val="single" w:color="000000" w:sz="4" w:space="0"/>
            </w:tcBorders>
            <w:noWrap w:val="0"/>
            <w:vAlign w:val="center"/>
          </w:tcPr>
          <w:p w14:paraId="2186131E">
            <w:pPr>
              <w:keepNext w:val="0"/>
              <w:keepLines w:val="0"/>
              <w:suppressLineNumbers w:val="0"/>
              <w:spacing w:before="0" w:beforeAutospacing="0" w:after="0" w:afterAutospacing="0" w:line="240" w:lineRule="auto"/>
              <w:ind w:left="0" w:leftChars="0" w:right="0" w:rightChars="0" w:firstLine="0" w:firstLineChars="0"/>
              <w:jc w:val="center"/>
              <w:rPr>
                <w:rFonts w:hint="eastAsia"/>
                <w:color w:val="000000"/>
                <w:lang w:eastAsia="zh-CN"/>
              </w:rPr>
            </w:pPr>
            <w:r>
              <w:rPr>
                <w:rFonts w:hint="eastAsia" w:ascii="宋体" w:hAnsi="宋体" w:cs="宋体"/>
                <w:sz w:val="21"/>
                <w:szCs w:val="21"/>
              </w:rPr>
              <w:t>氯苯</w:t>
            </w:r>
          </w:p>
        </w:tc>
        <w:tc>
          <w:tcPr>
            <w:tcW w:w="768" w:type="pct"/>
            <w:tcBorders>
              <w:top w:val="single" w:color="000000" w:sz="4" w:space="0"/>
              <w:left w:val="single" w:color="000000" w:sz="4" w:space="0"/>
              <w:bottom w:val="single" w:color="000000" w:sz="4" w:space="0"/>
              <w:right w:val="single" w:color="000000" w:sz="4" w:space="0"/>
            </w:tcBorders>
            <w:noWrap w:val="0"/>
            <w:vAlign w:val="center"/>
          </w:tcPr>
          <w:p w14:paraId="160620AE">
            <w:pPr>
              <w:keepNext w:val="0"/>
              <w:keepLines w:val="0"/>
              <w:suppressLineNumbers w:val="0"/>
              <w:spacing w:before="0" w:beforeAutospacing="0" w:after="0" w:afterAutospacing="0" w:line="240" w:lineRule="auto"/>
              <w:ind w:left="0" w:leftChars="0" w:right="0" w:rightChars="0" w:firstLine="0" w:firstLineChars="0"/>
              <w:jc w:val="center"/>
              <w:rPr>
                <w:rFonts w:hint="eastAsia"/>
                <w:color w:val="000000"/>
                <w:lang w:eastAsia="zh-CN"/>
              </w:rPr>
            </w:pPr>
            <w:r>
              <w:rPr>
                <w:rFonts w:hint="eastAsia" w:ascii="宋体" w:hAnsi="宋体" w:cs="宋体"/>
                <w:sz w:val="21"/>
                <w:szCs w:val="21"/>
              </w:rPr>
              <w:t>氯苯</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1242EA">
            <w:pPr>
              <w:pStyle w:val="127"/>
              <w:keepNext w:val="0"/>
              <w:keepLines w:val="0"/>
              <w:widowControl/>
              <w:suppressLineNumbers w:val="0"/>
              <w:spacing w:before="0" w:beforeAutospacing="0" w:after="0" w:afterAutospacing="0"/>
              <w:ind w:left="0" w:leftChars="0" w:right="0" w:rightChars="0"/>
              <w:rPr>
                <w:rFonts w:hint="eastAsia" w:ascii="Times New Roman" w:hAnsi="Times New Roman" w:eastAsia="宋体" w:cs="Times New Roman"/>
                <w:color w:val="000000"/>
                <w:kern w:val="2"/>
                <w:sz w:val="21"/>
                <w:szCs w:val="21"/>
                <w:lang w:val="en-US" w:eastAsia="zh-CN" w:bidi="ar-SA"/>
              </w:rPr>
            </w:pPr>
            <w:r>
              <w:rPr>
                <w:rFonts w:hint="eastAsia"/>
                <w:color w:val="000000"/>
                <w:lang w:eastAsia="zh-CN"/>
              </w:rPr>
              <w:t>火灾、爆炸</w:t>
            </w:r>
          </w:p>
        </w:tc>
        <w:tc>
          <w:tcPr>
            <w:tcW w:w="658" w:type="pct"/>
            <w:vMerge w:val="continue"/>
            <w:tcBorders>
              <w:left w:val="single" w:color="000000" w:sz="4" w:space="0"/>
              <w:right w:val="single" w:color="000000" w:sz="4" w:space="0"/>
            </w:tcBorders>
            <w:noWrap w:val="0"/>
            <w:vAlign w:val="center"/>
          </w:tcPr>
          <w:p w14:paraId="4A0B872C">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1118" w:type="pct"/>
            <w:tcBorders>
              <w:top w:val="single" w:color="auto" w:sz="4" w:space="0"/>
              <w:left w:val="single" w:color="000000" w:sz="4" w:space="0"/>
              <w:right w:val="single" w:color="000000" w:sz="4" w:space="0"/>
            </w:tcBorders>
            <w:noWrap w:val="0"/>
            <w:vAlign w:val="center"/>
          </w:tcPr>
          <w:p w14:paraId="174FB0C7">
            <w:pPr>
              <w:pStyle w:val="127"/>
              <w:keepNext w:val="0"/>
              <w:keepLines w:val="0"/>
              <w:widowControl/>
              <w:suppressLineNumbers w:val="0"/>
              <w:spacing w:before="0" w:beforeAutospacing="0" w:after="0" w:afterAutospacing="0"/>
              <w:ind w:left="0" w:leftChars="0" w:right="0" w:rightChars="0"/>
              <w:rPr>
                <w:rFonts w:hint="eastAsia"/>
                <w:color w:val="000000"/>
                <w:lang w:eastAsia="zh-CN"/>
              </w:rPr>
            </w:pPr>
            <w:r>
              <w:rPr>
                <w:rFonts w:hint="eastAsia" w:ascii="宋体" w:hAnsi="宋体" w:cs="宋体"/>
                <w:szCs w:val="21"/>
              </w:rPr>
              <w:t>遇明火、高热或与氧化剂接触，有引起燃烧爆炸的危险</w:t>
            </w:r>
          </w:p>
        </w:tc>
      </w:tr>
      <w:tr w14:paraId="5D4EE14F">
        <w:tblPrEx>
          <w:tblCellMar>
            <w:top w:w="0" w:type="dxa"/>
            <w:left w:w="0" w:type="dxa"/>
            <w:bottom w:w="0" w:type="dxa"/>
            <w:right w:w="0" w:type="dxa"/>
          </w:tblCellMar>
        </w:tblPrEx>
        <w:trPr>
          <w:trHeight w:val="397" w:hRule="atLeast"/>
        </w:trPr>
        <w:tc>
          <w:tcPr>
            <w:tcW w:w="284" w:type="pct"/>
            <w:vMerge w:val="continue"/>
            <w:tcBorders>
              <w:left w:val="single" w:color="000000" w:sz="4" w:space="0"/>
              <w:right w:val="single" w:color="000000" w:sz="4" w:space="0"/>
            </w:tcBorders>
            <w:noWrap w:val="0"/>
            <w:vAlign w:val="center"/>
          </w:tcPr>
          <w:p w14:paraId="2B9E8A13">
            <w:pPr>
              <w:pStyle w:val="127"/>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499" w:type="pct"/>
            <w:vMerge w:val="continue"/>
            <w:tcBorders>
              <w:left w:val="single" w:color="000000" w:sz="4" w:space="0"/>
              <w:right w:val="single" w:color="000000" w:sz="4" w:space="0"/>
            </w:tcBorders>
            <w:noWrap w:val="0"/>
            <w:vAlign w:val="center"/>
          </w:tcPr>
          <w:p w14:paraId="242EB118">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959" w:type="pct"/>
            <w:tcBorders>
              <w:top w:val="single" w:color="000000" w:sz="4" w:space="0"/>
              <w:left w:val="single" w:color="000000" w:sz="4" w:space="0"/>
              <w:bottom w:val="single" w:color="000000" w:sz="4" w:space="0"/>
              <w:right w:val="single" w:color="000000" w:sz="4" w:space="0"/>
            </w:tcBorders>
            <w:noWrap w:val="0"/>
            <w:vAlign w:val="center"/>
          </w:tcPr>
          <w:p w14:paraId="2818CE3C">
            <w:pPr>
              <w:keepNext w:val="0"/>
              <w:keepLines w:val="0"/>
              <w:suppressLineNumbers w:val="0"/>
              <w:spacing w:before="0" w:beforeAutospacing="0" w:after="0" w:afterAutospacing="0" w:line="240" w:lineRule="auto"/>
              <w:ind w:left="0" w:leftChars="0" w:right="0" w:rightChars="0" w:firstLine="0" w:firstLineChars="0"/>
              <w:jc w:val="center"/>
              <w:rPr>
                <w:rFonts w:hint="eastAsia"/>
                <w:color w:val="000000"/>
                <w:lang w:eastAsia="zh-CN"/>
              </w:rPr>
            </w:pPr>
            <w:r>
              <w:rPr>
                <w:rFonts w:hint="eastAsia" w:ascii="宋体" w:hAnsi="宋体" w:cs="宋体"/>
                <w:sz w:val="21"/>
                <w:szCs w:val="21"/>
              </w:rPr>
              <w:t>氯</w:t>
            </w:r>
          </w:p>
        </w:tc>
        <w:tc>
          <w:tcPr>
            <w:tcW w:w="768" w:type="pct"/>
            <w:tcBorders>
              <w:top w:val="single" w:color="000000" w:sz="4" w:space="0"/>
              <w:left w:val="single" w:color="000000" w:sz="4" w:space="0"/>
              <w:bottom w:val="single" w:color="000000" w:sz="4" w:space="0"/>
              <w:right w:val="single" w:color="000000" w:sz="4" w:space="0"/>
            </w:tcBorders>
            <w:noWrap w:val="0"/>
            <w:vAlign w:val="center"/>
          </w:tcPr>
          <w:p w14:paraId="5E7D9536">
            <w:pPr>
              <w:keepNext w:val="0"/>
              <w:keepLines w:val="0"/>
              <w:suppressLineNumbers w:val="0"/>
              <w:spacing w:before="0" w:beforeAutospacing="0" w:after="0" w:afterAutospacing="0" w:line="240" w:lineRule="auto"/>
              <w:ind w:left="0" w:leftChars="0" w:right="0" w:rightChars="0" w:firstLine="0" w:firstLineChars="0"/>
              <w:jc w:val="center"/>
              <w:rPr>
                <w:rFonts w:hint="eastAsia"/>
                <w:color w:val="000000"/>
                <w:lang w:eastAsia="zh-CN"/>
              </w:rPr>
            </w:pPr>
            <w:r>
              <w:rPr>
                <w:rFonts w:hint="eastAsia" w:ascii="宋体" w:hAnsi="宋体" w:cs="宋体"/>
                <w:sz w:val="21"/>
                <w:szCs w:val="21"/>
              </w:rPr>
              <w:t>氯</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237AFB">
            <w:pPr>
              <w:pStyle w:val="127"/>
              <w:keepNext w:val="0"/>
              <w:keepLines w:val="0"/>
              <w:widowControl/>
              <w:suppressLineNumbers w:val="0"/>
              <w:spacing w:before="0" w:beforeAutospacing="0" w:after="0" w:afterAutospacing="0"/>
              <w:ind w:left="0" w:leftChars="0" w:right="0" w:rightChars="0"/>
              <w:rPr>
                <w:rFonts w:hint="eastAsia" w:ascii="Times New Roman" w:hAnsi="Times New Roman" w:eastAsia="宋体" w:cs="Times New Roman"/>
                <w:color w:val="000000"/>
                <w:kern w:val="2"/>
                <w:sz w:val="21"/>
                <w:szCs w:val="21"/>
                <w:lang w:val="en-US" w:eastAsia="zh-CN" w:bidi="ar-SA"/>
              </w:rPr>
            </w:pPr>
            <w:r>
              <w:rPr>
                <w:rFonts w:hint="eastAsia"/>
                <w:color w:val="000000"/>
              </w:rPr>
              <w:t>泄露</w:t>
            </w:r>
          </w:p>
        </w:tc>
        <w:tc>
          <w:tcPr>
            <w:tcW w:w="658" w:type="pct"/>
            <w:vMerge w:val="continue"/>
            <w:tcBorders>
              <w:left w:val="single" w:color="000000" w:sz="4" w:space="0"/>
              <w:right w:val="single" w:color="000000" w:sz="4" w:space="0"/>
            </w:tcBorders>
            <w:noWrap w:val="0"/>
            <w:vAlign w:val="center"/>
          </w:tcPr>
          <w:p w14:paraId="75D3FEA0">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1118" w:type="pct"/>
            <w:tcBorders>
              <w:top w:val="single" w:color="auto" w:sz="4" w:space="0"/>
              <w:left w:val="single" w:color="000000" w:sz="4" w:space="0"/>
              <w:right w:val="single" w:color="000000" w:sz="4" w:space="0"/>
            </w:tcBorders>
            <w:noWrap w:val="0"/>
            <w:vAlign w:val="center"/>
          </w:tcPr>
          <w:p w14:paraId="090C2DD6">
            <w:pPr>
              <w:pStyle w:val="127"/>
              <w:keepNext w:val="0"/>
              <w:keepLines w:val="0"/>
              <w:widowControl/>
              <w:suppressLineNumbers w:val="0"/>
              <w:spacing w:before="0" w:beforeAutospacing="0" w:after="0" w:afterAutospacing="0"/>
              <w:ind w:left="0" w:leftChars="0" w:right="0" w:rightChars="0"/>
              <w:rPr>
                <w:rFonts w:hint="eastAsia"/>
                <w:color w:val="000000"/>
                <w:lang w:eastAsia="zh-CN"/>
              </w:rPr>
            </w:pPr>
            <w:r>
              <w:rPr>
                <w:rFonts w:hint="eastAsia" w:ascii="宋体" w:hAnsi="宋体" w:cs="宋体"/>
                <w:szCs w:val="21"/>
              </w:rPr>
              <w:t>助燃，高毒</w:t>
            </w:r>
          </w:p>
        </w:tc>
      </w:tr>
      <w:tr w14:paraId="6EF571A4">
        <w:tblPrEx>
          <w:tblCellMar>
            <w:top w:w="0" w:type="dxa"/>
            <w:left w:w="0" w:type="dxa"/>
            <w:bottom w:w="0" w:type="dxa"/>
            <w:right w:w="0" w:type="dxa"/>
          </w:tblCellMar>
        </w:tblPrEx>
        <w:trPr>
          <w:trHeight w:val="397" w:hRule="atLeast"/>
        </w:trPr>
        <w:tc>
          <w:tcPr>
            <w:tcW w:w="284" w:type="pct"/>
            <w:vMerge w:val="continue"/>
            <w:tcBorders>
              <w:left w:val="single" w:color="000000" w:sz="4" w:space="0"/>
              <w:right w:val="single" w:color="000000" w:sz="4" w:space="0"/>
            </w:tcBorders>
            <w:noWrap w:val="0"/>
            <w:vAlign w:val="center"/>
          </w:tcPr>
          <w:p w14:paraId="5E901800">
            <w:pPr>
              <w:pStyle w:val="127"/>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499" w:type="pct"/>
            <w:vMerge w:val="continue"/>
            <w:tcBorders>
              <w:left w:val="single" w:color="000000" w:sz="4" w:space="0"/>
              <w:right w:val="single" w:color="000000" w:sz="4" w:space="0"/>
            </w:tcBorders>
            <w:noWrap w:val="0"/>
            <w:vAlign w:val="center"/>
          </w:tcPr>
          <w:p w14:paraId="17A7E952">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959" w:type="pct"/>
            <w:tcBorders>
              <w:top w:val="single" w:color="000000" w:sz="4" w:space="0"/>
              <w:left w:val="single" w:color="000000" w:sz="4" w:space="0"/>
              <w:bottom w:val="single" w:color="000000" w:sz="4" w:space="0"/>
              <w:right w:val="single" w:color="000000" w:sz="4" w:space="0"/>
            </w:tcBorders>
            <w:noWrap w:val="0"/>
            <w:vAlign w:val="center"/>
          </w:tcPr>
          <w:p w14:paraId="64CEB5A7">
            <w:pPr>
              <w:keepNext w:val="0"/>
              <w:keepLines w:val="0"/>
              <w:suppressLineNumbers w:val="0"/>
              <w:adjustRightInd w:val="0"/>
              <w:snapToGrid w:val="0"/>
              <w:spacing w:before="62" w:beforeLines="20" w:beforeAutospacing="0" w:after="62" w:afterLines="20" w:afterAutospacing="0"/>
              <w:ind w:left="0" w:right="0"/>
              <w:jc w:val="center"/>
              <w:rPr>
                <w:rFonts w:hint="eastAsia"/>
                <w:color w:val="000000"/>
                <w:lang w:eastAsia="zh-CN"/>
              </w:rPr>
            </w:pPr>
            <w:r>
              <w:rPr>
                <w:rFonts w:hint="eastAsia" w:ascii="宋体" w:hAnsi="宋体" w:cs="宋体"/>
                <w:sz w:val="21"/>
                <w:szCs w:val="21"/>
              </w:rPr>
              <w:t>三氯氧磷</w:t>
            </w:r>
          </w:p>
        </w:tc>
        <w:tc>
          <w:tcPr>
            <w:tcW w:w="768" w:type="pct"/>
            <w:tcBorders>
              <w:top w:val="single" w:color="000000" w:sz="4" w:space="0"/>
              <w:left w:val="single" w:color="000000" w:sz="4" w:space="0"/>
              <w:bottom w:val="single" w:color="000000" w:sz="4" w:space="0"/>
              <w:right w:val="single" w:color="000000" w:sz="4" w:space="0"/>
            </w:tcBorders>
            <w:noWrap w:val="0"/>
            <w:vAlign w:val="center"/>
          </w:tcPr>
          <w:p w14:paraId="602BD930">
            <w:pPr>
              <w:keepNext w:val="0"/>
              <w:keepLines w:val="0"/>
              <w:suppressLineNumbers w:val="0"/>
              <w:adjustRightInd w:val="0"/>
              <w:snapToGrid w:val="0"/>
              <w:spacing w:before="62" w:beforeLines="20" w:beforeAutospacing="0" w:after="62" w:afterLines="20" w:afterAutospacing="0"/>
              <w:ind w:left="0" w:right="0"/>
              <w:jc w:val="center"/>
              <w:rPr>
                <w:rFonts w:hint="eastAsia"/>
                <w:color w:val="000000"/>
                <w:lang w:eastAsia="zh-CN"/>
              </w:rPr>
            </w:pPr>
            <w:r>
              <w:rPr>
                <w:rFonts w:hint="eastAsia" w:ascii="宋体" w:hAnsi="宋体" w:cs="宋体"/>
                <w:sz w:val="21"/>
                <w:szCs w:val="21"/>
              </w:rPr>
              <w:t>三氯氧磷</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332127">
            <w:pPr>
              <w:pStyle w:val="127"/>
              <w:keepNext w:val="0"/>
              <w:keepLines w:val="0"/>
              <w:widowControl/>
              <w:suppressLineNumbers w:val="0"/>
              <w:spacing w:before="0" w:beforeAutospacing="0" w:after="0" w:afterAutospacing="0"/>
              <w:ind w:left="0" w:leftChars="0" w:right="0" w:rightChars="0"/>
              <w:rPr>
                <w:rFonts w:hint="eastAsia" w:ascii="Times New Roman" w:hAnsi="Times New Roman" w:eastAsia="宋体" w:cs="Times New Roman"/>
                <w:color w:val="000000"/>
                <w:kern w:val="2"/>
                <w:sz w:val="21"/>
                <w:szCs w:val="21"/>
                <w:lang w:val="en-US" w:eastAsia="zh-CN" w:bidi="ar-SA"/>
              </w:rPr>
            </w:pPr>
            <w:r>
              <w:rPr>
                <w:rFonts w:hint="eastAsia"/>
                <w:color w:val="000000"/>
              </w:rPr>
              <w:t>泄露</w:t>
            </w:r>
          </w:p>
        </w:tc>
        <w:tc>
          <w:tcPr>
            <w:tcW w:w="658" w:type="pct"/>
            <w:vMerge w:val="continue"/>
            <w:tcBorders>
              <w:left w:val="single" w:color="000000" w:sz="4" w:space="0"/>
              <w:right w:val="single" w:color="000000" w:sz="4" w:space="0"/>
            </w:tcBorders>
            <w:noWrap w:val="0"/>
            <w:vAlign w:val="center"/>
          </w:tcPr>
          <w:p w14:paraId="5E4F19FF">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1118" w:type="pct"/>
            <w:tcBorders>
              <w:top w:val="single" w:color="auto" w:sz="4" w:space="0"/>
              <w:left w:val="single" w:color="000000" w:sz="4" w:space="0"/>
              <w:right w:val="single" w:color="000000" w:sz="4" w:space="0"/>
            </w:tcBorders>
            <w:noWrap w:val="0"/>
            <w:vAlign w:val="center"/>
          </w:tcPr>
          <w:p w14:paraId="4D17F882">
            <w:pPr>
              <w:pStyle w:val="127"/>
              <w:keepNext w:val="0"/>
              <w:keepLines w:val="0"/>
              <w:widowControl/>
              <w:suppressLineNumbers w:val="0"/>
              <w:spacing w:before="0" w:beforeAutospacing="0" w:after="0" w:afterAutospacing="0"/>
              <w:ind w:left="0" w:leftChars="0" w:right="0" w:rightChars="0"/>
              <w:rPr>
                <w:rFonts w:hint="eastAsia"/>
                <w:color w:val="000000"/>
                <w:lang w:eastAsia="zh-CN"/>
              </w:rPr>
            </w:pPr>
            <w:r>
              <w:rPr>
                <w:rFonts w:hint="eastAsia" w:ascii="宋体" w:hAnsi="宋体" w:cs="宋体"/>
                <w:szCs w:val="21"/>
              </w:rPr>
              <w:t>不燃</w:t>
            </w:r>
            <w:r>
              <w:rPr>
                <w:rFonts w:hint="eastAsia" w:ascii="宋体" w:hAnsi="宋体" w:cs="宋体"/>
                <w:szCs w:val="21"/>
                <w:lang w:eastAsia="zh-CN"/>
              </w:rPr>
              <w:t>，有毒</w:t>
            </w:r>
          </w:p>
        </w:tc>
      </w:tr>
      <w:tr w14:paraId="7B0F9396">
        <w:tblPrEx>
          <w:tblCellMar>
            <w:top w:w="0" w:type="dxa"/>
            <w:left w:w="0" w:type="dxa"/>
            <w:bottom w:w="0" w:type="dxa"/>
            <w:right w:w="0" w:type="dxa"/>
          </w:tblCellMar>
        </w:tblPrEx>
        <w:trPr>
          <w:trHeight w:val="397" w:hRule="atLeast"/>
        </w:trPr>
        <w:tc>
          <w:tcPr>
            <w:tcW w:w="284" w:type="pct"/>
            <w:vMerge w:val="continue"/>
            <w:tcBorders>
              <w:left w:val="single" w:color="000000" w:sz="4" w:space="0"/>
              <w:right w:val="single" w:color="000000" w:sz="4" w:space="0"/>
            </w:tcBorders>
            <w:noWrap w:val="0"/>
            <w:vAlign w:val="center"/>
          </w:tcPr>
          <w:p w14:paraId="60691C17">
            <w:pPr>
              <w:pStyle w:val="127"/>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499" w:type="pct"/>
            <w:vMerge w:val="continue"/>
            <w:tcBorders>
              <w:left w:val="single" w:color="000000" w:sz="4" w:space="0"/>
              <w:right w:val="single" w:color="000000" w:sz="4" w:space="0"/>
            </w:tcBorders>
            <w:noWrap w:val="0"/>
            <w:vAlign w:val="center"/>
          </w:tcPr>
          <w:p w14:paraId="746168DF">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959" w:type="pct"/>
            <w:tcBorders>
              <w:top w:val="single" w:color="000000" w:sz="4" w:space="0"/>
              <w:left w:val="single" w:color="000000" w:sz="4" w:space="0"/>
              <w:bottom w:val="single" w:color="000000" w:sz="4" w:space="0"/>
              <w:right w:val="single" w:color="000000" w:sz="4" w:space="0"/>
            </w:tcBorders>
            <w:noWrap w:val="0"/>
            <w:vAlign w:val="center"/>
          </w:tcPr>
          <w:p w14:paraId="2AB9E837">
            <w:pPr>
              <w:keepNext w:val="0"/>
              <w:keepLines w:val="0"/>
              <w:suppressLineNumbers w:val="0"/>
              <w:adjustRightInd w:val="0"/>
              <w:snapToGrid w:val="0"/>
              <w:spacing w:before="62" w:beforeLines="20" w:beforeAutospacing="0" w:after="62" w:afterLines="20" w:afterAutospacing="0"/>
              <w:ind w:left="0" w:right="0"/>
              <w:jc w:val="center"/>
              <w:rPr>
                <w:rFonts w:hint="eastAsia"/>
                <w:color w:val="000000"/>
                <w:lang w:eastAsia="zh-CN"/>
              </w:rPr>
            </w:pPr>
            <w:r>
              <w:rPr>
                <w:rFonts w:hint="eastAsia" w:ascii="宋体" w:hAnsi="宋体" w:cs="宋体"/>
                <w:sz w:val="21"/>
                <w:szCs w:val="21"/>
              </w:rPr>
              <w:t>乙醇胺</w:t>
            </w:r>
          </w:p>
        </w:tc>
        <w:tc>
          <w:tcPr>
            <w:tcW w:w="768" w:type="pct"/>
            <w:tcBorders>
              <w:top w:val="single" w:color="000000" w:sz="4" w:space="0"/>
              <w:left w:val="single" w:color="000000" w:sz="4" w:space="0"/>
              <w:bottom w:val="single" w:color="000000" w:sz="4" w:space="0"/>
              <w:right w:val="single" w:color="000000" w:sz="4" w:space="0"/>
            </w:tcBorders>
            <w:noWrap w:val="0"/>
            <w:vAlign w:val="center"/>
          </w:tcPr>
          <w:p w14:paraId="4F1DAC16">
            <w:pPr>
              <w:keepNext w:val="0"/>
              <w:keepLines w:val="0"/>
              <w:suppressLineNumbers w:val="0"/>
              <w:adjustRightInd w:val="0"/>
              <w:snapToGrid w:val="0"/>
              <w:spacing w:before="62" w:beforeLines="20" w:beforeAutospacing="0" w:after="62" w:afterLines="20" w:afterAutospacing="0"/>
              <w:ind w:left="0" w:right="0"/>
              <w:jc w:val="center"/>
              <w:rPr>
                <w:rFonts w:hint="eastAsia"/>
                <w:color w:val="000000"/>
                <w:lang w:eastAsia="zh-CN"/>
              </w:rPr>
            </w:pPr>
            <w:r>
              <w:rPr>
                <w:rFonts w:hint="eastAsia" w:ascii="宋体" w:hAnsi="宋体" w:cs="宋体"/>
                <w:sz w:val="21"/>
                <w:szCs w:val="21"/>
              </w:rPr>
              <w:t>乙醇胺</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2A3B0D">
            <w:pPr>
              <w:pStyle w:val="127"/>
              <w:keepNext w:val="0"/>
              <w:keepLines w:val="0"/>
              <w:widowControl/>
              <w:suppressLineNumbers w:val="0"/>
              <w:spacing w:before="0" w:beforeAutospacing="0" w:after="0" w:afterAutospacing="0"/>
              <w:ind w:left="0" w:leftChars="0" w:right="0" w:rightChars="0"/>
              <w:rPr>
                <w:rFonts w:hint="eastAsia" w:ascii="Times New Roman" w:hAnsi="Times New Roman" w:eastAsia="宋体" w:cs="Times New Roman"/>
                <w:color w:val="000000"/>
                <w:kern w:val="2"/>
                <w:sz w:val="21"/>
                <w:szCs w:val="21"/>
                <w:lang w:val="en-US" w:eastAsia="zh-CN" w:bidi="ar-SA"/>
              </w:rPr>
            </w:pPr>
            <w:r>
              <w:rPr>
                <w:rFonts w:hint="eastAsia"/>
                <w:color w:val="000000"/>
              </w:rPr>
              <w:t>泄露</w:t>
            </w:r>
            <w:r>
              <w:rPr>
                <w:rFonts w:hint="eastAsia"/>
                <w:color w:val="000000"/>
                <w:lang w:eastAsia="zh-CN"/>
              </w:rPr>
              <w:t>、火灾</w:t>
            </w:r>
          </w:p>
        </w:tc>
        <w:tc>
          <w:tcPr>
            <w:tcW w:w="658" w:type="pct"/>
            <w:vMerge w:val="continue"/>
            <w:tcBorders>
              <w:left w:val="single" w:color="000000" w:sz="4" w:space="0"/>
              <w:right w:val="single" w:color="000000" w:sz="4" w:space="0"/>
            </w:tcBorders>
            <w:noWrap w:val="0"/>
            <w:vAlign w:val="center"/>
          </w:tcPr>
          <w:p w14:paraId="7852B4B3">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1118" w:type="pct"/>
            <w:tcBorders>
              <w:top w:val="single" w:color="auto" w:sz="4" w:space="0"/>
              <w:left w:val="single" w:color="000000" w:sz="4" w:space="0"/>
              <w:right w:val="single" w:color="000000" w:sz="4" w:space="0"/>
            </w:tcBorders>
            <w:noWrap w:val="0"/>
            <w:vAlign w:val="center"/>
          </w:tcPr>
          <w:p w14:paraId="25148394">
            <w:pPr>
              <w:pStyle w:val="127"/>
              <w:keepNext w:val="0"/>
              <w:keepLines w:val="0"/>
              <w:widowControl/>
              <w:suppressLineNumbers w:val="0"/>
              <w:spacing w:before="0" w:beforeAutospacing="0" w:after="0" w:afterAutospacing="0"/>
              <w:ind w:left="0" w:leftChars="0" w:right="0" w:rightChars="0"/>
              <w:rPr>
                <w:rFonts w:hint="eastAsia"/>
                <w:color w:val="000000"/>
                <w:lang w:eastAsia="zh-CN"/>
              </w:rPr>
            </w:pPr>
            <w:r>
              <w:rPr>
                <w:rFonts w:hint="eastAsia" w:ascii="宋体" w:hAnsi="宋体" w:cs="宋体"/>
                <w:szCs w:val="21"/>
              </w:rPr>
              <w:t>遇明火、高热可燃</w:t>
            </w:r>
          </w:p>
        </w:tc>
      </w:tr>
      <w:tr w14:paraId="336394FB">
        <w:tblPrEx>
          <w:tblCellMar>
            <w:top w:w="0" w:type="dxa"/>
            <w:left w:w="0" w:type="dxa"/>
            <w:bottom w:w="0" w:type="dxa"/>
            <w:right w:w="0" w:type="dxa"/>
          </w:tblCellMar>
        </w:tblPrEx>
        <w:trPr>
          <w:trHeight w:val="397" w:hRule="atLeast"/>
        </w:trPr>
        <w:tc>
          <w:tcPr>
            <w:tcW w:w="284" w:type="pct"/>
            <w:vMerge w:val="continue"/>
            <w:tcBorders>
              <w:left w:val="single" w:color="000000" w:sz="4" w:space="0"/>
              <w:bottom w:val="single" w:color="auto" w:sz="4" w:space="0"/>
              <w:right w:val="single" w:color="000000" w:sz="4" w:space="0"/>
            </w:tcBorders>
            <w:noWrap w:val="0"/>
            <w:vAlign w:val="center"/>
          </w:tcPr>
          <w:p w14:paraId="00C680D3">
            <w:pPr>
              <w:pStyle w:val="127"/>
              <w:keepNext w:val="0"/>
              <w:keepLines w:val="0"/>
              <w:widowControl/>
              <w:suppressLineNumbers w:val="0"/>
              <w:spacing w:before="0" w:beforeAutospacing="0" w:after="0" w:afterAutospacing="0"/>
              <w:ind w:left="0" w:right="0"/>
              <w:rPr>
                <w:rFonts w:hint="eastAsia" w:cs="Times New Roman"/>
                <w:color w:val="000000"/>
                <w:lang w:val="en-US" w:eastAsia="zh-CN"/>
              </w:rPr>
            </w:pPr>
          </w:p>
        </w:tc>
        <w:tc>
          <w:tcPr>
            <w:tcW w:w="499" w:type="pct"/>
            <w:vMerge w:val="continue"/>
            <w:tcBorders>
              <w:left w:val="single" w:color="000000" w:sz="4" w:space="0"/>
              <w:right w:val="single" w:color="000000" w:sz="4" w:space="0"/>
            </w:tcBorders>
            <w:noWrap w:val="0"/>
            <w:vAlign w:val="center"/>
          </w:tcPr>
          <w:p w14:paraId="662AD312">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959" w:type="pct"/>
            <w:tcBorders>
              <w:top w:val="single" w:color="000000" w:sz="4" w:space="0"/>
              <w:left w:val="single" w:color="000000" w:sz="4" w:space="0"/>
              <w:bottom w:val="single" w:color="000000" w:sz="4" w:space="0"/>
              <w:right w:val="single" w:color="000000" w:sz="4" w:space="0"/>
            </w:tcBorders>
            <w:noWrap w:val="0"/>
            <w:vAlign w:val="center"/>
          </w:tcPr>
          <w:p w14:paraId="1B9BE612">
            <w:pPr>
              <w:pStyle w:val="127"/>
              <w:keepNext w:val="0"/>
              <w:keepLines w:val="0"/>
              <w:widowControl/>
              <w:suppressLineNumbers w:val="0"/>
              <w:spacing w:before="0" w:beforeAutospacing="0" w:after="0" w:afterAutospacing="0"/>
              <w:ind w:left="0" w:leftChars="0" w:right="0" w:rightChars="0"/>
              <w:rPr>
                <w:rFonts w:hint="eastAsia" w:ascii="Times New Roman" w:hAnsi="Times New Roman" w:eastAsia="宋体" w:cs="Times New Roman"/>
                <w:color w:val="000000"/>
                <w:kern w:val="2"/>
                <w:sz w:val="21"/>
                <w:szCs w:val="21"/>
                <w:lang w:val="en-US" w:eastAsia="zh-CN" w:bidi="ar-SA"/>
              </w:rPr>
            </w:pPr>
            <w:r>
              <w:rPr>
                <w:rFonts w:hint="eastAsia" w:ascii="宋体" w:hAnsi="宋体" w:cs="宋体"/>
                <w:sz w:val="21"/>
                <w:szCs w:val="21"/>
              </w:rPr>
              <w:t>氨</w:t>
            </w:r>
          </w:p>
        </w:tc>
        <w:tc>
          <w:tcPr>
            <w:tcW w:w="768" w:type="pct"/>
            <w:tcBorders>
              <w:top w:val="single" w:color="000000" w:sz="4" w:space="0"/>
              <w:left w:val="single" w:color="000000" w:sz="4" w:space="0"/>
              <w:bottom w:val="single" w:color="000000" w:sz="4" w:space="0"/>
              <w:right w:val="single" w:color="000000" w:sz="4" w:space="0"/>
            </w:tcBorders>
            <w:noWrap w:val="0"/>
            <w:vAlign w:val="center"/>
          </w:tcPr>
          <w:p w14:paraId="137870A4">
            <w:pPr>
              <w:pStyle w:val="127"/>
              <w:keepNext w:val="0"/>
              <w:keepLines w:val="0"/>
              <w:widowControl/>
              <w:suppressLineNumbers w:val="0"/>
              <w:spacing w:before="0" w:beforeAutospacing="0" w:after="0" w:afterAutospacing="0"/>
              <w:ind w:left="0" w:leftChars="0" w:right="0" w:rightChars="0"/>
              <w:rPr>
                <w:rFonts w:hint="eastAsia" w:ascii="Times New Roman" w:hAnsi="Times New Roman" w:eastAsia="宋体" w:cs="Times New Roman"/>
                <w:color w:val="000000"/>
                <w:kern w:val="2"/>
                <w:sz w:val="21"/>
                <w:szCs w:val="21"/>
                <w:lang w:val="en-US" w:eastAsia="zh-CN" w:bidi="ar-SA"/>
              </w:rPr>
            </w:pPr>
            <w:r>
              <w:rPr>
                <w:rFonts w:hint="eastAsia" w:ascii="宋体" w:hAnsi="宋体" w:cs="宋体"/>
                <w:sz w:val="21"/>
                <w:szCs w:val="21"/>
              </w:rPr>
              <w:t>氨</w:t>
            </w:r>
          </w:p>
        </w:tc>
        <w:tc>
          <w:tcPr>
            <w:tcW w:w="71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A1F4CD">
            <w:pPr>
              <w:pStyle w:val="127"/>
              <w:keepNext w:val="0"/>
              <w:keepLines w:val="0"/>
              <w:widowControl/>
              <w:suppressLineNumbers w:val="0"/>
              <w:spacing w:before="0" w:beforeAutospacing="0" w:after="0" w:afterAutospacing="0"/>
              <w:ind w:left="0" w:leftChars="0" w:right="0" w:rightChars="0"/>
              <w:rPr>
                <w:rFonts w:hint="eastAsia" w:ascii="Times New Roman" w:hAnsi="Times New Roman" w:eastAsia="宋体" w:cs="Times New Roman"/>
                <w:color w:val="000000"/>
                <w:kern w:val="2"/>
                <w:sz w:val="21"/>
                <w:szCs w:val="21"/>
                <w:lang w:val="en-US" w:eastAsia="zh-CN" w:bidi="ar-SA"/>
              </w:rPr>
            </w:pPr>
            <w:r>
              <w:rPr>
                <w:rFonts w:hint="eastAsia"/>
                <w:color w:val="000000"/>
              </w:rPr>
              <w:t>泄露</w:t>
            </w:r>
            <w:r>
              <w:rPr>
                <w:rFonts w:hint="eastAsia"/>
                <w:color w:val="000000"/>
                <w:lang w:eastAsia="zh-CN"/>
              </w:rPr>
              <w:t>、火灾</w:t>
            </w:r>
          </w:p>
        </w:tc>
        <w:tc>
          <w:tcPr>
            <w:tcW w:w="658" w:type="pct"/>
            <w:vMerge w:val="continue"/>
            <w:tcBorders>
              <w:left w:val="single" w:color="000000" w:sz="4" w:space="0"/>
              <w:bottom w:val="single" w:color="auto" w:sz="4" w:space="0"/>
              <w:right w:val="single" w:color="000000" w:sz="4" w:space="0"/>
            </w:tcBorders>
            <w:noWrap w:val="0"/>
            <w:vAlign w:val="center"/>
          </w:tcPr>
          <w:p w14:paraId="52777A47">
            <w:pPr>
              <w:pStyle w:val="127"/>
              <w:keepNext w:val="0"/>
              <w:keepLines w:val="0"/>
              <w:widowControl/>
              <w:suppressLineNumbers w:val="0"/>
              <w:spacing w:before="0" w:beforeAutospacing="0" w:after="0" w:afterAutospacing="0"/>
              <w:ind w:left="0" w:right="0"/>
              <w:rPr>
                <w:rFonts w:hint="eastAsia"/>
                <w:color w:val="000000"/>
                <w:lang w:eastAsia="zh-CN"/>
              </w:rPr>
            </w:pPr>
          </w:p>
        </w:tc>
        <w:tc>
          <w:tcPr>
            <w:tcW w:w="1118" w:type="pct"/>
            <w:tcBorders>
              <w:top w:val="single" w:color="auto" w:sz="4" w:space="0"/>
              <w:left w:val="single" w:color="000000" w:sz="4" w:space="0"/>
              <w:right w:val="single" w:color="000000" w:sz="4" w:space="0"/>
            </w:tcBorders>
            <w:noWrap w:val="0"/>
            <w:vAlign w:val="center"/>
          </w:tcPr>
          <w:p w14:paraId="566F3EA3">
            <w:pPr>
              <w:pStyle w:val="127"/>
              <w:keepNext w:val="0"/>
              <w:keepLines w:val="0"/>
              <w:widowControl/>
              <w:suppressLineNumbers w:val="0"/>
              <w:spacing w:before="0" w:beforeAutospacing="0" w:after="0" w:afterAutospacing="0"/>
              <w:ind w:left="0" w:leftChars="0" w:right="0" w:rightChars="0"/>
              <w:rPr>
                <w:rFonts w:hint="eastAsia"/>
                <w:color w:val="000000"/>
                <w:lang w:eastAsia="zh-CN"/>
              </w:rPr>
            </w:pPr>
            <w:r>
              <w:rPr>
                <w:rFonts w:hint="eastAsia" w:ascii="宋体" w:hAnsi="宋体" w:cs="宋体"/>
                <w:szCs w:val="21"/>
              </w:rPr>
              <w:t>易燃，有毒</w:t>
            </w:r>
          </w:p>
        </w:tc>
      </w:tr>
    </w:tbl>
    <w:p w14:paraId="4FFAEFD4">
      <w:pPr>
        <w:adjustRightInd w:val="0"/>
        <w:snapToGrid w:val="0"/>
        <w:spacing w:line="360" w:lineRule="auto"/>
        <w:jc w:val="both"/>
        <w:rPr>
          <w:rFonts w:hint="default" w:ascii="Times New Roman" w:hAnsi="Times New Roman" w:cs="Times New Roman"/>
          <w:b/>
          <w:bCs/>
          <w:color w:val="auto"/>
          <w:sz w:val="24"/>
          <w:highlight w:val="none"/>
        </w:rPr>
      </w:pPr>
    </w:p>
    <w:p w14:paraId="1306B0D7">
      <w:pPr>
        <w:spacing w:before="0" w:after="0"/>
        <w:outlineLvl w:val="9"/>
        <w:rPr>
          <w:rFonts w:hint="default" w:ascii="Times New Roman" w:hAnsi="Times New Roman" w:eastAsia="宋体" w:cs="Times New Roman"/>
          <w:b/>
          <w:bCs/>
          <w:color w:val="auto"/>
          <w:sz w:val="24"/>
          <w:szCs w:val="32"/>
          <w:highlight w:val="none"/>
        </w:rPr>
      </w:pPr>
      <w:r>
        <w:rPr>
          <w:rFonts w:hint="default" w:ascii="Times New Roman" w:hAnsi="Times New Roman" w:eastAsia="宋体" w:cs="Times New Roman"/>
          <w:b/>
          <w:bCs/>
          <w:color w:val="auto"/>
          <w:sz w:val="24"/>
          <w:szCs w:val="32"/>
          <w:highlight w:val="none"/>
        </w:rPr>
        <w:t>3.6.2现有环境风险防控</w:t>
      </w:r>
      <w:r>
        <w:rPr>
          <w:rFonts w:hint="default" w:ascii="Times New Roman" w:hAnsi="Times New Roman" w:eastAsia="宋体" w:cs="Times New Roman"/>
          <w:b/>
          <w:bCs/>
          <w:color w:val="auto"/>
          <w:sz w:val="24"/>
          <w:szCs w:val="32"/>
          <w:highlight w:val="none"/>
          <w:lang w:eastAsia="zh-CN"/>
        </w:rPr>
        <w:t>与应急措施</w:t>
      </w:r>
      <w:r>
        <w:rPr>
          <w:rFonts w:hint="default" w:ascii="Times New Roman" w:hAnsi="Times New Roman" w:eastAsia="宋体" w:cs="Times New Roman"/>
          <w:b/>
          <w:bCs/>
          <w:color w:val="auto"/>
          <w:sz w:val="24"/>
          <w:szCs w:val="32"/>
          <w:highlight w:val="none"/>
        </w:rPr>
        <w:t>情况</w:t>
      </w:r>
    </w:p>
    <w:p w14:paraId="3024ADCC">
      <w:pPr>
        <w:keepNext w:val="0"/>
        <w:keepLines w:val="0"/>
        <w:pageBreakBefore w:val="0"/>
        <w:widowControl/>
        <w:kinsoku/>
        <w:wordWrap/>
        <w:overflowPunct/>
        <w:topLinePunct w:val="0"/>
        <w:autoSpaceDE/>
        <w:autoSpaceDN/>
        <w:bidi w:val="0"/>
        <w:adjustRightInd w:val="0"/>
        <w:snapToGrid w:val="0"/>
        <w:spacing w:line="360" w:lineRule="auto"/>
        <w:ind w:firstLine="478" w:firstLineChars="200"/>
        <w:textAlignment w:val="auto"/>
        <w:rPr>
          <w:rFonts w:hint="default" w:ascii="Times New Roman" w:hAnsi="Times New Roman" w:cs="Times New Roman"/>
          <w:color w:val="auto"/>
          <w:spacing w:val="-2"/>
          <w:kern w:val="0"/>
          <w:sz w:val="24"/>
          <w:highlight w:val="none"/>
        </w:rPr>
      </w:pPr>
      <w:bookmarkStart w:id="82" w:name="_Toc401654923"/>
      <w:r>
        <w:rPr>
          <w:rFonts w:hint="default" w:ascii="Times New Roman" w:hAnsi="Times New Roman" w:cs="Times New Roman"/>
          <w:color w:val="auto"/>
          <w:spacing w:val="-2"/>
          <w:kern w:val="0"/>
          <w:sz w:val="24"/>
          <w:highlight w:val="none"/>
        </w:rPr>
        <w:t>1、截流措施</w:t>
      </w:r>
    </w:p>
    <w:p w14:paraId="27E4FF46">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78" w:firstLineChars="200"/>
        <w:jc w:val="both"/>
        <w:textAlignment w:val="auto"/>
        <w:outlineLvl w:val="9"/>
        <w:rPr>
          <w:rFonts w:hint="default" w:ascii="Times New Roman" w:hAnsi="Times New Roman" w:cs="Times New Roman"/>
          <w:color w:val="auto"/>
          <w:spacing w:val="-2"/>
          <w:kern w:val="0"/>
          <w:sz w:val="24"/>
          <w:szCs w:val="24"/>
          <w:highlight w:val="none"/>
          <w:lang w:val="fr-FR"/>
        </w:rPr>
      </w:pPr>
      <w:r>
        <w:rPr>
          <w:rFonts w:hint="default" w:ascii="Times New Roman" w:hAnsi="Times New Roman" w:cs="Times New Roman"/>
          <w:color w:val="auto"/>
          <w:spacing w:val="-2"/>
          <w:kern w:val="0"/>
          <w:sz w:val="24"/>
          <w:szCs w:val="24"/>
          <w:highlight w:val="none"/>
          <w:lang w:val="fr-FR"/>
        </w:rPr>
        <w:t>（1）生产过程中选用密封良好的输送泵，工艺管线密封防腐防泄漏，生产装置基本在室内车间，设备配套的阀门、仪表接头等密闭，基本无跑、冒、滴、漏现象，液体储罐、相应设备防腐蚀、设备严密不漏。</w:t>
      </w:r>
    </w:p>
    <w:p w14:paraId="4C35E28A">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78" w:firstLineChars="200"/>
        <w:jc w:val="both"/>
        <w:textAlignment w:val="auto"/>
        <w:outlineLvl w:val="9"/>
        <w:rPr>
          <w:rFonts w:hint="default" w:ascii="Times New Roman" w:hAnsi="Times New Roman" w:cs="Times New Roman"/>
          <w:color w:val="auto"/>
          <w:spacing w:val="-2"/>
          <w:kern w:val="0"/>
          <w:sz w:val="24"/>
          <w:szCs w:val="24"/>
          <w:highlight w:val="none"/>
          <w:lang w:val="fr-FR"/>
        </w:rPr>
      </w:pPr>
      <w:r>
        <w:rPr>
          <w:rFonts w:hint="default" w:ascii="Times New Roman" w:hAnsi="Times New Roman" w:cs="Times New Roman"/>
          <w:color w:val="auto"/>
          <w:spacing w:val="-2"/>
          <w:kern w:val="0"/>
          <w:sz w:val="24"/>
          <w:szCs w:val="24"/>
          <w:highlight w:val="none"/>
          <w:lang w:val="fr-FR"/>
        </w:rPr>
        <w:t>（2）罐区地面铺设防腐防渗层，罐区四周设有围堰。</w:t>
      </w:r>
    </w:p>
    <w:p w14:paraId="018A234C">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78" w:firstLineChars="200"/>
        <w:jc w:val="both"/>
        <w:textAlignment w:val="auto"/>
        <w:outlineLvl w:val="9"/>
        <w:rPr>
          <w:rFonts w:hint="default" w:ascii="Times New Roman" w:hAnsi="Times New Roman" w:cs="Times New Roman"/>
          <w:color w:val="auto"/>
          <w:spacing w:val="-2"/>
          <w:kern w:val="0"/>
          <w:sz w:val="24"/>
          <w:szCs w:val="24"/>
          <w:highlight w:val="none"/>
          <w:lang w:val="fr-FR"/>
        </w:rPr>
      </w:pPr>
      <w:r>
        <w:rPr>
          <w:rFonts w:hint="default" w:ascii="Times New Roman" w:hAnsi="Times New Roman" w:cs="Times New Roman"/>
          <w:color w:val="auto"/>
          <w:spacing w:val="-2"/>
          <w:kern w:val="0"/>
          <w:sz w:val="24"/>
          <w:szCs w:val="24"/>
          <w:highlight w:val="none"/>
          <w:lang w:val="fr-FR"/>
        </w:rPr>
        <w:t>（3）全厂雨排水管道与污水管道不发生串漏。</w:t>
      </w:r>
    </w:p>
    <w:p w14:paraId="39E29C16">
      <w:pPr>
        <w:keepNext w:val="0"/>
        <w:keepLines w:val="0"/>
        <w:pageBreakBefore w:val="0"/>
        <w:widowControl/>
        <w:kinsoku/>
        <w:wordWrap/>
        <w:overflowPunct/>
        <w:topLinePunct w:val="0"/>
        <w:autoSpaceDE/>
        <w:autoSpaceDN/>
        <w:bidi w:val="0"/>
        <w:adjustRightInd w:val="0"/>
        <w:snapToGrid w:val="0"/>
        <w:spacing w:line="360" w:lineRule="auto"/>
        <w:ind w:firstLine="478" w:firstLineChars="200"/>
        <w:textAlignment w:val="auto"/>
        <w:rPr>
          <w:rFonts w:hint="default" w:ascii="Times New Roman" w:hAnsi="Times New Roman" w:cs="Times New Roman"/>
          <w:color w:val="auto"/>
          <w:spacing w:val="-2"/>
          <w:kern w:val="0"/>
          <w:sz w:val="24"/>
          <w:szCs w:val="24"/>
          <w:highlight w:val="none"/>
        </w:rPr>
      </w:pPr>
      <w:r>
        <w:rPr>
          <w:rFonts w:hint="default" w:ascii="Times New Roman" w:hAnsi="Times New Roman" w:cs="Times New Roman"/>
          <w:bCs/>
          <w:color w:val="auto"/>
          <w:spacing w:val="-2"/>
          <w:kern w:val="0"/>
          <w:sz w:val="24"/>
          <w:highlight w:val="none"/>
        </w:rPr>
        <w:t xml:space="preserve"> 2、</w:t>
      </w:r>
      <w:r>
        <w:rPr>
          <w:rFonts w:hint="default" w:ascii="Times New Roman" w:hAnsi="Times New Roman" w:cs="Times New Roman"/>
          <w:color w:val="auto"/>
          <w:spacing w:val="-2"/>
          <w:kern w:val="0"/>
          <w:sz w:val="24"/>
          <w:highlight w:val="none"/>
        </w:rPr>
        <w:t>事</w:t>
      </w:r>
      <w:r>
        <w:rPr>
          <w:rFonts w:hint="default" w:ascii="Times New Roman" w:hAnsi="Times New Roman" w:cs="Times New Roman"/>
          <w:color w:val="auto"/>
          <w:spacing w:val="-2"/>
          <w:kern w:val="0"/>
          <w:sz w:val="24"/>
          <w:szCs w:val="24"/>
          <w:highlight w:val="none"/>
        </w:rPr>
        <w:t>故排水收集措施</w:t>
      </w:r>
    </w:p>
    <w:p w14:paraId="5734B2A6">
      <w:pPr>
        <w:pStyle w:val="2"/>
        <w:keepNext w:val="0"/>
        <w:keepLines w:val="0"/>
        <w:pageBreakBefore w:val="0"/>
        <w:kinsoku/>
        <w:wordWrap/>
        <w:overflowPunct/>
        <w:topLinePunct w:val="0"/>
        <w:autoSpaceDE/>
        <w:autoSpaceDN/>
        <w:bidi w:val="0"/>
        <w:adjustRightInd w:val="0"/>
        <w:snapToGrid w:val="0"/>
        <w:spacing w:after="0" w:line="360" w:lineRule="auto"/>
        <w:ind w:left="0" w:leftChars="0" w:firstLine="31680"/>
        <w:textAlignment w:val="auto"/>
        <w:rPr>
          <w:rFonts w:hint="default" w:ascii="Times New Roman" w:hAnsi="Times New Roman" w:cs="Times New Roman"/>
          <w:color w:val="auto"/>
          <w:spacing w:val="-2"/>
          <w:kern w:val="0"/>
          <w:sz w:val="24"/>
          <w:szCs w:val="24"/>
          <w:highlight w:val="none"/>
        </w:rPr>
      </w:pPr>
      <w:r>
        <w:rPr>
          <w:rFonts w:hint="default" w:ascii="Times New Roman" w:hAnsi="Times New Roman" w:cs="Times New Roman"/>
          <w:color w:val="auto"/>
          <w:spacing w:val="-2"/>
          <w:kern w:val="0"/>
          <w:sz w:val="24"/>
          <w:szCs w:val="24"/>
          <w:highlight w:val="none"/>
        </w:rPr>
        <w:t>（1）建造事故水池，收集事故时产生的消防污水，并根据污水性质进行处理。</w:t>
      </w:r>
    </w:p>
    <w:p w14:paraId="10BB5A6A">
      <w:pPr>
        <w:pStyle w:val="2"/>
        <w:keepNext w:val="0"/>
        <w:keepLines w:val="0"/>
        <w:pageBreakBefore w:val="0"/>
        <w:kinsoku/>
        <w:wordWrap/>
        <w:overflowPunct/>
        <w:topLinePunct w:val="0"/>
        <w:autoSpaceDE/>
        <w:autoSpaceDN/>
        <w:bidi w:val="0"/>
        <w:adjustRightInd w:val="0"/>
        <w:snapToGrid w:val="0"/>
        <w:spacing w:after="0" w:line="360" w:lineRule="auto"/>
        <w:ind w:left="0" w:leftChars="0" w:firstLine="31680"/>
        <w:textAlignment w:val="auto"/>
        <w:rPr>
          <w:rFonts w:hint="default" w:ascii="Times New Roman" w:hAnsi="Times New Roman" w:cs="Times New Roman"/>
          <w:color w:val="auto"/>
          <w:spacing w:val="-2"/>
          <w:kern w:val="0"/>
          <w:sz w:val="24"/>
          <w:szCs w:val="24"/>
          <w:highlight w:val="none"/>
          <w:lang w:val="zh-CN"/>
        </w:rPr>
      </w:pPr>
      <w:r>
        <w:rPr>
          <w:rFonts w:hint="default" w:ascii="Times New Roman" w:hAnsi="Times New Roman" w:cs="Times New Roman"/>
          <w:color w:val="auto"/>
          <w:spacing w:val="-2"/>
          <w:kern w:val="0"/>
          <w:sz w:val="24"/>
          <w:szCs w:val="24"/>
          <w:highlight w:val="none"/>
          <w:lang w:val="zh-CN"/>
        </w:rPr>
        <w:t>（</w:t>
      </w:r>
      <w:r>
        <w:rPr>
          <w:rFonts w:hint="default" w:ascii="Times New Roman" w:hAnsi="Times New Roman" w:cs="Times New Roman"/>
          <w:color w:val="auto"/>
          <w:spacing w:val="-2"/>
          <w:kern w:val="0"/>
          <w:sz w:val="24"/>
          <w:szCs w:val="24"/>
          <w:highlight w:val="none"/>
          <w:lang w:val="en-US" w:eastAsia="zh-CN"/>
        </w:rPr>
        <w:t>2</w:t>
      </w:r>
      <w:r>
        <w:rPr>
          <w:rFonts w:hint="default" w:ascii="Times New Roman" w:hAnsi="Times New Roman" w:cs="Times New Roman"/>
          <w:color w:val="auto"/>
          <w:spacing w:val="-2"/>
          <w:kern w:val="0"/>
          <w:sz w:val="24"/>
          <w:szCs w:val="24"/>
          <w:highlight w:val="none"/>
          <w:lang w:val="zh-CN"/>
        </w:rPr>
        <w:t>）装置区反应釜、计量罐、罐区储罐等发生损坏，泄露的物料需排入事故水池，并根据其性质进行相应处理。</w:t>
      </w:r>
    </w:p>
    <w:p w14:paraId="362124B0">
      <w:pPr>
        <w:pStyle w:val="2"/>
        <w:keepNext w:val="0"/>
        <w:keepLines w:val="0"/>
        <w:pageBreakBefore w:val="0"/>
        <w:kinsoku/>
        <w:wordWrap/>
        <w:overflowPunct/>
        <w:topLinePunct w:val="0"/>
        <w:autoSpaceDE/>
        <w:autoSpaceDN/>
        <w:bidi w:val="0"/>
        <w:adjustRightInd w:val="0"/>
        <w:snapToGrid w:val="0"/>
        <w:spacing w:after="0" w:line="360" w:lineRule="auto"/>
        <w:ind w:left="0" w:leftChars="0" w:firstLine="31680"/>
        <w:textAlignment w:val="auto"/>
        <w:rPr>
          <w:rFonts w:hint="default" w:ascii="Times New Roman" w:hAnsi="Times New Roman" w:cs="Times New Roman"/>
          <w:color w:val="auto"/>
          <w:spacing w:val="-2"/>
          <w:kern w:val="0"/>
          <w:sz w:val="24"/>
          <w:szCs w:val="24"/>
          <w:highlight w:val="none"/>
          <w:lang w:val="zh-CN"/>
        </w:rPr>
      </w:pPr>
      <w:r>
        <w:rPr>
          <w:rFonts w:hint="default" w:ascii="Times New Roman" w:hAnsi="Times New Roman" w:cs="Times New Roman"/>
          <w:color w:val="auto"/>
          <w:spacing w:val="-2"/>
          <w:kern w:val="0"/>
          <w:sz w:val="24"/>
          <w:szCs w:val="24"/>
          <w:highlight w:val="none"/>
          <w:lang w:val="zh-CN"/>
        </w:rPr>
        <w:t>（</w:t>
      </w:r>
      <w:r>
        <w:rPr>
          <w:rFonts w:hint="default" w:ascii="Times New Roman" w:hAnsi="Times New Roman" w:cs="Times New Roman"/>
          <w:color w:val="auto"/>
          <w:spacing w:val="-2"/>
          <w:kern w:val="0"/>
          <w:sz w:val="24"/>
          <w:szCs w:val="24"/>
          <w:highlight w:val="none"/>
          <w:lang w:val="en-US" w:eastAsia="zh-CN"/>
        </w:rPr>
        <w:t>3</w:t>
      </w:r>
      <w:r>
        <w:rPr>
          <w:rFonts w:hint="default" w:ascii="Times New Roman" w:hAnsi="Times New Roman" w:cs="Times New Roman"/>
          <w:color w:val="auto"/>
          <w:spacing w:val="-2"/>
          <w:kern w:val="0"/>
          <w:sz w:val="24"/>
          <w:szCs w:val="24"/>
          <w:highlight w:val="none"/>
          <w:lang w:val="zh-CN"/>
        </w:rPr>
        <w:t>）项目区室外设置环形排水沟，截留下雨时厂内的初期雨水，将截留的初期雨水引入沉淀池，经沉淀后回用于生产不外排。</w:t>
      </w:r>
    </w:p>
    <w:p w14:paraId="1A454301">
      <w:pPr>
        <w:pStyle w:val="2"/>
        <w:keepNext w:val="0"/>
        <w:keepLines w:val="0"/>
        <w:pageBreakBefore w:val="0"/>
        <w:kinsoku/>
        <w:wordWrap/>
        <w:overflowPunct/>
        <w:topLinePunct w:val="0"/>
        <w:autoSpaceDE/>
        <w:autoSpaceDN/>
        <w:bidi w:val="0"/>
        <w:adjustRightInd w:val="0"/>
        <w:snapToGrid w:val="0"/>
        <w:spacing w:after="0" w:line="360" w:lineRule="auto"/>
        <w:ind w:left="0" w:leftChars="0" w:firstLine="31680"/>
        <w:textAlignment w:val="auto"/>
        <w:rPr>
          <w:rFonts w:hint="default" w:ascii="Times New Roman" w:hAnsi="Times New Roman" w:cs="Times New Roman"/>
          <w:color w:val="auto"/>
          <w:spacing w:val="-2"/>
          <w:kern w:val="0"/>
          <w:sz w:val="24"/>
          <w:szCs w:val="24"/>
          <w:highlight w:val="none"/>
        </w:rPr>
      </w:pPr>
      <w:r>
        <w:rPr>
          <w:rFonts w:hint="default" w:ascii="Times New Roman" w:hAnsi="Times New Roman" w:cs="Times New Roman"/>
          <w:color w:val="auto"/>
          <w:spacing w:val="-2"/>
          <w:kern w:val="0"/>
          <w:sz w:val="24"/>
          <w:szCs w:val="24"/>
          <w:highlight w:val="none"/>
          <w:lang w:val="zh-CN"/>
        </w:rPr>
        <w:t>（</w:t>
      </w:r>
      <w:r>
        <w:rPr>
          <w:rFonts w:hint="default" w:ascii="Times New Roman" w:hAnsi="Times New Roman" w:cs="Times New Roman"/>
          <w:color w:val="auto"/>
          <w:spacing w:val="-2"/>
          <w:kern w:val="0"/>
          <w:sz w:val="24"/>
          <w:szCs w:val="24"/>
          <w:highlight w:val="none"/>
          <w:lang w:val="en-US" w:eastAsia="zh-CN"/>
        </w:rPr>
        <w:t>4</w:t>
      </w:r>
      <w:r>
        <w:rPr>
          <w:rFonts w:hint="default" w:ascii="Times New Roman" w:hAnsi="Times New Roman" w:cs="Times New Roman"/>
          <w:color w:val="auto"/>
          <w:spacing w:val="-2"/>
          <w:kern w:val="0"/>
          <w:sz w:val="24"/>
          <w:szCs w:val="24"/>
          <w:highlight w:val="none"/>
          <w:lang w:val="zh-CN"/>
        </w:rPr>
        <w:t>）加强管理和巡查制度，发现管道和阀门断裂、泄露应及时更换，反应装置泄露时应及时关闭有关阀门等</w:t>
      </w:r>
      <w:r>
        <w:rPr>
          <w:rFonts w:hint="default" w:ascii="Times New Roman" w:hAnsi="Times New Roman" w:cs="Times New Roman"/>
          <w:color w:val="auto"/>
          <w:spacing w:val="-2"/>
          <w:kern w:val="0"/>
          <w:sz w:val="24"/>
          <w:szCs w:val="24"/>
          <w:highlight w:val="none"/>
        </w:rPr>
        <w:t>；</w:t>
      </w:r>
    </w:p>
    <w:p w14:paraId="4AA28DDB">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lang w:val="zh-CN" w:eastAsia="zh-CN"/>
        </w:rPr>
      </w:pPr>
      <w:r>
        <w:rPr>
          <w:rFonts w:hint="default" w:ascii="Times New Roman" w:hAnsi="Times New Roman" w:cs="Times New Roman"/>
          <w:color w:val="auto"/>
          <w:sz w:val="24"/>
          <w:szCs w:val="24"/>
          <w:highlight w:val="none"/>
          <w:lang w:val="zh-CN" w:eastAsia="zh-CN"/>
        </w:rPr>
        <w:t>（</w:t>
      </w:r>
      <w:r>
        <w:rPr>
          <w:rFonts w:hint="default" w:ascii="Times New Roman" w:hAnsi="Times New Roman" w:cs="Times New Roman"/>
          <w:color w:val="auto"/>
          <w:sz w:val="24"/>
          <w:szCs w:val="24"/>
          <w:highlight w:val="none"/>
          <w:lang w:val="en-US" w:eastAsia="zh-CN"/>
        </w:rPr>
        <w:t>5</w:t>
      </w:r>
      <w:r>
        <w:rPr>
          <w:rFonts w:hint="default" w:ascii="Times New Roman" w:hAnsi="Times New Roman" w:cs="Times New Roman"/>
          <w:color w:val="auto"/>
          <w:sz w:val="24"/>
          <w:szCs w:val="24"/>
          <w:highlight w:val="none"/>
          <w:lang w:val="zh-CN" w:eastAsia="zh-CN"/>
        </w:rPr>
        <w:t>）事故状态下产生的废液、消防废水、初期雨污水等均应及时导入事故应急水池。事故应急池平时应保持空池，加盖防止雨水落入。</w:t>
      </w:r>
    </w:p>
    <w:p w14:paraId="408E902E">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eastAsia" w:cs="Times New Roman"/>
          <w:color w:val="auto"/>
          <w:sz w:val="24"/>
          <w:szCs w:val="24"/>
          <w:highlight w:val="none"/>
          <w:lang w:eastAsia="zh-CN"/>
        </w:rPr>
        <w:t>同集团公司山东隆盛和助剂有限公司</w:t>
      </w:r>
      <w:r>
        <w:rPr>
          <w:rFonts w:hint="default" w:ascii="Times New Roman" w:hAnsi="Times New Roman" w:cs="Times New Roman"/>
          <w:color w:val="auto"/>
          <w:sz w:val="24"/>
          <w:szCs w:val="24"/>
          <w:highlight w:val="none"/>
          <w:lang w:eastAsia="zh-CN"/>
        </w:rPr>
        <w:t>厂区设置应急事故水池，</w:t>
      </w:r>
      <w:r>
        <w:rPr>
          <w:rFonts w:hint="eastAsia" w:cs="Times New Roman"/>
          <w:color w:val="auto"/>
          <w:sz w:val="24"/>
          <w:szCs w:val="24"/>
          <w:highlight w:val="none"/>
          <w:lang w:eastAsia="zh-CN"/>
        </w:rPr>
        <w:t>与淄博元齐生物科技有限公司、山东隆信药业有限公司共用。山东隆盛和助剂有限公司</w:t>
      </w:r>
      <w:r>
        <w:rPr>
          <w:rFonts w:hint="default" w:ascii="Times New Roman" w:hAnsi="Times New Roman" w:cs="Times New Roman"/>
          <w:color w:val="auto"/>
          <w:sz w:val="24"/>
          <w:szCs w:val="24"/>
          <w:highlight w:val="none"/>
        </w:rPr>
        <w:t>项目事故情况下的最大事故废水量参考中国石化建标[2006]43号《关于印发〈水体污染防控紧急措施设计导则〉的通知》中计算公式确定。具体公式如下：</w:t>
      </w:r>
    </w:p>
    <w:p w14:paraId="3F6778D4">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V总=(V</w:t>
      </w:r>
      <w:r>
        <w:rPr>
          <w:rFonts w:hint="default" w:ascii="Times New Roman" w:hAnsi="Times New Roman" w:cs="Times New Roman"/>
          <w:color w:val="auto"/>
          <w:sz w:val="24"/>
          <w:szCs w:val="24"/>
          <w:highlight w:val="none"/>
          <w:vertAlign w:val="subscript"/>
        </w:rPr>
        <w:t>1</w:t>
      </w: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2</w:t>
      </w: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3</w:t>
      </w: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4"/>
          <w:highlight w:val="none"/>
          <w:vertAlign w:val="subscript"/>
        </w:rPr>
        <w:t>max</w:t>
      </w: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4</w:t>
      </w: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5</w:t>
      </w:r>
      <w:r>
        <w:rPr>
          <w:rFonts w:hint="default" w:ascii="Times New Roman" w:hAnsi="Times New Roman" w:cs="Times New Roman"/>
          <w:color w:val="auto"/>
          <w:sz w:val="24"/>
          <w:szCs w:val="24"/>
          <w:highlight w:val="none"/>
        </w:rPr>
        <w:t xml:space="preserve"> ((V</w:t>
      </w:r>
      <w:r>
        <w:rPr>
          <w:rFonts w:hint="default" w:ascii="Times New Roman" w:hAnsi="Times New Roman" w:cs="Times New Roman"/>
          <w:color w:val="auto"/>
          <w:sz w:val="24"/>
          <w:szCs w:val="24"/>
          <w:highlight w:val="none"/>
          <w:vertAlign w:val="subscript"/>
        </w:rPr>
        <w:t>1</w:t>
      </w: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2</w:t>
      </w: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3</w:t>
      </w: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4"/>
          <w:highlight w:val="none"/>
          <w:vertAlign w:val="subscript"/>
        </w:rPr>
        <w:t>max</w:t>
      </w:r>
      <w:r>
        <w:rPr>
          <w:rFonts w:hint="default" w:ascii="Times New Roman" w:hAnsi="Times New Roman" w:cs="Times New Roman"/>
          <w:color w:val="auto"/>
          <w:sz w:val="24"/>
          <w:szCs w:val="24"/>
          <w:highlight w:val="none"/>
        </w:rPr>
        <w:t xml:space="preserve"> 为计算各装置最大量)；单位m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w:t>
      </w:r>
    </w:p>
    <w:p w14:paraId="63F613E4">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1</w:t>
      </w:r>
      <w:r>
        <w:rPr>
          <w:rFonts w:hint="default" w:ascii="Times New Roman" w:hAnsi="Times New Roman" w:cs="Times New Roman"/>
          <w:color w:val="auto"/>
          <w:sz w:val="24"/>
          <w:szCs w:val="24"/>
          <w:highlight w:val="none"/>
        </w:rPr>
        <w:t>：收集系统内发生事故时一个罐组或装置最大物料泄漏量</w:t>
      </w:r>
    </w:p>
    <w:p w14:paraId="181D3390">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罐组事故泄漏量按最大储罐容量、装置事故泄漏量按最大反应容器容量计，项目不设储罐，因此V</w:t>
      </w:r>
      <w:r>
        <w:rPr>
          <w:rFonts w:hint="default" w:ascii="Times New Roman" w:hAnsi="Times New Roman" w:cs="Times New Roman"/>
          <w:color w:val="auto"/>
          <w:sz w:val="24"/>
          <w:szCs w:val="24"/>
          <w:highlight w:val="none"/>
          <w:vertAlign w:val="subscript"/>
        </w:rPr>
        <w:t>1</w:t>
      </w:r>
      <w:r>
        <w:rPr>
          <w:rFonts w:hint="default" w:ascii="Times New Roman" w:hAnsi="Times New Roman" w:cs="Times New Roman"/>
          <w:color w:val="auto"/>
          <w:sz w:val="24"/>
          <w:szCs w:val="24"/>
          <w:highlight w:val="none"/>
        </w:rPr>
        <w:t>=0m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w:t>
      </w:r>
    </w:p>
    <w:p w14:paraId="56BEFD3C">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2</w:t>
      </w:r>
      <w:r>
        <w:rPr>
          <w:rFonts w:hint="default" w:ascii="Times New Roman" w:hAnsi="Times New Roman" w:cs="Times New Roman"/>
          <w:color w:val="auto"/>
          <w:sz w:val="24"/>
          <w:szCs w:val="24"/>
          <w:highlight w:val="none"/>
        </w:rPr>
        <w:t>：发生事故的装置消防水量</w:t>
      </w:r>
    </w:p>
    <w:p w14:paraId="260E6A93">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消防废水量按最大消防用水量15L/s，扑救时间2h计，本工程消防废水产生量约108m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，即V</w:t>
      </w:r>
      <w:r>
        <w:rPr>
          <w:rFonts w:hint="default" w:ascii="Times New Roman" w:hAnsi="Times New Roman" w:cs="Times New Roman"/>
          <w:color w:val="auto"/>
          <w:sz w:val="24"/>
          <w:szCs w:val="24"/>
          <w:highlight w:val="none"/>
          <w:vertAlign w:val="subscript"/>
        </w:rPr>
        <w:t>2</w:t>
      </w:r>
      <w:r>
        <w:rPr>
          <w:rFonts w:hint="default" w:ascii="Times New Roman" w:hAnsi="Times New Roman" w:cs="Times New Roman"/>
          <w:color w:val="auto"/>
          <w:sz w:val="24"/>
          <w:szCs w:val="24"/>
          <w:highlight w:val="none"/>
        </w:rPr>
        <w:t>=108m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w:t>
      </w:r>
    </w:p>
    <w:p w14:paraId="65837CFE">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3</w:t>
      </w:r>
      <w:r>
        <w:rPr>
          <w:rFonts w:hint="default" w:ascii="Times New Roman" w:hAnsi="Times New Roman" w:cs="Times New Roman"/>
          <w:color w:val="auto"/>
          <w:sz w:val="24"/>
          <w:szCs w:val="24"/>
          <w:highlight w:val="none"/>
        </w:rPr>
        <w:t>：发生事故时物料转移至其他容器及单元量</w:t>
      </w:r>
    </w:p>
    <w:p w14:paraId="2B7D8291">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该项目无需转移物料，因此V</w:t>
      </w:r>
      <w:r>
        <w:rPr>
          <w:rFonts w:hint="default" w:ascii="Times New Roman" w:hAnsi="Times New Roman" w:cs="Times New Roman"/>
          <w:color w:val="auto"/>
          <w:sz w:val="24"/>
          <w:szCs w:val="24"/>
          <w:highlight w:val="none"/>
          <w:vertAlign w:val="subscript"/>
        </w:rPr>
        <w:t>3</w:t>
      </w:r>
      <w:r>
        <w:rPr>
          <w:rFonts w:hint="default" w:ascii="Times New Roman" w:hAnsi="Times New Roman" w:cs="Times New Roman"/>
          <w:color w:val="auto"/>
          <w:sz w:val="24"/>
          <w:szCs w:val="24"/>
          <w:highlight w:val="none"/>
        </w:rPr>
        <w:t>=0。</w:t>
      </w:r>
    </w:p>
    <w:p w14:paraId="49D94CB1">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4</w:t>
      </w:r>
      <w:r>
        <w:rPr>
          <w:rFonts w:hint="default" w:ascii="Times New Roman" w:hAnsi="Times New Roman" w:cs="Times New Roman"/>
          <w:color w:val="auto"/>
          <w:sz w:val="24"/>
          <w:szCs w:val="24"/>
          <w:highlight w:val="none"/>
        </w:rPr>
        <w:t>：发生事故时必须进入该系统的生产废水量</w:t>
      </w:r>
    </w:p>
    <w:p w14:paraId="3A0C28C5">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该项目无生产废水产生，因此V</w:t>
      </w:r>
      <w:r>
        <w:rPr>
          <w:rFonts w:hint="default" w:ascii="Times New Roman" w:hAnsi="Times New Roman" w:cs="Times New Roman"/>
          <w:color w:val="auto"/>
          <w:sz w:val="24"/>
          <w:szCs w:val="24"/>
          <w:highlight w:val="none"/>
          <w:vertAlign w:val="subscript"/>
        </w:rPr>
        <w:t>4</w:t>
      </w:r>
      <w:r>
        <w:rPr>
          <w:rFonts w:hint="default" w:ascii="Times New Roman" w:hAnsi="Times New Roman" w:cs="Times New Roman"/>
          <w:color w:val="auto"/>
          <w:sz w:val="24"/>
          <w:szCs w:val="24"/>
          <w:highlight w:val="none"/>
        </w:rPr>
        <w:t>=0。</w:t>
      </w:r>
    </w:p>
    <w:p w14:paraId="1A6EA7C3">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5</w:t>
      </w:r>
      <w:r>
        <w:rPr>
          <w:rFonts w:hint="default" w:ascii="Times New Roman" w:hAnsi="Times New Roman" w:cs="Times New Roman"/>
          <w:color w:val="auto"/>
          <w:sz w:val="24"/>
          <w:szCs w:val="24"/>
          <w:highlight w:val="none"/>
        </w:rPr>
        <w:t>：发生事故时可能进入该系统的最大雨水量，m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w:t>
      </w:r>
    </w:p>
    <w:p w14:paraId="6D98A4EB">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生产过程全部在车间内进行，因此无雨水进入该系统，V</w:t>
      </w:r>
      <w:r>
        <w:rPr>
          <w:rFonts w:hint="default" w:ascii="Times New Roman" w:hAnsi="Times New Roman" w:cs="Times New Roman"/>
          <w:color w:val="auto"/>
          <w:sz w:val="24"/>
          <w:szCs w:val="24"/>
          <w:highlight w:val="none"/>
          <w:vertAlign w:val="subscript"/>
        </w:rPr>
        <w:t>5</w:t>
      </w:r>
      <w:r>
        <w:rPr>
          <w:rFonts w:hint="default" w:ascii="Times New Roman" w:hAnsi="Times New Roman" w:cs="Times New Roman"/>
          <w:color w:val="auto"/>
          <w:sz w:val="24"/>
          <w:szCs w:val="24"/>
          <w:highlight w:val="none"/>
        </w:rPr>
        <w:t>=0。</w:t>
      </w:r>
    </w:p>
    <w:p w14:paraId="547D5335">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计算得V</w:t>
      </w:r>
      <w:r>
        <w:rPr>
          <w:rFonts w:hint="default" w:ascii="Times New Roman" w:hAnsi="Times New Roman" w:cs="Times New Roman"/>
          <w:color w:val="auto"/>
          <w:sz w:val="24"/>
          <w:szCs w:val="24"/>
          <w:highlight w:val="none"/>
          <w:vertAlign w:val="subscript"/>
        </w:rPr>
        <w:t>总</w:t>
      </w:r>
      <w:r>
        <w:rPr>
          <w:rFonts w:hint="default" w:ascii="Times New Roman" w:hAnsi="Times New Roman" w:cs="Times New Roman"/>
          <w:color w:val="auto"/>
          <w:sz w:val="24"/>
          <w:szCs w:val="24"/>
          <w:highlight w:val="none"/>
        </w:rPr>
        <w:t>=108m³，即项目最大事故水量为108m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w:t>
      </w:r>
    </w:p>
    <w:p w14:paraId="1D91EE37">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eastAsia" w:cs="Times New Roman"/>
          <w:color w:val="auto"/>
          <w:sz w:val="24"/>
          <w:szCs w:val="24"/>
          <w:highlight w:val="none"/>
          <w:lang w:eastAsia="zh-CN"/>
        </w:rPr>
        <w:t>淄博元齐生物科技有限公司</w:t>
      </w:r>
      <w:r>
        <w:rPr>
          <w:rFonts w:hint="default" w:ascii="Times New Roman" w:hAnsi="Times New Roman" w:cs="Times New Roman"/>
          <w:color w:val="auto"/>
          <w:sz w:val="24"/>
          <w:szCs w:val="24"/>
          <w:highlight w:val="none"/>
        </w:rPr>
        <w:t>项目事故情况下的最大事故废水量参考中国石化建标[2006]43号《关于印发〈水体污染防控紧急措施设计导则〉的通知》中计算公式确定。具体公式如下：</w:t>
      </w:r>
    </w:p>
    <w:p w14:paraId="09BDD5D6">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V总=(V</w:t>
      </w:r>
      <w:r>
        <w:rPr>
          <w:rFonts w:hint="default" w:ascii="Times New Roman" w:hAnsi="Times New Roman" w:cs="Times New Roman"/>
          <w:color w:val="auto"/>
          <w:sz w:val="24"/>
          <w:szCs w:val="24"/>
          <w:highlight w:val="none"/>
          <w:vertAlign w:val="subscript"/>
        </w:rPr>
        <w:t>1</w:t>
      </w: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2</w:t>
      </w: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3</w:t>
      </w: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4"/>
          <w:highlight w:val="none"/>
          <w:vertAlign w:val="subscript"/>
        </w:rPr>
        <w:t>max</w:t>
      </w: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4</w:t>
      </w: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5</w:t>
      </w:r>
      <w:r>
        <w:rPr>
          <w:rFonts w:hint="default" w:ascii="Times New Roman" w:hAnsi="Times New Roman" w:cs="Times New Roman"/>
          <w:color w:val="auto"/>
          <w:sz w:val="24"/>
          <w:szCs w:val="24"/>
          <w:highlight w:val="none"/>
        </w:rPr>
        <w:t xml:space="preserve"> ((V</w:t>
      </w:r>
      <w:r>
        <w:rPr>
          <w:rFonts w:hint="default" w:ascii="Times New Roman" w:hAnsi="Times New Roman" w:cs="Times New Roman"/>
          <w:color w:val="auto"/>
          <w:sz w:val="24"/>
          <w:szCs w:val="24"/>
          <w:highlight w:val="none"/>
          <w:vertAlign w:val="subscript"/>
        </w:rPr>
        <w:t>1</w:t>
      </w: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2</w:t>
      </w: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3</w:t>
      </w: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4"/>
          <w:highlight w:val="none"/>
          <w:vertAlign w:val="subscript"/>
        </w:rPr>
        <w:t>max</w:t>
      </w:r>
      <w:r>
        <w:rPr>
          <w:rFonts w:hint="default" w:ascii="Times New Roman" w:hAnsi="Times New Roman" w:cs="Times New Roman"/>
          <w:color w:val="auto"/>
          <w:sz w:val="24"/>
          <w:szCs w:val="24"/>
          <w:highlight w:val="none"/>
        </w:rPr>
        <w:t xml:space="preserve"> 为计算各装置最大量)；单位m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w:t>
      </w:r>
    </w:p>
    <w:p w14:paraId="5123AE34">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1</w:t>
      </w:r>
      <w:r>
        <w:rPr>
          <w:rFonts w:hint="default" w:ascii="Times New Roman" w:hAnsi="Times New Roman" w:cs="Times New Roman"/>
          <w:color w:val="auto"/>
          <w:sz w:val="24"/>
          <w:szCs w:val="24"/>
          <w:highlight w:val="none"/>
        </w:rPr>
        <w:t>：收集系统内发生事故时一个罐组或装置最大物料泄漏量</w:t>
      </w:r>
    </w:p>
    <w:p w14:paraId="167EA57D">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罐组事故泄漏量按最大储罐容量、装置事故泄漏量按最大反应容器容量计，项目不设储罐，因此V</w:t>
      </w:r>
      <w:r>
        <w:rPr>
          <w:rFonts w:hint="default" w:ascii="Times New Roman" w:hAnsi="Times New Roman" w:cs="Times New Roman"/>
          <w:color w:val="auto"/>
          <w:sz w:val="24"/>
          <w:szCs w:val="24"/>
          <w:highlight w:val="none"/>
          <w:vertAlign w:val="subscript"/>
        </w:rPr>
        <w:t>1</w:t>
      </w:r>
      <w:r>
        <w:rPr>
          <w:rFonts w:hint="default" w:ascii="Times New Roman" w:hAnsi="Times New Roman" w:cs="Times New Roman"/>
          <w:color w:val="auto"/>
          <w:sz w:val="24"/>
          <w:szCs w:val="24"/>
          <w:highlight w:val="none"/>
        </w:rPr>
        <w:t>=0m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w:t>
      </w:r>
    </w:p>
    <w:p w14:paraId="30033850">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2</w:t>
      </w:r>
      <w:r>
        <w:rPr>
          <w:rFonts w:hint="default" w:ascii="Times New Roman" w:hAnsi="Times New Roman" w:cs="Times New Roman"/>
          <w:color w:val="auto"/>
          <w:sz w:val="24"/>
          <w:szCs w:val="24"/>
          <w:highlight w:val="none"/>
        </w:rPr>
        <w:t>：发生事故的装置消防水量</w:t>
      </w:r>
    </w:p>
    <w:p w14:paraId="3963A5AD">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消防废水量按最大消防用水量1</w:t>
      </w:r>
      <w:r>
        <w:rPr>
          <w:rFonts w:hint="eastAsia" w:ascii="Times New Roman" w:hAnsi="Times New Roman" w:cs="Times New Roman"/>
          <w:color w:val="auto"/>
          <w:sz w:val="24"/>
          <w:szCs w:val="24"/>
          <w:highlight w:val="none"/>
          <w:lang w:val="en-US" w:eastAsia="zh-CN"/>
        </w:rPr>
        <w:t>0</w:t>
      </w:r>
      <w:r>
        <w:rPr>
          <w:rFonts w:hint="default" w:ascii="Times New Roman" w:hAnsi="Times New Roman" w:cs="Times New Roman"/>
          <w:color w:val="auto"/>
          <w:sz w:val="24"/>
          <w:szCs w:val="24"/>
          <w:highlight w:val="none"/>
        </w:rPr>
        <w:t>L/s，扑救时间</w:t>
      </w:r>
      <w:r>
        <w:rPr>
          <w:rFonts w:hint="eastAsia" w:ascii="Times New Roman" w:hAnsi="Times New Roman"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h计，本工程消防废水产生量约</w:t>
      </w:r>
      <w:r>
        <w:rPr>
          <w:rFonts w:hint="eastAsia" w:ascii="Times New Roman" w:hAnsi="Times New Roman" w:cs="Times New Roman"/>
          <w:color w:val="auto"/>
          <w:sz w:val="24"/>
          <w:szCs w:val="24"/>
          <w:highlight w:val="none"/>
          <w:lang w:val="en-US" w:eastAsia="zh-CN"/>
        </w:rPr>
        <w:t>35</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，即V</w:t>
      </w:r>
      <w:r>
        <w:rPr>
          <w:rFonts w:hint="default" w:ascii="Times New Roman" w:hAnsi="Times New Roman" w:cs="Times New Roman"/>
          <w:color w:val="auto"/>
          <w:sz w:val="24"/>
          <w:szCs w:val="24"/>
          <w:highlight w:val="none"/>
          <w:vertAlign w:val="subscript"/>
        </w:rPr>
        <w:t>2</w:t>
      </w:r>
      <w:r>
        <w:rPr>
          <w:rFonts w:hint="default" w:ascii="Times New Roman" w:hAnsi="Times New Roman" w:cs="Times New Roman"/>
          <w:color w:val="auto"/>
          <w:sz w:val="24"/>
          <w:szCs w:val="24"/>
          <w:highlight w:val="none"/>
        </w:rPr>
        <w:t>=</w:t>
      </w:r>
      <w:r>
        <w:rPr>
          <w:rFonts w:hint="eastAsia" w:ascii="Times New Roman" w:hAnsi="Times New Roman" w:cs="Times New Roman"/>
          <w:color w:val="auto"/>
          <w:sz w:val="24"/>
          <w:szCs w:val="24"/>
          <w:highlight w:val="none"/>
          <w:lang w:val="en-US" w:eastAsia="zh-CN"/>
        </w:rPr>
        <w:t>35</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w:t>
      </w:r>
    </w:p>
    <w:p w14:paraId="2E64EE95">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3</w:t>
      </w:r>
      <w:r>
        <w:rPr>
          <w:rFonts w:hint="default" w:ascii="Times New Roman" w:hAnsi="Times New Roman" w:cs="Times New Roman"/>
          <w:color w:val="auto"/>
          <w:sz w:val="24"/>
          <w:szCs w:val="24"/>
          <w:highlight w:val="none"/>
        </w:rPr>
        <w:t>：发生事故时物料转移至其他容器及单元量</w:t>
      </w:r>
    </w:p>
    <w:p w14:paraId="5BCAE218">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该项目无需转移物料，因此V</w:t>
      </w:r>
      <w:r>
        <w:rPr>
          <w:rFonts w:hint="default" w:ascii="Times New Roman" w:hAnsi="Times New Roman" w:cs="Times New Roman"/>
          <w:color w:val="auto"/>
          <w:sz w:val="24"/>
          <w:szCs w:val="24"/>
          <w:highlight w:val="none"/>
          <w:vertAlign w:val="subscript"/>
        </w:rPr>
        <w:t>3</w:t>
      </w:r>
      <w:r>
        <w:rPr>
          <w:rFonts w:hint="default" w:ascii="Times New Roman" w:hAnsi="Times New Roman" w:cs="Times New Roman"/>
          <w:color w:val="auto"/>
          <w:sz w:val="24"/>
          <w:szCs w:val="24"/>
          <w:highlight w:val="none"/>
        </w:rPr>
        <w:t>=0。</w:t>
      </w:r>
    </w:p>
    <w:p w14:paraId="3B1EA025">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4</w:t>
      </w:r>
      <w:r>
        <w:rPr>
          <w:rFonts w:hint="default" w:ascii="Times New Roman" w:hAnsi="Times New Roman" w:cs="Times New Roman"/>
          <w:color w:val="auto"/>
          <w:sz w:val="24"/>
          <w:szCs w:val="24"/>
          <w:highlight w:val="none"/>
        </w:rPr>
        <w:t>：发生事故时必须进入该系统的生产废水量</w:t>
      </w:r>
    </w:p>
    <w:p w14:paraId="38B44BAF">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该项目无生产废水产生，因此V</w:t>
      </w:r>
      <w:r>
        <w:rPr>
          <w:rFonts w:hint="default" w:ascii="Times New Roman" w:hAnsi="Times New Roman" w:cs="Times New Roman"/>
          <w:color w:val="auto"/>
          <w:sz w:val="24"/>
          <w:szCs w:val="24"/>
          <w:highlight w:val="none"/>
          <w:vertAlign w:val="subscript"/>
        </w:rPr>
        <w:t>4</w:t>
      </w:r>
      <w:r>
        <w:rPr>
          <w:rFonts w:hint="default" w:ascii="Times New Roman" w:hAnsi="Times New Roman" w:cs="Times New Roman"/>
          <w:color w:val="auto"/>
          <w:sz w:val="24"/>
          <w:szCs w:val="24"/>
          <w:highlight w:val="none"/>
        </w:rPr>
        <w:t>=0。</w:t>
      </w:r>
    </w:p>
    <w:p w14:paraId="05B81E8D">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5</w:t>
      </w:r>
      <w:r>
        <w:rPr>
          <w:rFonts w:hint="default" w:ascii="Times New Roman" w:hAnsi="Times New Roman" w:cs="Times New Roman"/>
          <w:color w:val="auto"/>
          <w:sz w:val="24"/>
          <w:szCs w:val="24"/>
          <w:highlight w:val="none"/>
        </w:rPr>
        <w:t>：发生事故时可能进入该系统的最大雨水量，m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w:t>
      </w:r>
    </w:p>
    <w:p w14:paraId="711D73A1">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生产过程全部在车间内进行，因此无雨水进入该系统，V</w:t>
      </w:r>
      <w:r>
        <w:rPr>
          <w:rFonts w:hint="default" w:ascii="Times New Roman" w:hAnsi="Times New Roman" w:cs="Times New Roman"/>
          <w:color w:val="auto"/>
          <w:sz w:val="24"/>
          <w:szCs w:val="24"/>
          <w:highlight w:val="none"/>
          <w:vertAlign w:val="subscript"/>
        </w:rPr>
        <w:t>5</w:t>
      </w:r>
      <w:r>
        <w:rPr>
          <w:rFonts w:hint="default" w:ascii="Times New Roman" w:hAnsi="Times New Roman" w:cs="Times New Roman"/>
          <w:color w:val="auto"/>
          <w:sz w:val="24"/>
          <w:szCs w:val="24"/>
          <w:highlight w:val="none"/>
        </w:rPr>
        <w:t>=0。</w:t>
      </w:r>
    </w:p>
    <w:p w14:paraId="6CC1B6BC">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计算得V</w:t>
      </w:r>
      <w:r>
        <w:rPr>
          <w:rFonts w:hint="default" w:ascii="Times New Roman" w:hAnsi="Times New Roman" w:cs="Times New Roman"/>
          <w:color w:val="auto"/>
          <w:sz w:val="24"/>
          <w:szCs w:val="24"/>
          <w:highlight w:val="none"/>
          <w:vertAlign w:val="subscript"/>
        </w:rPr>
        <w:t>总</w:t>
      </w:r>
      <w:r>
        <w:rPr>
          <w:rFonts w:hint="default" w:ascii="Times New Roman" w:hAnsi="Times New Roman" w:cs="Times New Roman"/>
          <w:color w:val="auto"/>
          <w:sz w:val="24"/>
          <w:szCs w:val="24"/>
          <w:highlight w:val="none"/>
        </w:rPr>
        <w:t>=</w:t>
      </w:r>
      <w:r>
        <w:rPr>
          <w:rFonts w:hint="eastAsia" w:ascii="Times New Roman" w:hAnsi="Times New Roman" w:cs="Times New Roman"/>
          <w:color w:val="auto"/>
          <w:sz w:val="24"/>
          <w:szCs w:val="24"/>
          <w:highlight w:val="none"/>
          <w:lang w:val="en-US" w:eastAsia="zh-CN"/>
        </w:rPr>
        <w:t>35</w:t>
      </w:r>
      <w:r>
        <w:rPr>
          <w:rFonts w:hint="default" w:ascii="Times New Roman" w:hAnsi="Times New Roman" w:cs="Times New Roman"/>
          <w:color w:val="auto"/>
          <w:sz w:val="24"/>
          <w:szCs w:val="24"/>
          <w:highlight w:val="none"/>
        </w:rPr>
        <w:t>m³，即项目最大事故水量为</w:t>
      </w:r>
      <w:r>
        <w:rPr>
          <w:rFonts w:hint="eastAsia" w:ascii="Times New Roman" w:hAnsi="Times New Roman" w:cs="Times New Roman"/>
          <w:color w:val="auto"/>
          <w:sz w:val="24"/>
          <w:szCs w:val="24"/>
          <w:highlight w:val="none"/>
          <w:lang w:val="en-US" w:eastAsia="zh-CN"/>
        </w:rPr>
        <w:t>35</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w:t>
      </w:r>
    </w:p>
    <w:p w14:paraId="6707ADB3">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eastAsia" w:cs="Times New Roman"/>
          <w:color w:val="auto"/>
          <w:sz w:val="24"/>
          <w:szCs w:val="24"/>
          <w:highlight w:val="none"/>
          <w:lang w:eastAsia="zh-CN"/>
        </w:rPr>
        <w:t>山东隆信药业有限公司</w:t>
      </w:r>
      <w:r>
        <w:rPr>
          <w:rFonts w:hint="default" w:ascii="Times New Roman" w:hAnsi="Times New Roman" w:cs="Times New Roman"/>
          <w:color w:val="auto"/>
          <w:sz w:val="24"/>
          <w:szCs w:val="24"/>
          <w:highlight w:val="none"/>
        </w:rPr>
        <w:t>项目事故情况下的最大事故废水量参考中国石化建标[2006]43号《关于印发〈水体污染防控紧急措施设计导则〉的通知》中计算公式确定。具体公式如下：</w:t>
      </w:r>
    </w:p>
    <w:p w14:paraId="5C9D087A">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V总=(V</w:t>
      </w:r>
      <w:r>
        <w:rPr>
          <w:rFonts w:hint="default" w:ascii="Times New Roman" w:hAnsi="Times New Roman" w:cs="Times New Roman"/>
          <w:color w:val="auto"/>
          <w:sz w:val="24"/>
          <w:szCs w:val="24"/>
          <w:highlight w:val="none"/>
          <w:vertAlign w:val="subscript"/>
        </w:rPr>
        <w:t>1</w:t>
      </w: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2</w:t>
      </w: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3</w:t>
      </w: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4"/>
          <w:highlight w:val="none"/>
          <w:vertAlign w:val="subscript"/>
        </w:rPr>
        <w:t>max</w:t>
      </w: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4</w:t>
      </w: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5</w:t>
      </w:r>
      <w:r>
        <w:rPr>
          <w:rFonts w:hint="default" w:ascii="Times New Roman" w:hAnsi="Times New Roman" w:cs="Times New Roman"/>
          <w:color w:val="auto"/>
          <w:sz w:val="24"/>
          <w:szCs w:val="24"/>
          <w:highlight w:val="none"/>
        </w:rPr>
        <w:t xml:space="preserve"> ((V</w:t>
      </w:r>
      <w:r>
        <w:rPr>
          <w:rFonts w:hint="default" w:ascii="Times New Roman" w:hAnsi="Times New Roman" w:cs="Times New Roman"/>
          <w:color w:val="auto"/>
          <w:sz w:val="24"/>
          <w:szCs w:val="24"/>
          <w:highlight w:val="none"/>
          <w:vertAlign w:val="subscript"/>
        </w:rPr>
        <w:t>1</w:t>
      </w: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2</w:t>
      </w: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3</w:t>
      </w: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4"/>
          <w:highlight w:val="none"/>
          <w:vertAlign w:val="subscript"/>
        </w:rPr>
        <w:t>max</w:t>
      </w:r>
      <w:r>
        <w:rPr>
          <w:rFonts w:hint="default" w:ascii="Times New Roman" w:hAnsi="Times New Roman" w:cs="Times New Roman"/>
          <w:color w:val="auto"/>
          <w:sz w:val="24"/>
          <w:szCs w:val="24"/>
          <w:highlight w:val="none"/>
        </w:rPr>
        <w:t xml:space="preserve"> 为计算各装置最大量)；单位m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w:t>
      </w:r>
    </w:p>
    <w:p w14:paraId="509EE0F2">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1</w:t>
      </w:r>
      <w:r>
        <w:rPr>
          <w:rFonts w:hint="default" w:ascii="Times New Roman" w:hAnsi="Times New Roman" w:cs="Times New Roman"/>
          <w:color w:val="auto"/>
          <w:sz w:val="24"/>
          <w:szCs w:val="24"/>
          <w:highlight w:val="none"/>
        </w:rPr>
        <w:t>：收集系统内发生事故时一个罐组或装置最大物料泄漏量</w:t>
      </w:r>
    </w:p>
    <w:p w14:paraId="782B4A9A">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罐组事故泄漏量按最大储罐容量、装置事故泄漏量按最大反应容器容量计，项目不设储罐，因此V</w:t>
      </w:r>
      <w:r>
        <w:rPr>
          <w:rFonts w:hint="default" w:ascii="Times New Roman" w:hAnsi="Times New Roman" w:cs="Times New Roman"/>
          <w:color w:val="auto"/>
          <w:sz w:val="24"/>
          <w:szCs w:val="24"/>
          <w:highlight w:val="none"/>
          <w:vertAlign w:val="subscript"/>
        </w:rPr>
        <w:t>1</w:t>
      </w:r>
      <w:r>
        <w:rPr>
          <w:rFonts w:hint="default" w:ascii="Times New Roman" w:hAnsi="Times New Roman" w:cs="Times New Roman"/>
          <w:color w:val="auto"/>
          <w:sz w:val="24"/>
          <w:szCs w:val="24"/>
          <w:highlight w:val="none"/>
        </w:rPr>
        <w:t>=0m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w:t>
      </w:r>
    </w:p>
    <w:p w14:paraId="2B8EE20F">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2</w:t>
      </w:r>
      <w:r>
        <w:rPr>
          <w:rFonts w:hint="default" w:ascii="Times New Roman" w:hAnsi="Times New Roman" w:cs="Times New Roman"/>
          <w:color w:val="auto"/>
          <w:sz w:val="24"/>
          <w:szCs w:val="24"/>
          <w:highlight w:val="none"/>
        </w:rPr>
        <w:t>：发生事故的装置消防水量</w:t>
      </w:r>
    </w:p>
    <w:p w14:paraId="4315E7B2">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消防废水量按最大消防用水量15L/s，扑救时间</w:t>
      </w:r>
      <w:r>
        <w:rPr>
          <w:rFonts w:hint="eastAsia" w:ascii="Times New Roman" w:hAnsi="Times New Roman" w:cs="Times New Roman"/>
          <w:color w:val="auto"/>
          <w:sz w:val="24"/>
          <w:szCs w:val="24"/>
          <w:highlight w:val="none"/>
          <w:lang w:val="en-US" w:eastAsia="zh-CN"/>
        </w:rPr>
        <w:t>1.5</w:t>
      </w:r>
      <w:r>
        <w:rPr>
          <w:rFonts w:hint="default" w:ascii="Times New Roman" w:hAnsi="Times New Roman" w:cs="Times New Roman"/>
          <w:color w:val="auto"/>
          <w:sz w:val="24"/>
          <w:szCs w:val="24"/>
          <w:highlight w:val="none"/>
        </w:rPr>
        <w:t>h计，本工程消防废水产生量约108m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，即V</w:t>
      </w:r>
      <w:r>
        <w:rPr>
          <w:rFonts w:hint="default" w:ascii="Times New Roman" w:hAnsi="Times New Roman" w:cs="Times New Roman"/>
          <w:color w:val="auto"/>
          <w:sz w:val="24"/>
          <w:szCs w:val="24"/>
          <w:highlight w:val="none"/>
          <w:vertAlign w:val="subscript"/>
        </w:rPr>
        <w:t>2</w:t>
      </w:r>
      <w:r>
        <w:rPr>
          <w:rFonts w:hint="default" w:ascii="Times New Roman" w:hAnsi="Times New Roman" w:cs="Times New Roman"/>
          <w:color w:val="auto"/>
          <w:sz w:val="24"/>
          <w:szCs w:val="24"/>
          <w:highlight w:val="none"/>
        </w:rPr>
        <w:t>=10</w:t>
      </w:r>
      <w:r>
        <w:rPr>
          <w:rFonts w:hint="eastAsia" w:ascii="Times New Roman" w:hAnsi="Times New Roman" w:cs="Times New Roman"/>
          <w:color w:val="auto"/>
          <w:sz w:val="24"/>
          <w:szCs w:val="24"/>
          <w:highlight w:val="none"/>
          <w:lang w:val="en-US" w:eastAsia="zh-CN"/>
        </w:rPr>
        <w:t>0</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w:t>
      </w:r>
    </w:p>
    <w:p w14:paraId="75D388B1">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3</w:t>
      </w:r>
      <w:r>
        <w:rPr>
          <w:rFonts w:hint="default" w:ascii="Times New Roman" w:hAnsi="Times New Roman" w:cs="Times New Roman"/>
          <w:color w:val="auto"/>
          <w:sz w:val="24"/>
          <w:szCs w:val="24"/>
          <w:highlight w:val="none"/>
        </w:rPr>
        <w:t>：发生事故时物料转移至其他容器及单元量</w:t>
      </w:r>
    </w:p>
    <w:p w14:paraId="75EE4047">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该项目无需转移物料，因此V</w:t>
      </w:r>
      <w:r>
        <w:rPr>
          <w:rFonts w:hint="default" w:ascii="Times New Roman" w:hAnsi="Times New Roman" w:cs="Times New Roman"/>
          <w:color w:val="auto"/>
          <w:sz w:val="24"/>
          <w:szCs w:val="24"/>
          <w:highlight w:val="none"/>
          <w:vertAlign w:val="subscript"/>
        </w:rPr>
        <w:t>3</w:t>
      </w:r>
      <w:r>
        <w:rPr>
          <w:rFonts w:hint="default" w:ascii="Times New Roman" w:hAnsi="Times New Roman" w:cs="Times New Roman"/>
          <w:color w:val="auto"/>
          <w:sz w:val="24"/>
          <w:szCs w:val="24"/>
          <w:highlight w:val="none"/>
        </w:rPr>
        <w:t>=0。</w:t>
      </w:r>
    </w:p>
    <w:p w14:paraId="43F4384B">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4</w:t>
      </w:r>
      <w:r>
        <w:rPr>
          <w:rFonts w:hint="default" w:ascii="Times New Roman" w:hAnsi="Times New Roman" w:cs="Times New Roman"/>
          <w:color w:val="auto"/>
          <w:sz w:val="24"/>
          <w:szCs w:val="24"/>
          <w:highlight w:val="none"/>
        </w:rPr>
        <w:t>：发生事故时必须进入该系统的生产废水量</w:t>
      </w:r>
    </w:p>
    <w:p w14:paraId="7B76765E">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该项目无生产废水产生，因此V</w:t>
      </w:r>
      <w:r>
        <w:rPr>
          <w:rFonts w:hint="default" w:ascii="Times New Roman" w:hAnsi="Times New Roman" w:cs="Times New Roman"/>
          <w:color w:val="auto"/>
          <w:sz w:val="24"/>
          <w:szCs w:val="24"/>
          <w:highlight w:val="none"/>
          <w:vertAlign w:val="subscript"/>
        </w:rPr>
        <w:t>4</w:t>
      </w:r>
      <w:r>
        <w:rPr>
          <w:rFonts w:hint="default" w:ascii="Times New Roman" w:hAnsi="Times New Roman" w:cs="Times New Roman"/>
          <w:color w:val="auto"/>
          <w:sz w:val="24"/>
          <w:szCs w:val="24"/>
          <w:highlight w:val="none"/>
        </w:rPr>
        <w:t>=0。</w:t>
      </w:r>
    </w:p>
    <w:p w14:paraId="5106F2F8">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V</w:t>
      </w:r>
      <w:r>
        <w:rPr>
          <w:rFonts w:hint="default" w:ascii="Times New Roman" w:hAnsi="Times New Roman" w:cs="Times New Roman"/>
          <w:color w:val="auto"/>
          <w:sz w:val="24"/>
          <w:szCs w:val="24"/>
          <w:highlight w:val="none"/>
          <w:vertAlign w:val="subscript"/>
        </w:rPr>
        <w:t>5</w:t>
      </w:r>
      <w:r>
        <w:rPr>
          <w:rFonts w:hint="default" w:ascii="Times New Roman" w:hAnsi="Times New Roman" w:cs="Times New Roman"/>
          <w:color w:val="auto"/>
          <w:sz w:val="24"/>
          <w:szCs w:val="24"/>
          <w:highlight w:val="none"/>
        </w:rPr>
        <w:t>：发生事故时可能进入该系统的最大雨水量，m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w:t>
      </w:r>
    </w:p>
    <w:p w14:paraId="472FD157">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生产过程全部在车间内进行，因此无雨水进入该系统，V</w:t>
      </w:r>
      <w:r>
        <w:rPr>
          <w:rFonts w:hint="default" w:ascii="Times New Roman" w:hAnsi="Times New Roman" w:cs="Times New Roman"/>
          <w:color w:val="auto"/>
          <w:sz w:val="24"/>
          <w:szCs w:val="24"/>
          <w:highlight w:val="none"/>
          <w:vertAlign w:val="subscript"/>
        </w:rPr>
        <w:t>5</w:t>
      </w:r>
      <w:r>
        <w:rPr>
          <w:rFonts w:hint="default" w:ascii="Times New Roman" w:hAnsi="Times New Roman" w:cs="Times New Roman"/>
          <w:color w:val="auto"/>
          <w:sz w:val="24"/>
          <w:szCs w:val="24"/>
          <w:highlight w:val="none"/>
        </w:rPr>
        <w:t>=0。</w:t>
      </w:r>
    </w:p>
    <w:p w14:paraId="17464826">
      <w:pPr>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rPr>
      </w:pPr>
      <w:r>
        <w:rPr>
          <w:rFonts w:hint="default" w:ascii="Times New Roman" w:hAnsi="Times New Roman" w:cs="Times New Roman"/>
          <w:color w:val="auto"/>
          <w:sz w:val="24"/>
          <w:szCs w:val="24"/>
          <w:highlight w:val="none"/>
        </w:rPr>
        <w:t>计算得V</w:t>
      </w:r>
      <w:r>
        <w:rPr>
          <w:rFonts w:hint="default" w:ascii="Times New Roman" w:hAnsi="Times New Roman" w:cs="Times New Roman"/>
          <w:color w:val="auto"/>
          <w:sz w:val="24"/>
          <w:szCs w:val="24"/>
          <w:highlight w:val="none"/>
          <w:vertAlign w:val="subscript"/>
        </w:rPr>
        <w:t>总</w:t>
      </w:r>
      <w:r>
        <w:rPr>
          <w:rFonts w:hint="default" w:ascii="Times New Roman" w:hAnsi="Times New Roman" w:cs="Times New Roman"/>
          <w:color w:val="auto"/>
          <w:sz w:val="24"/>
          <w:szCs w:val="24"/>
          <w:highlight w:val="none"/>
        </w:rPr>
        <w:t>=10</w:t>
      </w:r>
      <w:r>
        <w:rPr>
          <w:rFonts w:hint="eastAsia" w:ascii="Times New Roman" w:hAnsi="Times New Roman" w:cs="Times New Roman"/>
          <w:color w:val="auto"/>
          <w:sz w:val="24"/>
          <w:szCs w:val="24"/>
          <w:highlight w:val="none"/>
          <w:lang w:val="en-US" w:eastAsia="zh-CN"/>
        </w:rPr>
        <w:t>0</w:t>
      </w:r>
      <w:r>
        <w:rPr>
          <w:rFonts w:hint="default" w:ascii="Times New Roman" w:hAnsi="Times New Roman" w:cs="Times New Roman"/>
          <w:color w:val="auto"/>
          <w:sz w:val="24"/>
          <w:szCs w:val="24"/>
          <w:highlight w:val="none"/>
        </w:rPr>
        <w:t>m³，即项目最大事故水量为10</w:t>
      </w:r>
      <w:r>
        <w:rPr>
          <w:rFonts w:hint="eastAsia" w:ascii="Times New Roman" w:hAnsi="Times New Roman" w:cs="Times New Roman"/>
          <w:color w:val="auto"/>
          <w:sz w:val="24"/>
          <w:szCs w:val="24"/>
          <w:highlight w:val="none"/>
          <w:lang w:val="en-US" w:eastAsia="zh-CN"/>
        </w:rPr>
        <w:t>0</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w:t>
      </w:r>
    </w:p>
    <w:p w14:paraId="1752A290">
      <w:pPr>
        <w:pStyle w:val="88"/>
        <w:pageBreakBefore w:val="0"/>
        <w:shd w:val="clear" w:color="auto" w:fill="FFFFFF"/>
        <w:kinsoku/>
        <w:wordWrap/>
        <w:overflowPunct/>
        <w:topLinePunct w:val="0"/>
        <w:autoSpaceDE/>
        <w:autoSpaceDN/>
        <w:bidi w:val="0"/>
        <w:adjustRightInd w:val="0"/>
        <w:snapToGrid w:val="0"/>
        <w:spacing w:before="0" w:beforeAutospacing="0" w:after="0" w:afterAutospacing="0" w:line="360" w:lineRule="auto"/>
        <w:ind w:firstLine="486" w:firstLineChars="200"/>
        <w:textAlignment w:val="auto"/>
        <w:rPr>
          <w:rFonts w:hint="default" w:ascii="Times New Roman" w:hAnsi="Times New Roman" w:eastAsia="宋体" w:cs="Times New Roman"/>
          <w:caps w:val="0"/>
          <w:smallCaps w:val="0"/>
          <w:color w:val="auto"/>
          <w:spacing w:val="0"/>
          <w:kern w:val="2"/>
          <w:position w:val="0"/>
          <w:highlight w:val="none"/>
        </w:rPr>
      </w:pPr>
      <w:r>
        <w:rPr>
          <w:rFonts w:hint="eastAsia" w:ascii="Times New Roman" w:hAnsi="Times New Roman" w:cs="Times New Roman"/>
          <w:caps w:val="0"/>
          <w:smallCaps w:val="0"/>
          <w:color w:val="auto"/>
          <w:spacing w:val="0"/>
          <w:position w:val="0"/>
          <w:sz w:val="24"/>
          <w:szCs w:val="24"/>
          <w:highlight w:val="none"/>
          <w:lang w:eastAsia="zh-CN"/>
        </w:rPr>
        <w:t>厂区</w:t>
      </w:r>
      <w:r>
        <w:rPr>
          <w:rFonts w:hint="default" w:ascii="Times New Roman" w:hAnsi="Times New Roman" w:cs="Times New Roman"/>
          <w:caps w:val="0"/>
          <w:smallCaps w:val="0"/>
          <w:color w:val="auto"/>
          <w:spacing w:val="0"/>
          <w:position w:val="0"/>
          <w:sz w:val="24"/>
          <w:szCs w:val="24"/>
          <w:highlight w:val="none"/>
          <w:lang w:eastAsia="zh-CN"/>
        </w:rPr>
        <w:t>设置了</w:t>
      </w:r>
      <w:r>
        <w:rPr>
          <w:rFonts w:hint="default" w:ascii="Times New Roman" w:hAnsi="Times New Roman" w:cs="Times New Roman"/>
          <w:caps w:val="0"/>
          <w:smallCaps w:val="0"/>
          <w:color w:val="auto"/>
          <w:spacing w:val="0"/>
          <w:position w:val="0"/>
          <w:sz w:val="24"/>
          <w:szCs w:val="24"/>
          <w:highlight w:val="none"/>
          <w:lang w:val="en-US" w:eastAsia="zh-CN"/>
        </w:rPr>
        <w:t>500m</w:t>
      </w:r>
      <w:r>
        <w:rPr>
          <w:rFonts w:hint="default" w:ascii="Times New Roman" w:hAnsi="Times New Roman" w:cs="Times New Roman"/>
          <w:caps w:val="0"/>
          <w:smallCaps w:val="0"/>
          <w:color w:val="auto"/>
          <w:spacing w:val="0"/>
          <w:position w:val="0"/>
          <w:sz w:val="24"/>
          <w:szCs w:val="24"/>
          <w:highlight w:val="none"/>
          <w:vertAlign w:val="superscript"/>
          <w:lang w:val="en-US" w:eastAsia="zh-CN"/>
        </w:rPr>
        <w:t>3</w:t>
      </w:r>
      <w:r>
        <w:rPr>
          <w:rFonts w:hint="default" w:ascii="Times New Roman" w:hAnsi="Times New Roman" w:cs="Times New Roman"/>
          <w:caps w:val="0"/>
          <w:smallCaps w:val="0"/>
          <w:color w:val="auto"/>
          <w:spacing w:val="0"/>
          <w:position w:val="0"/>
          <w:sz w:val="24"/>
          <w:szCs w:val="24"/>
          <w:highlight w:val="none"/>
          <w:lang w:val="en-US" w:eastAsia="zh-CN"/>
        </w:rPr>
        <w:t>和260m</w:t>
      </w:r>
      <w:r>
        <w:rPr>
          <w:rFonts w:hint="default" w:ascii="Times New Roman" w:hAnsi="Times New Roman" w:cs="Times New Roman"/>
          <w:caps w:val="0"/>
          <w:smallCaps w:val="0"/>
          <w:color w:val="auto"/>
          <w:spacing w:val="0"/>
          <w:position w:val="0"/>
          <w:sz w:val="24"/>
          <w:szCs w:val="24"/>
          <w:highlight w:val="none"/>
          <w:vertAlign w:val="superscript"/>
          <w:lang w:val="en-US" w:eastAsia="zh-CN"/>
        </w:rPr>
        <w:t>3</w:t>
      </w:r>
      <w:r>
        <w:rPr>
          <w:rFonts w:hint="default" w:ascii="Times New Roman" w:hAnsi="Times New Roman" w:cs="Times New Roman"/>
          <w:caps w:val="0"/>
          <w:smallCaps w:val="0"/>
          <w:color w:val="auto"/>
          <w:spacing w:val="0"/>
          <w:position w:val="0"/>
          <w:sz w:val="24"/>
          <w:szCs w:val="24"/>
          <w:highlight w:val="none"/>
          <w:lang w:val="en-US" w:eastAsia="zh-CN"/>
        </w:rPr>
        <w:t>的事故水池</w:t>
      </w:r>
      <w:r>
        <w:rPr>
          <w:rFonts w:hint="default" w:ascii="Times New Roman" w:hAnsi="Times New Roman" w:eastAsia="宋体" w:cs="Times New Roman"/>
          <w:caps w:val="0"/>
          <w:smallCaps w:val="0"/>
          <w:color w:val="auto"/>
          <w:spacing w:val="0"/>
          <w:position w:val="0"/>
          <w:sz w:val="24"/>
          <w:szCs w:val="24"/>
          <w:highlight w:val="none"/>
        </w:rPr>
        <w:t>，</w:t>
      </w:r>
      <w:r>
        <w:rPr>
          <w:rFonts w:hint="default" w:ascii="Times New Roman" w:hAnsi="Times New Roman" w:eastAsia="宋体" w:cs="Times New Roman"/>
          <w:caps w:val="0"/>
          <w:smallCaps w:val="0"/>
          <w:color w:val="auto"/>
          <w:spacing w:val="0"/>
          <w:kern w:val="2"/>
          <w:position w:val="0"/>
          <w:highlight w:val="none"/>
        </w:rPr>
        <w:t>确保事故</w:t>
      </w:r>
      <w:r>
        <w:rPr>
          <w:rFonts w:hint="eastAsia" w:ascii="Times New Roman" w:hAnsi="Times New Roman" w:cs="Times New Roman"/>
          <w:caps w:val="0"/>
          <w:smallCaps w:val="0"/>
          <w:color w:val="auto"/>
          <w:spacing w:val="0"/>
          <w:kern w:val="2"/>
          <w:position w:val="0"/>
          <w:highlight w:val="none"/>
          <w:lang w:eastAsia="zh-CN"/>
        </w:rPr>
        <w:t>水池满足公司事故水盛装要求。</w:t>
      </w:r>
      <w:r>
        <w:rPr>
          <w:rFonts w:hint="default" w:ascii="Times New Roman" w:hAnsi="Times New Roman" w:eastAsia="宋体" w:cs="Times New Roman"/>
          <w:caps w:val="0"/>
          <w:smallCaps w:val="0"/>
          <w:color w:val="auto"/>
          <w:spacing w:val="0"/>
          <w:kern w:val="2"/>
          <w:position w:val="0"/>
          <w:highlight w:val="none"/>
        </w:rPr>
        <w:t>处置后的消洗液进入事故水池，污染物不会泄漏至厂外环境。厂区内不宜形成内涝</w:t>
      </w:r>
      <w:r>
        <w:rPr>
          <w:rFonts w:hint="default" w:ascii="Times New Roman" w:hAnsi="Times New Roman" w:eastAsia="宋体" w:cs="Times New Roman"/>
          <w:caps w:val="0"/>
          <w:smallCaps w:val="0"/>
          <w:color w:val="auto"/>
          <w:spacing w:val="0"/>
          <w:kern w:val="2"/>
          <w:position w:val="0"/>
          <w:highlight w:val="none"/>
          <w:lang w:eastAsia="zh-CN"/>
        </w:rPr>
        <w:t>；</w:t>
      </w:r>
      <w:r>
        <w:rPr>
          <w:rFonts w:hint="default" w:ascii="Times New Roman" w:hAnsi="Times New Roman" w:eastAsia="宋体" w:cs="Times New Roman"/>
          <w:caps w:val="0"/>
          <w:smallCaps w:val="0"/>
          <w:color w:val="auto"/>
          <w:spacing w:val="0"/>
          <w:kern w:val="2"/>
          <w:position w:val="0"/>
          <w:highlight w:val="none"/>
        </w:rPr>
        <w:t>公司制订了环保管理制度、安全操作规程等方面的程序文件和作业指导书，并严格按要求执行。按设计规范要求配备消防、环保等安全环保设备和设施，并加强维护保养，确保设备设施的完好。</w:t>
      </w:r>
    </w:p>
    <w:p w14:paraId="458530B6">
      <w:pPr>
        <w:pStyle w:val="2"/>
        <w:adjustRightInd w:val="0"/>
        <w:snapToGrid w:val="0"/>
        <w:spacing w:after="0" w:line="360" w:lineRule="auto"/>
        <w:ind w:left="0" w:leftChars="0" w:firstLine="31680"/>
        <w:rPr>
          <w:rFonts w:hint="default" w:ascii="Times New Roman" w:hAnsi="Times New Roman" w:cs="Times New Roman"/>
          <w:color w:val="auto"/>
          <w:spacing w:val="-2"/>
          <w:kern w:val="0"/>
          <w:sz w:val="24"/>
          <w:highlight w:val="none"/>
        </w:rPr>
      </w:pPr>
      <w:r>
        <w:rPr>
          <w:rFonts w:hint="default" w:ascii="Times New Roman" w:hAnsi="Times New Roman" w:cs="Times New Roman"/>
          <w:color w:val="auto"/>
          <w:spacing w:val="-2"/>
          <w:kern w:val="0"/>
          <w:sz w:val="24"/>
          <w:highlight w:val="none"/>
        </w:rPr>
        <w:t>（3）事故应急池做防腐防渗处理，事故状态下收集的物料待事故消除后经槽车运走做相应处理。</w:t>
      </w:r>
    </w:p>
    <w:bookmarkEnd w:id="82"/>
    <w:p w14:paraId="5FEB3FC8">
      <w:pPr>
        <w:pStyle w:val="110"/>
        <w:keepNext w:val="0"/>
        <w:keepLines w:val="0"/>
        <w:pageBreakBefore w:val="0"/>
        <w:widowControl w:val="0"/>
        <w:tabs>
          <w:tab w:val="left" w:pos="1470"/>
        </w:tabs>
        <w:kinsoku/>
        <w:wordWrap/>
        <w:overflowPunct/>
        <w:topLinePunct w:val="0"/>
        <w:autoSpaceDE/>
        <w:autoSpaceDN/>
        <w:bidi w:val="0"/>
        <w:adjustRightInd w:val="0"/>
        <w:snapToGrid w:val="0"/>
        <w:spacing w:line="360" w:lineRule="auto"/>
        <w:ind w:left="0" w:leftChars="0" w:right="0" w:rightChars="0" w:firstLine="478" w:firstLineChars="200"/>
        <w:jc w:val="both"/>
        <w:textAlignment w:val="auto"/>
        <w:outlineLvl w:val="9"/>
        <w:rPr>
          <w:rFonts w:hint="default" w:ascii="Times New Roman" w:hAnsi="Times New Roman" w:cs="Times New Roman"/>
          <w:bCs/>
          <w:color w:val="auto"/>
          <w:spacing w:val="-2"/>
          <w:kern w:val="0"/>
          <w:sz w:val="24"/>
          <w:highlight w:val="none"/>
        </w:rPr>
      </w:pPr>
      <w:r>
        <w:rPr>
          <w:rFonts w:hint="default" w:ascii="Times New Roman" w:hAnsi="Times New Roman" w:cs="Times New Roman"/>
          <w:bCs/>
          <w:color w:val="auto"/>
          <w:spacing w:val="-2"/>
          <w:kern w:val="0"/>
          <w:sz w:val="24"/>
          <w:highlight w:val="none"/>
        </w:rPr>
        <w:t>3、雨排水系统收集措施</w:t>
      </w:r>
    </w:p>
    <w:p w14:paraId="7B283A94">
      <w:pPr>
        <w:pStyle w:val="110"/>
        <w:keepNext w:val="0"/>
        <w:keepLines w:val="0"/>
        <w:pageBreakBefore w:val="0"/>
        <w:widowControl w:val="0"/>
        <w:tabs>
          <w:tab w:val="left" w:pos="1470"/>
        </w:tabs>
        <w:kinsoku/>
        <w:wordWrap/>
        <w:overflowPunct/>
        <w:topLinePunct w:val="0"/>
        <w:autoSpaceDE/>
        <w:autoSpaceDN/>
        <w:bidi w:val="0"/>
        <w:adjustRightInd w:val="0"/>
        <w:snapToGrid w:val="0"/>
        <w:spacing w:line="360" w:lineRule="auto"/>
        <w:ind w:left="0" w:leftChars="0" w:right="0" w:rightChars="0" w:firstLine="478" w:firstLineChars="200"/>
        <w:jc w:val="both"/>
        <w:textAlignment w:val="auto"/>
        <w:outlineLvl w:val="9"/>
        <w:rPr>
          <w:rFonts w:hint="default" w:ascii="Times New Roman" w:hAnsi="Times New Roman" w:cs="Times New Roman"/>
          <w:bCs/>
          <w:color w:val="auto"/>
          <w:spacing w:val="-2"/>
          <w:kern w:val="0"/>
          <w:sz w:val="24"/>
          <w:highlight w:val="none"/>
        </w:rPr>
      </w:pPr>
      <w:r>
        <w:rPr>
          <w:rFonts w:hint="default" w:ascii="Times New Roman" w:hAnsi="Times New Roman" w:cs="Times New Roman"/>
          <w:bCs/>
          <w:color w:val="auto"/>
          <w:spacing w:val="-2"/>
          <w:kern w:val="0"/>
          <w:sz w:val="24"/>
          <w:highlight w:val="none"/>
        </w:rPr>
        <w:t>厂区内设置了雨水排水沟</w:t>
      </w:r>
      <w:r>
        <w:rPr>
          <w:rFonts w:hint="default" w:ascii="Times New Roman" w:hAnsi="Times New Roman" w:cs="Times New Roman"/>
          <w:bCs/>
          <w:color w:val="auto"/>
          <w:spacing w:val="-2"/>
          <w:kern w:val="0"/>
          <w:sz w:val="24"/>
          <w:highlight w:val="none"/>
          <w:lang w:eastAsia="zh-CN"/>
        </w:rPr>
        <w:t>和</w:t>
      </w:r>
      <w:r>
        <w:rPr>
          <w:rFonts w:hint="default" w:ascii="Times New Roman" w:hAnsi="Times New Roman" w:cs="Times New Roman"/>
          <w:bCs/>
          <w:color w:val="auto"/>
          <w:spacing w:val="-2"/>
          <w:kern w:val="0"/>
          <w:sz w:val="24"/>
          <w:highlight w:val="none"/>
        </w:rPr>
        <w:t>初期雨水收集池。</w:t>
      </w:r>
    </w:p>
    <w:p w14:paraId="54EE4ACC">
      <w:pPr>
        <w:pStyle w:val="110"/>
        <w:keepNext w:val="0"/>
        <w:keepLines w:val="0"/>
        <w:pageBreakBefore w:val="0"/>
        <w:widowControl w:val="0"/>
        <w:tabs>
          <w:tab w:val="left" w:pos="1470"/>
        </w:tabs>
        <w:kinsoku/>
        <w:wordWrap/>
        <w:overflowPunct/>
        <w:topLinePunct w:val="0"/>
        <w:autoSpaceDE/>
        <w:autoSpaceDN/>
        <w:bidi w:val="0"/>
        <w:adjustRightInd w:val="0"/>
        <w:snapToGrid w:val="0"/>
        <w:spacing w:line="360" w:lineRule="auto"/>
        <w:ind w:left="0" w:leftChars="0" w:right="0" w:rightChars="0" w:firstLine="478" w:firstLineChars="200"/>
        <w:jc w:val="both"/>
        <w:textAlignment w:val="auto"/>
        <w:outlineLvl w:val="9"/>
        <w:rPr>
          <w:rFonts w:hint="default" w:ascii="Times New Roman" w:hAnsi="Times New Roman" w:cs="Times New Roman"/>
          <w:bCs/>
          <w:color w:val="auto"/>
          <w:spacing w:val="-2"/>
          <w:kern w:val="0"/>
          <w:sz w:val="24"/>
          <w:highlight w:val="none"/>
        </w:rPr>
      </w:pPr>
      <w:r>
        <w:rPr>
          <w:rFonts w:hint="default" w:ascii="Times New Roman" w:hAnsi="Times New Roman" w:cs="Times New Roman"/>
          <w:bCs/>
          <w:color w:val="auto"/>
          <w:spacing w:val="-2"/>
          <w:kern w:val="0"/>
          <w:sz w:val="24"/>
          <w:highlight w:val="none"/>
        </w:rPr>
        <w:t>4、清洁下水系统收集措施</w:t>
      </w:r>
    </w:p>
    <w:p w14:paraId="35128C4E">
      <w:pPr>
        <w:pStyle w:val="110"/>
        <w:keepNext w:val="0"/>
        <w:keepLines w:val="0"/>
        <w:pageBreakBefore w:val="0"/>
        <w:widowControl w:val="0"/>
        <w:tabs>
          <w:tab w:val="left" w:pos="1470"/>
        </w:tabs>
        <w:kinsoku/>
        <w:wordWrap/>
        <w:overflowPunct/>
        <w:topLinePunct w:val="0"/>
        <w:autoSpaceDE/>
        <w:autoSpaceDN/>
        <w:bidi w:val="0"/>
        <w:adjustRightInd w:val="0"/>
        <w:snapToGrid w:val="0"/>
        <w:spacing w:line="360" w:lineRule="auto"/>
        <w:ind w:left="0" w:leftChars="0" w:right="0" w:rightChars="0" w:firstLine="478" w:firstLineChars="200"/>
        <w:jc w:val="both"/>
        <w:textAlignment w:val="auto"/>
        <w:outlineLvl w:val="9"/>
        <w:rPr>
          <w:rFonts w:hint="default" w:ascii="Times New Roman" w:hAnsi="Times New Roman" w:cs="Times New Roman"/>
          <w:bCs/>
          <w:color w:val="auto"/>
          <w:spacing w:val="-2"/>
          <w:kern w:val="0"/>
          <w:sz w:val="24"/>
          <w:highlight w:val="none"/>
        </w:rPr>
      </w:pPr>
      <w:r>
        <w:rPr>
          <w:rFonts w:hint="default" w:ascii="Times New Roman" w:hAnsi="Times New Roman" w:cs="Times New Roman"/>
          <w:bCs/>
          <w:color w:val="auto"/>
          <w:spacing w:val="-2"/>
          <w:kern w:val="0"/>
          <w:sz w:val="24"/>
          <w:highlight w:val="none"/>
        </w:rPr>
        <w:t>厂区内设置了清洁下水收集系统，收集后的清洁下水经沉淀处理后用于</w:t>
      </w:r>
      <w:r>
        <w:rPr>
          <w:rFonts w:hint="default" w:ascii="Times New Roman" w:hAnsi="Times New Roman" w:cs="Times New Roman"/>
          <w:bCs/>
          <w:color w:val="auto"/>
          <w:spacing w:val="-2"/>
          <w:kern w:val="0"/>
          <w:sz w:val="24"/>
          <w:highlight w:val="none"/>
          <w:lang w:eastAsia="zh-CN"/>
        </w:rPr>
        <w:t>厂区地面洒水降尘</w:t>
      </w:r>
      <w:r>
        <w:rPr>
          <w:rFonts w:hint="default" w:ascii="Times New Roman" w:hAnsi="Times New Roman" w:cs="Times New Roman"/>
          <w:bCs/>
          <w:color w:val="auto"/>
          <w:spacing w:val="-2"/>
          <w:kern w:val="0"/>
          <w:sz w:val="24"/>
          <w:highlight w:val="none"/>
        </w:rPr>
        <w:t>。</w:t>
      </w:r>
    </w:p>
    <w:p w14:paraId="5D86D2A9">
      <w:pPr>
        <w:pStyle w:val="110"/>
        <w:keepNext w:val="0"/>
        <w:keepLines w:val="0"/>
        <w:pageBreakBefore w:val="0"/>
        <w:widowControl w:val="0"/>
        <w:tabs>
          <w:tab w:val="left" w:pos="1470"/>
        </w:tabs>
        <w:kinsoku/>
        <w:wordWrap/>
        <w:overflowPunct/>
        <w:topLinePunct w:val="0"/>
        <w:autoSpaceDE/>
        <w:autoSpaceDN/>
        <w:bidi w:val="0"/>
        <w:adjustRightInd w:val="0"/>
        <w:snapToGrid w:val="0"/>
        <w:spacing w:line="360" w:lineRule="auto"/>
        <w:ind w:left="0" w:leftChars="0" w:right="0" w:rightChars="0" w:firstLine="478" w:firstLineChars="200"/>
        <w:jc w:val="both"/>
        <w:textAlignment w:val="auto"/>
        <w:outlineLvl w:val="9"/>
        <w:rPr>
          <w:rFonts w:hint="default" w:ascii="Times New Roman" w:hAnsi="Times New Roman" w:cs="Times New Roman"/>
          <w:bCs/>
          <w:color w:val="auto"/>
          <w:spacing w:val="-2"/>
          <w:kern w:val="0"/>
          <w:sz w:val="24"/>
          <w:highlight w:val="none"/>
        </w:rPr>
      </w:pPr>
      <w:r>
        <w:rPr>
          <w:rFonts w:hint="default" w:ascii="Times New Roman" w:hAnsi="Times New Roman" w:cs="Times New Roman"/>
          <w:bCs/>
          <w:color w:val="auto"/>
          <w:spacing w:val="-2"/>
          <w:kern w:val="0"/>
          <w:sz w:val="24"/>
          <w:highlight w:val="none"/>
        </w:rPr>
        <w:t>5、生产废水处理系统收集措施</w:t>
      </w:r>
    </w:p>
    <w:p w14:paraId="117B5396">
      <w:pPr>
        <w:pStyle w:val="110"/>
        <w:keepNext w:val="0"/>
        <w:keepLines w:val="0"/>
        <w:pageBreakBefore w:val="0"/>
        <w:widowControl w:val="0"/>
        <w:tabs>
          <w:tab w:val="left" w:pos="1470"/>
        </w:tabs>
        <w:kinsoku/>
        <w:wordWrap/>
        <w:overflowPunct/>
        <w:topLinePunct w:val="0"/>
        <w:autoSpaceDE/>
        <w:autoSpaceDN/>
        <w:bidi w:val="0"/>
        <w:adjustRightInd w:val="0"/>
        <w:snapToGrid w:val="0"/>
        <w:spacing w:line="360" w:lineRule="auto"/>
        <w:ind w:left="0" w:leftChars="0" w:right="0" w:rightChars="0" w:firstLine="478" w:firstLineChars="200"/>
        <w:jc w:val="both"/>
        <w:textAlignment w:val="auto"/>
        <w:outlineLvl w:val="9"/>
        <w:rPr>
          <w:rFonts w:hint="default" w:ascii="Times New Roman" w:hAnsi="Times New Roman" w:cs="Times New Roman"/>
          <w:bCs/>
          <w:color w:val="auto"/>
          <w:spacing w:val="-2"/>
          <w:kern w:val="0"/>
          <w:sz w:val="24"/>
          <w:highlight w:val="none"/>
        </w:rPr>
      </w:pPr>
      <w:r>
        <w:rPr>
          <w:rFonts w:hint="default" w:ascii="Times New Roman" w:hAnsi="Times New Roman" w:cs="Times New Roman"/>
          <w:bCs/>
          <w:color w:val="auto"/>
          <w:spacing w:val="-2"/>
          <w:kern w:val="0"/>
          <w:sz w:val="24"/>
          <w:highlight w:val="none"/>
        </w:rPr>
        <w:t>厂区生产过程</w:t>
      </w:r>
      <w:r>
        <w:rPr>
          <w:rFonts w:hint="default" w:ascii="Times New Roman" w:hAnsi="Times New Roman" w:cs="Times New Roman"/>
          <w:bCs/>
          <w:color w:val="auto"/>
          <w:spacing w:val="-2"/>
          <w:kern w:val="0"/>
          <w:sz w:val="24"/>
          <w:highlight w:val="none"/>
          <w:lang w:eastAsia="zh-CN"/>
        </w:rPr>
        <w:t>产生的废水</w:t>
      </w:r>
      <w:r>
        <w:rPr>
          <w:rFonts w:hint="default" w:ascii="Times New Roman" w:hAnsi="Times New Roman" w:cs="Times New Roman"/>
          <w:color w:val="auto"/>
          <w:sz w:val="24"/>
          <w:highlight w:val="none"/>
          <w:lang w:eastAsia="zh-CN"/>
        </w:rPr>
        <w:t>经厂内污水处理装置预处理后通过管网排入齐鲁石化供排水厂深度处理，处理达标后经排海管线排海</w:t>
      </w:r>
      <w:r>
        <w:rPr>
          <w:rFonts w:hint="default" w:ascii="Times New Roman" w:hAnsi="Times New Roman" w:cs="Times New Roman"/>
          <w:bCs/>
          <w:color w:val="auto"/>
          <w:spacing w:val="-2"/>
          <w:kern w:val="0"/>
          <w:sz w:val="24"/>
          <w:highlight w:val="none"/>
        </w:rPr>
        <w:t>。</w:t>
      </w:r>
    </w:p>
    <w:p w14:paraId="5ED09EED">
      <w:pPr>
        <w:pStyle w:val="110"/>
        <w:keepNext w:val="0"/>
        <w:keepLines w:val="0"/>
        <w:pageBreakBefore w:val="0"/>
        <w:widowControl w:val="0"/>
        <w:tabs>
          <w:tab w:val="left" w:pos="1470"/>
        </w:tabs>
        <w:kinsoku/>
        <w:wordWrap/>
        <w:overflowPunct/>
        <w:topLinePunct w:val="0"/>
        <w:autoSpaceDE/>
        <w:autoSpaceDN/>
        <w:bidi w:val="0"/>
        <w:adjustRightInd w:val="0"/>
        <w:snapToGrid w:val="0"/>
        <w:spacing w:line="360" w:lineRule="auto"/>
        <w:ind w:left="0" w:leftChars="0" w:right="0" w:rightChars="0" w:firstLine="478" w:firstLineChars="200"/>
        <w:jc w:val="both"/>
        <w:textAlignment w:val="auto"/>
        <w:outlineLvl w:val="9"/>
        <w:rPr>
          <w:rFonts w:hint="default" w:ascii="Times New Roman" w:hAnsi="Times New Roman" w:eastAsia="宋体" w:cs="Times New Roman"/>
          <w:color w:val="auto"/>
          <w:kern w:val="0"/>
          <w:sz w:val="24"/>
          <w:szCs w:val="24"/>
          <w:highlight w:val="none"/>
        </w:rPr>
      </w:pPr>
      <w:r>
        <w:rPr>
          <w:rFonts w:hint="default" w:ascii="Times New Roman" w:hAnsi="Times New Roman" w:cs="Times New Roman"/>
          <w:bCs/>
          <w:color w:val="auto"/>
          <w:spacing w:val="-2"/>
          <w:kern w:val="0"/>
          <w:sz w:val="24"/>
          <w:highlight w:val="none"/>
        </w:rPr>
        <w:t>发生突发环境事件，立即启动公司应急预案，公司应急预案体系中，应急救援组织机构中通讯联络组协助应急指挥组做好事件报警、通报及联络工作；</w:t>
      </w:r>
      <w:r>
        <w:rPr>
          <w:rFonts w:hint="default" w:ascii="Times New Roman" w:hAnsi="Times New Roman" w:cs="Times New Roman"/>
          <w:bCs/>
          <w:color w:val="auto"/>
          <w:spacing w:val="-2"/>
          <w:kern w:val="0"/>
          <w:sz w:val="24"/>
          <w:highlight w:val="none"/>
          <w:lang w:eastAsia="zh-CN"/>
        </w:rPr>
        <w:t>抢险救援洗消组</w:t>
      </w:r>
      <w:r>
        <w:rPr>
          <w:rFonts w:hint="default" w:ascii="Times New Roman" w:hAnsi="Times New Roman" w:cs="Times New Roman"/>
          <w:bCs/>
          <w:color w:val="auto"/>
          <w:spacing w:val="-2"/>
          <w:kern w:val="0"/>
          <w:sz w:val="24"/>
          <w:highlight w:val="none"/>
        </w:rPr>
        <w:t>对设备进行抢修；</w:t>
      </w:r>
      <w:r>
        <w:rPr>
          <w:rFonts w:hint="default" w:ascii="Times New Roman" w:hAnsi="Times New Roman" w:cs="Times New Roman"/>
          <w:bCs/>
          <w:color w:val="auto"/>
          <w:spacing w:val="-2"/>
          <w:kern w:val="0"/>
          <w:sz w:val="24"/>
          <w:highlight w:val="none"/>
          <w:lang w:eastAsia="zh-CN"/>
        </w:rPr>
        <w:t>警戒保卫组</w:t>
      </w:r>
      <w:r>
        <w:rPr>
          <w:rFonts w:hint="default" w:ascii="Times New Roman" w:hAnsi="Times New Roman" w:cs="Times New Roman"/>
          <w:bCs/>
          <w:color w:val="auto"/>
          <w:spacing w:val="-2"/>
          <w:kern w:val="0"/>
          <w:sz w:val="24"/>
          <w:highlight w:val="none"/>
        </w:rPr>
        <w:t>根据现场情况判断是否需要人员紧急疏散和抢救物资，如需紧急疏散须及时规定疏散路线和疏散路口；后勤保障组、</w:t>
      </w:r>
      <w:r>
        <w:rPr>
          <w:rFonts w:hint="default" w:ascii="Times New Roman" w:hAnsi="Times New Roman" w:cs="Times New Roman"/>
          <w:bCs/>
          <w:color w:val="auto"/>
          <w:spacing w:val="-2"/>
          <w:kern w:val="0"/>
          <w:sz w:val="24"/>
          <w:highlight w:val="none"/>
          <w:lang w:eastAsia="zh-CN"/>
        </w:rPr>
        <w:t>医疗救援组</w:t>
      </w:r>
      <w:r>
        <w:rPr>
          <w:rFonts w:hint="default" w:ascii="Times New Roman" w:hAnsi="Times New Roman" w:cs="Times New Roman"/>
          <w:bCs/>
          <w:color w:val="auto"/>
          <w:spacing w:val="-2"/>
          <w:kern w:val="0"/>
          <w:sz w:val="24"/>
          <w:highlight w:val="none"/>
        </w:rPr>
        <w:t>等协调对救援人员的后勤、医疗进行处理。公司现有环境风险防控措施及应急措施基本完善，能有效应对突发环境事件所造成的风险及影响。</w:t>
      </w:r>
    </w:p>
    <w:p w14:paraId="7EE62D21">
      <w:pPr>
        <w:pStyle w:val="31"/>
        <w:widowControl w:val="0"/>
        <w:adjustRightInd w:val="0"/>
        <w:snapToGrid w:val="0"/>
        <w:spacing w:before="0" w:beforeAutospacing="0" w:after="0" w:afterAutospacing="0" w:line="360" w:lineRule="auto"/>
        <w:ind w:firstLine="486" w:firstLineChars="200"/>
        <w:jc w:val="both"/>
        <w:rPr>
          <w:rFonts w:hint="default" w:ascii="Times New Roman" w:hAnsi="Times New Roman" w:eastAsia="宋体" w:cs="Times New Roman"/>
          <w:caps w:val="0"/>
          <w:smallCaps w:val="0"/>
          <w:color w:val="auto"/>
          <w:spacing w:val="0"/>
          <w:kern w:val="2"/>
          <w:position w:val="0"/>
          <w:highlight w:val="none"/>
        </w:rPr>
      </w:pPr>
      <w:r>
        <w:rPr>
          <w:rFonts w:hint="default" w:ascii="Times New Roman" w:hAnsi="Times New Roman" w:eastAsia="宋体" w:cs="Times New Roman"/>
          <w:caps w:val="0"/>
          <w:smallCaps w:val="0"/>
          <w:color w:val="auto"/>
          <w:spacing w:val="0"/>
          <w:kern w:val="2"/>
          <w:position w:val="0"/>
          <w:highlight w:val="none"/>
        </w:rPr>
        <w:t>针对本公司的具体情况，按不同事故类型，包括污染源监测、厂界环境质量监测和厂外环境质量监测三类，</w:t>
      </w:r>
      <w:r>
        <w:rPr>
          <w:rFonts w:hint="default" w:ascii="Times New Roman" w:hAnsi="Times New Roman" w:eastAsia="宋体" w:cs="Times New Roman"/>
          <w:color w:val="auto"/>
          <w:kern w:val="36"/>
          <w:sz w:val="24"/>
          <w:szCs w:val="24"/>
          <w:highlight w:val="none"/>
          <w:lang w:val="en-US" w:eastAsia="zh-CN" w:bidi="ar-SA"/>
        </w:rPr>
        <w:t>企业不具备监测条件，</w:t>
      </w:r>
      <w:r>
        <w:rPr>
          <w:rFonts w:hint="default" w:ascii="Times New Roman" w:hAnsi="Times New Roman" w:eastAsia="宋体" w:cs="Times New Roman"/>
          <w:caps w:val="0"/>
          <w:smallCaps w:val="0"/>
          <w:color w:val="auto"/>
          <w:spacing w:val="0"/>
          <w:kern w:val="2"/>
          <w:position w:val="0"/>
          <w:highlight w:val="none"/>
        </w:rPr>
        <w:t>由有资质的的监测单位</w:t>
      </w:r>
      <w:r>
        <w:rPr>
          <w:rFonts w:hint="eastAsia" w:ascii="Times New Roman" w:hAnsi="Times New Roman" w:cs="Times New Roman"/>
          <w:caps w:val="0"/>
          <w:smallCaps w:val="0"/>
          <w:color w:val="auto"/>
          <w:spacing w:val="0"/>
          <w:kern w:val="2"/>
          <w:position w:val="0"/>
          <w:highlight w:val="none"/>
          <w:lang w:eastAsia="zh-CN"/>
        </w:rPr>
        <w:t>（山东新石器检测有限公司）</w:t>
      </w:r>
      <w:r>
        <w:rPr>
          <w:rFonts w:hint="default" w:ascii="Times New Roman" w:hAnsi="Times New Roman" w:eastAsia="宋体" w:cs="Times New Roman"/>
          <w:caps w:val="0"/>
          <w:smallCaps w:val="0"/>
          <w:color w:val="auto"/>
          <w:spacing w:val="0"/>
          <w:kern w:val="2"/>
          <w:position w:val="0"/>
          <w:highlight w:val="none"/>
        </w:rPr>
        <w:t>负责应急监测，满足事故应急监测的要求</w:t>
      </w:r>
      <w:r>
        <w:rPr>
          <w:rFonts w:hint="eastAsia" w:ascii="Times New Roman" w:hAnsi="Times New Roman" w:cs="Times New Roman"/>
          <w:caps w:val="0"/>
          <w:smallCaps w:val="0"/>
          <w:color w:val="auto"/>
          <w:spacing w:val="0"/>
          <w:kern w:val="2"/>
          <w:position w:val="0"/>
          <w:highlight w:val="none"/>
          <w:lang w:eastAsia="zh-CN"/>
        </w:rPr>
        <w:t>（监测协议见附件）</w:t>
      </w:r>
      <w:r>
        <w:rPr>
          <w:rFonts w:hint="default" w:ascii="Times New Roman" w:hAnsi="Times New Roman" w:eastAsia="宋体" w:cs="Times New Roman"/>
          <w:caps w:val="0"/>
          <w:smallCaps w:val="0"/>
          <w:color w:val="auto"/>
          <w:spacing w:val="0"/>
          <w:kern w:val="2"/>
          <w:position w:val="0"/>
          <w:highlight w:val="none"/>
        </w:rPr>
        <w:t>。</w:t>
      </w:r>
    </w:p>
    <w:p w14:paraId="6F6E6D97">
      <w:pPr>
        <w:pStyle w:val="31"/>
        <w:widowControl w:val="0"/>
        <w:adjustRightInd w:val="0"/>
        <w:snapToGrid w:val="0"/>
        <w:spacing w:before="0" w:beforeAutospacing="0" w:after="0" w:afterAutospacing="0" w:line="360" w:lineRule="auto"/>
        <w:ind w:firstLine="486" w:firstLineChars="200"/>
        <w:jc w:val="both"/>
        <w:rPr>
          <w:rFonts w:hint="default" w:ascii="Times New Roman" w:hAnsi="Times New Roman" w:eastAsia="宋体" w:cs="Times New Roman"/>
          <w:caps w:val="0"/>
          <w:smallCaps w:val="0"/>
          <w:color w:val="auto"/>
          <w:spacing w:val="0"/>
          <w:kern w:val="2"/>
          <w:position w:val="0"/>
          <w:highlight w:val="none"/>
        </w:rPr>
      </w:pPr>
      <w:r>
        <w:rPr>
          <w:rFonts w:hint="default" w:ascii="Times New Roman" w:hAnsi="Times New Roman" w:eastAsia="宋体" w:cs="Times New Roman"/>
          <w:caps w:val="0"/>
          <w:smallCaps w:val="0"/>
          <w:color w:val="auto"/>
          <w:spacing w:val="0"/>
          <w:kern w:val="2"/>
          <w:position w:val="0"/>
          <w:highlight w:val="none"/>
        </w:rPr>
        <w:t>（1）火灾</w:t>
      </w:r>
      <w:r>
        <w:rPr>
          <w:rFonts w:hint="default" w:ascii="Times New Roman" w:hAnsi="Times New Roman" w:eastAsia="宋体" w:cs="Times New Roman"/>
          <w:caps w:val="0"/>
          <w:smallCaps w:val="0"/>
          <w:color w:val="auto"/>
          <w:spacing w:val="0"/>
          <w:kern w:val="2"/>
          <w:position w:val="0"/>
          <w:highlight w:val="none"/>
          <w:lang w:eastAsia="zh-CN"/>
        </w:rPr>
        <w:t>、泄漏</w:t>
      </w:r>
      <w:r>
        <w:rPr>
          <w:rFonts w:hint="default" w:ascii="Times New Roman" w:hAnsi="Times New Roman" w:eastAsia="宋体" w:cs="Times New Roman"/>
          <w:caps w:val="0"/>
          <w:smallCaps w:val="0"/>
          <w:color w:val="auto"/>
          <w:spacing w:val="0"/>
          <w:kern w:val="2"/>
          <w:position w:val="0"/>
          <w:highlight w:val="none"/>
        </w:rPr>
        <w:t>可能造成大气污染</w:t>
      </w:r>
    </w:p>
    <w:p w14:paraId="3A505CE0">
      <w:pPr>
        <w:pStyle w:val="31"/>
        <w:widowControl w:val="0"/>
        <w:adjustRightInd w:val="0"/>
        <w:snapToGrid w:val="0"/>
        <w:spacing w:before="0" w:beforeAutospacing="0" w:after="0" w:afterAutospacing="0" w:line="360" w:lineRule="auto"/>
        <w:ind w:firstLine="486" w:firstLineChars="200"/>
        <w:jc w:val="both"/>
        <w:rPr>
          <w:rFonts w:hint="default" w:ascii="Times New Roman" w:hAnsi="Times New Roman" w:eastAsia="宋体" w:cs="Times New Roman"/>
          <w:caps w:val="0"/>
          <w:smallCaps w:val="0"/>
          <w:color w:val="auto"/>
          <w:spacing w:val="0"/>
          <w:kern w:val="2"/>
          <w:position w:val="0"/>
          <w:highlight w:val="none"/>
        </w:rPr>
      </w:pPr>
      <w:r>
        <w:rPr>
          <w:rFonts w:hint="default" w:ascii="Times New Roman" w:hAnsi="Times New Roman" w:eastAsia="宋体" w:cs="Times New Roman"/>
          <w:caps w:val="0"/>
          <w:smallCaps w:val="0"/>
          <w:color w:val="auto"/>
          <w:spacing w:val="0"/>
          <w:kern w:val="2"/>
          <w:position w:val="0"/>
          <w:highlight w:val="none"/>
        </w:rPr>
        <w:t>大气监测点位：针对发生的火灾</w:t>
      </w:r>
      <w:r>
        <w:rPr>
          <w:rFonts w:hint="default" w:ascii="Times New Roman" w:hAnsi="Times New Roman" w:eastAsia="宋体" w:cs="Times New Roman"/>
          <w:caps w:val="0"/>
          <w:smallCaps w:val="0"/>
          <w:color w:val="auto"/>
          <w:spacing w:val="0"/>
          <w:kern w:val="2"/>
          <w:position w:val="0"/>
          <w:highlight w:val="none"/>
          <w:lang w:eastAsia="zh-CN"/>
        </w:rPr>
        <w:t>、</w:t>
      </w:r>
      <w:r>
        <w:rPr>
          <w:rFonts w:hint="default" w:ascii="Times New Roman" w:hAnsi="Times New Roman" w:eastAsia="宋体" w:cs="Times New Roman"/>
          <w:caps w:val="0"/>
          <w:smallCaps w:val="0"/>
          <w:color w:val="auto"/>
          <w:spacing w:val="0"/>
          <w:kern w:val="2"/>
          <w:position w:val="0"/>
          <w:highlight w:val="none"/>
          <w:lang w:val="en-US" w:eastAsia="zh-CN"/>
        </w:rPr>
        <w:t>爆炸、</w:t>
      </w:r>
      <w:r>
        <w:rPr>
          <w:rFonts w:hint="default" w:ascii="Times New Roman" w:hAnsi="Times New Roman" w:eastAsia="宋体" w:cs="Times New Roman"/>
          <w:caps w:val="0"/>
          <w:smallCaps w:val="0"/>
          <w:color w:val="auto"/>
          <w:spacing w:val="0"/>
          <w:kern w:val="2"/>
          <w:position w:val="0"/>
          <w:highlight w:val="none"/>
          <w:lang w:eastAsia="zh-CN"/>
        </w:rPr>
        <w:t>泄漏</w:t>
      </w:r>
      <w:r>
        <w:rPr>
          <w:rFonts w:hint="default" w:ascii="Times New Roman" w:hAnsi="Times New Roman" w:eastAsia="宋体" w:cs="Times New Roman"/>
          <w:caps w:val="0"/>
          <w:smallCaps w:val="0"/>
          <w:color w:val="auto"/>
          <w:spacing w:val="0"/>
          <w:kern w:val="2"/>
          <w:position w:val="0"/>
          <w:highlight w:val="none"/>
        </w:rPr>
        <w:t>事故，大气污染监测考虑在事故装置区的上风向对照点、事故装置的下风向厂界、下风向可能受污染影响的最近的敏感保护目标处各设置一个大气环境监测点。采样过程中应注意风向的变化，及时调整采样点位置。</w:t>
      </w:r>
    </w:p>
    <w:p w14:paraId="2C726D4F">
      <w:pPr>
        <w:pStyle w:val="31"/>
        <w:widowControl w:val="0"/>
        <w:adjustRightInd w:val="0"/>
        <w:snapToGrid w:val="0"/>
        <w:spacing w:before="0" w:beforeAutospacing="0" w:after="0" w:afterAutospacing="0" w:line="360" w:lineRule="auto"/>
        <w:ind w:firstLine="486" w:firstLineChars="200"/>
        <w:jc w:val="both"/>
        <w:rPr>
          <w:rFonts w:hint="default" w:ascii="Times New Roman" w:hAnsi="Times New Roman" w:eastAsia="宋体" w:cs="Times New Roman"/>
          <w:caps w:val="0"/>
          <w:smallCaps w:val="0"/>
          <w:color w:val="auto"/>
          <w:spacing w:val="0"/>
          <w:kern w:val="2"/>
          <w:position w:val="0"/>
          <w:highlight w:val="none"/>
        </w:rPr>
      </w:pPr>
      <w:r>
        <w:rPr>
          <w:rFonts w:hint="default" w:ascii="Times New Roman" w:hAnsi="Times New Roman" w:eastAsia="宋体" w:cs="Times New Roman"/>
          <w:caps w:val="0"/>
          <w:smallCaps w:val="0"/>
          <w:color w:val="auto"/>
          <w:spacing w:val="0"/>
          <w:kern w:val="2"/>
          <w:position w:val="0"/>
          <w:highlight w:val="none"/>
        </w:rPr>
        <w:t>应急监测频次：采样的频次主要根据现场污染状况确定。</w:t>
      </w:r>
    </w:p>
    <w:p w14:paraId="2151C611">
      <w:pPr>
        <w:pStyle w:val="31"/>
        <w:widowControl w:val="0"/>
        <w:adjustRightInd w:val="0"/>
        <w:snapToGrid w:val="0"/>
        <w:spacing w:before="0" w:beforeAutospacing="0" w:after="0" w:afterAutospacing="0" w:line="360" w:lineRule="auto"/>
        <w:ind w:firstLine="486" w:firstLineChars="200"/>
        <w:jc w:val="both"/>
        <w:rPr>
          <w:rFonts w:hint="default" w:ascii="Times New Roman" w:hAnsi="Times New Roman" w:eastAsia="宋体" w:cs="Times New Roman"/>
          <w:caps w:val="0"/>
          <w:smallCaps w:val="0"/>
          <w:color w:val="auto"/>
          <w:spacing w:val="0"/>
          <w:kern w:val="2"/>
          <w:position w:val="0"/>
          <w:highlight w:val="none"/>
        </w:rPr>
      </w:pPr>
      <w:r>
        <w:rPr>
          <w:rFonts w:hint="default" w:ascii="Times New Roman" w:hAnsi="Times New Roman" w:eastAsia="宋体" w:cs="Times New Roman"/>
          <w:caps w:val="0"/>
          <w:smallCaps w:val="0"/>
          <w:color w:val="auto"/>
          <w:spacing w:val="0"/>
          <w:kern w:val="2"/>
          <w:position w:val="0"/>
          <w:highlight w:val="none"/>
        </w:rPr>
        <w:t>大气环境监测因子：根据厂区发生不同突发环境事件，确定相关监测因子</w:t>
      </w:r>
      <w:r>
        <w:rPr>
          <w:rFonts w:hint="default" w:ascii="Times New Roman" w:hAnsi="Times New Roman" w:eastAsia="宋体" w:cs="Times New Roman"/>
          <w:caps w:val="0"/>
          <w:smallCaps w:val="0"/>
          <w:color w:val="auto"/>
          <w:spacing w:val="0"/>
          <w:kern w:val="2"/>
          <w:position w:val="0"/>
          <w:highlight w:val="none"/>
          <w:lang w:val="en-US" w:eastAsia="zh-CN"/>
        </w:rPr>
        <w:t>可能为CO、甲醇、硫酸雾、苯酚、VOCs</w:t>
      </w:r>
      <w:r>
        <w:rPr>
          <w:rFonts w:hint="eastAsia" w:ascii="Times New Roman" w:hAnsi="Times New Roman" w:cs="Times New Roman"/>
          <w:caps w:val="0"/>
          <w:smallCaps w:val="0"/>
          <w:color w:val="auto"/>
          <w:spacing w:val="0"/>
          <w:kern w:val="2"/>
          <w:position w:val="0"/>
          <w:highlight w:val="none"/>
          <w:lang w:val="en-US" w:eastAsia="zh-CN"/>
        </w:rPr>
        <w:t>、</w:t>
      </w:r>
      <w:r>
        <w:rPr>
          <w:rFonts w:hint="default" w:ascii="Times New Roman" w:hAnsi="Times New Roman" w:eastAsia="宋体" w:cs="Times New Roman"/>
          <w:caps w:val="0"/>
          <w:smallCaps w:val="0"/>
          <w:color w:val="auto"/>
          <w:spacing w:val="0"/>
          <w:kern w:val="2"/>
          <w:position w:val="0"/>
          <w:highlight w:val="none"/>
          <w:lang w:val="en-US" w:eastAsia="zh-CN"/>
        </w:rPr>
        <w:t>氨气。</w:t>
      </w:r>
    </w:p>
    <w:p w14:paraId="4E515F70">
      <w:pPr>
        <w:pStyle w:val="31"/>
        <w:widowControl w:val="0"/>
        <w:adjustRightInd w:val="0"/>
        <w:snapToGrid w:val="0"/>
        <w:spacing w:before="0" w:beforeAutospacing="0" w:after="0" w:afterAutospacing="0" w:line="360" w:lineRule="auto"/>
        <w:ind w:firstLine="486" w:firstLineChars="200"/>
        <w:jc w:val="both"/>
        <w:rPr>
          <w:rFonts w:hint="default" w:ascii="Times New Roman" w:hAnsi="Times New Roman" w:eastAsia="宋体" w:cs="Times New Roman"/>
          <w:caps w:val="0"/>
          <w:smallCaps w:val="0"/>
          <w:color w:val="auto"/>
          <w:spacing w:val="0"/>
          <w:kern w:val="2"/>
          <w:position w:val="0"/>
          <w:highlight w:val="none"/>
        </w:rPr>
      </w:pPr>
      <w:r>
        <w:rPr>
          <w:rFonts w:hint="default" w:ascii="Times New Roman" w:hAnsi="Times New Roman" w:eastAsia="宋体" w:cs="Times New Roman"/>
          <w:caps w:val="0"/>
          <w:smallCaps w:val="0"/>
          <w:color w:val="auto"/>
          <w:spacing w:val="0"/>
          <w:kern w:val="2"/>
          <w:position w:val="0"/>
          <w:szCs w:val="22"/>
          <w:highlight w:val="none"/>
        </w:rPr>
        <w:t>厂界气体监测的一般原则：排放源下风向设监控点，同时在排放源上风向设参照点，以监控点同参照点的浓度差值不超过规定限值来限制无组织排放，</w:t>
      </w:r>
      <w:r>
        <w:rPr>
          <w:rFonts w:hint="default" w:ascii="Times New Roman" w:hAnsi="Times New Roman" w:eastAsia="宋体" w:cs="Times New Roman"/>
          <w:caps w:val="0"/>
          <w:smallCaps w:val="0"/>
          <w:color w:val="auto"/>
          <w:spacing w:val="0"/>
          <w:kern w:val="2"/>
          <w:position w:val="0"/>
          <w:szCs w:val="22"/>
          <w:highlight w:val="none"/>
          <w:lang w:val="en-US" w:eastAsia="zh-CN"/>
        </w:rPr>
        <w:t>甲醇、硫酸雾、苯酚、</w:t>
      </w:r>
      <w:r>
        <w:rPr>
          <w:rFonts w:hint="eastAsia" w:ascii="Times New Roman" w:hAnsi="Times New Roman" w:cs="Times New Roman"/>
          <w:caps w:val="0"/>
          <w:smallCaps w:val="0"/>
          <w:color w:val="auto"/>
          <w:spacing w:val="0"/>
          <w:kern w:val="2"/>
          <w:position w:val="0"/>
          <w:szCs w:val="22"/>
          <w:highlight w:val="none"/>
          <w:lang w:val="en-US" w:eastAsia="zh-CN"/>
        </w:rPr>
        <w:t>氨气、氯化氢，</w:t>
      </w:r>
      <w:r>
        <w:rPr>
          <w:rFonts w:hint="default" w:ascii="Times New Roman" w:hAnsi="Times New Roman" w:eastAsia="宋体" w:cs="Times New Roman"/>
          <w:caps w:val="0"/>
          <w:smallCaps w:val="0"/>
          <w:color w:val="auto"/>
          <w:spacing w:val="0"/>
          <w:kern w:val="2"/>
          <w:position w:val="0"/>
          <w:szCs w:val="22"/>
          <w:highlight w:val="none"/>
          <w:lang w:val="en-US" w:eastAsia="zh-CN"/>
        </w:rPr>
        <w:t>氨气</w:t>
      </w:r>
      <w:r>
        <w:rPr>
          <w:rFonts w:hint="default" w:ascii="Times New Roman" w:hAnsi="Times New Roman" w:eastAsia="宋体" w:cs="Times New Roman"/>
          <w:caps w:val="0"/>
          <w:smallCaps w:val="0"/>
          <w:color w:val="auto"/>
          <w:spacing w:val="0"/>
          <w:kern w:val="2"/>
          <w:position w:val="0"/>
          <w:szCs w:val="22"/>
          <w:highlight w:val="none"/>
        </w:rPr>
        <w:t>监控点设在无组织排放源下风向</w:t>
      </w:r>
      <w:r>
        <w:rPr>
          <w:rFonts w:hint="eastAsia" w:ascii="Times New Roman" w:hAnsi="Times New Roman" w:cs="Times New Roman"/>
          <w:caps w:val="0"/>
          <w:smallCaps w:val="0"/>
          <w:color w:val="auto"/>
          <w:spacing w:val="0"/>
          <w:kern w:val="2"/>
          <w:position w:val="0"/>
          <w:szCs w:val="22"/>
          <w:highlight w:val="none"/>
          <w:lang w:val="en-US" w:eastAsia="zh-CN"/>
        </w:rPr>
        <w:t>10</w:t>
      </w:r>
      <w:r>
        <w:rPr>
          <w:rFonts w:hint="default" w:ascii="Times New Roman" w:hAnsi="Times New Roman" w:eastAsia="宋体" w:cs="Times New Roman"/>
          <w:caps w:val="0"/>
          <w:smallCaps w:val="0"/>
          <w:color w:val="auto"/>
          <w:spacing w:val="0"/>
          <w:kern w:val="2"/>
          <w:position w:val="0"/>
          <w:szCs w:val="22"/>
          <w:highlight w:val="none"/>
        </w:rPr>
        <w:t>0m范围内的浓度最高点，相对应的参照点设在排放源上风向50m范围内；其余物质的监控点设在单位周界外10m范围内的浓度最高点。按规定监控点最多可设4个，参照点只设1个。实行连续1小时的采样，或者实行在1小时内以等时间间隔采集4个样品计平均值。在进行实际监测时，为了捕捉到监控点最高浓度的时段，实际安排的采样时间可超过1小时。</w:t>
      </w:r>
    </w:p>
    <w:p w14:paraId="309303CF">
      <w:pPr>
        <w:pStyle w:val="31"/>
        <w:widowControl w:val="0"/>
        <w:adjustRightInd w:val="0"/>
        <w:snapToGrid w:val="0"/>
        <w:spacing w:before="0" w:beforeAutospacing="0" w:after="0" w:afterAutospacing="0" w:line="360" w:lineRule="auto"/>
        <w:ind w:firstLine="486" w:firstLineChars="200"/>
        <w:jc w:val="both"/>
        <w:rPr>
          <w:rFonts w:hint="default" w:ascii="Times New Roman" w:hAnsi="Times New Roman" w:eastAsia="宋体" w:cs="Times New Roman"/>
          <w:caps w:val="0"/>
          <w:smallCaps w:val="0"/>
          <w:color w:val="auto"/>
          <w:spacing w:val="0"/>
          <w:kern w:val="2"/>
          <w:position w:val="0"/>
          <w:highlight w:val="none"/>
        </w:rPr>
      </w:pPr>
      <w:r>
        <w:rPr>
          <w:rFonts w:hint="default" w:ascii="Times New Roman" w:hAnsi="Times New Roman" w:eastAsia="宋体" w:cs="Times New Roman"/>
          <w:caps w:val="0"/>
          <w:smallCaps w:val="0"/>
          <w:color w:val="auto"/>
          <w:spacing w:val="0"/>
          <w:kern w:val="2"/>
          <w:position w:val="0"/>
          <w:highlight w:val="none"/>
        </w:rPr>
        <w:t>（2）消防废水处理</w:t>
      </w:r>
    </w:p>
    <w:p w14:paraId="11653052">
      <w:pPr>
        <w:pStyle w:val="31"/>
        <w:widowControl w:val="0"/>
        <w:adjustRightInd w:val="0"/>
        <w:snapToGrid w:val="0"/>
        <w:spacing w:before="0" w:beforeAutospacing="0" w:after="0" w:afterAutospacing="0" w:line="360" w:lineRule="auto"/>
        <w:ind w:firstLine="486" w:firstLineChars="200"/>
        <w:jc w:val="both"/>
        <w:rPr>
          <w:rFonts w:hint="default" w:ascii="Times New Roman" w:hAnsi="Times New Roman" w:eastAsia="宋体" w:cs="Times New Roman"/>
          <w:caps w:val="0"/>
          <w:smallCaps w:val="0"/>
          <w:color w:val="auto"/>
          <w:spacing w:val="0"/>
          <w:kern w:val="2"/>
          <w:position w:val="0"/>
          <w:highlight w:val="none"/>
        </w:rPr>
      </w:pPr>
      <w:r>
        <w:rPr>
          <w:rFonts w:hint="default" w:ascii="Times New Roman" w:hAnsi="Times New Roman" w:eastAsia="宋体" w:cs="Times New Roman"/>
          <w:caps w:val="0"/>
          <w:smallCaps w:val="0"/>
          <w:color w:val="auto"/>
          <w:spacing w:val="0"/>
          <w:kern w:val="2"/>
          <w:position w:val="0"/>
          <w:highlight w:val="none"/>
        </w:rPr>
        <w:t>在发生火灾、产生事故废水导致水质出现超标时，需要对事故废水进行监测。</w:t>
      </w:r>
    </w:p>
    <w:p w14:paraId="57426A7E">
      <w:pPr>
        <w:pStyle w:val="31"/>
        <w:widowControl w:val="0"/>
        <w:adjustRightInd w:val="0"/>
        <w:snapToGrid w:val="0"/>
        <w:spacing w:before="0" w:beforeAutospacing="0" w:after="0" w:afterAutospacing="0" w:line="360" w:lineRule="auto"/>
        <w:ind w:firstLine="486" w:firstLineChars="200"/>
        <w:jc w:val="both"/>
        <w:rPr>
          <w:rFonts w:hint="default" w:ascii="Times New Roman" w:hAnsi="Times New Roman" w:eastAsia="宋体" w:cs="Times New Roman"/>
          <w:caps w:val="0"/>
          <w:smallCaps w:val="0"/>
          <w:color w:val="auto"/>
          <w:spacing w:val="0"/>
          <w:kern w:val="2"/>
          <w:position w:val="0"/>
          <w:highlight w:val="none"/>
        </w:rPr>
      </w:pPr>
      <w:r>
        <w:rPr>
          <w:rFonts w:hint="default" w:ascii="Times New Roman" w:hAnsi="Times New Roman" w:eastAsia="宋体" w:cs="Times New Roman"/>
          <w:caps w:val="0"/>
          <w:smallCaps w:val="0"/>
          <w:color w:val="auto"/>
          <w:spacing w:val="0"/>
          <w:kern w:val="2"/>
          <w:position w:val="0"/>
          <w:highlight w:val="none"/>
        </w:rPr>
        <w:t>监测点位：</w:t>
      </w:r>
      <w:r>
        <w:rPr>
          <w:rFonts w:hint="default" w:ascii="Times New Roman" w:hAnsi="Times New Roman" w:eastAsia="宋体" w:cs="Times New Roman"/>
          <w:caps w:val="0"/>
          <w:smallCaps w:val="0"/>
          <w:color w:val="auto"/>
          <w:spacing w:val="0"/>
          <w:kern w:val="2"/>
          <w:position w:val="0"/>
          <w:highlight w:val="none"/>
          <w:lang w:eastAsia="zh-CN"/>
        </w:rPr>
        <w:t>事故水池</w:t>
      </w:r>
      <w:r>
        <w:rPr>
          <w:rFonts w:hint="default" w:ascii="Times New Roman" w:hAnsi="Times New Roman" w:eastAsia="宋体" w:cs="Times New Roman"/>
          <w:caps w:val="0"/>
          <w:smallCaps w:val="0"/>
          <w:color w:val="auto"/>
          <w:spacing w:val="0"/>
          <w:kern w:val="2"/>
          <w:position w:val="0"/>
          <w:highlight w:val="none"/>
        </w:rPr>
        <w:t>。</w:t>
      </w:r>
    </w:p>
    <w:p w14:paraId="3FCD0E20">
      <w:pPr>
        <w:pStyle w:val="31"/>
        <w:widowControl w:val="0"/>
        <w:adjustRightInd w:val="0"/>
        <w:snapToGrid w:val="0"/>
        <w:spacing w:before="0" w:beforeAutospacing="0" w:after="0" w:afterAutospacing="0" w:line="360" w:lineRule="auto"/>
        <w:ind w:firstLine="486" w:firstLineChars="200"/>
        <w:jc w:val="both"/>
        <w:rPr>
          <w:rFonts w:hint="default" w:ascii="Times New Roman" w:hAnsi="Times New Roman" w:eastAsia="宋体" w:cs="Times New Roman"/>
          <w:caps w:val="0"/>
          <w:smallCaps w:val="0"/>
          <w:color w:val="auto"/>
          <w:spacing w:val="0"/>
          <w:kern w:val="2"/>
          <w:position w:val="0"/>
          <w:highlight w:val="none"/>
        </w:rPr>
      </w:pPr>
      <w:r>
        <w:rPr>
          <w:rFonts w:hint="default" w:ascii="Times New Roman" w:hAnsi="Times New Roman" w:eastAsia="宋体" w:cs="Times New Roman"/>
          <w:caps w:val="0"/>
          <w:smallCaps w:val="0"/>
          <w:color w:val="auto"/>
          <w:spacing w:val="0"/>
          <w:kern w:val="2"/>
          <w:position w:val="0"/>
          <w:highlight w:val="none"/>
        </w:rPr>
        <w:t>应急监测频次：采样的频次主要根据现场污染状况确定。</w:t>
      </w:r>
    </w:p>
    <w:p w14:paraId="5C7E457E">
      <w:pPr>
        <w:pStyle w:val="110"/>
        <w:keepNext w:val="0"/>
        <w:keepLines w:val="0"/>
        <w:pageBreakBefore w:val="0"/>
        <w:widowControl w:val="0"/>
        <w:numPr>
          <w:ilvl w:val="0"/>
          <w:numId w:val="0"/>
        </w:numPr>
        <w:tabs>
          <w:tab w:val="left" w:pos="1470"/>
        </w:tabs>
        <w:kinsoku/>
        <w:wordWrap/>
        <w:overflowPunct/>
        <w:topLinePunct w:val="0"/>
        <w:autoSpaceDE/>
        <w:autoSpaceDN/>
        <w:bidi w:val="0"/>
        <w:adjustRightInd w:val="0"/>
        <w:snapToGrid w:val="0"/>
        <w:spacing w:line="360" w:lineRule="auto"/>
        <w:ind w:right="0" w:rightChars="0" w:firstLine="486" w:firstLineChars="200"/>
        <w:jc w:val="both"/>
        <w:textAlignment w:val="auto"/>
        <w:outlineLvl w:val="9"/>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caps w:val="0"/>
          <w:smallCaps w:val="0"/>
          <w:color w:val="auto"/>
          <w:spacing w:val="0"/>
          <w:kern w:val="2"/>
          <w:position w:val="0"/>
          <w:sz w:val="24"/>
          <w:szCs w:val="24"/>
          <w:highlight w:val="none"/>
        </w:rPr>
        <w:t>监测因子：根据厂区发生不同突发环境事件，确定相关监测因子</w:t>
      </w:r>
      <w:r>
        <w:rPr>
          <w:rFonts w:hint="default" w:ascii="Times New Roman" w:hAnsi="Times New Roman" w:eastAsia="宋体" w:cs="Times New Roman"/>
          <w:color w:val="auto"/>
          <w:kern w:val="36"/>
          <w:sz w:val="24"/>
          <w:szCs w:val="24"/>
          <w:highlight w:val="none"/>
          <w:lang w:val="en-US" w:eastAsia="zh-CN" w:bidi="ar-SA"/>
        </w:rPr>
        <w:t>。</w:t>
      </w:r>
      <w:r>
        <w:rPr>
          <w:rFonts w:hint="default" w:ascii="Times New Roman" w:hAnsi="Times New Roman" w:cs="Times New Roman"/>
          <w:color w:val="auto"/>
          <w:kern w:val="36"/>
          <w:sz w:val="24"/>
          <w:szCs w:val="24"/>
          <w:highlight w:val="none"/>
          <w:lang w:val="en-US" w:eastAsia="zh-CN" w:bidi="ar-SA"/>
        </w:rPr>
        <w:t>自行</w:t>
      </w:r>
      <w:r>
        <w:rPr>
          <w:rFonts w:hint="default" w:ascii="Times New Roman" w:hAnsi="Times New Roman" w:eastAsia="宋体" w:cs="Times New Roman"/>
          <w:color w:val="auto"/>
          <w:kern w:val="36"/>
          <w:sz w:val="24"/>
          <w:szCs w:val="24"/>
          <w:highlight w:val="none"/>
          <w:lang w:val="en-US" w:eastAsia="zh-CN" w:bidi="ar-SA"/>
        </w:rPr>
        <w:t>监测计划见</w:t>
      </w:r>
      <w:r>
        <w:rPr>
          <w:rFonts w:hint="default" w:ascii="Times New Roman" w:hAnsi="Times New Roman" w:cs="Times New Roman"/>
          <w:color w:val="auto"/>
          <w:kern w:val="36"/>
          <w:sz w:val="24"/>
          <w:szCs w:val="24"/>
          <w:highlight w:val="none"/>
          <w:lang w:val="en-US" w:eastAsia="zh-CN" w:bidi="ar-SA"/>
        </w:rPr>
        <w:t>下表</w:t>
      </w:r>
      <w:r>
        <w:rPr>
          <w:rFonts w:hint="default" w:ascii="Times New Roman" w:hAnsi="Times New Roman" w:eastAsia="宋体" w:cs="Times New Roman"/>
          <w:color w:val="auto"/>
          <w:kern w:val="36"/>
          <w:sz w:val="24"/>
          <w:szCs w:val="24"/>
          <w:highlight w:val="none"/>
          <w:lang w:val="en-US" w:eastAsia="zh-CN" w:bidi="ar-SA"/>
        </w:rPr>
        <w:t>。</w:t>
      </w:r>
    </w:p>
    <w:p w14:paraId="47A25C2C">
      <w:pPr>
        <w:pStyle w:val="110"/>
        <w:keepNext w:val="0"/>
        <w:keepLines w:val="0"/>
        <w:pageBreakBefore w:val="0"/>
        <w:widowControl w:val="0"/>
        <w:numPr>
          <w:ilvl w:val="0"/>
          <w:numId w:val="0"/>
        </w:numPr>
        <w:tabs>
          <w:tab w:val="left" w:pos="1470"/>
        </w:tabs>
        <w:kinsoku/>
        <w:wordWrap/>
        <w:overflowPunct/>
        <w:topLinePunct w:val="0"/>
        <w:autoSpaceDE/>
        <w:autoSpaceDN/>
        <w:bidi w:val="0"/>
        <w:adjustRightInd w:val="0"/>
        <w:snapToGrid w:val="0"/>
        <w:spacing w:line="360" w:lineRule="auto"/>
        <w:ind w:leftChars="200" w:right="0" w:rightChars="0"/>
        <w:jc w:val="center"/>
        <w:textAlignment w:val="auto"/>
        <w:outlineLvl w:val="9"/>
        <w:rPr>
          <w:rFonts w:hint="default" w:ascii="Times New Roman" w:hAnsi="Times New Roman" w:eastAsia="宋体" w:cs="Times New Roman"/>
          <w:b/>
          <w:bCs/>
          <w:color w:val="auto"/>
          <w:kern w:val="36"/>
          <w:sz w:val="24"/>
          <w:szCs w:val="24"/>
          <w:highlight w:val="none"/>
          <w:lang w:val="en-US" w:eastAsia="zh-CN" w:bidi="ar-SA"/>
        </w:rPr>
      </w:pPr>
      <w:r>
        <w:rPr>
          <w:rFonts w:hint="default" w:ascii="Times New Roman" w:hAnsi="Times New Roman" w:eastAsia="宋体" w:cs="Times New Roman"/>
          <w:b/>
          <w:bCs/>
          <w:color w:val="auto"/>
          <w:kern w:val="36"/>
          <w:sz w:val="24"/>
          <w:szCs w:val="24"/>
          <w:highlight w:val="none"/>
          <w:lang w:val="en-US" w:eastAsia="zh-CN" w:bidi="ar-SA"/>
        </w:rPr>
        <w:t>表</w:t>
      </w:r>
      <w:r>
        <w:rPr>
          <w:rFonts w:hint="default" w:ascii="Times New Roman" w:hAnsi="Times New Roman" w:cs="Times New Roman"/>
          <w:b/>
          <w:bCs/>
          <w:color w:val="auto"/>
          <w:kern w:val="36"/>
          <w:sz w:val="24"/>
          <w:szCs w:val="24"/>
          <w:highlight w:val="none"/>
          <w:lang w:val="en-US" w:eastAsia="zh-CN" w:bidi="ar-SA"/>
        </w:rPr>
        <w:t>3.6-2</w:t>
      </w:r>
      <w:r>
        <w:rPr>
          <w:rFonts w:hint="default" w:ascii="Times New Roman" w:hAnsi="Times New Roman" w:eastAsia="宋体" w:cs="Times New Roman"/>
          <w:b/>
          <w:bCs/>
          <w:color w:val="auto"/>
          <w:kern w:val="36"/>
          <w:sz w:val="24"/>
          <w:szCs w:val="24"/>
          <w:highlight w:val="none"/>
          <w:lang w:val="en-US" w:eastAsia="zh-CN" w:bidi="ar-SA"/>
        </w:rPr>
        <w:t xml:space="preserve"> 企业应急监测计划</w:t>
      </w:r>
    </w:p>
    <w:tbl>
      <w:tblPr>
        <w:tblStyle w:val="34"/>
        <w:tblW w:w="9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5"/>
        <w:gridCol w:w="1410"/>
        <w:gridCol w:w="1470"/>
        <w:gridCol w:w="1665"/>
        <w:gridCol w:w="1430"/>
        <w:gridCol w:w="1320"/>
        <w:gridCol w:w="1230"/>
      </w:tblGrid>
      <w:tr w14:paraId="7D298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915" w:type="dxa"/>
            <w:noWrap w:val="0"/>
            <w:vAlign w:val="center"/>
          </w:tcPr>
          <w:p w14:paraId="06EBD468">
            <w:pPr>
              <w:pStyle w:val="110"/>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right="0" w:rightChars="0"/>
              <w:jc w:val="both"/>
              <w:textAlignment w:val="auto"/>
              <w:outlineLvl w:val="9"/>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pPr>
            <w:r>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t>环境要素</w:t>
            </w:r>
          </w:p>
        </w:tc>
        <w:tc>
          <w:tcPr>
            <w:tcW w:w="1410" w:type="dxa"/>
            <w:noWrap w:val="0"/>
            <w:vAlign w:val="center"/>
          </w:tcPr>
          <w:p w14:paraId="64D0B555">
            <w:pPr>
              <w:pStyle w:val="110"/>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outlineLvl w:val="9"/>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pPr>
            <w:r>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t>测点名称</w:t>
            </w:r>
          </w:p>
        </w:tc>
        <w:tc>
          <w:tcPr>
            <w:tcW w:w="1470" w:type="dxa"/>
            <w:noWrap w:val="0"/>
            <w:vAlign w:val="center"/>
          </w:tcPr>
          <w:p w14:paraId="1284E3CD">
            <w:pPr>
              <w:pStyle w:val="110"/>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outlineLvl w:val="9"/>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pPr>
            <w:r>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t>监测方位</w:t>
            </w:r>
          </w:p>
        </w:tc>
        <w:tc>
          <w:tcPr>
            <w:tcW w:w="1665" w:type="dxa"/>
            <w:noWrap w:val="0"/>
            <w:vAlign w:val="center"/>
          </w:tcPr>
          <w:p w14:paraId="6146FE66">
            <w:pPr>
              <w:pStyle w:val="110"/>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outlineLvl w:val="9"/>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pPr>
            <w:r>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t>监测项目</w:t>
            </w:r>
          </w:p>
        </w:tc>
        <w:tc>
          <w:tcPr>
            <w:tcW w:w="1430" w:type="dxa"/>
            <w:noWrap w:val="0"/>
            <w:vAlign w:val="center"/>
          </w:tcPr>
          <w:p w14:paraId="5A73CDD2">
            <w:pPr>
              <w:pStyle w:val="110"/>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outlineLvl w:val="9"/>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pPr>
            <w:r>
              <w:rPr>
                <w:rFonts w:hint="eastAsia" w:ascii="Times New Roman" w:hAnsi="Times New Roman" w:cs="Times New Roman"/>
                <w:caps w:val="0"/>
                <w:smallCaps w:val="0"/>
                <w:color w:val="auto"/>
                <w:spacing w:val="0"/>
                <w:kern w:val="36"/>
                <w:position w:val="0"/>
                <w:sz w:val="21"/>
                <w:szCs w:val="21"/>
                <w:highlight w:val="none"/>
                <w:vertAlign w:val="baseline"/>
                <w:lang w:val="en-US" w:eastAsia="zh-CN" w:bidi="ar-SA"/>
              </w:rPr>
              <w:t>监测设备</w:t>
            </w:r>
          </w:p>
        </w:tc>
        <w:tc>
          <w:tcPr>
            <w:tcW w:w="1320" w:type="dxa"/>
            <w:noWrap w:val="0"/>
            <w:vAlign w:val="center"/>
          </w:tcPr>
          <w:p w14:paraId="03C2042D">
            <w:pPr>
              <w:pStyle w:val="110"/>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outlineLvl w:val="9"/>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pPr>
            <w:r>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t>监测频次</w:t>
            </w:r>
          </w:p>
        </w:tc>
        <w:tc>
          <w:tcPr>
            <w:tcW w:w="1230" w:type="dxa"/>
            <w:noWrap w:val="0"/>
            <w:vAlign w:val="center"/>
          </w:tcPr>
          <w:p w14:paraId="11963A16">
            <w:pPr>
              <w:pStyle w:val="110"/>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outlineLvl w:val="9"/>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pPr>
            <w:r>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t>备注</w:t>
            </w:r>
          </w:p>
        </w:tc>
      </w:tr>
      <w:tr w14:paraId="589E9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915" w:type="dxa"/>
            <w:vMerge w:val="restart"/>
            <w:noWrap w:val="0"/>
            <w:vAlign w:val="center"/>
          </w:tcPr>
          <w:p w14:paraId="0257F789">
            <w:pPr>
              <w:pStyle w:val="110"/>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outlineLvl w:val="9"/>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pPr>
            <w:r>
              <w:rPr>
                <w:rFonts w:hint="default" w:ascii="Times New Roman" w:hAnsi="Times New Roman" w:eastAsia="宋体" w:cs="Times New Roman"/>
                <w:caps w:val="0"/>
                <w:smallCaps w:val="0"/>
                <w:color w:val="auto"/>
                <w:spacing w:val="0"/>
                <w:position w:val="0"/>
                <w:sz w:val="21"/>
                <w:szCs w:val="21"/>
                <w:highlight w:val="none"/>
                <w:lang w:eastAsia="zh-CN"/>
              </w:rPr>
              <w:t>环境空气</w:t>
            </w:r>
          </w:p>
        </w:tc>
        <w:tc>
          <w:tcPr>
            <w:tcW w:w="1410" w:type="dxa"/>
            <w:noWrap w:val="0"/>
            <w:vAlign w:val="center"/>
          </w:tcPr>
          <w:p w14:paraId="351DD446">
            <w:pPr>
              <w:pStyle w:val="110"/>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right="0" w:rightChars="0"/>
              <w:jc w:val="both"/>
              <w:textAlignment w:val="auto"/>
              <w:outlineLvl w:val="9"/>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pPr>
            <w:r>
              <w:rPr>
                <w:rFonts w:hint="eastAsia" w:ascii="Times New Roman" w:hAnsi="Times New Roman" w:cs="Times New Roman"/>
                <w:caps w:val="0"/>
                <w:smallCaps w:val="0"/>
                <w:color w:val="auto"/>
                <w:spacing w:val="0"/>
                <w:kern w:val="36"/>
                <w:position w:val="0"/>
                <w:sz w:val="21"/>
                <w:szCs w:val="21"/>
                <w:highlight w:val="none"/>
                <w:vertAlign w:val="baseline"/>
                <w:lang w:val="en-US" w:eastAsia="zh-CN" w:bidi="ar-SA"/>
              </w:rPr>
              <w:t>事故点为中心，</w:t>
            </w:r>
            <w:r>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t>当时风向的下风向</w:t>
            </w:r>
          </w:p>
        </w:tc>
        <w:tc>
          <w:tcPr>
            <w:tcW w:w="1470" w:type="dxa"/>
            <w:noWrap w:val="0"/>
            <w:vAlign w:val="center"/>
          </w:tcPr>
          <w:p w14:paraId="1EC0BE8E">
            <w:pPr>
              <w:pStyle w:val="110"/>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right="0" w:rightChars="0"/>
              <w:jc w:val="both"/>
              <w:textAlignment w:val="auto"/>
              <w:outlineLvl w:val="9"/>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pPr>
            <w:r>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t>每隔</w:t>
            </w:r>
            <w:r>
              <w:rPr>
                <w:rFonts w:hint="eastAsia" w:ascii="Times New Roman" w:hAnsi="Times New Roman" w:cs="Times New Roman"/>
                <w:caps w:val="0"/>
                <w:smallCaps w:val="0"/>
                <w:color w:val="auto"/>
                <w:spacing w:val="0"/>
                <w:kern w:val="36"/>
                <w:position w:val="0"/>
                <w:sz w:val="21"/>
                <w:szCs w:val="21"/>
                <w:highlight w:val="none"/>
                <w:vertAlign w:val="baseline"/>
                <w:lang w:val="en-US" w:eastAsia="zh-CN" w:bidi="ar-SA"/>
              </w:rPr>
              <w:t>1</w:t>
            </w:r>
            <w:r>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t>00m布设一个监控点，共布设3个</w:t>
            </w:r>
          </w:p>
        </w:tc>
        <w:tc>
          <w:tcPr>
            <w:tcW w:w="1665" w:type="dxa"/>
            <w:vMerge w:val="restart"/>
            <w:noWrap w:val="0"/>
            <w:vAlign w:val="center"/>
          </w:tcPr>
          <w:p w14:paraId="5AF2BB52">
            <w:pPr>
              <w:pStyle w:val="110"/>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right="0" w:rightChars="0"/>
              <w:jc w:val="both"/>
              <w:textAlignment w:val="auto"/>
              <w:outlineLvl w:val="9"/>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pPr>
            <w:r>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t>发生火灾、</w:t>
            </w:r>
            <w:r>
              <w:rPr>
                <w:rFonts w:hint="default" w:ascii="Times New Roman" w:hAnsi="Times New Roman" w:eastAsia="宋体" w:cs="Times New Roman"/>
                <w:caps w:val="0"/>
                <w:smallCaps w:val="0"/>
                <w:color w:val="auto"/>
                <w:spacing w:val="0"/>
                <w:position w:val="0"/>
                <w:sz w:val="21"/>
                <w:szCs w:val="21"/>
                <w:highlight w:val="none"/>
                <w:lang w:eastAsia="zh-CN"/>
              </w:rPr>
              <w:t>爆炸、泄漏</w:t>
            </w:r>
            <w:r>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t>事故时监测</w:t>
            </w:r>
            <w:r>
              <w:rPr>
                <w:rFonts w:hint="eastAsia" w:ascii="Times New Roman" w:hAnsi="Times New Roman" w:cs="Times New Roman"/>
                <w:caps w:val="0"/>
                <w:smallCaps w:val="0"/>
                <w:color w:val="auto"/>
                <w:spacing w:val="0"/>
                <w:kern w:val="36"/>
                <w:position w:val="0"/>
                <w:sz w:val="21"/>
                <w:szCs w:val="21"/>
                <w:highlight w:val="none"/>
                <w:vertAlign w:val="baseline"/>
                <w:lang w:val="en-US" w:eastAsia="zh-CN" w:bidi="ar-SA"/>
              </w:rPr>
              <w:t>挥发性有机物</w:t>
            </w:r>
            <w:r>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t>、</w:t>
            </w:r>
            <w:r>
              <w:rPr>
                <w:rFonts w:hint="eastAsia" w:ascii="Times New Roman" w:hAnsi="Times New Roman" w:cs="Times New Roman"/>
                <w:caps w:val="0"/>
                <w:smallCaps w:val="0"/>
                <w:color w:val="auto"/>
                <w:spacing w:val="0"/>
                <w:kern w:val="36"/>
                <w:position w:val="0"/>
                <w:sz w:val="21"/>
                <w:szCs w:val="21"/>
                <w:highlight w:val="none"/>
                <w:vertAlign w:val="baseline"/>
                <w:lang w:val="en-US" w:eastAsia="zh-CN" w:bidi="ar-SA"/>
              </w:rPr>
              <w:t>甲醇</w:t>
            </w:r>
            <w:r>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t>、</w:t>
            </w:r>
            <w:r>
              <w:rPr>
                <w:rFonts w:hint="eastAsia" w:ascii="Times New Roman" w:hAnsi="Times New Roman" w:cs="Times New Roman"/>
                <w:caps w:val="0"/>
                <w:smallCaps w:val="0"/>
                <w:color w:val="auto"/>
                <w:spacing w:val="0"/>
                <w:kern w:val="36"/>
                <w:position w:val="0"/>
                <w:sz w:val="21"/>
                <w:szCs w:val="21"/>
                <w:highlight w:val="none"/>
                <w:vertAlign w:val="baseline"/>
                <w:lang w:val="en-US" w:eastAsia="zh-CN" w:bidi="ar-SA"/>
              </w:rPr>
              <w:t>氨气、硫酸雾、CO</w:t>
            </w:r>
            <w:r>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t>等</w:t>
            </w:r>
          </w:p>
        </w:tc>
        <w:tc>
          <w:tcPr>
            <w:tcW w:w="1430" w:type="dxa"/>
            <w:vMerge w:val="restart"/>
            <w:noWrap w:val="0"/>
            <w:vAlign w:val="center"/>
          </w:tcPr>
          <w:p w14:paraId="3C2C5960">
            <w:pPr>
              <w:pStyle w:val="110"/>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right="0" w:rightChars="0"/>
              <w:jc w:val="both"/>
              <w:textAlignment w:val="auto"/>
              <w:outlineLvl w:val="9"/>
              <w:rPr>
                <w:rFonts w:hint="default" w:ascii="Times New Roman" w:hAnsi="Times New Roman" w:eastAsia="宋体" w:cs="Times New Roman"/>
                <w:caps w:val="0"/>
                <w:smallCaps w:val="0"/>
                <w:color w:val="auto"/>
                <w:spacing w:val="0"/>
                <w:position w:val="0"/>
                <w:sz w:val="21"/>
                <w:szCs w:val="21"/>
                <w:highlight w:val="none"/>
                <w:lang w:val="en-US" w:eastAsia="zh-CN"/>
              </w:rPr>
            </w:pPr>
            <w:r>
              <w:rPr>
                <w:rFonts w:hint="eastAsia" w:ascii="Times New Roman" w:hAnsi="Times New Roman" w:cs="Times New Roman"/>
                <w:caps w:val="0"/>
                <w:smallCaps w:val="0"/>
                <w:color w:val="auto"/>
                <w:spacing w:val="0"/>
                <w:position w:val="0"/>
                <w:sz w:val="21"/>
                <w:szCs w:val="21"/>
                <w:highlight w:val="none"/>
                <w:lang w:eastAsia="zh-CN"/>
              </w:rPr>
              <w:t>便携式气体检测仪</w:t>
            </w:r>
            <w:r>
              <w:rPr>
                <w:rFonts w:hint="eastAsia" w:ascii="Times New Roman" w:hAnsi="Times New Roman" w:cs="Times New Roman"/>
                <w:caps w:val="0"/>
                <w:smallCaps w:val="0"/>
                <w:color w:val="auto"/>
                <w:spacing w:val="0"/>
                <w:position w:val="0"/>
                <w:sz w:val="21"/>
                <w:szCs w:val="21"/>
                <w:highlight w:val="none"/>
                <w:lang w:val="en-US" w:eastAsia="zh-CN"/>
              </w:rPr>
              <w:t>/ FID氢火焰监测</w:t>
            </w:r>
            <w:r>
              <w:rPr>
                <w:rFonts w:hint="eastAsia" w:ascii="Times New Roman" w:hAnsi="Times New Roman" w:cs="Times New Roman"/>
                <w:caps w:val="0"/>
                <w:smallCaps w:val="0"/>
                <w:color w:val="auto"/>
                <w:spacing w:val="0"/>
                <w:position w:val="0"/>
                <w:sz w:val="21"/>
                <w:szCs w:val="21"/>
                <w:highlight w:val="none"/>
                <w:lang w:eastAsia="zh-CN"/>
              </w:rPr>
              <w:t>仪</w:t>
            </w:r>
          </w:p>
        </w:tc>
        <w:tc>
          <w:tcPr>
            <w:tcW w:w="1320" w:type="dxa"/>
            <w:vMerge w:val="restart"/>
            <w:noWrap w:val="0"/>
            <w:vAlign w:val="center"/>
          </w:tcPr>
          <w:p w14:paraId="792851CE">
            <w:pPr>
              <w:pStyle w:val="110"/>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right="0" w:rightChars="0"/>
              <w:jc w:val="both"/>
              <w:textAlignment w:val="auto"/>
              <w:outlineLvl w:val="9"/>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pPr>
            <w:r>
              <w:rPr>
                <w:rFonts w:hint="default" w:ascii="Times New Roman" w:hAnsi="Times New Roman" w:eastAsia="宋体" w:cs="Times New Roman"/>
                <w:caps w:val="0"/>
                <w:smallCaps w:val="0"/>
                <w:color w:val="auto"/>
                <w:spacing w:val="0"/>
                <w:position w:val="0"/>
                <w:sz w:val="21"/>
                <w:szCs w:val="21"/>
                <w:highlight w:val="none"/>
                <w:lang w:eastAsia="zh-CN"/>
              </w:rPr>
              <w:t>每</w:t>
            </w:r>
            <w:r>
              <w:rPr>
                <w:rFonts w:hint="default" w:ascii="Times New Roman" w:hAnsi="Times New Roman" w:eastAsia="宋体" w:cs="Times New Roman"/>
                <w:caps w:val="0"/>
                <w:smallCaps w:val="0"/>
                <w:color w:val="auto"/>
                <w:spacing w:val="0"/>
                <w:position w:val="0"/>
                <w:sz w:val="21"/>
                <w:szCs w:val="21"/>
                <w:highlight w:val="none"/>
                <w:lang w:val="en-US" w:eastAsia="zh-CN"/>
              </w:rPr>
              <w:t>10min监测一次，随事故控制减弱</w:t>
            </w:r>
          </w:p>
        </w:tc>
        <w:tc>
          <w:tcPr>
            <w:tcW w:w="1230" w:type="dxa"/>
            <w:vMerge w:val="restart"/>
            <w:noWrap w:val="0"/>
            <w:vAlign w:val="center"/>
          </w:tcPr>
          <w:p w14:paraId="1ACD0478">
            <w:pPr>
              <w:pStyle w:val="110"/>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right="0" w:rightChars="0"/>
              <w:jc w:val="both"/>
              <w:textAlignment w:val="auto"/>
              <w:outlineLvl w:val="9"/>
              <w:rPr>
                <w:rFonts w:hint="default" w:ascii="Times New Roman" w:hAnsi="Times New Roman" w:eastAsia="宋体" w:cs="Times New Roman"/>
                <w:caps w:val="0"/>
                <w:smallCaps w:val="0"/>
                <w:color w:val="auto"/>
                <w:spacing w:val="0"/>
                <w:position w:val="0"/>
                <w:sz w:val="21"/>
                <w:szCs w:val="21"/>
                <w:highlight w:val="none"/>
                <w:lang w:eastAsia="zh-CN"/>
              </w:rPr>
            </w:pPr>
            <w:r>
              <w:rPr>
                <w:rFonts w:hint="eastAsia"/>
                <w:sz w:val="21"/>
                <w:szCs w:val="21"/>
              </w:rPr>
              <w:t>委托第三方监测单位进行监测</w:t>
            </w:r>
          </w:p>
        </w:tc>
      </w:tr>
      <w:tr w14:paraId="70BAD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jc w:val="center"/>
        </w:trPr>
        <w:tc>
          <w:tcPr>
            <w:tcW w:w="915" w:type="dxa"/>
            <w:vMerge w:val="continue"/>
            <w:noWrap w:val="0"/>
            <w:vAlign w:val="center"/>
          </w:tcPr>
          <w:p w14:paraId="5B12F52E">
            <w:pPr>
              <w:pStyle w:val="110"/>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outlineLvl w:val="9"/>
              <w:rPr>
                <w:rFonts w:hint="default" w:ascii="Times New Roman" w:hAnsi="Times New Roman" w:eastAsia="宋体" w:cs="Times New Roman"/>
                <w:caps w:val="0"/>
                <w:smallCaps w:val="0"/>
                <w:color w:val="auto"/>
                <w:spacing w:val="0"/>
                <w:position w:val="0"/>
                <w:sz w:val="21"/>
                <w:szCs w:val="21"/>
                <w:highlight w:val="none"/>
                <w:lang w:eastAsia="zh-CN"/>
              </w:rPr>
            </w:pPr>
          </w:p>
        </w:tc>
        <w:tc>
          <w:tcPr>
            <w:tcW w:w="1410" w:type="dxa"/>
            <w:noWrap w:val="0"/>
            <w:vAlign w:val="center"/>
          </w:tcPr>
          <w:p w14:paraId="3B0C2D7E">
            <w:pPr>
              <w:pStyle w:val="110"/>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right="0" w:rightChars="0"/>
              <w:jc w:val="both"/>
              <w:textAlignment w:val="auto"/>
              <w:outlineLvl w:val="9"/>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pPr>
            <w:r>
              <w:rPr>
                <w:rFonts w:hint="eastAsia" w:ascii="Times New Roman" w:hAnsi="Times New Roman" w:cs="Times New Roman"/>
                <w:caps w:val="0"/>
                <w:smallCaps w:val="0"/>
                <w:color w:val="auto"/>
                <w:spacing w:val="0"/>
                <w:kern w:val="36"/>
                <w:position w:val="0"/>
                <w:sz w:val="21"/>
                <w:szCs w:val="21"/>
                <w:highlight w:val="none"/>
                <w:vertAlign w:val="baseline"/>
                <w:lang w:val="en-US" w:eastAsia="zh-CN" w:bidi="ar-SA"/>
              </w:rPr>
              <w:t>事故点为中心，</w:t>
            </w:r>
            <w:r>
              <w:rPr>
                <w:rFonts w:hint="default" w:ascii="Times New Roman" w:hAnsi="Times New Roman" w:eastAsia="宋体" w:cs="Times New Roman"/>
                <w:caps w:val="0"/>
                <w:smallCaps w:val="0"/>
                <w:color w:val="auto"/>
                <w:spacing w:val="0"/>
                <w:kern w:val="36"/>
                <w:position w:val="0"/>
                <w:sz w:val="21"/>
                <w:szCs w:val="21"/>
                <w:highlight w:val="none"/>
                <w:vertAlign w:val="baseline"/>
                <w:lang w:val="en-US" w:eastAsia="zh-CN" w:bidi="ar-SA"/>
              </w:rPr>
              <w:t>当时风向的</w:t>
            </w:r>
            <w:r>
              <w:rPr>
                <w:rFonts w:hint="eastAsia" w:ascii="Times New Roman" w:hAnsi="Times New Roman" w:cs="Times New Roman"/>
                <w:caps w:val="0"/>
                <w:smallCaps w:val="0"/>
                <w:color w:val="auto"/>
                <w:spacing w:val="0"/>
                <w:kern w:val="36"/>
                <w:position w:val="0"/>
                <w:sz w:val="21"/>
                <w:szCs w:val="21"/>
                <w:highlight w:val="none"/>
                <w:vertAlign w:val="baseline"/>
                <w:lang w:val="en-US" w:eastAsia="zh-CN" w:bidi="ar-SA"/>
              </w:rPr>
              <w:t>上风向</w:t>
            </w:r>
          </w:p>
        </w:tc>
        <w:tc>
          <w:tcPr>
            <w:tcW w:w="1470" w:type="dxa"/>
            <w:noWrap w:val="0"/>
            <w:vAlign w:val="center"/>
          </w:tcPr>
          <w:p w14:paraId="6F14111D">
            <w:pPr>
              <w:pStyle w:val="110"/>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right="0" w:rightChars="0"/>
              <w:jc w:val="both"/>
              <w:textAlignment w:val="auto"/>
              <w:outlineLvl w:val="9"/>
              <w:rPr>
                <w:rFonts w:hint="default" w:ascii="Times New Roman" w:hAnsi="Times New Roman" w:eastAsia="宋体" w:cs="Times New Roman"/>
                <w:caps w:val="0"/>
                <w:smallCaps w:val="0"/>
                <w:color w:val="auto"/>
                <w:spacing w:val="0"/>
                <w:position w:val="0"/>
                <w:sz w:val="21"/>
                <w:szCs w:val="21"/>
                <w:highlight w:val="none"/>
                <w:lang w:eastAsia="zh-CN"/>
              </w:rPr>
            </w:pPr>
            <w:r>
              <w:rPr>
                <w:rFonts w:hint="default" w:ascii="Times New Roman" w:hAnsi="Times New Roman" w:eastAsia="宋体" w:cs="Times New Roman"/>
                <w:caps w:val="0"/>
                <w:smallCaps w:val="0"/>
                <w:color w:val="auto"/>
                <w:spacing w:val="0"/>
                <w:position w:val="0"/>
                <w:sz w:val="21"/>
                <w:szCs w:val="21"/>
                <w:highlight w:val="none"/>
                <w:lang w:eastAsia="zh-CN"/>
              </w:rPr>
              <w:t>两侧各布设一个监控点，共布设两个</w:t>
            </w:r>
          </w:p>
        </w:tc>
        <w:tc>
          <w:tcPr>
            <w:tcW w:w="1665" w:type="dxa"/>
            <w:vMerge w:val="continue"/>
            <w:noWrap w:val="0"/>
            <w:vAlign w:val="center"/>
          </w:tcPr>
          <w:p w14:paraId="72151943">
            <w:pPr>
              <w:pStyle w:val="110"/>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right="0" w:rightChars="0"/>
              <w:jc w:val="both"/>
              <w:textAlignment w:val="auto"/>
              <w:outlineLvl w:val="9"/>
              <w:rPr>
                <w:rFonts w:hint="default" w:ascii="Times New Roman" w:hAnsi="Times New Roman" w:eastAsia="宋体" w:cs="Times New Roman"/>
                <w:caps w:val="0"/>
                <w:smallCaps w:val="0"/>
                <w:color w:val="auto"/>
                <w:spacing w:val="0"/>
                <w:position w:val="0"/>
                <w:sz w:val="21"/>
                <w:szCs w:val="21"/>
                <w:highlight w:val="none"/>
                <w:lang w:eastAsia="zh-CN"/>
              </w:rPr>
            </w:pPr>
          </w:p>
        </w:tc>
        <w:tc>
          <w:tcPr>
            <w:tcW w:w="1430" w:type="dxa"/>
            <w:vMerge w:val="continue"/>
            <w:noWrap w:val="0"/>
            <w:vAlign w:val="center"/>
          </w:tcPr>
          <w:p w14:paraId="3BD9B4F6">
            <w:pPr>
              <w:pStyle w:val="110"/>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right="0" w:rightChars="0"/>
              <w:jc w:val="both"/>
              <w:textAlignment w:val="auto"/>
              <w:outlineLvl w:val="9"/>
              <w:rPr>
                <w:rFonts w:hint="default" w:ascii="Times New Roman" w:hAnsi="Times New Roman" w:eastAsia="宋体" w:cs="Times New Roman"/>
                <w:caps w:val="0"/>
                <w:smallCaps w:val="0"/>
                <w:color w:val="auto"/>
                <w:spacing w:val="0"/>
                <w:position w:val="0"/>
                <w:sz w:val="21"/>
                <w:szCs w:val="21"/>
                <w:highlight w:val="none"/>
              </w:rPr>
            </w:pPr>
          </w:p>
        </w:tc>
        <w:tc>
          <w:tcPr>
            <w:tcW w:w="1320" w:type="dxa"/>
            <w:vMerge w:val="continue"/>
            <w:noWrap w:val="0"/>
            <w:vAlign w:val="center"/>
          </w:tcPr>
          <w:p w14:paraId="1B0B4CD8">
            <w:pPr>
              <w:pStyle w:val="110"/>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right="0" w:rightChars="0"/>
              <w:jc w:val="both"/>
              <w:textAlignment w:val="auto"/>
              <w:outlineLvl w:val="9"/>
              <w:rPr>
                <w:rFonts w:hint="default" w:ascii="Times New Roman" w:hAnsi="Times New Roman" w:eastAsia="宋体" w:cs="Times New Roman"/>
                <w:caps w:val="0"/>
                <w:smallCaps w:val="0"/>
                <w:color w:val="auto"/>
                <w:spacing w:val="0"/>
                <w:position w:val="0"/>
                <w:sz w:val="21"/>
                <w:szCs w:val="21"/>
                <w:highlight w:val="none"/>
              </w:rPr>
            </w:pPr>
          </w:p>
        </w:tc>
        <w:tc>
          <w:tcPr>
            <w:tcW w:w="1230" w:type="dxa"/>
            <w:vMerge w:val="continue"/>
            <w:noWrap w:val="0"/>
            <w:vAlign w:val="center"/>
          </w:tcPr>
          <w:p w14:paraId="077A0A01">
            <w:pPr>
              <w:pStyle w:val="110"/>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right="0" w:rightChars="0"/>
              <w:jc w:val="both"/>
              <w:textAlignment w:val="auto"/>
              <w:outlineLvl w:val="9"/>
              <w:rPr>
                <w:rFonts w:hint="default" w:ascii="Times New Roman" w:hAnsi="Times New Roman" w:eastAsia="宋体" w:cs="Times New Roman"/>
                <w:caps w:val="0"/>
                <w:smallCaps w:val="0"/>
                <w:color w:val="auto"/>
                <w:spacing w:val="0"/>
                <w:position w:val="0"/>
                <w:sz w:val="21"/>
                <w:szCs w:val="21"/>
                <w:highlight w:val="none"/>
              </w:rPr>
            </w:pPr>
          </w:p>
        </w:tc>
      </w:tr>
      <w:tr w14:paraId="5E44D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915" w:type="dxa"/>
            <w:noWrap w:val="0"/>
            <w:vAlign w:val="center"/>
          </w:tcPr>
          <w:p w14:paraId="5E929575">
            <w:pPr>
              <w:pStyle w:val="110"/>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highlight w:val="none"/>
                <w:lang w:eastAsia="zh-CN"/>
              </w:rPr>
            </w:pPr>
            <w:r>
              <w:rPr>
                <w:rFonts w:hint="default" w:ascii="Times New Roman" w:hAnsi="Times New Roman" w:eastAsia="宋体" w:cs="Times New Roman"/>
                <w:caps w:val="0"/>
                <w:smallCaps w:val="0"/>
                <w:color w:val="auto"/>
                <w:spacing w:val="0"/>
                <w:position w:val="0"/>
                <w:sz w:val="21"/>
                <w:szCs w:val="21"/>
                <w:highlight w:val="none"/>
                <w:lang w:eastAsia="zh-CN"/>
              </w:rPr>
              <w:t>地表水</w:t>
            </w:r>
          </w:p>
        </w:tc>
        <w:tc>
          <w:tcPr>
            <w:tcW w:w="2880" w:type="dxa"/>
            <w:gridSpan w:val="2"/>
            <w:noWrap w:val="0"/>
            <w:vAlign w:val="center"/>
          </w:tcPr>
          <w:p w14:paraId="0EA8CC64">
            <w:pPr>
              <w:pStyle w:val="110"/>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highlight w:val="none"/>
                <w:lang w:eastAsia="zh-CN"/>
              </w:rPr>
            </w:pPr>
            <w:r>
              <w:rPr>
                <w:rFonts w:hint="eastAsia" w:ascii="Times New Roman" w:hAnsi="Times New Roman" w:cs="Times New Roman"/>
                <w:caps w:val="0"/>
                <w:smallCaps w:val="0"/>
                <w:color w:val="auto"/>
                <w:spacing w:val="0"/>
                <w:position w:val="0"/>
                <w:sz w:val="21"/>
                <w:szCs w:val="21"/>
                <w:highlight w:val="none"/>
                <w:lang w:eastAsia="zh-CN"/>
              </w:rPr>
              <w:t>上游清洁段，事故点及下游</w:t>
            </w:r>
          </w:p>
        </w:tc>
        <w:tc>
          <w:tcPr>
            <w:tcW w:w="1665" w:type="dxa"/>
            <w:noWrap w:val="0"/>
            <w:vAlign w:val="center"/>
          </w:tcPr>
          <w:p w14:paraId="06DDED5B">
            <w:pPr>
              <w:pStyle w:val="110"/>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default" w:ascii="Times New Roman" w:hAnsi="Times New Roman" w:eastAsia="宋体" w:cs="Times New Roman"/>
                <w:caps w:val="0"/>
                <w:smallCaps w:val="0"/>
                <w:color w:val="auto"/>
                <w:spacing w:val="0"/>
                <w:position w:val="0"/>
                <w:sz w:val="21"/>
                <w:szCs w:val="21"/>
                <w:highlight w:val="none"/>
                <w:lang w:eastAsia="zh-CN"/>
              </w:rPr>
            </w:pPr>
            <w:r>
              <w:rPr>
                <w:rFonts w:hint="default" w:ascii="Times New Roman" w:hAnsi="Times New Roman" w:eastAsia="宋体" w:cs="Times New Roman"/>
                <w:caps w:val="0"/>
                <w:smallCaps w:val="0"/>
                <w:color w:val="auto"/>
                <w:spacing w:val="0"/>
                <w:position w:val="0"/>
                <w:sz w:val="21"/>
                <w:szCs w:val="21"/>
                <w:highlight w:val="none"/>
                <w:lang w:val="en-US" w:eastAsia="zh-CN"/>
              </w:rPr>
              <w:t>pH、SS、COD、氨氮等</w:t>
            </w:r>
          </w:p>
        </w:tc>
        <w:tc>
          <w:tcPr>
            <w:tcW w:w="1430" w:type="dxa"/>
            <w:noWrap w:val="0"/>
            <w:vAlign w:val="center"/>
          </w:tcPr>
          <w:p w14:paraId="5DD38468">
            <w:pPr>
              <w:pStyle w:val="110"/>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default" w:ascii="Times New Roman" w:hAnsi="Times New Roman" w:eastAsia="宋体" w:cs="Times New Roman"/>
                <w:caps w:val="0"/>
                <w:smallCaps w:val="0"/>
                <w:color w:val="auto"/>
                <w:spacing w:val="0"/>
                <w:position w:val="0"/>
                <w:sz w:val="21"/>
                <w:szCs w:val="21"/>
                <w:highlight w:val="none"/>
                <w:lang w:eastAsia="zh-CN"/>
              </w:rPr>
            </w:pPr>
            <w:r>
              <w:rPr>
                <w:rFonts w:hint="eastAsia" w:ascii="Times New Roman" w:hAnsi="Times New Roman" w:cs="Times New Roman"/>
                <w:caps w:val="0"/>
                <w:smallCaps w:val="0"/>
                <w:color w:val="auto"/>
                <w:spacing w:val="0"/>
                <w:position w:val="0"/>
                <w:sz w:val="21"/>
                <w:szCs w:val="21"/>
                <w:highlight w:val="none"/>
                <w:lang w:eastAsia="zh-CN"/>
              </w:rPr>
              <w:t>便携式水质分析仪</w:t>
            </w:r>
          </w:p>
        </w:tc>
        <w:tc>
          <w:tcPr>
            <w:tcW w:w="1320" w:type="dxa"/>
            <w:noWrap w:val="0"/>
            <w:vAlign w:val="center"/>
          </w:tcPr>
          <w:p w14:paraId="5C8C903E">
            <w:pPr>
              <w:pStyle w:val="110"/>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default" w:ascii="Times New Roman" w:hAnsi="Times New Roman" w:eastAsia="宋体" w:cs="Times New Roman"/>
                <w:caps w:val="0"/>
                <w:smallCaps w:val="0"/>
                <w:color w:val="auto"/>
                <w:spacing w:val="0"/>
                <w:position w:val="0"/>
                <w:sz w:val="21"/>
                <w:szCs w:val="21"/>
                <w:highlight w:val="none"/>
              </w:rPr>
            </w:pPr>
            <w:r>
              <w:rPr>
                <w:rFonts w:hint="default" w:ascii="Times New Roman" w:hAnsi="Times New Roman" w:eastAsia="宋体" w:cs="Times New Roman"/>
                <w:caps w:val="0"/>
                <w:smallCaps w:val="0"/>
                <w:color w:val="auto"/>
                <w:spacing w:val="0"/>
                <w:position w:val="0"/>
                <w:sz w:val="21"/>
                <w:szCs w:val="21"/>
                <w:highlight w:val="none"/>
                <w:lang w:eastAsia="zh-CN"/>
              </w:rPr>
              <w:t>每</w:t>
            </w:r>
            <w:r>
              <w:rPr>
                <w:rFonts w:hint="default" w:ascii="Times New Roman" w:hAnsi="Times New Roman" w:eastAsia="宋体" w:cs="Times New Roman"/>
                <w:caps w:val="0"/>
                <w:smallCaps w:val="0"/>
                <w:color w:val="auto"/>
                <w:spacing w:val="0"/>
                <w:position w:val="0"/>
                <w:sz w:val="21"/>
                <w:szCs w:val="21"/>
                <w:highlight w:val="none"/>
                <w:lang w:val="en-US" w:eastAsia="zh-CN"/>
              </w:rPr>
              <w:t>1小时监测一次，随事故控制减弱</w:t>
            </w:r>
          </w:p>
        </w:tc>
        <w:tc>
          <w:tcPr>
            <w:tcW w:w="1230" w:type="dxa"/>
            <w:noWrap w:val="0"/>
            <w:vAlign w:val="center"/>
          </w:tcPr>
          <w:p w14:paraId="5E4B116F">
            <w:pPr>
              <w:pStyle w:val="110"/>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default" w:ascii="Times New Roman" w:hAnsi="Times New Roman" w:eastAsia="宋体" w:cs="Times New Roman"/>
                <w:caps w:val="0"/>
                <w:smallCaps w:val="0"/>
                <w:color w:val="auto"/>
                <w:spacing w:val="0"/>
                <w:position w:val="0"/>
                <w:sz w:val="21"/>
                <w:szCs w:val="21"/>
                <w:highlight w:val="none"/>
              </w:rPr>
            </w:pPr>
            <w:r>
              <w:rPr>
                <w:rFonts w:hint="default" w:ascii="Times New Roman" w:hAnsi="Times New Roman" w:eastAsia="宋体" w:cs="Times New Roman"/>
                <w:caps w:val="0"/>
                <w:smallCaps w:val="0"/>
                <w:color w:val="auto"/>
                <w:spacing w:val="0"/>
                <w:position w:val="0"/>
                <w:sz w:val="21"/>
                <w:szCs w:val="21"/>
                <w:highlight w:val="none"/>
              </w:rPr>
              <w:t>委托第三方监测单位进行监测</w:t>
            </w:r>
          </w:p>
        </w:tc>
      </w:tr>
      <w:tr w14:paraId="070D3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jc w:val="center"/>
        </w:trPr>
        <w:tc>
          <w:tcPr>
            <w:tcW w:w="915" w:type="dxa"/>
            <w:noWrap w:val="0"/>
            <w:vAlign w:val="center"/>
          </w:tcPr>
          <w:p w14:paraId="7FA08E70">
            <w:pPr>
              <w:pStyle w:val="110"/>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highlight w:val="none"/>
                <w:lang w:eastAsia="zh-CN"/>
              </w:rPr>
            </w:pPr>
            <w:r>
              <w:rPr>
                <w:rFonts w:hint="eastAsia" w:ascii="Times New Roman" w:hAnsi="Times New Roman" w:cs="Times New Roman"/>
                <w:caps w:val="0"/>
                <w:smallCaps w:val="0"/>
                <w:color w:val="auto"/>
                <w:spacing w:val="0"/>
                <w:position w:val="0"/>
                <w:sz w:val="21"/>
                <w:szCs w:val="21"/>
                <w:highlight w:val="none"/>
                <w:lang w:eastAsia="zh-CN"/>
              </w:rPr>
              <w:t>土壤地下水</w:t>
            </w:r>
          </w:p>
        </w:tc>
        <w:tc>
          <w:tcPr>
            <w:tcW w:w="2880" w:type="dxa"/>
            <w:gridSpan w:val="2"/>
            <w:noWrap w:val="0"/>
            <w:vAlign w:val="center"/>
          </w:tcPr>
          <w:p w14:paraId="217F83F6">
            <w:pPr>
              <w:pStyle w:val="110"/>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aps w:val="0"/>
                <w:smallCaps w:val="0"/>
                <w:color w:val="auto"/>
                <w:spacing w:val="0"/>
                <w:position w:val="0"/>
                <w:sz w:val="21"/>
                <w:szCs w:val="21"/>
                <w:highlight w:val="none"/>
                <w:lang w:val="en-US" w:eastAsia="zh-CN"/>
              </w:rPr>
            </w:pPr>
            <w:r>
              <w:rPr>
                <w:rFonts w:hint="eastAsia" w:ascii="Times New Roman" w:hAnsi="Times New Roman" w:cs="Times New Roman"/>
                <w:caps w:val="0"/>
                <w:smallCaps w:val="0"/>
                <w:color w:val="auto"/>
                <w:spacing w:val="0"/>
                <w:position w:val="0"/>
                <w:sz w:val="21"/>
                <w:szCs w:val="21"/>
                <w:highlight w:val="none"/>
                <w:lang w:val="en-US" w:eastAsia="zh-CN"/>
              </w:rPr>
              <w:t>1个对照点，3个控制点</w:t>
            </w:r>
          </w:p>
        </w:tc>
        <w:tc>
          <w:tcPr>
            <w:tcW w:w="1665" w:type="dxa"/>
            <w:noWrap w:val="0"/>
            <w:vAlign w:val="center"/>
          </w:tcPr>
          <w:p w14:paraId="59E6901B">
            <w:pPr>
              <w:pStyle w:val="110"/>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default" w:ascii="Times New Roman" w:hAnsi="Times New Roman" w:eastAsia="宋体" w:cs="Times New Roman"/>
                <w:caps w:val="0"/>
                <w:smallCaps w:val="0"/>
                <w:color w:val="auto"/>
                <w:spacing w:val="0"/>
                <w:position w:val="0"/>
                <w:sz w:val="21"/>
                <w:szCs w:val="21"/>
                <w:highlight w:val="none"/>
                <w:lang w:val="en-US" w:eastAsia="zh-CN"/>
              </w:rPr>
            </w:pPr>
            <w:r>
              <w:rPr>
                <w:rFonts w:hint="eastAsia" w:ascii="Times New Roman" w:hAnsi="Times New Roman" w:cs="Times New Roman"/>
                <w:caps w:val="0"/>
                <w:smallCaps w:val="0"/>
                <w:color w:val="auto"/>
                <w:spacing w:val="0"/>
                <w:position w:val="0"/>
                <w:sz w:val="21"/>
                <w:szCs w:val="21"/>
                <w:highlight w:val="none"/>
                <w:lang w:val="en-US" w:eastAsia="zh-CN"/>
              </w:rPr>
              <w:t>PH、石油烃、甲苯、苯胺类</w:t>
            </w:r>
          </w:p>
        </w:tc>
        <w:tc>
          <w:tcPr>
            <w:tcW w:w="1430" w:type="dxa"/>
            <w:noWrap w:val="0"/>
            <w:vAlign w:val="center"/>
          </w:tcPr>
          <w:p w14:paraId="77E0E8C3">
            <w:pPr>
              <w:pStyle w:val="110"/>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default" w:ascii="Times New Roman" w:hAnsi="Times New Roman" w:eastAsia="宋体" w:cs="Times New Roman"/>
                <w:caps w:val="0"/>
                <w:smallCaps w:val="0"/>
                <w:color w:val="auto"/>
                <w:spacing w:val="0"/>
                <w:position w:val="0"/>
                <w:sz w:val="21"/>
                <w:szCs w:val="21"/>
                <w:highlight w:val="none"/>
                <w:lang w:eastAsia="zh-CN"/>
              </w:rPr>
            </w:pPr>
            <w:r>
              <w:rPr>
                <w:rFonts w:hint="eastAsia" w:ascii="Times New Roman" w:hAnsi="Times New Roman" w:cs="Times New Roman"/>
                <w:caps w:val="0"/>
                <w:smallCaps w:val="0"/>
                <w:color w:val="auto"/>
                <w:spacing w:val="0"/>
                <w:position w:val="0"/>
                <w:sz w:val="21"/>
                <w:szCs w:val="21"/>
                <w:highlight w:val="none"/>
                <w:lang w:eastAsia="zh-CN"/>
              </w:rPr>
              <w:t>三合一土壤检测仪，水质分析仪</w:t>
            </w:r>
          </w:p>
        </w:tc>
        <w:tc>
          <w:tcPr>
            <w:tcW w:w="1320" w:type="dxa"/>
            <w:noWrap w:val="0"/>
            <w:vAlign w:val="center"/>
          </w:tcPr>
          <w:p w14:paraId="77614814">
            <w:pPr>
              <w:pStyle w:val="110"/>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default" w:ascii="Times New Roman" w:hAnsi="Times New Roman" w:eastAsia="宋体" w:cs="Times New Roman"/>
                <w:caps w:val="0"/>
                <w:smallCaps w:val="0"/>
                <w:color w:val="auto"/>
                <w:spacing w:val="0"/>
                <w:position w:val="0"/>
                <w:sz w:val="21"/>
                <w:szCs w:val="21"/>
                <w:highlight w:val="none"/>
                <w:lang w:eastAsia="zh-CN"/>
              </w:rPr>
            </w:pPr>
            <w:r>
              <w:rPr>
                <w:rFonts w:hint="default" w:ascii="Times New Roman" w:hAnsi="Times New Roman" w:eastAsia="宋体" w:cs="Times New Roman"/>
                <w:caps w:val="0"/>
                <w:smallCaps w:val="0"/>
                <w:color w:val="auto"/>
                <w:spacing w:val="0"/>
                <w:position w:val="0"/>
                <w:sz w:val="21"/>
                <w:szCs w:val="21"/>
                <w:highlight w:val="none"/>
                <w:lang w:eastAsia="zh-CN"/>
              </w:rPr>
              <w:t>每</w:t>
            </w:r>
            <w:r>
              <w:rPr>
                <w:rFonts w:hint="default" w:ascii="Times New Roman" w:hAnsi="Times New Roman" w:eastAsia="宋体" w:cs="Times New Roman"/>
                <w:caps w:val="0"/>
                <w:smallCaps w:val="0"/>
                <w:color w:val="auto"/>
                <w:spacing w:val="0"/>
                <w:position w:val="0"/>
                <w:sz w:val="21"/>
                <w:szCs w:val="21"/>
                <w:highlight w:val="none"/>
                <w:lang w:val="en-US" w:eastAsia="zh-CN"/>
              </w:rPr>
              <w:t>1小时监测一次，随事故控制减弱</w:t>
            </w:r>
          </w:p>
        </w:tc>
        <w:tc>
          <w:tcPr>
            <w:tcW w:w="1230" w:type="dxa"/>
            <w:noWrap w:val="0"/>
            <w:vAlign w:val="center"/>
          </w:tcPr>
          <w:p w14:paraId="25DDB657">
            <w:pPr>
              <w:pStyle w:val="110"/>
              <w:keepNext w:val="0"/>
              <w:keepLines w:val="0"/>
              <w:pageBreakBefore w:val="0"/>
              <w:widowControl w:val="0"/>
              <w:numPr>
                <w:ilvl w:val="0"/>
                <w:numId w:val="0"/>
              </w:numPr>
              <w:suppressLineNumbers w:val="0"/>
              <w:tabs>
                <w:tab w:val="left" w:pos="1470"/>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outlineLvl w:val="9"/>
              <w:rPr>
                <w:rFonts w:hint="default" w:ascii="Times New Roman" w:hAnsi="Times New Roman" w:eastAsia="宋体" w:cs="Times New Roman"/>
                <w:caps w:val="0"/>
                <w:smallCaps w:val="0"/>
                <w:snapToGrid w:val="0"/>
                <w:color w:val="auto"/>
                <w:spacing w:val="0"/>
                <w:kern w:val="21"/>
                <w:position w:val="0"/>
                <w:sz w:val="21"/>
                <w:szCs w:val="21"/>
                <w:highlight w:val="none"/>
                <w:lang w:val="en-US" w:eastAsia="zh-CN" w:bidi="ar-SA"/>
              </w:rPr>
            </w:pPr>
            <w:r>
              <w:rPr>
                <w:rFonts w:hint="default" w:ascii="Times New Roman" w:hAnsi="Times New Roman" w:eastAsia="宋体" w:cs="Times New Roman"/>
                <w:caps w:val="0"/>
                <w:smallCaps w:val="0"/>
                <w:color w:val="auto"/>
                <w:spacing w:val="0"/>
                <w:position w:val="0"/>
                <w:sz w:val="21"/>
                <w:szCs w:val="21"/>
                <w:highlight w:val="none"/>
              </w:rPr>
              <w:t>委托第三方监测单位进行监测</w:t>
            </w:r>
          </w:p>
        </w:tc>
      </w:tr>
    </w:tbl>
    <w:p w14:paraId="7F0F54A8">
      <w:pPr>
        <w:pStyle w:val="110"/>
        <w:keepNext w:val="0"/>
        <w:keepLines w:val="0"/>
        <w:pageBreakBefore w:val="0"/>
        <w:widowControl w:val="0"/>
        <w:numPr>
          <w:ilvl w:val="0"/>
          <w:numId w:val="0"/>
        </w:numPr>
        <w:tabs>
          <w:tab w:val="left" w:pos="1470"/>
        </w:tabs>
        <w:kinsoku/>
        <w:wordWrap/>
        <w:overflowPunct/>
        <w:topLinePunct w:val="0"/>
        <w:autoSpaceDE/>
        <w:autoSpaceDN/>
        <w:bidi w:val="0"/>
        <w:adjustRightInd w:val="0"/>
        <w:snapToGrid w:val="0"/>
        <w:spacing w:line="360" w:lineRule="auto"/>
        <w:ind w:leftChars="200" w:right="0" w:rightChars="0"/>
        <w:jc w:val="center"/>
        <w:textAlignment w:val="auto"/>
        <w:outlineLvl w:val="9"/>
        <w:rPr>
          <w:rFonts w:hint="default" w:ascii="Times New Roman" w:hAnsi="Times New Roman" w:eastAsia="宋体" w:cs="Times New Roman"/>
          <w:b/>
          <w:bCs/>
          <w:color w:val="auto"/>
          <w:kern w:val="36"/>
          <w:sz w:val="24"/>
          <w:szCs w:val="24"/>
          <w:highlight w:val="none"/>
          <w:lang w:val="en-US" w:eastAsia="zh-CN" w:bidi="ar-SA"/>
        </w:rPr>
      </w:pPr>
    </w:p>
    <w:p w14:paraId="53E6DE87">
      <w:pPr>
        <w:pStyle w:val="7"/>
        <w:spacing w:before="0" w:after="0"/>
        <w:rPr>
          <w:rFonts w:hint="default" w:ascii="Times New Roman" w:hAnsi="Times New Roman" w:cs="Times New Roman"/>
          <w:color w:val="auto"/>
          <w:highlight w:val="none"/>
        </w:rPr>
      </w:pPr>
      <w:bookmarkStart w:id="83" w:name="_Toc23617"/>
      <w:bookmarkStart w:id="84" w:name="_Toc13129"/>
      <w:bookmarkStart w:id="85" w:name="_Toc14923"/>
      <w:bookmarkStart w:id="86" w:name="_Toc18194"/>
      <w:r>
        <w:rPr>
          <w:rFonts w:hint="default" w:ascii="Times New Roman" w:hAnsi="Times New Roman" w:cs="Times New Roman"/>
          <w:color w:val="auto"/>
          <w:highlight w:val="none"/>
        </w:rPr>
        <w:t>3.7 现有应急物资与装备、救援队伍情况</w:t>
      </w:r>
      <w:bookmarkEnd w:id="83"/>
      <w:bookmarkEnd w:id="84"/>
      <w:bookmarkEnd w:id="85"/>
      <w:bookmarkEnd w:id="86"/>
    </w:p>
    <w:p w14:paraId="1A4B51CD">
      <w:pPr>
        <w:spacing w:before="0" w:after="0"/>
        <w:outlineLvl w:val="9"/>
        <w:rPr>
          <w:rFonts w:hint="default" w:ascii="Times New Roman" w:hAnsi="Times New Roman" w:eastAsia="宋体" w:cs="Times New Roman"/>
          <w:b/>
          <w:bCs/>
          <w:color w:val="auto"/>
          <w:sz w:val="24"/>
          <w:szCs w:val="32"/>
          <w:highlight w:val="none"/>
        </w:rPr>
      </w:pPr>
      <w:bookmarkStart w:id="87" w:name="_Toc416357951"/>
      <w:bookmarkStart w:id="88" w:name="_Toc10663"/>
      <w:bookmarkStart w:id="89" w:name="_Toc26571"/>
      <w:bookmarkStart w:id="90" w:name="_Toc426701442"/>
      <w:r>
        <w:rPr>
          <w:rFonts w:hint="default" w:ascii="Times New Roman" w:hAnsi="Times New Roman" w:eastAsia="宋体" w:cs="Times New Roman"/>
          <w:b/>
          <w:bCs/>
          <w:color w:val="auto"/>
          <w:sz w:val="24"/>
          <w:szCs w:val="32"/>
          <w:highlight w:val="none"/>
        </w:rPr>
        <w:t>3.7.1 现有应急物资与装备</w:t>
      </w:r>
      <w:bookmarkEnd w:id="87"/>
      <w:bookmarkEnd w:id="88"/>
      <w:bookmarkEnd w:id="89"/>
      <w:bookmarkEnd w:id="90"/>
    </w:p>
    <w:p w14:paraId="2E5100CA">
      <w:pPr>
        <w:adjustRightInd w:val="0"/>
        <w:snapToGrid w:val="0"/>
        <w:spacing w:line="360" w:lineRule="auto"/>
        <w:ind w:firstLine="486" w:firstLineChars="200"/>
        <w:rPr>
          <w:rFonts w:hint="default" w:ascii="Times New Roman" w:hAnsi="Times New Roman" w:cs="Times New Roman"/>
          <w:color w:val="auto"/>
          <w:sz w:val="24"/>
          <w:highlight w:val="none"/>
        </w:rPr>
      </w:pPr>
      <w:bookmarkStart w:id="91" w:name="_Toc28425"/>
      <w:bookmarkStart w:id="92" w:name="_Toc6016"/>
      <w:bookmarkStart w:id="93" w:name="_Toc416357952"/>
      <w:bookmarkStart w:id="94" w:name="_Toc426701443"/>
      <w:r>
        <w:rPr>
          <w:rFonts w:hint="default" w:ascii="Times New Roman" w:hAnsi="Times New Roman" w:cs="Times New Roman"/>
          <w:color w:val="auto"/>
          <w:sz w:val="24"/>
          <w:highlight w:val="none"/>
        </w:rPr>
        <w:t>公司现有应急物资及装备见表3.7-1。</w:t>
      </w:r>
    </w:p>
    <w:p w14:paraId="5C8DE5AB">
      <w:pPr>
        <w:pStyle w:val="4"/>
        <w:spacing w:after="0" w:line="360" w:lineRule="auto"/>
        <w:ind w:firstLine="31680"/>
        <w:jc w:val="center"/>
        <w:rPr>
          <w:rFonts w:hint="default" w:ascii="Times New Roman" w:hAnsi="Times New Roman" w:cs="Times New Roman"/>
          <w:b/>
          <w:bCs/>
          <w:color w:val="auto"/>
          <w:szCs w:val="24"/>
          <w:highlight w:val="none"/>
          <w:lang w:val="nl-BE"/>
        </w:rPr>
      </w:pPr>
      <w:r>
        <w:rPr>
          <w:rFonts w:hint="default" w:ascii="Times New Roman" w:hAnsi="Times New Roman" w:cs="Times New Roman"/>
          <w:b/>
          <w:bCs/>
          <w:color w:val="auto"/>
          <w:szCs w:val="24"/>
          <w:highlight w:val="none"/>
          <w:lang w:val="nl-BE"/>
        </w:rPr>
        <w:t>表3.7-1  公司现有应急物资及装备情况一览表</w:t>
      </w:r>
    </w:p>
    <w:tbl>
      <w:tblPr>
        <w:tblStyle w:val="33"/>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9"/>
        <w:gridCol w:w="745"/>
        <w:gridCol w:w="750"/>
        <w:gridCol w:w="2127"/>
        <w:gridCol w:w="1869"/>
        <w:gridCol w:w="1869"/>
      </w:tblGrid>
      <w:tr w14:paraId="362A8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blHeader/>
          <w:jc w:val="center"/>
        </w:trPr>
        <w:tc>
          <w:tcPr>
            <w:tcW w:w="2009" w:type="dxa"/>
            <w:tcBorders>
              <w:top w:val="single" w:color="auto" w:sz="4" w:space="0"/>
              <w:left w:val="single" w:color="auto" w:sz="4" w:space="0"/>
              <w:bottom w:val="single" w:color="auto" w:sz="4" w:space="0"/>
              <w:right w:val="single" w:color="auto" w:sz="4" w:space="0"/>
            </w:tcBorders>
            <w:noWrap w:val="0"/>
            <w:vAlign w:val="center"/>
          </w:tcPr>
          <w:p w14:paraId="2163EE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物资名称</w:t>
            </w:r>
          </w:p>
        </w:tc>
        <w:tc>
          <w:tcPr>
            <w:tcW w:w="745" w:type="dxa"/>
            <w:tcBorders>
              <w:top w:val="single" w:color="auto" w:sz="4" w:space="0"/>
              <w:left w:val="single" w:color="auto" w:sz="4" w:space="0"/>
              <w:bottom w:val="single" w:color="auto" w:sz="4" w:space="0"/>
              <w:right w:val="single" w:color="auto" w:sz="4" w:space="0"/>
            </w:tcBorders>
            <w:noWrap w:val="0"/>
            <w:vAlign w:val="center"/>
          </w:tcPr>
          <w:p w14:paraId="203E42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单位</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55BD82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数量</w:t>
            </w:r>
          </w:p>
        </w:tc>
        <w:tc>
          <w:tcPr>
            <w:tcW w:w="2127" w:type="dxa"/>
            <w:tcBorders>
              <w:top w:val="single" w:color="auto" w:sz="4" w:space="0"/>
              <w:left w:val="single" w:color="auto" w:sz="4" w:space="0"/>
              <w:bottom w:val="single" w:color="auto" w:sz="4" w:space="0"/>
              <w:right w:val="single" w:color="auto" w:sz="4" w:space="0"/>
            </w:tcBorders>
            <w:noWrap w:val="0"/>
            <w:vAlign w:val="center"/>
          </w:tcPr>
          <w:p w14:paraId="122F0B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存放地点</w:t>
            </w:r>
          </w:p>
        </w:tc>
        <w:tc>
          <w:tcPr>
            <w:tcW w:w="1869" w:type="dxa"/>
            <w:tcBorders>
              <w:top w:val="single" w:color="auto" w:sz="4" w:space="0"/>
              <w:left w:val="single" w:color="auto" w:sz="4" w:space="0"/>
              <w:bottom w:val="single" w:color="auto" w:sz="4" w:space="0"/>
              <w:right w:val="single" w:color="auto" w:sz="4" w:space="0"/>
            </w:tcBorders>
            <w:noWrap w:val="0"/>
            <w:vAlign w:val="center"/>
          </w:tcPr>
          <w:p w14:paraId="6C9445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管理人</w:t>
            </w:r>
          </w:p>
        </w:tc>
        <w:tc>
          <w:tcPr>
            <w:tcW w:w="1869" w:type="dxa"/>
            <w:tcBorders>
              <w:top w:val="single" w:color="auto" w:sz="4" w:space="0"/>
              <w:left w:val="single" w:color="auto" w:sz="4" w:space="0"/>
              <w:bottom w:val="single" w:color="auto" w:sz="4" w:space="0"/>
              <w:right w:val="single" w:color="auto" w:sz="4" w:space="0"/>
            </w:tcBorders>
            <w:noWrap w:val="0"/>
            <w:vAlign w:val="center"/>
          </w:tcPr>
          <w:p w14:paraId="123CEF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color w:val="auto"/>
                <w:sz w:val="21"/>
                <w:szCs w:val="21"/>
                <w:lang w:eastAsia="zh-CN"/>
              </w:rPr>
            </w:pPr>
            <w:r>
              <w:rPr>
                <w:rFonts w:hint="default" w:ascii="Times New Roman" w:hAnsi="Times New Roman" w:eastAsia="宋体" w:cs="Times New Roman"/>
                <w:b/>
                <w:color w:val="auto"/>
                <w:sz w:val="21"/>
                <w:szCs w:val="21"/>
                <w:lang w:eastAsia="zh-CN"/>
              </w:rPr>
              <w:t>电话</w:t>
            </w:r>
          </w:p>
        </w:tc>
      </w:tr>
      <w:tr w14:paraId="01D6A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009" w:type="dxa"/>
            <w:tcBorders>
              <w:top w:val="single" w:color="auto" w:sz="4" w:space="0"/>
              <w:left w:val="single" w:color="auto" w:sz="4" w:space="0"/>
              <w:bottom w:val="single" w:color="auto" w:sz="4" w:space="0"/>
              <w:right w:val="single" w:color="auto" w:sz="4" w:space="0"/>
            </w:tcBorders>
            <w:noWrap w:val="0"/>
            <w:vAlign w:val="center"/>
          </w:tcPr>
          <w:p w14:paraId="65AB1182">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空气呼吸器</w:t>
            </w:r>
          </w:p>
        </w:tc>
        <w:tc>
          <w:tcPr>
            <w:tcW w:w="745" w:type="dxa"/>
            <w:tcBorders>
              <w:top w:val="single" w:color="auto" w:sz="4" w:space="0"/>
              <w:left w:val="single" w:color="auto" w:sz="4" w:space="0"/>
              <w:bottom w:val="single" w:color="auto" w:sz="4" w:space="0"/>
              <w:right w:val="single" w:color="auto" w:sz="4" w:space="0"/>
            </w:tcBorders>
            <w:noWrap w:val="0"/>
            <w:vAlign w:val="center"/>
          </w:tcPr>
          <w:p w14:paraId="30C997C8">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套</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47B9472F">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2</w:t>
            </w:r>
          </w:p>
        </w:tc>
        <w:tc>
          <w:tcPr>
            <w:tcW w:w="2127" w:type="dxa"/>
            <w:tcBorders>
              <w:top w:val="single" w:color="auto" w:sz="4" w:space="0"/>
              <w:left w:val="single" w:color="auto" w:sz="4" w:space="0"/>
              <w:bottom w:val="single" w:color="auto" w:sz="4" w:space="0"/>
              <w:right w:val="single" w:color="auto" w:sz="4" w:space="0"/>
            </w:tcBorders>
            <w:noWrap w:val="0"/>
            <w:vAlign w:val="center"/>
          </w:tcPr>
          <w:p w14:paraId="1677C87E">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器材室</w:t>
            </w:r>
          </w:p>
        </w:tc>
        <w:tc>
          <w:tcPr>
            <w:tcW w:w="1869" w:type="dxa"/>
            <w:tcBorders>
              <w:top w:val="single" w:color="auto" w:sz="4" w:space="0"/>
              <w:left w:val="single" w:color="auto" w:sz="4" w:space="0"/>
              <w:right w:val="single" w:color="auto" w:sz="4" w:space="0"/>
            </w:tcBorders>
            <w:noWrap w:val="0"/>
            <w:vAlign w:val="center"/>
          </w:tcPr>
          <w:p w14:paraId="6973474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eastAsia="zh-CN"/>
              </w:rPr>
              <w:t>赵传涛</w:t>
            </w:r>
          </w:p>
        </w:tc>
        <w:tc>
          <w:tcPr>
            <w:tcW w:w="1869" w:type="dxa"/>
            <w:tcBorders>
              <w:top w:val="single" w:color="auto" w:sz="4" w:space="0"/>
              <w:left w:val="single" w:color="auto" w:sz="4" w:space="0"/>
              <w:right w:val="single" w:color="auto" w:sz="4" w:space="0"/>
            </w:tcBorders>
            <w:noWrap w:val="0"/>
            <w:vAlign w:val="center"/>
          </w:tcPr>
          <w:p w14:paraId="10158A7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13280689988</w:t>
            </w:r>
          </w:p>
        </w:tc>
      </w:tr>
      <w:tr w14:paraId="0C4AC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009" w:type="dxa"/>
            <w:tcBorders>
              <w:top w:val="single" w:color="auto" w:sz="4" w:space="0"/>
              <w:left w:val="single" w:color="auto" w:sz="4" w:space="0"/>
              <w:bottom w:val="single" w:color="auto" w:sz="4" w:space="0"/>
              <w:right w:val="single" w:color="auto" w:sz="4" w:space="0"/>
            </w:tcBorders>
            <w:noWrap w:val="0"/>
            <w:vAlign w:val="center"/>
          </w:tcPr>
          <w:p w14:paraId="5868D22B">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防毒面具</w:t>
            </w:r>
          </w:p>
        </w:tc>
        <w:tc>
          <w:tcPr>
            <w:tcW w:w="745" w:type="dxa"/>
            <w:tcBorders>
              <w:top w:val="single" w:color="auto" w:sz="4" w:space="0"/>
              <w:left w:val="single" w:color="auto" w:sz="4" w:space="0"/>
              <w:bottom w:val="single" w:color="auto" w:sz="4" w:space="0"/>
              <w:right w:val="single" w:color="auto" w:sz="4" w:space="0"/>
            </w:tcBorders>
            <w:noWrap w:val="0"/>
            <w:vAlign w:val="center"/>
          </w:tcPr>
          <w:p w14:paraId="73557D43">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具</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0B875424">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5</w:t>
            </w:r>
          </w:p>
        </w:tc>
        <w:tc>
          <w:tcPr>
            <w:tcW w:w="2127" w:type="dxa"/>
            <w:tcBorders>
              <w:top w:val="single" w:color="auto" w:sz="4" w:space="0"/>
              <w:left w:val="single" w:color="auto" w:sz="4" w:space="0"/>
              <w:bottom w:val="single" w:color="auto" w:sz="4" w:space="0"/>
              <w:right w:val="single" w:color="auto" w:sz="4" w:space="0"/>
            </w:tcBorders>
            <w:noWrap w:val="0"/>
            <w:vAlign w:val="center"/>
          </w:tcPr>
          <w:p w14:paraId="010EBAD2">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器材室</w:t>
            </w:r>
          </w:p>
        </w:tc>
        <w:tc>
          <w:tcPr>
            <w:tcW w:w="1869" w:type="dxa"/>
            <w:tcBorders>
              <w:left w:val="single" w:color="auto" w:sz="4" w:space="0"/>
              <w:right w:val="single" w:color="auto" w:sz="4" w:space="0"/>
            </w:tcBorders>
            <w:noWrap w:val="0"/>
            <w:vAlign w:val="center"/>
          </w:tcPr>
          <w:p w14:paraId="5FE51BC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eastAsia="zh-CN"/>
              </w:rPr>
              <w:t>赵传涛</w:t>
            </w:r>
          </w:p>
        </w:tc>
        <w:tc>
          <w:tcPr>
            <w:tcW w:w="1869" w:type="dxa"/>
            <w:tcBorders>
              <w:left w:val="single" w:color="auto" w:sz="4" w:space="0"/>
              <w:right w:val="single" w:color="auto" w:sz="4" w:space="0"/>
            </w:tcBorders>
            <w:noWrap w:val="0"/>
            <w:vAlign w:val="center"/>
          </w:tcPr>
          <w:p w14:paraId="50C96AC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13280689988</w:t>
            </w:r>
          </w:p>
        </w:tc>
      </w:tr>
      <w:tr w14:paraId="22A6C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009" w:type="dxa"/>
            <w:tcBorders>
              <w:top w:val="single" w:color="auto" w:sz="4" w:space="0"/>
              <w:left w:val="single" w:color="auto" w:sz="4" w:space="0"/>
              <w:bottom w:val="single" w:color="auto" w:sz="4" w:space="0"/>
              <w:right w:val="single" w:color="auto" w:sz="4" w:space="0"/>
            </w:tcBorders>
            <w:noWrap w:val="0"/>
            <w:vAlign w:val="center"/>
          </w:tcPr>
          <w:p w14:paraId="35C3AF19">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防毒口罩</w:t>
            </w:r>
          </w:p>
        </w:tc>
        <w:tc>
          <w:tcPr>
            <w:tcW w:w="745" w:type="dxa"/>
            <w:tcBorders>
              <w:top w:val="single" w:color="auto" w:sz="4" w:space="0"/>
              <w:left w:val="single" w:color="auto" w:sz="4" w:space="0"/>
              <w:bottom w:val="single" w:color="auto" w:sz="4" w:space="0"/>
              <w:right w:val="single" w:color="auto" w:sz="4" w:space="0"/>
            </w:tcBorders>
            <w:noWrap w:val="0"/>
            <w:vAlign w:val="center"/>
          </w:tcPr>
          <w:p w14:paraId="31AC87D3">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个</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23CE4222">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若干</w:t>
            </w:r>
          </w:p>
        </w:tc>
        <w:tc>
          <w:tcPr>
            <w:tcW w:w="2127" w:type="dxa"/>
            <w:tcBorders>
              <w:top w:val="single" w:color="auto" w:sz="4" w:space="0"/>
              <w:left w:val="single" w:color="auto" w:sz="4" w:space="0"/>
              <w:bottom w:val="single" w:color="auto" w:sz="4" w:space="0"/>
              <w:right w:val="single" w:color="auto" w:sz="4" w:space="0"/>
            </w:tcBorders>
            <w:noWrap w:val="0"/>
            <w:vAlign w:val="center"/>
          </w:tcPr>
          <w:p w14:paraId="5FDEB288">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仓库</w:t>
            </w:r>
          </w:p>
        </w:tc>
        <w:tc>
          <w:tcPr>
            <w:tcW w:w="1869" w:type="dxa"/>
            <w:tcBorders>
              <w:left w:val="single" w:color="auto" w:sz="4" w:space="0"/>
              <w:right w:val="single" w:color="auto" w:sz="4" w:space="0"/>
            </w:tcBorders>
            <w:noWrap w:val="0"/>
            <w:vAlign w:val="center"/>
          </w:tcPr>
          <w:p w14:paraId="0A82CC2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eastAsia="zh-CN"/>
              </w:rPr>
              <w:t>赵传涛</w:t>
            </w:r>
          </w:p>
        </w:tc>
        <w:tc>
          <w:tcPr>
            <w:tcW w:w="1869" w:type="dxa"/>
            <w:tcBorders>
              <w:left w:val="single" w:color="auto" w:sz="4" w:space="0"/>
              <w:right w:val="single" w:color="auto" w:sz="4" w:space="0"/>
            </w:tcBorders>
            <w:noWrap w:val="0"/>
            <w:vAlign w:val="center"/>
          </w:tcPr>
          <w:p w14:paraId="2621331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highlight w:val="yellow"/>
              </w:rPr>
            </w:pPr>
            <w:r>
              <w:rPr>
                <w:rFonts w:hint="default" w:ascii="Times New Roman" w:hAnsi="Times New Roman" w:eastAsia="宋体" w:cs="Times New Roman"/>
                <w:color w:val="auto"/>
                <w:sz w:val="21"/>
                <w:szCs w:val="21"/>
                <w:lang w:val="en-US" w:eastAsia="zh-CN"/>
              </w:rPr>
              <w:t>13280689988</w:t>
            </w:r>
          </w:p>
        </w:tc>
      </w:tr>
      <w:tr w14:paraId="12A88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009" w:type="dxa"/>
            <w:tcBorders>
              <w:top w:val="single" w:color="auto" w:sz="4" w:space="0"/>
              <w:left w:val="single" w:color="auto" w:sz="4" w:space="0"/>
              <w:bottom w:val="single" w:color="auto" w:sz="4" w:space="0"/>
              <w:right w:val="single" w:color="auto" w:sz="4" w:space="0"/>
            </w:tcBorders>
            <w:noWrap w:val="0"/>
            <w:vAlign w:val="center"/>
          </w:tcPr>
          <w:p w14:paraId="25C61120">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胶手套</w:t>
            </w:r>
          </w:p>
        </w:tc>
        <w:tc>
          <w:tcPr>
            <w:tcW w:w="745" w:type="dxa"/>
            <w:tcBorders>
              <w:top w:val="single" w:color="auto" w:sz="4" w:space="0"/>
              <w:left w:val="single" w:color="auto" w:sz="4" w:space="0"/>
              <w:bottom w:val="single" w:color="auto" w:sz="4" w:space="0"/>
              <w:right w:val="single" w:color="auto" w:sz="4" w:space="0"/>
            </w:tcBorders>
            <w:noWrap w:val="0"/>
            <w:vAlign w:val="center"/>
          </w:tcPr>
          <w:p w14:paraId="22CF6D72">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付</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055CE634">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若干</w:t>
            </w:r>
          </w:p>
        </w:tc>
        <w:tc>
          <w:tcPr>
            <w:tcW w:w="2127" w:type="dxa"/>
            <w:tcBorders>
              <w:top w:val="single" w:color="auto" w:sz="4" w:space="0"/>
              <w:left w:val="single" w:color="auto" w:sz="4" w:space="0"/>
              <w:bottom w:val="single" w:color="auto" w:sz="4" w:space="0"/>
              <w:right w:val="single" w:color="auto" w:sz="4" w:space="0"/>
            </w:tcBorders>
            <w:noWrap w:val="0"/>
            <w:vAlign w:val="center"/>
          </w:tcPr>
          <w:p w14:paraId="5B208052">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仓库</w:t>
            </w:r>
          </w:p>
        </w:tc>
        <w:tc>
          <w:tcPr>
            <w:tcW w:w="1869" w:type="dxa"/>
            <w:tcBorders>
              <w:top w:val="single" w:color="auto" w:sz="4" w:space="0"/>
              <w:left w:val="single" w:color="auto" w:sz="4" w:space="0"/>
              <w:right w:val="single" w:color="auto" w:sz="4" w:space="0"/>
            </w:tcBorders>
            <w:noWrap w:val="0"/>
            <w:vAlign w:val="center"/>
          </w:tcPr>
          <w:p w14:paraId="4212AA3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eastAsia="zh-CN"/>
              </w:rPr>
              <w:t>赵传涛</w:t>
            </w:r>
          </w:p>
        </w:tc>
        <w:tc>
          <w:tcPr>
            <w:tcW w:w="1869" w:type="dxa"/>
            <w:tcBorders>
              <w:top w:val="single" w:color="auto" w:sz="4" w:space="0"/>
              <w:left w:val="single" w:color="auto" w:sz="4" w:space="0"/>
              <w:right w:val="single" w:color="auto" w:sz="4" w:space="0"/>
            </w:tcBorders>
            <w:noWrap w:val="0"/>
            <w:vAlign w:val="center"/>
          </w:tcPr>
          <w:p w14:paraId="008DAA9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highlight w:val="yellow"/>
                <w:lang w:val="en-US" w:eastAsia="zh-CN"/>
              </w:rPr>
            </w:pPr>
            <w:r>
              <w:rPr>
                <w:rFonts w:hint="default" w:ascii="Times New Roman" w:hAnsi="Times New Roman" w:eastAsia="宋体" w:cs="Times New Roman"/>
                <w:color w:val="auto"/>
                <w:sz w:val="21"/>
                <w:szCs w:val="21"/>
                <w:lang w:val="en-US" w:eastAsia="zh-CN"/>
              </w:rPr>
              <w:t>13280689988</w:t>
            </w:r>
          </w:p>
        </w:tc>
      </w:tr>
      <w:tr w14:paraId="0A81D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009" w:type="dxa"/>
            <w:tcBorders>
              <w:top w:val="single" w:color="auto" w:sz="4" w:space="0"/>
              <w:left w:val="single" w:color="auto" w:sz="4" w:space="0"/>
              <w:bottom w:val="single" w:color="auto" w:sz="4" w:space="0"/>
              <w:right w:val="single" w:color="auto" w:sz="4" w:space="0"/>
            </w:tcBorders>
            <w:noWrap w:val="0"/>
            <w:vAlign w:val="center"/>
          </w:tcPr>
          <w:p w14:paraId="4D678D84">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消防栓</w:t>
            </w:r>
          </w:p>
        </w:tc>
        <w:tc>
          <w:tcPr>
            <w:tcW w:w="745" w:type="dxa"/>
            <w:tcBorders>
              <w:top w:val="single" w:color="auto" w:sz="4" w:space="0"/>
              <w:left w:val="single" w:color="auto" w:sz="4" w:space="0"/>
              <w:bottom w:val="single" w:color="auto" w:sz="4" w:space="0"/>
              <w:right w:val="single" w:color="auto" w:sz="4" w:space="0"/>
            </w:tcBorders>
            <w:noWrap w:val="0"/>
            <w:vAlign w:val="center"/>
          </w:tcPr>
          <w:p w14:paraId="5E3A1F22">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个</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734CFA33">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30</w:t>
            </w:r>
          </w:p>
        </w:tc>
        <w:tc>
          <w:tcPr>
            <w:tcW w:w="2127" w:type="dxa"/>
            <w:tcBorders>
              <w:top w:val="single" w:color="auto" w:sz="4" w:space="0"/>
              <w:left w:val="single" w:color="auto" w:sz="4" w:space="0"/>
              <w:bottom w:val="single" w:color="auto" w:sz="4" w:space="0"/>
              <w:right w:val="single" w:color="auto" w:sz="4" w:space="0"/>
            </w:tcBorders>
            <w:noWrap w:val="0"/>
            <w:vAlign w:val="center"/>
          </w:tcPr>
          <w:p w14:paraId="69BF17DA">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厂区</w:t>
            </w:r>
          </w:p>
        </w:tc>
        <w:tc>
          <w:tcPr>
            <w:tcW w:w="1869" w:type="dxa"/>
            <w:tcBorders>
              <w:left w:val="single" w:color="auto" w:sz="4" w:space="0"/>
              <w:right w:val="single" w:color="auto" w:sz="4" w:space="0"/>
            </w:tcBorders>
            <w:noWrap w:val="0"/>
            <w:vAlign w:val="center"/>
          </w:tcPr>
          <w:p w14:paraId="686B463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eastAsia="zh-CN"/>
              </w:rPr>
              <w:t>赵传涛</w:t>
            </w:r>
          </w:p>
        </w:tc>
        <w:tc>
          <w:tcPr>
            <w:tcW w:w="1869" w:type="dxa"/>
            <w:tcBorders>
              <w:left w:val="single" w:color="auto" w:sz="4" w:space="0"/>
              <w:right w:val="single" w:color="auto" w:sz="4" w:space="0"/>
            </w:tcBorders>
            <w:noWrap w:val="0"/>
            <w:vAlign w:val="center"/>
          </w:tcPr>
          <w:p w14:paraId="6AA2B09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13280689988</w:t>
            </w:r>
          </w:p>
        </w:tc>
      </w:tr>
      <w:tr w14:paraId="2D9A8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009" w:type="dxa"/>
            <w:tcBorders>
              <w:top w:val="single" w:color="auto" w:sz="4" w:space="0"/>
              <w:left w:val="single" w:color="auto" w:sz="4" w:space="0"/>
              <w:bottom w:val="single" w:color="auto" w:sz="4" w:space="0"/>
              <w:right w:val="single" w:color="auto" w:sz="4" w:space="0"/>
            </w:tcBorders>
            <w:noWrap w:val="0"/>
            <w:vAlign w:val="center"/>
          </w:tcPr>
          <w:p w14:paraId="3EB2984F">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消防泵</w:t>
            </w:r>
          </w:p>
        </w:tc>
        <w:tc>
          <w:tcPr>
            <w:tcW w:w="745" w:type="dxa"/>
            <w:tcBorders>
              <w:top w:val="single" w:color="auto" w:sz="4" w:space="0"/>
              <w:left w:val="single" w:color="auto" w:sz="4" w:space="0"/>
              <w:bottom w:val="single" w:color="auto" w:sz="4" w:space="0"/>
              <w:right w:val="single" w:color="auto" w:sz="4" w:space="0"/>
            </w:tcBorders>
            <w:noWrap w:val="0"/>
            <w:vAlign w:val="center"/>
          </w:tcPr>
          <w:p w14:paraId="0F2C41CB">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台</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628D1665">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2</w:t>
            </w:r>
          </w:p>
        </w:tc>
        <w:tc>
          <w:tcPr>
            <w:tcW w:w="2127" w:type="dxa"/>
            <w:tcBorders>
              <w:top w:val="single" w:color="auto" w:sz="4" w:space="0"/>
              <w:left w:val="single" w:color="auto" w:sz="4" w:space="0"/>
              <w:bottom w:val="single" w:color="auto" w:sz="4" w:space="0"/>
              <w:right w:val="single" w:color="auto" w:sz="4" w:space="0"/>
            </w:tcBorders>
            <w:noWrap w:val="0"/>
            <w:vAlign w:val="center"/>
          </w:tcPr>
          <w:p w14:paraId="0913CF77">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升华循环水池</w:t>
            </w:r>
          </w:p>
        </w:tc>
        <w:tc>
          <w:tcPr>
            <w:tcW w:w="1869" w:type="dxa"/>
            <w:tcBorders>
              <w:left w:val="single" w:color="auto" w:sz="4" w:space="0"/>
              <w:right w:val="single" w:color="auto" w:sz="4" w:space="0"/>
            </w:tcBorders>
            <w:noWrap w:val="0"/>
            <w:vAlign w:val="center"/>
          </w:tcPr>
          <w:p w14:paraId="6848E39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eastAsia="zh-CN"/>
              </w:rPr>
              <w:t>赵传涛</w:t>
            </w:r>
          </w:p>
        </w:tc>
        <w:tc>
          <w:tcPr>
            <w:tcW w:w="1869" w:type="dxa"/>
            <w:tcBorders>
              <w:left w:val="single" w:color="auto" w:sz="4" w:space="0"/>
              <w:right w:val="single" w:color="auto" w:sz="4" w:space="0"/>
            </w:tcBorders>
            <w:noWrap w:val="0"/>
            <w:vAlign w:val="center"/>
          </w:tcPr>
          <w:p w14:paraId="7D77FA3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13280689988</w:t>
            </w:r>
          </w:p>
        </w:tc>
      </w:tr>
      <w:tr w14:paraId="3080B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009" w:type="dxa"/>
            <w:tcBorders>
              <w:top w:val="single" w:color="auto" w:sz="4" w:space="0"/>
              <w:left w:val="single" w:color="auto" w:sz="4" w:space="0"/>
              <w:bottom w:val="single" w:color="auto" w:sz="4" w:space="0"/>
              <w:right w:val="single" w:color="auto" w:sz="4" w:space="0"/>
            </w:tcBorders>
            <w:noWrap w:val="0"/>
            <w:vAlign w:val="center"/>
          </w:tcPr>
          <w:p w14:paraId="4893F3F1">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干粉灭火器</w:t>
            </w:r>
          </w:p>
        </w:tc>
        <w:tc>
          <w:tcPr>
            <w:tcW w:w="745" w:type="dxa"/>
            <w:tcBorders>
              <w:top w:val="single" w:color="auto" w:sz="4" w:space="0"/>
              <w:left w:val="single" w:color="auto" w:sz="4" w:space="0"/>
              <w:bottom w:val="single" w:color="auto" w:sz="4" w:space="0"/>
              <w:right w:val="single" w:color="auto" w:sz="4" w:space="0"/>
            </w:tcBorders>
            <w:noWrap w:val="0"/>
            <w:vAlign w:val="center"/>
          </w:tcPr>
          <w:p w14:paraId="7DA5A42D">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台</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1A97FCD5">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72</w:t>
            </w:r>
          </w:p>
        </w:tc>
        <w:tc>
          <w:tcPr>
            <w:tcW w:w="2127" w:type="dxa"/>
            <w:tcBorders>
              <w:top w:val="single" w:color="auto" w:sz="4" w:space="0"/>
              <w:left w:val="single" w:color="auto" w:sz="4" w:space="0"/>
              <w:bottom w:val="single" w:color="auto" w:sz="4" w:space="0"/>
              <w:right w:val="single" w:color="auto" w:sz="4" w:space="0"/>
            </w:tcBorders>
            <w:noWrap w:val="0"/>
            <w:vAlign w:val="center"/>
          </w:tcPr>
          <w:p w14:paraId="36A37280">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各工段</w:t>
            </w:r>
          </w:p>
        </w:tc>
        <w:tc>
          <w:tcPr>
            <w:tcW w:w="1869" w:type="dxa"/>
            <w:tcBorders>
              <w:left w:val="single" w:color="auto" w:sz="4" w:space="0"/>
              <w:right w:val="single" w:color="auto" w:sz="4" w:space="0"/>
            </w:tcBorders>
            <w:noWrap w:val="0"/>
            <w:vAlign w:val="center"/>
          </w:tcPr>
          <w:p w14:paraId="4BA19A5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各工段长</w:t>
            </w:r>
          </w:p>
        </w:tc>
        <w:tc>
          <w:tcPr>
            <w:tcW w:w="1869" w:type="dxa"/>
            <w:tcBorders>
              <w:left w:val="single" w:color="auto" w:sz="4" w:space="0"/>
              <w:right w:val="single" w:color="auto" w:sz="4" w:space="0"/>
            </w:tcBorders>
            <w:noWrap w:val="0"/>
            <w:vAlign w:val="center"/>
          </w:tcPr>
          <w:p w14:paraId="6B95826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13280689988</w:t>
            </w:r>
          </w:p>
        </w:tc>
      </w:tr>
      <w:tr w14:paraId="44BB2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009" w:type="dxa"/>
            <w:tcBorders>
              <w:top w:val="single" w:color="auto" w:sz="4" w:space="0"/>
              <w:left w:val="single" w:color="auto" w:sz="4" w:space="0"/>
              <w:bottom w:val="single" w:color="auto" w:sz="4" w:space="0"/>
              <w:right w:val="single" w:color="auto" w:sz="4" w:space="0"/>
            </w:tcBorders>
            <w:noWrap w:val="0"/>
            <w:vAlign w:val="center"/>
          </w:tcPr>
          <w:p w14:paraId="27E424EF">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推车式干粉灭火器</w:t>
            </w:r>
          </w:p>
        </w:tc>
        <w:tc>
          <w:tcPr>
            <w:tcW w:w="745" w:type="dxa"/>
            <w:tcBorders>
              <w:top w:val="single" w:color="auto" w:sz="4" w:space="0"/>
              <w:left w:val="single" w:color="auto" w:sz="4" w:space="0"/>
              <w:bottom w:val="single" w:color="auto" w:sz="4" w:space="0"/>
              <w:right w:val="single" w:color="auto" w:sz="4" w:space="0"/>
            </w:tcBorders>
            <w:noWrap w:val="0"/>
            <w:vAlign w:val="center"/>
          </w:tcPr>
          <w:p w14:paraId="499B9E34">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台</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1995C57D">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5</w:t>
            </w:r>
          </w:p>
        </w:tc>
        <w:tc>
          <w:tcPr>
            <w:tcW w:w="2127" w:type="dxa"/>
            <w:tcBorders>
              <w:top w:val="single" w:color="auto" w:sz="4" w:space="0"/>
              <w:left w:val="single" w:color="auto" w:sz="4" w:space="0"/>
              <w:bottom w:val="single" w:color="auto" w:sz="4" w:space="0"/>
              <w:right w:val="single" w:color="auto" w:sz="4" w:space="0"/>
            </w:tcBorders>
            <w:noWrap w:val="0"/>
            <w:vAlign w:val="center"/>
          </w:tcPr>
          <w:p w14:paraId="265021CF">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成品仓库仓库</w:t>
            </w:r>
          </w:p>
        </w:tc>
        <w:tc>
          <w:tcPr>
            <w:tcW w:w="1869" w:type="dxa"/>
            <w:tcBorders>
              <w:left w:val="single" w:color="auto" w:sz="4" w:space="0"/>
              <w:right w:val="single" w:color="auto" w:sz="4" w:space="0"/>
            </w:tcBorders>
            <w:noWrap w:val="0"/>
            <w:vAlign w:val="center"/>
          </w:tcPr>
          <w:p w14:paraId="5FF1519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各工段长</w:t>
            </w:r>
          </w:p>
        </w:tc>
        <w:tc>
          <w:tcPr>
            <w:tcW w:w="1869" w:type="dxa"/>
            <w:tcBorders>
              <w:left w:val="single" w:color="auto" w:sz="4" w:space="0"/>
              <w:right w:val="single" w:color="auto" w:sz="4" w:space="0"/>
            </w:tcBorders>
            <w:noWrap w:val="0"/>
            <w:vAlign w:val="center"/>
          </w:tcPr>
          <w:p w14:paraId="23F677E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13280689988</w:t>
            </w:r>
          </w:p>
        </w:tc>
      </w:tr>
      <w:tr w14:paraId="0BBDE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009" w:type="dxa"/>
            <w:tcBorders>
              <w:top w:val="single" w:color="auto" w:sz="4" w:space="0"/>
              <w:left w:val="single" w:color="auto" w:sz="4" w:space="0"/>
              <w:bottom w:val="single" w:color="auto" w:sz="4" w:space="0"/>
              <w:right w:val="single" w:color="auto" w:sz="4" w:space="0"/>
            </w:tcBorders>
            <w:noWrap w:val="0"/>
            <w:vAlign w:val="center"/>
          </w:tcPr>
          <w:p w14:paraId="75FEFDA3">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二氧化碳灭火器</w:t>
            </w:r>
          </w:p>
        </w:tc>
        <w:tc>
          <w:tcPr>
            <w:tcW w:w="745" w:type="dxa"/>
            <w:tcBorders>
              <w:top w:val="single" w:color="auto" w:sz="4" w:space="0"/>
              <w:left w:val="single" w:color="auto" w:sz="4" w:space="0"/>
              <w:bottom w:val="single" w:color="auto" w:sz="4" w:space="0"/>
              <w:right w:val="single" w:color="auto" w:sz="4" w:space="0"/>
            </w:tcBorders>
            <w:noWrap w:val="0"/>
            <w:vAlign w:val="center"/>
          </w:tcPr>
          <w:p w14:paraId="713FE39E">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台</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6C6FA6BE">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6</w:t>
            </w:r>
          </w:p>
        </w:tc>
        <w:tc>
          <w:tcPr>
            <w:tcW w:w="2127" w:type="dxa"/>
            <w:tcBorders>
              <w:top w:val="single" w:color="auto" w:sz="4" w:space="0"/>
              <w:left w:val="single" w:color="auto" w:sz="4" w:space="0"/>
              <w:bottom w:val="single" w:color="auto" w:sz="4" w:space="0"/>
              <w:right w:val="single" w:color="auto" w:sz="4" w:space="0"/>
            </w:tcBorders>
            <w:noWrap w:val="0"/>
            <w:vAlign w:val="center"/>
          </w:tcPr>
          <w:p w14:paraId="3ED12116">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化验室、配电室</w:t>
            </w:r>
          </w:p>
        </w:tc>
        <w:tc>
          <w:tcPr>
            <w:tcW w:w="1869" w:type="dxa"/>
            <w:tcBorders>
              <w:left w:val="single" w:color="auto" w:sz="4" w:space="0"/>
              <w:right w:val="single" w:color="auto" w:sz="4" w:space="0"/>
            </w:tcBorders>
            <w:noWrap w:val="0"/>
            <w:vAlign w:val="center"/>
          </w:tcPr>
          <w:p w14:paraId="4C36E9F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各工段长</w:t>
            </w:r>
          </w:p>
        </w:tc>
        <w:tc>
          <w:tcPr>
            <w:tcW w:w="1869" w:type="dxa"/>
            <w:tcBorders>
              <w:left w:val="single" w:color="auto" w:sz="4" w:space="0"/>
              <w:right w:val="single" w:color="auto" w:sz="4" w:space="0"/>
            </w:tcBorders>
            <w:noWrap w:val="0"/>
            <w:vAlign w:val="center"/>
          </w:tcPr>
          <w:p w14:paraId="18690EF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13280689988</w:t>
            </w:r>
          </w:p>
        </w:tc>
      </w:tr>
      <w:tr w14:paraId="32C41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009" w:type="dxa"/>
            <w:tcBorders>
              <w:top w:val="single" w:color="auto" w:sz="4" w:space="0"/>
              <w:left w:val="single" w:color="auto" w:sz="4" w:space="0"/>
              <w:bottom w:val="single" w:color="auto" w:sz="4" w:space="0"/>
              <w:right w:val="single" w:color="auto" w:sz="4" w:space="0"/>
            </w:tcBorders>
            <w:noWrap w:val="0"/>
            <w:vAlign w:val="center"/>
          </w:tcPr>
          <w:p w14:paraId="2B398E58">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消防沙</w:t>
            </w:r>
          </w:p>
        </w:tc>
        <w:tc>
          <w:tcPr>
            <w:tcW w:w="745" w:type="dxa"/>
            <w:tcBorders>
              <w:top w:val="single" w:color="auto" w:sz="4" w:space="0"/>
              <w:left w:val="single" w:color="auto" w:sz="4" w:space="0"/>
              <w:bottom w:val="single" w:color="auto" w:sz="4" w:space="0"/>
              <w:right w:val="single" w:color="auto" w:sz="4" w:space="0"/>
            </w:tcBorders>
            <w:noWrap w:val="0"/>
            <w:vAlign w:val="center"/>
          </w:tcPr>
          <w:p w14:paraId="7E812BBB">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个</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110FAD23">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2m</w:t>
            </w:r>
            <w:r>
              <w:rPr>
                <w:rFonts w:hint="default" w:ascii="Times New Roman" w:hAnsi="Times New Roman" w:eastAsia="宋体" w:cs="Times New Roman"/>
                <w:color w:val="auto"/>
                <w:sz w:val="21"/>
                <w:szCs w:val="21"/>
                <w:vertAlign w:val="superscript"/>
              </w:rPr>
              <w:t>3</w:t>
            </w:r>
            <w:r>
              <w:rPr>
                <w:rFonts w:hint="default" w:ascii="Times New Roman" w:hAnsi="Times New Roman" w:eastAsia="宋体" w:cs="Times New Roman"/>
                <w:color w:val="auto"/>
                <w:sz w:val="21"/>
                <w:szCs w:val="21"/>
              </w:rPr>
              <w:t>*2</w:t>
            </w:r>
          </w:p>
        </w:tc>
        <w:tc>
          <w:tcPr>
            <w:tcW w:w="2127" w:type="dxa"/>
            <w:tcBorders>
              <w:top w:val="single" w:color="auto" w:sz="4" w:space="0"/>
              <w:left w:val="single" w:color="auto" w:sz="4" w:space="0"/>
              <w:bottom w:val="single" w:color="auto" w:sz="4" w:space="0"/>
              <w:right w:val="single" w:color="auto" w:sz="4" w:space="0"/>
            </w:tcBorders>
            <w:noWrap w:val="0"/>
            <w:vAlign w:val="center"/>
          </w:tcPr>
          <w:p w14:paraId="61E59094">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罐区</w:t>
            </w:r>
          </w:p>
        </w:tc>
        <w:tc>
          <w:tcPr>
            <w:tcW w:w="1869" w:type="dxa"/>
            <w:tcBorders>
              <w:left w:val="single" w:color="auto" w:sz="4" w:space="0"/>
              <w:right w:val="single" w:color="auto" w:sz="4" w:space="0"/>
            </w:tcBorders>
            <w:noWrap w:val="0"/>
            <w:vAlign w:val="center"/>
          </w:tcPr>
          <w:p w14:paraId="112BC1C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工段长</w:t>
            </w:r>
          </w:p>
        </w:tc>
        <w:tc>
          <w:tcPr>
            <w:tcW w:w="1869" w:type="dxa"/>
            <w:tcBorders>
              <w:left w:val="single" w:color="auto" w:sz="4" w:space="0"/>
              <w:right w:val="single" w:color="auto" w:sz="4" w:space="0"/>
            </w:tcBorders>
            <w:noWrap w:val="0"/>
            <w:vAlign w:val="center"/>
          </w:tcPr>
          <w:p w14:paraId="3FBF1E1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13280689988</w:t>
            </w:r>
          </w:p>
        </w:tc>
      </w:tr>
      <w:tr w14:paraId="1DF2E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009" w:type="dxa"/>
            <w:tcBorders>
              <w:top w:val="single" w:color="auto" w:sz="4" w:space="0"/>
              <w:left w:val="single" w:color="auto" w:sz="4" w:space="0"/>
              <w:bottom w:val="single" w:color="auto" w:sz="4" w:space="0"/>
              <w:right w:val="single" w:color="auto" w:sz="4" w:space="0"/>
            </w:tcBorders>
            <w:noWrap w:val="0"/>
            <w:vAlign w:val="center"/>
          </w:tcPr>
          <w:p w14:paraId="6D0254CF">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洗眼器、淋洗器</w:t>
            </w:r>
          </w:p>
        </w:tc>
        <w:tc>
          <w:tcPr>
            <w:tcW w:w="745" w:type="dxa"/>
            <w:tcBorders>
              <w:top w:val="single" w:color="auto" w:sz="4" w:space="0"/>
              <w:left w:val="single" w:color="auto" w:sz="4" w:space="0"/>
              <w:bottom w:val="single" w:color="auto" w:sz="4" w:space="0"/>
              <w:right w:val="single" w:color="auto" w:sz="4" w:space="0"/>
            </w:tcBorders>
            <w:noWrap w:val="0"/>
            <w:vAlign w:val="center"/>
          </w:tcPr>
          <w:p w14:paraId="1ABEF458">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套</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4F84CAFD">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14</w:t>
            </w:r>
          </w:p>
        </w:tc>
        <w:tc>
          <w:tcPr>
            <w:tcW w:w="2127" w:type="dxa"/>
            <w:tcBorders>
              <w:top w:val="single" w:color="auto" w:sz="4" w:space="0"/>
              <w:left w:val="single" w:color="auto" w:sz="4" w:space="0"/>
              <w:bottom w:val="single" w:color="auto" w:sz="4" w:space="0"/>
              <w:right w:val="single" w:color="auto" w:sz="4" w:space="0"/>
            </w:tcBorders>
            <w:noWrap w:val="0"/>
            <w:vAlign w:val="center"/>
          </w:tcPr>
          <w:p w14:paraId="6B055597">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各工段、罐区</w:t>
            </w:r>
          </w:p>
        </w:tc>
        <w:tc>
          <w:tcPr>
            <w:tcW w:w="1869" w:type="dxa"/>
            <w:tcBorders>
              <w:left w:val="single" w:color="auto" w:sz="4" w:space="0"/>
              <w:right w:val="single" w:color="auto" w:sz="4" w:space="0"/>
            </w:tcBorders>
            <w:noWrap w:val="0"/>
            <w:vAlign w:val="center"/>
          </w:tcPr>
          <w:p w14:paraId="189F310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各工段长</w:t>
            </w:r>
          </w:p>
        </w:tc>
        <w:tc>
          <w:tcPr>
            <w:tcW w:w="1869" w:type="dxa"/>
            <w:tcBorders>
              <w:left w:val="single" w:color="auto" w:sz="4" w:space="0"/>
              <w:right w:val="single" w:color="auto" w:sz="4" w:space="0"/>
            </w:tcBorders>
            <w:noWrap w:val="0"/>
            <w:vAlign w:val="center"/>
          </w:tcPr>
          <w:p w14:paraId="06822F2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13280689988</w:t>
            </w:r>
          </w:p>
        </w:tc>
      </w:tr>
      <w:tr w14:paraId="0AD90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009" w:type="dxa"/>
            <w:tcBorders>
              <w:top w:val="single" w:color="auto" w:sz="4" w:space="0"/>
              <w:left w:val="single" w:color="auto" w:sz="4" w:space="0"/>
              <w:bottom w:val="single" w:color="auto" w:sz="4" w:space="0"/>
              <w:right w:val="single" w:color="auto" w:sz="4" w:space="0"/>
            </w:tcBorders>
            <w:noWrap w:val="0"/>
            <w:vAlign w:val="center"/>
          </w:tcPr>
          <w:p w14:paraId="6996151F">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可燃气体报警仪</w:t>
            </w:r>
          </w:p>
        </w:tc>
        <w:tc>
          <w:tcPr>
            <w:tcW w:w="745" w:type="dxa"/>
            <w:tcBorders>
              <w:top w:val="single" w:color="auto" w:sz="4" w:space="0"/>
              <w:left w:val="single" w:color="auto" w:sz="4" w:space="0"/>
              <w:bottom w:val="single" w:color="auto" w:sz="4" w:space="0"/>
              <w:right w:val="single" w:color="auto" w:sz="4" w:space="0"/>
            </w:tcBorders>
            <w:noWrap w:val="0"/>
            <w:vAlign w:val="center"/>
          </w:tcPr>
          <w:p w14:paraId="48A5F510">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只</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63B9922B">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6</w:t>
            </w:r>
          </w:p>
        </w:tc>
        <w:tc>
          <w:tcPr>
            <w:tcW w:w="2127" w:type="dxa"/>
            <w:tcBorders>
              <w:top w:val="single" w:color="auto" w:sz="4" w:space="0"/>
              <w:left w:val="single" w:color="auto" w:sz="4" w:space="0"/>
              <w:bottom w:val="single" w:color="auto" w:sz="4" w:space="0"/>
              <w:right w:val="single" w:color="auto" w:sz="4" w:space="0"/>
            </w:tcBorders>
            <w:noWrap w:val="0"/>
            <w:vAlign w:val="center"/>
          </w:tcPr>
          <w:p w14:paraId="7F17BC11">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甲酯车间</w:t>
            </w:r>
          </w:p>
        </w:tc>
        <w:tc>
          <w:tcPr>
            <w:tcW w:w="1869" w:type="dxa"/>
            <w:tcBorders>
              <w:left w:val="single" w:color="auto" w:sz="4" w:space="0"/>
              <w:bottom w:val="single" w:color="auto" w:sz="4" w:space="0"/>
              <w:right w:val="single" w:color="auto" w:sz="4" w:space="0"/>
            </w:tcBorders>
            <w:noWrap w:val="0"/>
            <w:vAlign w:val="center"/>
          </w:tcPr>
          <w:p w14:paraId="396E97D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石根元</w:t>
            </w:r>
          </w:p>
        </w:tc>
        <w:tc>
          <w:tcPr>
            <w:tcW w:w="1869" w:type="dxa"/>
            <w:tcBorders>
              <w:left w:val="single" w:color="auto" w:sz="4" w:space="0"/>
              <w:bottom w:val="single" w:color="auto" w:sz="4" w:space="0"/>
              <w:right w:val="single" w:color="auto" w:sz="4" w:space="0"/>
            </w:tcBorders>
            <w:noWrap w:val="0"/>
            <w:vAlign w:val="center"/>
          </w:tcPr>
          <w:p w14:paraId="635CFFC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18615123159</w:t>
            </w:r>
          </w:p>
        </w:tc>
      </w:tr>
      <w:tr w14:paraId="19875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009" w:type="dxa"/>
            <w:tcBorders>
              <w:top w:val="single" w:color="auto" w:sz="4" w:space="0"/>
              <w:left w:val="single" w:color="auto" w:sz="4" w:space="0"/>
              <w:bottom w:val="single" w:color="auto" w:sz="4" w:space="0"/>
              <w:right w:val="single" w:color="auto" w:sz="4" w:space="0"/>
            </w:tcBorders>
            <w:noWrap w:val="0"/>
            <w:vAlign w:val="center"/>
          </w:tcPr>
          <w:p w14:paraId="62121DC0">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围堰</w:t>
            </w:r>
          </w:p>
        </w:tc>
        <w:tc>
          <w:tcPr>
            <w:tcW w:w="745" w:type="dxa"/>
            <w:tcBorders>
              <w:top w:val="single" w:color="auto" w:sz="4" w:space="0"/>
              <w:left w:val="single" w:color="auto" w:sz="4" w:space="0"/>
              <w:bottom w:val="single" w:color="auto" w:sz="4" w:space="0"/>
              <w:right w:val="single" w:color="auto" w:sz="4" w:space="0"/>
            </w:tcBorders>
            <w:noWrap w:val="0"/>
            <w:vAlign w:val="center"/>
          </w:tcPr>
          <w:p w14:paraId="708DE11C">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6920EDE8">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5</w:t>
            </w:r>
          </w:p>
        </w:tc>
        <w:tc>
          <w:tcPr>
            <w:tcW w:w="2127" w:type="dxa"/>
            <w:tcBorders>
              <w:top w:val="single" w:color="auto" w:sz="4" w:space="0"/>
              <w:left w:val="single" w:color="auto" w:sz="4" w:space="0"/>
              <w:bottom w:val="single" w:color="auto" w:sz="4" w:space="0"/>
              <w:right w:val="single" w:color="auto" w:sz="4" w:space="0"/>
            </w:tcBorders>
            <w:noWrap w:val="0"/>
            <w:vAlign w:val="center"/>
          </w:tcPr>
          <w:p w14:paraId="12EA47FB">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罐区</w:t>
            </w:r>
          </w:p>
        </w:tc>
        <w:tc>
          <w:tcPr>
            <w:tcW w:w="1869" w:type="dxa"/>
            <w:tcBorders>
              <w:top w:val="single" w:color="auto" w:sz="4" w:space="0"/>
              <w:left w:val="single" w:color="auto" w:sz="4" w:space="0"/>
              <w:bottom w:val="single" w:color="auto" w:sz="4" w:space="0"/>
              <w:right w:val="single" w:color="auto" w:sz="4" w:space="0"/>
            </w:tcBorders>
            <w:noWrap w:val="0"/>
            <w:vAlign w:val="center"/>
          </w:tcPr>
          <w:p w14:paraId="02AE127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各工段长</w:t>
            </w:r>
          </w:p>
        </w:tc>
        <w:tc>
          <w:tcPr>
            <w:tcW w:w="1869" w:type="dxa"/>
            <w:tcBorders>
              <w:top w:val="single" w:color="auto" w:sz="4" w:space="0"/>
              <w:left w:val="single" w:color="auto" w:sz="4" w:space="0"/>
              <w:bottom w:val="single" w:color="auto" w:sz="4" w:space="0"/>
              <w:right w:val="single" w:color="auto" w:sz="4" w:space="0"/>
            </w:tcBorders>
            <w:noWrap w:val="0"/>
            <w:vAlign w:val="center"/>
          </w:tcPr>
          <w:p w14:paraId="69A9337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13280689988</w:t>
            </w:r>
          </w:p>
        </w:tc>
      </w:tr>
      <w:tr w14:paraId="5DB10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009" w:type="dxa"/>
            <w:tcBorders>
              <w:top w:val="single" w:color="auto" w:sz="4" w:space="0"/>
              <w:left w:val="single" w:color="auto" w:sz="4" w:space="0"/>
              <w:bottom w:val="single" w:color="auto" w:sz="4" w:space="0"/>
              <w:right w:val="single" w:color="auto" w:sz="4" w:space="0"/>
            </w:tcBorders>
            <w:noWrap w:val="0"/>
            <w:vAlign w:val="center"/>
          </w:tcPr>
          <w:p w14:paraId="2B6C10F6">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事故水池</w:t>
            </w:r>
          </w:p>
        </w:tc>
        <w:tc>
          <w:tcPr>
            <w:tcW w:w="745" w:type="dxa"/>
            <w:tcBorders>
              <w:top w:val="single" w:color="auto" w:sz="4" w:space="0"/>
              <w:left w:val="single" w:color="auto" w:sz="4" w:space="0"/>
              <w:bottom w:val="single" w:color="auto" w:sz="4" w:space="0"/>
              <w:right w:val="single" w:color="auto" w:sz="4" w:space="0"/>
            </w:tcBorders>
            <w:noWrap w:val="0"/>
            <w:vAlign w:val="center"/>
          </w:tcPr>
          <w:p w14:paraId="5CBEA123">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个</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23B4461D">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4</w:t>
            </w:r>
          </w:p>
        </w:tc>
        <w:tc>
          <w:tcPr>
            <w:tcW w:w="2127" w:type="dxa"/>
            <w:tcBorders>
              <w:top w:val="single" w:color="auto" w:sz="4" w:space="0"/>
              <w:left w:val="single" w:color="auto" w:sz="4" w:space="0"/>
              <w:bottom w:val="single" w:color="auto" w:sz="4" w:space="0"/>
              <w:right w:val="single" w:color="auto" w:sz="4" w:space="0"/>
            </w:tcBorders>
            <w:noWrap w:val="0"/>
            <w:vAlign w:val="center"/>
          </w:tcPr>
          <w:p w14:paraId="2D65D020">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厂区东北侧</w:t>
            </w:r>
          </w:p>
        </w:tc>
        <w:tc>
          <w:tcPr>
            <w:tcW w:w="1869" w:type="dxa"/>
            <w:tcBorders>
              <w:top w:val="single" w:color="auto" w:sz="4" w:space="0"/>
              <w:left w:val="single" w:color="auto" w:sz="4" w:space="0"/>
              <w:bottom w:val="single" w:color="auto" w:sz="4" w:space="0"/>
              <w:right w:val="single" w:color="auto" w:sz="4" w:space="0"/>
            </w:tcBorders>
            <w:noWrap w:val="0"/>
            <w:vAlign w:val="center"/>
          </w:tcPr>
          <w:p w14:paraId="60085D3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eastAsia="zh-CN"/>
              </w:rPr>
              <w:t>赵传涛</w:t>
            </w:r>
          </w:p>
        </w:tc>
        <w:tc>
          <w:tcPr>
            <w:tcW w:w="1869" w:type="dxa"/>
            <w:tcBorders>
              <w:top w:val="single" w:color="auto" w:sz="4" w:space="0"/>
              <w:left w:val="single" w:color="auto" w:sz="4" w:space="0"/>
              <w:bottom w:val="single" w:color="auto" w:sz="4" w:space="0"/>
              <w:right w:val="single" w:color="auto" w:sz="4" w:space="0"/>
            </w:tcBorders>
            <w:noWrap w:val="0"/>
            <w:vAlign w:val="center"/>
          </w:tcPr>
          <w:p w14:paraId="7BBA154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13280689988</w:t>
            </w:r>
          </w:p>
        </w:tc>
      </w:tr>
      <w:tr w14:paraId="4858C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009" w:type="dxa"/>
            <w:tcBorders>
              <w:top w:val="single" w:color="auto" w:sz="4" w:space="0"/>
              <w:left w:val="single" w:color="auto" w:sz="4" w:space="0"/>
              <w:bottom w:val="single" w:color="auto" w:sz="4" w:space="0"/>
              <w:right w:val="single" w:color="auto" w:sz="4" w:space="0"/>
            </w:tcBorders>
            <w:noWrap w:val="0"/>
            <w:vAlign w:val="center"/>
          </w:tcPr>
          <w:p w14:paraId="3F201A53">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应急药箱</w:t>
            </w:r>
          </w:p>
        </w:tc>
        <w:tc>
          <w:tcPr>
            <w:tcW w:w="745" w:type="dxa"/>
            <w:tcBorders>
              <w:top w:val="single" w:color="auto" w:sz="4" w:space="0"/>
              <w:left w:val="single" w:color="auto" w:sz="4" w:space="0"/>
              <w:bottom w:val="single" w:color="auto" w:sz="4" w:space="0"/>
              <w:right w:val="single" w:color="auto" w:sz="4" w:space="0"/>
            </w:tcBorders>
            <w:noWrap w:val="0"/>
            <w:vAlign w:val="center"/>
          </w:tcPr>
          <w:p w14:paraId="0FA8B235">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个</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0237AA3F">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1</w:t>
            </w:r>
          </w:p>
        </w:tc>
        <w:tc>
          <w:tcPr>
            <w:tcW w:w="2127" w:type="dxa"/>
            <w:tcBorders>
              <w:top w:val="single" w:color="auto" w:sz="4" w:space="0"/>
              <w:left w:val="single" w:color="auto" w:sz="4" w:space="0"/>
              <w:bottom w:val="single" w:color="auto" w:sz="4" w:space="0"/>
              <w:right w:val="single" w:color="auto" w:sz="4" w:space="0"/>
            </w:tcBorders>
            <w:noWrap w:val="0"/>
            <w:vAlign w:val="center"/>
          </w:tcPr>
          <w:p w14:paraId="09E632B8">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器材室</w:t>
            </w:r>
          </w:p>
        </w:tc>
        <w:tc>
          <w:tcPr>
            <w:tcW w:w="1869" w:type="dxa"/>
            <w:tcBorders>
              <w:top w:val="single" w:color="auto" w:sz="4" w:space="0"/>
              <w:left w:val="single" w:color="auto" w:sz="4" w:space="0"/>
              <w:bottom w:val="single" w:color="auto" w:sz="4" w:space="0"/>
              <w:right w:val="single" w:color="auto" w:sz="4" w:space="0"/>
            </w:tcBorders>
            <w:noWrap w:val="0"/>
            <w:vAlign w:val="center"/>
          </w:tcPr>
          <w:p w14:paraId="61569C2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eastAsia="zh-CN"/>
              </w:rPr>
              <w:t>赵传涛</w:t>
            </w:r>
          </w:p>
        </w:tc>
        <w:tc>
          <w:tcPr>
            <w:tcW w:w="1869" w:type="dxa"/>
            <w:tcBorders>
              <w:top w:val="single" w:color="auto" w:sz="4" w:space="0"/>
              <w:left w:val="single" w:color="auto" w:sz="4" w:space="0"/>
              <w:bottom w:val="single" w:color="auto" w:sz="4" w:space="0"/>
              <w:right w:val="single" w:color="auto" w:sz="4" w:space="0"/>
            </w:tcBorders>
            <w:noWrap w:val="0"/>
            <w:vAlign w:val="center"/>
          </w:tcPr>
          <w:p w14:paraId="6DACDC7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13280689988</w:t>
            </w:r>
          </w:p>
        </w:tc>
      </w:tr>
      <w:tr w14:paraId="2DC9A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009" w:type="dxa"/>
            <w:tcBorders>
              <w:top w:val="single" w:color="auto" w:sz="4" w:space="0"/>
              <w:left w:val="single" w:color="auto" w:sz="4" w:space="0"/>
              <w:bottom w:val="single" w:color="auto" w:sz="4" w:space="0"/>
              <w:right w:val="single" w:color="auto" w:sz="4" w:space="0"/>
            </w:tcBorders>
            <w:noWrap w:val="0"/>
            <w:vAlign w:val="center"/>
          </w:tcPr>
          <w:p w14:paraId="0CE2A8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应急灯</w:t>
            </w:r>
          </w:p>
        </w:tc>
        <w:tc>
          <w:tcPr>
            <w:tcW w:w="745" w:type="dxa"/>
            <w:tcBorders>
              <w:top w:val="single" w:color="auto" w:sz="4" w:space="0"/>
              <w:left w:val="single" w:color="auto" w:sz="4" w:space="0"/>
              <w:bottom w:val="single" w:color="auto" w:sz="4" w:space="0"/>
              <w:right w:val="single" w:color="auto" w:sz="4" w:space="0"/>
            </w:tcBorders>
            <w:noWrap w:val="0"/>
            <w:vAlign w:val="center"/>
          </w:tcPr>
          <w:p w14:paraId="2ADF28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个</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33E6E4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w:t>
            </w:r>
          </w:p>
        </w:tc>
        <w:tc>
          <w:tcPr>
            <w:tcW w:w="2127" w:type="dxa"/>
            <w:tcBorders>
              <w:top w:val="single" w:color="auto" w:sz="4" w:space="0"/>
              <w:left w:val="single" w:color="auto" w:sz="4" w:space="0"/>
              <w:bottom w:val="single" w:color="auto" w:sz="4" w:space="0"/>
              <w:right w:val="single" w:color="auto" w:sz="4" w:space="0"/>
            </w:tcBorders>
            <w:noWrap w:val="0"/>
            <w:vAlign w:val="center"/>
          </w:tcPr>
          <w:p w14:paraId="489173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车间、办公室</w:t>
            </w:r>
          </w:p>
        </w:tc>
        <w:tc>
          <w:tcPr>
            <w:tcW w:w="1869" w:type="dxa"/>
            <w:tcBorders>
              <w:top w:val="single" w:color="auto" w:sz="4" w:space="0"/>
              <w:left w:val="single" w:color="auto" w:sz="4" w:space="0"/>
              <w:bottom w:val="single" w:color="auto" w:sz="4" w:space="0"/>
              <w:right w:val="single" w:color="auto" w:sz="4" w:space="0"/>
            </w:tcBorders>
            <w:noWrap w:val="0"/>
            <w:vAlign w:val="center"/>
          </w:tcPr>
          <w:p w14:paraId="609628D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赵传涛</w:t>
            </w:r>
          </w:p>
        </w:tc>
        <w:tc>
          <w:tcPr>
            <w:tcW w:w="1869" w:type="dxa"/>
            <w:tcBorders>
              <w:top w:val="single" w:color="auto" w:sz="4" w:space="0"/>
              <w:left w:val="single" w:color="auto" w:sz="4" w:space="0"/>
              <w:bottom w:val="single" w:color="auto" w:sz="4" w:space="0"/>
              <w:right w:val="single" w:color="auto" w:sz="4" w:space="0"/>
            </w:tcBorders>
            <w:noWrap w:val="0"/>
            <w:vAlign w:val="center"/>
          </w:tcPr>
          <w:p w14:paraId="63926A6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13280689988</w:t>
            </w:r>
          </w:p>
        </w:tc>
      </w:tr>
      <w:tr w14:paraId="2BA23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009" w:type="dxa"/>
            <w:tcBorders>
              <w:top w:val="single" w:color="auto" w:sz="4" w:space="0"/>
              <w:left w:val="single" w:color="auto" w:sz="4" w:space="0"/>
              <w:bottom w:val="single" w:color="auto" w:sz="4" w:space="0"/>
              <w:right w:val="single" w:color="auto" w:sz="4" w:space="0"/>
            </w:tcBorders>
            <w:noWrap w:val="0"/>
            <w:vAlign w:val="center"/>
          </w:tcPr>
          <w:p w14:paraId="2C71B62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eastAsia="zh-CN"/>
              </w:rPr>
              <w:t>沙袋</w:t>
            </w:r>
          </w:p>
        </w:tc>
        <w:tc>
          <w:tcPr>
            <w:tcW w:w="745" w:type="dxa"/>
            <w:tcBorders>
              <w:top w:val="single" w:color="auto" w:sz="4" w:space="0"/>
              <w:left w:val="single" w:color="auto" w:sz="4" w:space="0"/>
              <w:bottom w:val="single" w:color="auto" w:sz="4" w:space="0"/>
              <w:right w:val="single" w:color="auto" w:sz="4" w:space="0"/>
            </w:tcBorders>
            <w:noWrap w:val="0"/>
            <w:vAlign w:val="center"/>
          </w:tcPr>
          <w:p w14:paraId="6D14D29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5BDF3DE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200条</w:t>
            </w:r>
          </w:p>
        </w:tc>
        <w:tc>
          <w:tcPr>
            <w:tcW w:w="2127" w:type="dxa"/>
            <w:tcBorders>
              <w:top w:val="single" w:color="auto" w:sz="4" w:space="0"/>
              <w:left w:val="single" w:color="auto" w:sz="4" w:space="0"/>
              <w:bottom w:val="single" w:color="auto" w:sz="4" w:space="0"/>
              <w:right w:val="single" w:color="auto" w:sz="4" w:space="0"/>
            </w:tcBorders>
            <w:noWrap w:val="0"/>
            <w:vAlign w:val="center"/>
          </w:tcPr>
          <w:p w14:paraId="4309C9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车间</w:t>
            </w:r>
          </w:p>
        </w:tc>
        <w:tc>
          <w:tcPr>
            <w:tcW w:w="1869" w:type="dxa"/>
            <w:tcBorders>
              <w:top w:val="single" w:color="auto" w:sz="4" w:space="0"/>
              <w:left w:val="single" w:color="auto" w:sz="4" w:space="0"/>
              <w:bottom w:val="single" w:color="auto" w:sz="4" w:space="0"/>
              <w:right w:val="single" w:color="auto" w:sz="4" w:space="0"/>
            </w:tcBorders>
            <w:noWrap w:val="0"/>
            <w:vAlign w:val="center"/>
          </w:tcPr>
          <w:p w14:paraId="6D8B874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赵传涛</w:t>
            </w:r>
          </w:p>
        </w:tc>
        <w:tc>
          <w:tcPr>
            <w:tcW w:w="1869" w:type="dxa"/>
            <w:tcBorders>
              <w:top w:val="single" w:color="auto" w:sz="4" w:space="0"/>
              <w:left w:val="single" w:color="auto" w:sz="4" w:space="0"/>
              <w:bottom w:val="single" w:color="auto" w:sz="4" w:space="0"/>
              <w:right w:val="single" w:color="auto" w:sz="4" w:space="0"/>
            </w:tcBorders>
            <w:noWrap w:val="0"/>
            <w:vAlign w:val="center"/>
          </w:tcPr>
          <w:p w14:paraId="32133E0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13280689988</w:t>
            </w:r>
          </w:p>
        </w:tc>
      </w:tr>
      <w:tr w14:paraId="36356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009" w:type="dxa"/>
            <w:tcBorders>
              <w:top w:val="single" w:color="auto" w:sz="4" w:space="0"/>
              <w:left w:val="single" w:color="auto" w:sz="4" w:space="0"/>
              <w:bottom w:val="single" w:color="auto" w:sz="4" w:space="0"/>
              <w:right w:val="single" w:color="auto" w:sz="4" w:space="0"/>
            </w:tcBorders>
            <w:noWrap w:val="0"/>
            <w:vAlign w:val="center"/>
          </w:tcPr>
          <w:p w14:paraId="5F57216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eastAsia="zh-CN"/>
              </w:rPr>
              <w:t>吸油毡</w:t>
            </w:r>
          </w:p>
        </w:tc>
        <w:tc>
          <w:tcPr>
            <w:tcW w:w="745" w:type="dxa"/>
            <w:tcBorders>
              <w:top w:val="single" w:color="auto" w:sz="4" w:space="0"/>
              <w:left w:val="single" w:color="auto" w:sz="4" w:space="0"/>
              <w:bottom w:val="single" w:color="auto" w:sz="4" w:space="0"/>
              <w:right w:val="single" w:color="auto" w:sz="4" w:space="0"/>
            </w:tcBorders>
            <w:noWrap w:val="0"/>
            <w:vAlign w:val="center"/>
          </w:tcPr>
          <w:p w14:paraId="15A9053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2047FE6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5m</w:t>
            </w:r>
            <w:r>
              <w:rPr>
                <w:rFonts w:hint="default" w:ascii="Times New Roman" w:hAnsi="Times New Roman" w:eastAsia="宋体" w:cs="Times New Roman"/>
                <w:color w:val="auto"/>
                <w:kern w:val="0"/>
                <w:sz w:val="21"/>
                <w:szCs w:val="21"/>
                <w:highlight w:val="none"/>
                <w:vertAlign w:val="superscript"/>
                <w:lang w:val="en-US" w:eastAsia="zh-CN"/>
              </w:rPr>
              <w:t>2</w:t>
            </w:r>
          </w:p>
        </w:tc>
        <w:tc>
          <w:tcPr>
            <w:tcW w:w="2127" w:type="dxa"/>
            <w:tcBorders>
              <w:top w:val="single" w:color="auto" w:sz="4" w:space="0"/>
              <w:left w:val="single" w:color="auto" w:sz="4" w:space="0"/>
              <w:bottom w:val="single" w:color="auto" w:sz="4" w:space="0"/>
              <w:right w:val="single" w:color="auto" w:sz="4" w:space="0"/>
            </w:tcBorders>
            <w:noWrap w:val="0"/>
            <w:vAlign w:val="center"/>
          </w:tcPr>
          <w:p w14:paraId="4B6B47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车间</w:t>
            </w:r>
          </w:p>
        </w:tc>
        <w:tc>
          <w:tcPr>
            <w:tcW w:w="1869" w:type="dxa"/>
            <w:tcBorders>
              <w:top w:val="single" w:color="auto" w:sz="4" w:space="0"/>
              <w:left w:val="single" w:color="auto" w:sz="4" w:space="0"/>
              <w:bottom w:val="single" w:color="auto" w:sz="4" w:space="0"/>
              <w:right w:val="single" w:color="auto" w:sz="4" w:space="0"/>
            </w:tcBorders>
            <w:noWrap w:val="0"/>
            <w:vAlign w:val="center"/>
          </w:tcPr>
          <w:p w14:paraId="213F10E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赵传涛</w:t>
            </w:r>
          </w:p>
        </w:tc>
        <w:tc>
          <w:tcPr>
            <w:tcW w:w="1869" w:type="dxa"/>
            <w:tcBorders>
              <w:top w:val="single" w:color="auto" w:sz="4" w:space="0"/>
              <w:left w:val="single" w:color="auto" w:sz="4" w:space="0"/>
              <w:bottom w:val="single" w:color="auto" w:sz="4" w:space="0"/>
              <w:right w:val="single" w:color="auto" w:sz="4" w:space="0"/>
            </w:tcBorders>
            <w:noWrap w:val="0"/>
            <w:vAlign w:val="center"/>
          </w:tcPr>
          <w:p w14:paraId="11D6FFE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13280689988</w:t>
            </w:r>
          </w:p>
        </w:tc>
      </w:tr>
      <w:tr w14:paraId="0F261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009" w:type="dxa"/>
            <w:tcBorders>
              <w:top w:val="single" w:color="auto" w:sz="4" w:space="0"/>
              <w:left w:val="single" w:color="auto" w:sz="4" w:space="0"/>
              <w:bottom w:val="single" w:color="auto" w:sz="4" w:space="0"/>
              <w:right w:val="single" w:color="auto" w:sz="4" w:space="0"/>
            </w:tcBorders>
            <w:noWrap w:val="0"/>
            <w:vAlign w:val="center"/>
          </w:tcPr>
          <w:p w14:paraId="6C1F2B2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eastAsia="zh-CN"/>
              </w:rPr>
              <w:t>塑料布</w:t>
            </w:r>
          </w:p>
        </w:tc>
        <w:tc>
          <w:tcPr>
            <w:tcW w:w="745" w:type="dxa"/>
            <w:tcBorders>
              <w:top w:val="single" w:color="auto" w:sz="4" w:space="0"/>
              <w:left w:val="single" w:color="auto" w:sz="4" w:space="0"/>
              <w:bottom w:val="single" w:color="auto" w:sz="4" w:space="0"/>
              <w:right w:val="single" w:color="auto" w:sz="4" w:space="0"/>
            </w:tcBorders>
            <w:noWrap w:val="0"/>
            <w:vAlign w:val="center"/>
          </w:tcPr>
          <w:p w14:paraId="503CC50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79CEF94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10m</w:t>
            </w:r>
            <w:r>
              <w:rPr>
                <w:rFonts w:hint="default" w:ascii="Times New Roman" w:hAnsi="Times New Roman" w:eastAsia="宋体" w:cs="Times New Roman"/>
                <w:color w:val="auto"/>
                <w:kern w:val="0"/>
                <w:sz w:val="21"/>
                <w:szCs w:val="21"/>
                <w:highlight w:val="none"/>
                <w:vertAlign w:val="superscript"/>
                <w:lang w:val="en-US" w:eastAsia="zh-CN"/>
              </w:rPr>
              <w:t>2</w:t>
            </w:r>
          </w:p>
        </w:tc>
        <w:tc>
          <w:tcPr>
            <w:tcW w:w="2127" w:type="dxa"/>
            <w:tcBorders>
              <w:top w:val="single" w:color="auto" w:sz="4" w:space="0"/>
              <w:left w:val="single" w:color="auto" w:sz="4" w:space="0"/>
              <w:bottom w:val="single" w:color="auto" w:sz="4" w:space="0"/>
              <w:right w:val="single" w:color="auto" w:sz="4" w:space="0"/>
            </w:tcBorders>
            <w:noWrap w:val="0"/>
            <w:vAlign w:val="center"/>
          </w:tcPr>
          <w:p w14:paraId="317F25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车间</w:t>
            </w:r>
          </w:p>
        </w:tc>
        <w:tc>
          <w:tcPr>
            <w:tcW w:w="1869" w:type="dxa"/>
            <w:tcBorders>
              <w:top w:val="single" w:color="auto" w:sz="4" w:space="0"/>
              <w:left w:val="single" w:color="auto" w:sz="4" w:space="0"/>
              <w:bottom w:val="single" w:color="auto" w:sz="4" w:space="0"/>
              <w:right w:val="single" w:color="auto" w:sz="4" w:space="0"/>
            </w:tcBorders>
            <w:noWrap w:val="0"/>
            <w:vAlign w:val="center"/>
          </w:tcPr>
          <w:p w14:paraId="4FFE603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赵传涛</w:t>
            </w:r>
          </w:p>
        </w:tc>
        <w:tc>
          <w:tcPr>
            <w:tcW w:w="1869" w:type="dxa"/>
            <w:tcBorders>
              <w:top w:val="single" w:color="auto" w:sz="4" w:space="0"/>
              <w:left w:val="single" w:color="auto" w:sz="4" w:space="0"/>
              <w:bottom w:val="single" w:color="auto" w:sz="4" w:space="0"/>
              <w:right w:val="single" w:color="auto" w:sz="4" w:space="0"/>
            </w:tcBorders>
            <w:noWrap w:val="0"/>
            <w:vAlign w:val="center"/>
          </w:tcPr>
          <w:p w14:paraId="3EEBC0F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13280689988</w:t>
            </w:r>
          </w:p>
        </w:tc>
      </w:tr>
      <w:tr w14:paraId="77DD3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009" w:type="dxa"/>
            <w:tcBorders>
              <w:top w:val="single" w:color="auto" w:sz="4" w:space="0"/>
              <w:left w:val="single" w:color="auto" w:sz="4" w:space="0"/>
              <w:bottom w:val="single" w:color="auto" w:sz="4" w:space="0"/>
              <w:right w:val="single" w:color="auto" w:sz="4" w:space="0"/>
            </w:tcBorders>
            <w:noWrap w:val="0"/>
            <w:vAlign w:val="center"/>
          </w:tcPr>
          <w:p w14:paraId="0EDB6E2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eastAsia="zh-CN"/>
              </w:rPr>
              <w:t>粘合剂</w:t>
            </w:r>
          </w:p>
        </w:tc>
        <w:tc>
          <w:tcPr>
            <w:tcW w:w="745" w:type="dxa"/>
            <w:tcBorders>
              <w:top w:val="single" w:color="auto" w:sz="4" w:space="0"/>
              <w:left w:val="single" w:color="auto" w:sz="4" w:space="0"/>
              <w:bottom w:val="single" w:color="auto" w:sz="4" w:space="0"/>
              <w:right w:val="single" w:color="auto" w:sz="4" w:space="0"/>
            </w:tcBorders>
            <w:noWrap w:val="0"/>
            <w:vAlign w:val="center"/>
          </w:tcPr>
          <w:p w14:paraId="495880A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0F570FB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2盒</w:t>
            </w:r>
          </w:p>
        </w:tc>
        <w:tc>
          <w:tcPr>
            <w:tcW w:w="2127" w:type="dxa"/>
            <w:tcBorders>
              <w:top w:val="single" w:color="auto" w:sz="4" w:space="0"/>
              <w:left w:val="single" w:color="auto" w:sz="4" w:space="0"/>
              <w:bottom w:val="single" w:color="auto" w:sz="4" w:space="0"/>
              <w:right w:val="single" w:color="auto" w:sz="4" w:space="0"/>
            </w:tcBorders>
            <w:noWrap w:val="0"/>
            <w:vAlign w:val="center"/>
          </w:tcPr>
          <w:p w14:paraId="021BB9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车间</w:t>
            </w:r>
          </w:p>
        </w:tc>
        <w:tc>
          <w:tcPr>
            <w:tcW w:w="1869" w:type="dxa"/>
            <w:tcBorders>
              <w:top w:val="single" w:color="auto" w:sz="4" w:space="0"/>
              <w:left w:val="single" w:color="auto" w:sz="4" w:space="0"/>
              <w:bottom w:val="single" w:color="auto" w:sz="4" w:space="0"/>
              <w:right w:val="single" w:color="auto" w:sz="4" w:space="0"/>
            </w:tcBorders>
            <w:noWrap w:val="0"/>
            <w:vAlign w:val="center"/>
          </w:tcPr>
          <w:p w14:paraId="3C66560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赵传涛</w:t>
            </w:r>
          </w:p>
        </w:tc>
        <w:tc>
          <w:tcPr>
            <w:tcW w:w="1869" w:type="dxa"/>
            <w:tcBorders>
              <w:top w:val="single" w:color="auto" w:sz="4" w:space="0"/>
              <w:left w:val="single" w:color="auto" w:sz="4" w:space="0"/>
              <w:bottom w:val="single" w:color="auto" w:sz="4" w:space="0"/>
              <w:right w:val="single" w:color="auto" w:sz="4" w:space="0"/>
            </w:tcBorders>
            <w:noWrap w:val="0"/>
            <w:vAlign w:val="center"/>
          </w:tcPr>
          <w:p w14:paraId="49ED9CD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13280689988</w:t>
            </w:r>
          </w:p>
        </w:tc>
      </w:tr>
      <w:tr w14:paraId="3E3F2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009" w:type="dxa"/>
            <w:tcBorders>
              <w:top w:val="single" w:color="auto" w:sz="4" w:space="0"/>
              <w:left w:val="single" w:color="auto" w:sz="4" w:space="0"/>
              <w:bottom w:val="single" w:color="auto" w:sz="4" w:space="0"/>
              <w:right w:val="single" w:color="auto" w:sz="4" w:space="0"/>
            </w:tcBorders>
            <w:noWrap w:val="0"/>
            <w:vAlign w:val="center"/>
          </w:tcPr>
          <w:p w14:paraId="6D5A4DA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堵漏胶泥</w:t>
            </w:r>
          </w:p>
        </w:tc>
        <w:tc>
          <w:tcPr>
            <w:tcW w:w="745" w:type="dxa"/>
            <w:tcBorders>
              <w:top w:val="single" w:color="auto" w:sz="4" w:space="0"/>
              <w:left w:val="single" w:color="auto" w:sz="4" w:space="0"/>
              <w:bottom w:val="single" w:color="auto" w:sz="4" w:space="0"/>
              <w:right w:val="single" w:color="auto" w:sz="4" w:space="0"/>
            </w:tcBorders>
            <w:noWrap w:val="0"/>
            <w:vAlign w:val="center"/>
          </w:tcPr>
          <w:p w14:paraId="2193D62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377F8C2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20块</w:t>
            </w:r>
          </w:p>
        </w:tc>
        <w:tc>
          <w:tcPr>
            <w:tcW w:w="2127" w:type="dxa"/>
            <w:tcBorders>
              <w:top w:val="single" w:color="auto" w:sz="4" w:space="0"/>
              <w:left w:val="single" w:color="auto" w:sz="4" w:space="0"/>
              <w:bottom w:val="single" w:color="auto" w:sz="4" w:space="0"/>
              <w:right w:val="single" w:color="auto" w:sz="4" w:space="0"/>
            </w:tcBorders>
            <w:noWrap w:val="0"/>
            <w:vAlign w:val="center"/>
          </w:tcPr>
          <w:p w14:paraId="3535A4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车间</w:t>
            </w:r>
          </w:p>
        </w:tc>
        <w:tc>
          <w:tcPr>
            <w:tcW w:w="1869" w:type="dxa"/>
            <w:tcBorders>
              <w:top w:val="single" w:color="auto" w:sz="4" w:space="0"/>
              <w:left w:val="single" w:color="auto" w:sz="4" w:space="0"/>
              <w:bottom w:val="single" w:color="auto" w:sz="4" w:space="0"/>
              <w:right w:val="single" w:color="auto" w:sz="4" w:space="0"/>
            </w:tcBorders>
            <w:noWrap w:val="0"/>
            <w:vAlign w:val="center"/>
          </w:tcPr>
          <w:p w14:paraId="6371AB7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赵传涛</w:t>
            </w:r>
          </w:p>
        </w:tc>
        <w:tc>
          <w:tcPr>
            <w:tcW w:w="1869" w:type="dxa"/>
            <w:tcBorders>
              <w:top w:val="single" w:color="auto" w:sz="4" w:space="0"/>
              <w:left w:val="single" w:color="auto" w:sz="4" w:space="0"/>
              <w:bottom w:val="single" w:color="auto" w:sz="4" w:space="0"/>
              <w:right w:val="single" w:color="auto" w:sz="4" w:space="0"/>
            </w:tcBorders>
            <w:noWrap w:val="0"/>
            <w:vAlign w:val="center"/>
          </w:tcPr>
          <w:p w14:paraId="3482B13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13280689988</w:t>
            </w:r>
          </w:p>
        </w:tc>
      </w:tr>
      <w:tr w14:paraId="3881A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009" w:type="dxa"/>
            <w:tcBorders>
              <w:top w:val="single" w:color="auto" w:sz="4" w:space="0"/>
              <w:left w:val="single" w:color="auto" w:sz="4" w:space="0"/>
              <w:bottom w:val="single" w:color="auto" w:sz="4" w:space="0"/>
              <w:right w:val="single" w:color="auto" w:sz="4" w:space="0"/>
            </w:tcBorders>
            <w:noWrap w:val="0"/>
            <w:vAlign w:val="center"/>
          </w:tcPr>
          <w:p w14:paraId="669D880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eastAsia="zh-CN"/>
              </w:rPr>
              <w:t>堵漏工具</w:t>
            </w:r>
          </w:p>
        </w:tc>
        <w:tc>
          <w:tcPr>
            <w:tcW w:w="745" w:type="dxa"/>
            <w:tcBorders>
              <w:top w:val="single" w:color="auto" w:sz="4" w:space="0"/>
              <w:left w:val="single" w:color="auto" w:sz="4" w:space="0"/>
              <w:bottom w:val="single" w:color="auto" w:sz="4" w:space="0"/>
              <w:right w:val="single" w:color="auto" w:sz="4" w:space="0"/>
            </w:tcBorders>
            <w:noWrap w:val="0"/>
            <w:vAlign w:val="center"/>
          </w:tcPr>
          <w:p w14:paraId="097D05B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0EB5BCA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1套</w:t>
            </w:r>
          </w:p>
        </w:tc>
        <w:tc>
          <w:tcPr>
            <w:tcW w:w="2127" w:type="dxa"/>
            <w:tcBorders>
              <w:top w:val="single" w:color="auto" w:sz="4" w:space="0"/>
              <w:left w:val="single" w:color="auto" w:sz="4" w:space="0"/>
              <w:bottom w:val="single" w:color="auto" w:sz="4" w:space="0"/>
              <w:right w:val="single" w:color="auto" w:sz="4" w:space="0"/>
            </w:tcBorders>
            <w:noWrap w:val="0"/>
            <w:vAlign w:val="center"/>
          </w:tcPr>
          <w:p w14:paraId="5D4BA8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车间</w:t>
            </w:r>
          </w:p>
        </w:tc>
        <w:tc>
          <w:tcPr>
            <w:tcW w:w="1869" w:type="dxa"/>
            <w:tcBorders>
              <w:top w:val="single" w:color="auto" w:sz="4" w:space="0"/>
              <w:left w:val="single" w:color="auto" w:sz="4" w:space="0"/>
              <w:bottom w:val="single" w:color="auto" w:sz="4" w:space="0"/>
              <w:right w:val="single" w:color="auto" w:sz="4" w:space="0"/>
            </w:tcBorders>
            <w:noWrap w:val="0"/>
            <w:vAlign w:val="center"/>
          </w:tcPr>
          <w:p w14:paraId="5F86A5E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赵传涛</w:t>
            </w:r>
          </w:p>
        </w:tc>
        <w:tc>
          <w:tcPr>
            <w:tcW w:w="1869" w:type="dxa"/>
            <w:tcBorders>
              <w:top w:val="single" w:color="auto" w:sz="4" w:space="0"/>
              <w:left w:val="single" w:color="auto" w:sz="4" w:space="0"/>
              <w:bottom w:val="single" w:color="auto" w:sz="4" w:space="0"/>
              <w:right w:val="single" w:color="auto" w:sz="4" w:space="0"/>
            </w:tcBorders>
            <w:noWrap w:val="0"/>
            <w:vAlign w:val="center"/>
          </w:tcPr>
          <w:p w14:paraId="3606E24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13280689988</w:t>
            </w:r>
          </w:p>
        </w:tc>
      </w:tr>
      <w:tr w14:paraId="096E7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2009" w:type="dxa"/>
            <w:tcBorders>
              <w:top w:val="single" w:color="auto" w:sz="4" w:space="0"/>
              <w:left w:val="single" w:color="auto" w:sz="4" w:space="0"/>
              <w:bottom w:val="single" w:color="auto" w:sz="4" w:space="0"/>
              <w:right w:val="single" w:color="auto" w:sz="4" w:space="0"/>
            </w:tcBorders>
            <w:noWrap w:val="0"/>
            <w:vAlign w:val="center"/>
          </w:tcPr>
          <w:p w14:paraId="41D585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消防掀</w:t>
            </w:r>
          </w:p>
        </w:tc>
        <w:tc>
          <w:tcPr>
            <w:tcW w:w="745" w:type="dxa"/>
            <w:tcBorders>
              <w:top w:val="single" w:color="auto" w:sz="4" w:space="0"/>
              <w:left w:val="single" w:color="auto" w:sz="4" w:space="0"/>
              <w:bottom w:val="single" w:color="auto" w:sz="4" w:space="0"/>
              <w:right w:val="single" w:color="auto" w:sz="4" w:space="0"/>
            </w:tcBorders>
            <w:noWrap w:val="0"/>
            <w:vAlign w:val="center"/>
          </w:tcPr>
          <w:p w14:paraId="1FC1F3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p>
        </w:tc>
        <w:tc>
          <w:tcPr>
            <w:tcW w:w="750" w:type="dxa"/>
            <w:tcBorders>
              <w:top w:val="single" w:color="auto" w:sz="4" w:space="0"/>
              <w:left w:val="single" w:color="auto" w:sz="4" w:space="0"/>
              <w:bottom w:val="single" w:color="auto" w:sz="4" w:space="0"/>
              <w:right w:val="single" w:color="auto" w:sz="4" w:space="0"/>
            </w:tcBorders>
            <w:noWrap w:val="0"/>
            <w:vAlign w:val="center"/>
          </w:tcPr>
          <w:p w14:paraId="0B4DF3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10把</w:t>
            </w:r>
          </w:p>
        </w:tc>
        <w:tc>
          <w:tcPr>
            <w:tcW w:w="2127" w:type="dxa"/>
            <w:tcBorders>
              <w:top w:val="single" w:color="auto" w:sz="4" w:space="0"/>
              <w:left w:val="single" w:color="auto" w:sz="4" w:space="0"/>
              <w:bottom w:val="single" w:color="auto" w:sz="4" w:space="0"/>
              <w:right w:val="single" w:color="auto" w:sz="4" w:space="0"/>
            </w:tcBorders>
            <w:noWrap w:val="0"/>
            <w:vAlign w:val="center"/>
          </w:tcPr>
          <w:p w14:paraId="5D906F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车间</w:t>
            </w:r>
          </w:p>
        </w:tc>
        <w:tc>
          <w:tcPr>
            <w:tcW w:w="1869" w:type="dxa"/>
            <w:tcBorders>
              <w:top w:val="single" w:color="auto" w:sz="4" w:space="0"/>
              <w:left w:val="single" w:color="auto" w:sz="4" w:space="0"/>
              <w:bottom w:val="single" w:color="auto" w:sz="4" w:space="0"/>
              <w:right w:val="single" w:color="auto" w:sz="4" w:space="0"/>
            </w:tcBorders>
            <w:noWrap w:val="0"/>
            <w:vAlign w:val="center"/>
          </w:tcPr>
          <w:p w14:paraId="11E51A8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崔成武</w:t>
            </w:r>
          </w:p>
        </w:tc>
        <w:tc>
          <w:tcPr>
            <w:tcW w:w="1869" w:type="dxa"/>
            <w:tcBorders>
              <w:top w:val="single" w:color="auto" w:sz="4" w:space="0"/>
              <w:left w:val="single" w:color="auto" w:sz="4" w:space="0"/>
              <w:bottom w:val="single" w:color="auto" w:sz="4" w:space="0"/>
              <w:right w:val="single" w:color="auto" w:sz="4" w:space="0"/>
            </w:tcBorders>
            <w:noWrap w:val="0"/>
            <w:vAlign w:val="center"/>
          </w:tcPr>
          <w:p w14:paraId="723617B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17860925615</w:t>
            </w:r>
          </w:p>
        </w:tc>
      </w:tr>
    </w:tbl>
    <w:p w14:paraId="400384D6">
      <w:pPr>
        <w:keepNext w:val="0"/>
        <w:keepLines w:val="0"/>
        <w:pageBreakBefore w:val="0"/>
        <w:widowControl w:val="0"/>
        <w:kinsoku/>
        <w:wordWrap/>
        <w:overflowPunct/>
        <w:topLinePunct w:val="0"/>
        <w:autoSpaceDE/>
        <w:autoSpaceDN/>
        <w:bidi w:val="0"/>
        <w:adjustRightInd/>
        <w:snapToGrid/>
        <w:spacing w:before="0" w:after="0" w:line="360" w:lineRule="auto"/>
        <w:textAlignment w:val="auto"/>
        <w:outlineLvl w:val="9"/>
        <w:rPr>
          <w:rFonts w:hint="default" w:ascii="Times New Roman" w:hAnsi="Times New Roman" w:eastAsia="宋体" w:cs="Times New Roman"/>
          <w:b/>
          <w:bCs/>
          <w:color w:val="auto"/>
          <w:sz w:val="24"/>
          <w:szCs w:val="32"/>
          <w:highlight w:val="none"/>
        </w:rPr>
      </w:pPr>
      <w:r>
        <w:rPr>
          <w:rFonts w:hint="default" w:ascii="Times New Roman" w:hAnsi="Times New Roman" w:eastAsia="宋体" w:cs="Times New Roman"/>
          <w:b/>
          <w:bCs/>
          <w:color w:val="auto"/>
          <w:sz w:val="24"/>
          <w:szCs w:val="32"/>
          <w:highlight w:val="none"/>
        </w:rPr>
        <w:t>3.7.2 内部救援队伍</w:t>
      </w:r>
      <w:bookmarkEnd w:id="91"/>
      <w:bookmarkEnd w:id="92"/>
      <w:bookmarkEnd w:id="93"/>
      <w:bookmarkEnd w:id="94"/>
    </w:p>
    <w:p w14:paraId="4F53994E">
      <w:pPr>
        <w:keepNext w:val="0"/>
        <w:keepLines w:val="0"/>
        <w:pageBreakBefore w:val="0"/>
        <w:widowControl w:val="0"/>
        <w:kinsoku/>
        <w:wordWrap/>
        <w:overflowPunct/>
        <w:topLinePunct w:val="0"/>
        <w:autoSpaceDE/>
        <w:autoSpaceDN/>
        <w:bidi w:val="0"/>
        <w:adjustRightInd/>
        <w:snapToGrid/>
        <w:spacing w:before="0" w:after="0" w:line="360" w:lineRule="auto"/>
        <w:textAlignment w:val="auto"/>
        <w:outlineLvl w:val="9"/>
        <w:rPr>
          <w:rFonts w:hint="default" w:ascii="Times New Roman" w:hAnsi="Times New Roman" w:eastAsia="宋体" w:cs="Times New Roman"/>
          <w:b/>
          <w:bCs/>
          <w:color w:val="auto"/>
          <w:sz w:val="24"/>
          <w:szCs w:val="32"/>
          <w:highlight w:val="none"/>
        </w:rPr>
      </w:pPr>
      <w:bookmarkStart w:id="95" w:name="_Toc386556737"/>
      <w:r>
        <w:rPr>
          <w:rFonts w:hint="default" w:ascii="Times New Roman" w:hAnsi="Times New Roman" w:eastAsia="宋体" w:cs="Times New Roman"/>
          <w:b/>
          <w:bCs/>
          <w:color w:val="auto"/>
          <w:sz w:val="24"/>
          <w:szCs w:val="32"/>
          <w:highlight w:val="none"/>
        </w:rPr>
        <w:t>3.7.2.1 组织体系</w:t>
      </w:r>
      <w:bookmarkEnd w:id="95"/>
      <w:bookmarkStart w:id="96" w:name="_Toc15722"/>
      <w:bookmarkStart w:id="97" w:name="_Toc7881"/>
      <w:bookmarkStart w:id="98" w:name="_Toc426701444"/>
      <w:bookmarkStart w:id="99" w:name="_Toc416357953"/>
    </w:p>
    <w:p w14:paraId="51B40620">
      <w:pPr>
        <w:pStyle w:val="126"/>
        <w:pageBreakBefore w:val="0"/>
        <w:kinsoku/>
        <w:wordWrap/>
        <w:overflowPunct/>
        <w:topLinePunct w:val="0"/>
        <w:autoSpaceDE/>
        <w:autoSpaceDN/>
        <w:bidi w:val="0"/>
        <w:adjustRightInd/>
        <w:snapToGrid/>
        <w:spacing w:line="360" w:lineRule="auto"/>
        <w:textAlignment w:val="auto"/>
        <w:rPr>
          <w:lang w:eastAsia="zh-CN"/>
        </w:rPr>
      </w:pPr>
      <w:bookmarkStart w:id="100" w:name="_Hlk17878841"/>
      <w:bookmarkStart w:id="101" w:name="_Hlk78130349"/>
      <w:r>
        <w:rPr>
          <w:lang w:eastAsia="zh-CN"/>
        </w:rPr>
        <w:t>总指挥：</w:t>
      </w:r>
      <w:r>
        <w:rPr>
          <w:rFonts w:hint="eastAsia"/>
          <w:lang w:eastAsia="zh-CN"/>
        </w:rPr>
        <w:t>庞建伟</w:t>
      </w:r>
      <w:r>
        <w:rPr>
          <w:lang w:eastAsia="zh-CN"/>
        </w:rPr>
        <w:t xml:space="preserve">   </w:t>
      </w:r>
    </w:p>
    <w:p w14:paraId="5A7E2C65">
      <w:pPr>
        <w:pStyle w:val="126"/>
        <w:pageBreakBefore w:val="0"/>
        <w:kinsoku/>
        <w:wordWrap/>
        <w:overflowPunct/>
        <w:topLinePunct w:val="0"/>
        <w:autoSpaceDE/>
        <w:autoSpaceDN/>
        <w:bidi w:val="0"/>
        <w:adjustRightInd/>
        <w:snapToGrid/>
        <w:spacing w:line="360" w:lineRule="auto"/>
        <w:textAlignment w:val="auto"/>
        <w:rPr>
          <w:rFonts w:hint="eastAsia" w:ascii="Times New Roman" w:hAnsi="Times New Roman" w:cs="Times New Roman"/>
          <w:bCs/>
          <w:caps w:val="0"/>
          <w:smallCaps w:val="0"/>
          <w:snapToGrid w:val="0"/>
          <w:color w:val="auto"/>
          <w:spacing w:val="0"/>
          <w:kern w:val="0"/>
          <w:position w:val="0"/>
          <w:sz w:val="24"/>
          <w:szCs w:val="24"/>
          <w:lang w:eastAsia="zh-CN"/>
        </w:rPr>
      </w:pPr>
      <w:r>
        <w:rPr>
          <w:lang w:eastAsia="zh-CN"/>
        </w:rPr>
        <w:t>副总指挥：</w:t>
      </w:r>
      <w:r>
        <w:rPr>
          <w:rFonts w:hint="eastAsia" w:ascii="宋体" w:hAnsi="宋体" w:cs="宋体"/>
          <w:color w:val="auto"/>
          <w:lang w:val="en-US" w:eastAsia="zh-CN"/>
        </w:rPr>
        <w:t>石根元</w:t>
      </w:r>
    </w:p>
    <w:p w14:paraId="7A25836D">
      <w:pPr>
        <w:pStyle w:val="126"/>
        <w:pageBreakBefore w:val="0"/>
        <w:kinsoku/>
        <w:wordWrap/>
        <w:overflowPunct/>
        <w:topLinePunct w:val="0"/>
        <w:autoSpaceDE/>
        <w:autoSpaceDN/>
        <w:bidi w:val="0"/>
        <w:adjustRightInd/>
        <w:snapToGrid/>
        <w:spacing w:line="360" w:lineRule="auto"/>
        <w:textAlignment w:val="auto"/>
        <w:rPr>
          <w:lang w:eastAsia="zh-CN"/>
        </w:rPr>
      </w:pPr>
      <w:r>
        <w:rPr>
          <w:lang w:eastAsia="zh-CN"/>
        </w:rPr>
        <w:t>指挥部成员：</w:t>
      </w:r>
      <w:bookmarkEnd w:id="100"/>
      <w:r>
        <w:rPr>
          <w:rFonts w:hint="default" w:ascii="Times New Roman" w:hAnsi="Times New Roman" w:eastAsia="宋体" w:cs="Times New Roman"/>
          <w:caps w:val="0"/>
          <w:smallCaps w:val="0"/>
          <w:color w:val="auto"/>
          <w:spacing w:val="0"/>
          <w:position w:val="0"/>
          <w:sz w:val="24"/>
          <w:szCs w:val="24"/>
          <w:lang w:eastAsia="zh-CN"/>
        </w:rPr>
        <w:t>王鹏超、</w:t>
      </w:r>
      <w:r>
        <w:rPr>
          <w:rFonts w:hint="eastAsia" w:cs="Times New Roman"/>
          <w:caps w:val="0"/>
          <w:smallCaps w:val="0"/>
          <w:color w:val="auto"/>
          <w:spacing w:val="0"/>
          <w:position w:val="0"/>
          <w:sz w:val="24"/>
          <w:szCs w:val="24"/>
          <w:lang w:eastAsia="zh-CN"/>
        </w:rPr>
        <w:t>杜星、</w:t>
      </w:r>
      <w:r>
        <w:rPr>
          <w:rFonts w:hint="eastAsia" w:ascii="Times New Roman" w:hAnsi="Times New Roman" w:cs="Times New Roman"/>
          <w:caps w:val="0"/>
          <w:smallCaps w:val="0"/>
          <w:color w:val="auto"/>
          <w:spacing w:val="0"/>
          <w:position w:val="0"/>
          <w:sz w:val="24"/>
          <w:szCs w:val="24"/>
          <w:lang w:eastAsia="zh-CN"/>
        </w:rPr>
        <w:t>赵金涛</w:t>
      </w:r>
      <w:r>
        <w:rPr>
          <w:rFonts w:hint="eastAsia" w:ascii="Times New Roman" w:hAnsi="Times New Roman" w:eastAsia="宋体" w:cs="Times New Roman"/>
          <w:caps w:val="0"/>
          <w:smallCaps w:val="0"/>
          <w:color w:val="auto"/>
          <w:spacing w:val="0"/>
          <w:position w:val="0"/>
          <w:sz w:val="24"/>
          <w:szCs w:val="24"/>
          <w:lang w:eastAsia="zh-CN"/>
        </w:rPr>
        <w:t>、</w:t>
      </w:r>
      <w:r>
        <w:rPr>
          <w:rFonts w:hint="eastAsia" w:ascii="Times New Roman" w:hAnsi="Times New Roman" w:cs="Times New Roman"/>
          <w:caps w:val="0"/>
          <w:smallCaps w:val="0"/>
          <w:color w:val="auto"/>
          <w:spacing w:val="0"/>
          <w:position w:val="0"/>
          <w:sz w:val="24"/>
          <w:szCs w:val="24"/>
          <w:lang w:eastAsia="zh-CN"/>
        </w:rPr>
        <w:t>刘畅恒</w:t>
      </w:r>
      <w:r>
        <w:rPr>
          <w:rFonts w:hint="default" w:ascii="Times New Roman" w:hAnsi="Times New Roman" w:eastAsia="宋体" w:cs="Times New Roman"/>
          <w:caps w:val="0"/>
          <w:smallCaps w:val="0"/>
          <w:color w:val="auto"/>
          <w:spacing w:val="0"/>
          <w:position w:val="0"/>
          <w:sz w:val="24"/>
          <w:szCs w:val="24"/>
        </w:rPr>
        <w:t>、</w:t>
      </w:r>
      <w:r>
        <w:rPr>
          <w:rFonts w:hint="eastAsia" w:ascii="Times New Roman" w:hAnsi="Times New Roman" w:cs="Times New Roman"/>
          <w:caps w:val="0"/>
          <w:smallCaps w:val="0"/>
          <w:color w:val="auto"/>
          <w:spacing w:val="0"/>
          <w:position w:val="0"/>
          <w:sz w:val="24"/>
          <w:szCs w:val="24"/>
          <w:lang w:eastAsia="zh-CN"/>
        </w:rPr>
        <w:t>赵传涛、尚宝尚、</w:t>
      </w:r>
      <w:r>
        <w:rPr>
          <w:rFonts w:hint="default" w:ascii="Times New Roman" w:hAnsi="Times New Roman" w:eastAsia="宋体" w:cs="Times New Roman"/>
          <w:caps w:val="0"/>
          <w:smallCaps w:val="0"/>
          <w:color w:val="auto"/>
          <w:spacing w:val="0"/>
          <w:position w:val="0"/>
          <w:sz w:val="24"/>
          <w:szCs w:val="24"/>
        </w:rPr>
        <w:t>薛晓霞、</w:t>
      </w:r>
      <w:r>
        <w:rPr>
          <w:rFonts w:hint="eastAsia" w:ascii="Times New Roman" w:hAnsi="Times New Roman" w:eastAsia="宋体" w:cs="Times New Roman"/>
          <w:caps w:val="0"/>
          <w:smallCaps w:val="0"/>
          <w:color w:val="auto"/>
          <w:spacing w:val="0"/>
          <w:position w:val="0"/>
          <w:sz w:val="24"/>
          <w:szCs w:val="24"/>
          <w:lang w:eastAsia="zh-CN"/>
        </w:rPr>
        <w:t>刘华、</w:t>
      </w:r>
      <w:r>
        <w:rPr>
          <w:rFonts w:hint="eastAsia" w:cs="Times New Roman"/>
          <w:caps w:val="0"/>
          <w:smallCaps w:val="0"/>
          <w:color w:val="auto"/>
          <w:spacing w:val="0"/>
          <w:position w:val="0"/>
          <w:sz w:val="24"/>
          <w:szCs w:val="24"/>
          <w:lang w:eastAsia="zh-CN"/>
        </w:rPr>
        <w:t>孙波、</w:t>
      </w:r>
      <w:r>
        <w:rPr>
          <w:rFonts w:hint="eastAsia" w:ascii="Times New Roman" w:hAnsi="Times New Roman" w:eastAsia="宋体" w:cs="Times New Roman"/>
          <w:caps w:val="0"/>
          <w:smallCaps w:val="0"/>
          <w:color w:val="auto"/>
          <w:spacing w:val="0"/>
          <w:position w:val="0"/>
          <w:sz w:val="24"/>
          <w:szCs w:val="24"/>
          <w:lang w:eastAsia="zh-CN"/>
        </w:rPr>
        <w:t>李超</w:t>
      </w:r>
    </w:p>
    <w:p w14:paraId="23631456">
      <w:pPr>
        <w:pStyle w:val="126"/>
        <w:ind w:left="0" w:leftChars="0" w:firstLine="0" w:firstLineChars="0"/>
        <w:rPr>
          <w:lang w:eastAsia="zh-CN"/>
        </w:rPr>
      </w:pPr>
      <w:r>
        <w:rPr>
          <w:rFonts w:hint="default" w:ascii="Times New Roman" w:hAnsi="Times New Roman" w:cs="Times New Roman"/>
        </w:rPr>
        <w:drawing>
          <wp:anchor distT="0" distB="0" distL="114300" distR="114300" simplePos="0" relativeHeight="251672576" behindDoc="0" locked="0" layoutInCell="1" allowOverlap="1">
            <wp:simplePos x="0" y="0"/>
            <wp:positionH relativeFrom="column">
              <wp:posOffset>1416050</wp:posOffset>
            </wp:positionH>
            <wp:positionV relativeFrom="page">
              <wp:posOffset>1720850</wp:posOffset>
            </wp:positionV>
            <wp:extent cx="3529330" cy="3028315"/>
            <wp:effectExtent l="0" t="0" r="635" b="13970"/>
            <wp:wrapSquare wrapText="bothSides"/>
            <wp:docPr id="32"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3"/>
                    <pic:cNvPicPr>
                      <a:picLocks noChangeAspect="1"/>
                    </pic:cNvPicPr>
                  </pic:nvPicPr>
                  <pic:blipFill>
                    <a:blip r:embed="rId50"/>
                    <a:stretch>
                      <a:fillRect/>
                    </a:stretch>
                  </pic:blipFill>
                  <pic:spPr>
                    <a:xfrm rot="5400000">
                      <a:off x="0" y="0"/>
                      <a:ext cx="3529330" cy="3028315"/>
                    </a:xfrm>
                    <a:prstGeom prst="rect">
                      <a:avLst/>
                    </a:prstGeom>
                    <a:noFill/>
                    <a:ln>
                      <a:noFill/>
                    </a:ln>
                  </pic:spPr>
                </pic:pic>
              </a:graphicData>
            </a:graphic>
          </wp:anchor>
        </w:drawing>
      </w:r>
      <w:r>
        <w:rPr>
          <w:lang w:eastAsia="zh-CN"/>
        </w:rPr>
        <w:t>日常工作由</w:t>
      </w:r>
      <w:r>
        <w:rPr>
          <w:rFonts w:hint="eastAsia"/>
          <w:lang w:eastAsia="zh-CN"/>
        </w:rPr>
        <w:t>安环部</w:t>
      </w:r>
      <w:r>
        <w:rPr>
          <w:lang w:eastAsia="zh-CN"/>
        </w:rPr>
        <w:t>负责。事故发生时以应急指挥部为中心协调各专业组工作。</w:t>
      </w:r>
      <w:bookmarkEnd w:id="101"/>
      <w:r>
        <w:rPr>
          <w:rFonts w:hint="eastAsia"/>
          <w:lang w:eastAsia="zh-CN"/>
        </w:rPr>
        <w:t>指挥部设在公司安环部。</w:t>
      </w:r>
    </w:p>
    <w:p w14:paraId="529B51CB">
      <w:pPr>
        <w:pStyle w:val="2"/>
        <w:rPr>
          <w:rFonts w:hint="default"/>
        </w:rPr>
      </w:pPr>
    </w:p>
    <w:p w14:paraId="77677802">
      <w:pPr>
        <w:adjustRightInd w:val="0"/>
        <w:snapToGrid w:val="0"/>
        <w:spacing w:line="360" w:lineRule="auto"/>
        <w:rPr>
          <w:rFonts w:hint="default" w:ascii="Times New Roman" w:hAnsi="Times New Roman" w:cs="Times New Roman"/>
          <w:b/>
          <w:color w:val="FF0000"/>
          <w:sz w:val="24"/>
          <w:highlight w:val="none"/>
        </w:rPr>
      </w:pPr>
    </w:p>
    <w:p w14:paraId="12A9CE3A">
      <w:pPr>
        <w:adjustRightInd w:val="0"/>
        <w:snapToGrid w:val="0"/>
        <w:spacing w:line="360" w:lineRule="auto"/>
        <w:rPr>
          <w:rFonts w:hint="default" w:ascii="Times New Roman" w:hAnsi="Times New Roman" w:eastAsia="宋体" w:cs="Times New Roman"/>
          <w:b/>
          <w:color w:val="FF0000"/>
          <w:sz w:val="24"/>
          <w:highlight w:val="none"/>
          <w:lang w:eastAsia="zh-CN"/>
        </w:rPr>
      </w:pPr>
    </w:p>
    <w:p w14:paraId="1F0977CF">
      <w:pPr>
        <w:pStyle w:val="2"/>
        <w:adjustRightInd w:val="0"/>
        <w:snapToGrid w:val="0"/>
        <w:spacing w:after="0" w:line="360" w:lineRule="auto"/>
        <w:ind w:left="0" w:leftChars="0" w:firstLine="31680"/>
        <w:jc w:val="center"/>
        <w:rPr>
          <w:rFonts w:hint="default" w:ascii="Times New Roman" w:hAnsi="Times New Roman" w:cs="Times New Roman"/>
          <w:b/>
          <w:color w:val="FF0000"/>
          <w:sz w:val="24"/>
          <w:highlight w:val="none"/>
        </w:rPr>
      </w:pPr>
    </w:p>
    <w:p w14:paraId="27F593FC">
      <w:pPr>
        <w:pStyle w:val="2"/>
        <w:adjustRightInd w:val="0"/>
        <w:snapToGrid w:val="0"/>
        <w:spacing w:after="0" w:line="360" w:lineRule="auto"/>
        <w:ind w:left="0" w:leftChars="0" w:firstLine="31680"/>
        <w:jc w:val="center"/>
        <w:rPr>
          <w:rFonts w:hint="default" w:ascii="Times New Roman" w:hAnsi="Times New Roman" w:cs="Times New Roman"/>
          <w:b/>
          <w:color w:val="auto"/>
          <w:sz w:val="24"/>
          <w:highlight w:val="none"/>
        </w:rPr>
      </w:pPr>
    </w:p>
    <w:p w14:paraId="7112C92E">
      <w:pPr>
        <w:pStyle w:val="2"/>
        <w:adjustRightInd w:val="0"/>
        <w:snapToGrid w:val="0"/>
        <w:spacing w:after="0" w:line="360" w:lineRule="auto"/>
        <w:ind w:left="0" w:leftChars="0" w:firstLine="31680"/>
        <w:jc w:val="center"/>
        <w:rPr>
          <w:rFonts w:hint="default" w:ascii="Times New Roman" w:hAnsi="Times New Roman" w:cs="Times New Roman"/>
          <w:b/>
          <w:color w:val="auto"/>
          <w:sz w:val="24"/>
          <w:highlight w:val="none"/>
        </w:rPr>
      </w:pPr>
    </w:p>
    <w:p w14:paraId="5FBC7B31">
      <w:pPr>
        <w:pStyle w:val="2"/>
        <w:adjustRightInd w:val="0"/>
        <w:snapToGrid w:val="0"/>
        <w:spacing w:after="0" w:line="360" w:lineRule="auto"/>
        <w:ind w:left="0" w:leftChars="0" w:firstLine="31680"/>
        <w:jc w:val="center"/>
        <w:rPr>
          <w:rFonts w:hint="default" w:ascii="Times New Roman" w:hAnsi="Times New Roman" w:cs="Times New Roman"/>
          <w:b/>
          <w:color w:val="auto"/>
          <w:sz w:val="24"/>
          <w:highlight w:val="none"/>
        </w:rPr>
      </w:pPr>
    </w:p>
    <w:p w14:paraId="7554E894">
      <w:pPr>
        <w:pStyle w:val="2"/>
        <w:adjustRightInd w:val="0"/>
        <w:snapToGrid w:val="0"/>
        <w:spacing w:after="0" w:line="360" w:lineRule="auto"/>
        <w:ind w:left="0" w:leftChars="0" w:firstLine="31680"/>
        <w:jc w:val="center"/>
        <w:rPr>
          <w:rFonts w:hint="default" w:ascii="Times New Roman" w:hAnsi="Times New Roman" w:cs="Times New Roman"/>
          <w:b/>
          <w:color w:val="auto"/>
          <w:sz w:val="24"/>
          <w:highlight w:val="none"/>
        </w:rPr>
      </w:pPr>
    </w:p>
    <w:p w14:paraId="044E377A">
      <w:pPr>
        <w:pStyle w:val="2"/>
        <w:adjustRightInd w:val="0"/>
        <w:snapToGrid w:val="0"/>
        <w:spacing w:after="0" w:line="360" w:lineRule="auto"/>
        <w:ind w:left="0" w:leftChars="0" w:firstLine="31680"/>
        <w:jc w:val="center"/>
        <w:rPr>
          <w:rFonts w:hint="default" w:ascii="Times New Roman" w:hAnsi="Times New Roman" w:cs="Times New Roman"/>
          <w:b/>
          <w:color w:val="auto"/>
          <w:sz w:val="24"/>
          <w:highlight w:val="none"/>
        </w:rPr>
      </w:pPr>
    </w:p>
    <w:p w14:paraId="60D57047">
      <w:pPr>
        <w:pStyle w:val="2"/>
        <w:adjustRightInd w:val="0"/>
        <w:snapToGrid w:val="0"/>
        <w:spacing w:after="0" w:line="360" w:lineRule="auto"/>
        <w:ind w:left="0" w:leftChars="0" w:firstLine="31680"/>
        <w:jc w:val="center"/>
        <w:rPr>
          <w:rFonts w:hint="default" w:ascii="Times New Roman" w:hAnsi="Times New Roman" w:cs="Times New Roman"/>
          <w:b/>
          <w:color w:val="auto"/>
          <w:sz w:val="24"/>
          <w:highlight w:val="none"/>
        </w:rPr>
      </w:pPr>
    </w:p>
    <w:p w14:paraId="60778C8F">
      <w:pPr>
        <w:pStyle w:val="2"/>
        <w:adjustRightInd w:val="0"/>
        <w:snapToGrid w:val="0"/>
        <w:spacing w:after="0" w:line="360" w:lineRule="auto"/>
        <w:ind w:left="0" w:leftChars="0" w:firstLine="31680"/>
        <w:jc w:val="center"/>
        <w:rPr>
          <w:rFonts w:hint="default" w:ascii="Times New Roman" w:hAnsi="Times New Roman" w:cs="Times New Roman"/>
          <w:b/>
          <w:color w:val="auto"/>
          <w:sz w:val="24"/>
          <w:highlight w:val="none"/>
        </w:rPr>
      </w:pPr>
    </w:p>
    <w:p w14:paraId="3A76E41E">
      <w:pPr>
        <w:pStyle w:val="2"/>
        <w:adjustRightInd w:val="0"/>
        <w:snapToGrid w:val="0"/>
        <w:spacing w:after="0" w:line="360" w:lineRule="auto"/>
        <w:ind w:left="0" w:leftChars="0" w:firstLine="31680"/>
        <w:jc w:val="center"/>
        <w:rPr>
          <w:rFonts w:hint="default" w:ascii="Times New Roman" w:hAnsi="Times New Roman" w:cs="Times New Roman"/>
          <w:b/>
          <w:color w:val="auto"/>
          <w:sz w:val="24"/>
          <w:highlight w:val="none"/>
        </w:rPr>
      </w:pPr>
    </w:p>
    <w:p w14:paraId="017F43F1">
      <w:pPr>
        <w:pStyle w:val="2"/>
        <w:adjustRightInd w:val="0"/>
        <w:snapToGrid w:val="0"/>
        <w:spacing w:after="0" w:line="360" w:lineRule="auto"/>
        <w:ind w:left="0" w:leftChars="0" w:firstLine="31680"/>
        <w:jc w:val="center"/>
        <w:rPr>
          <w:rFonts w:hint="default" w:ascii="Times New Roman" w:hAnsi="Times New Roman" w:cs="Times New Roman"/>
          <w:b/>
          <w:color w:val="auto"/>
          <w:sz w:val="24"/>
          <w:highlight w:val="none"/>
        </w:rPr>
      </w:pPr>
    </w:p>
    <w:p w14:paraId="73667B1A">
      <w:pPr>
        <w:pStyle w:val="2"/>
        <w:adjustRightInd w:val="0"/>
        <w:snapToGrid w:val="0"/>
        <w:spacing w:after="0" w:line="360" w:lineRule="auto"/>
        <w:ind w:left="0" w:leftChars="0" w:firstLine="31680"/>
        <w:jc w:val="center"/>
        <w:rPr>
          <w:rFonts w:hint="default" w:ascii="Times New Roman" w:hAnsi="Times New Roman" w:cs="Times New Roman"/>
          <w:b/>
          <w:color w:val="auto"/>
          <w:sz w:val="24"/>
          <w:highlight w:val="none"/>
        </w:rPr>
      </w:pPr>
    </w:p>
    <w:p w14:paraId="202CC448">
      <w:pPr>
        <w:pStyle w:val="2"/>
        <w:adjustRightInd w:val="0"/>
        <w:snapToGrid w:val="0"/>
        <w:spacing w:after="0" w:line="360" w:lineRule="auto"/>
        <w:ind w:left="0" w:leftChars="0" w:firstLine="31680"/>
        <w:jc w:val="center"/>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 xml:space="preserve">图3.7-1  </w:t>
      </w:r>
      <w:r>
        <w:rPr>
          <w:rFonts w:hint="default" w:ascii="Times New Roman" w:hAnsi="Times New Roman" w:cs="Times New Roman"/>
          <w:b/>
          <w:color w:val="auto"/>
          <w:sz w:val="24"/>
          <w:highlight w:val="none"/>
          <w:lang w:eastAsia="zh-CN"/>
        </w:rPr>
        <w:t>山东隆信药业有限公司</w:t>
      </w:r>
      <w:r>
        <w:rPr>
          <w:rFonts w:hint="default" w:ascii="Times New Roman" w:hAnsi="Times New Roman" w:cs="Times New Roman"/>
          <w:b/>
          <w:color w:val="auto"/>
          <w:sz w:val="24"/>
          <w:highlight w:val="none"/>
        </w:rPr>
        <w:t>突发环境事件应急组织机构</w:t>
      </w:r>
    </w:p>
    <w:p w14:paraId="0C2A0A68">
      <w:pPr>
        <w:keepNext w:val="0"/>
        <w:keepLines w:val="0"/>
        <w:pageBreakBefore w:val="0"/>
        <w:widowControl w:val="0"/>
        <w:kinsoku/>
        <w:wordWrap/>
        <w:overflowPunct/>
        <w:topLinePunct w:val="0"/>
        <w:autoSpaceDE/>
        <w:autoSpaceDN/>
        <w:bidi w:val="0"/>
        <w:adjustRightInd/>
        <w:snapToGrid/>
        <w:spacing w:before="0" w:after="0" w:line="360" w:lineRule="auto"/>
        <w:textAlignment w:val="auto"/>
        <w:outlineLvl w:val="9"/>
        <w:rPr>
          <w:rFonts w:hint="default" w:ascii="Times New Roman" w:hAnsi="Times New Roman" w:eastAsia="宋体" w:cs="Times New Roman"/>
          <w:b/>
          <w:bCs/>
          <w:color w:val="auto"/>
          <w:sz w:val="24"/>
          <w:szCs w:val="32"/>
          <w:highlight w:val="none"/>
        </w:rPr>
      </w:pPr>
      <w:bookmarkStart w:id="102" w:name="_Toc386556738"/>
      <w:r>
        <w:rPr>
          <w:rFonts w:hint="default" w:ascii="Times New Roman" w:hAnsi="Times New Roman" w:eastAsia="宋体" w:cs="Times New Roman"/>
          <w:b/>
          <w:bCs/>
          <w:color w:val="auto"/>
          <w:sz w:val="24"/>
          <w:szCs w:val="32"/>
          <w:highlight w:val="none"/>
        </w:rPr>
        <w:t>3.7.2.2指挥机构职责</w:t>
      </w:r>
      <w:bookmarkEnd w:id="102"/>
    </w:p>
    <w:p w14:paraId="4816E08C">
      <w:pPr>
        <w:keepNext w:val="0"/>
        <w:keepLines w:val="0"/>
        <w:pageBreakBefore w:val="0"/>
        <w:widowControl w:val="0"/>
        <w:kinsoku/>
        <w:wordWrap/>
        <w:overflowPunct/>
        <w:topLinePunct w:val="0"/>
        <w:autoSpaceDE/>
        <w:autoSpaceDN/>
        <w:bidi w:val="0"/>
        <w:adjustRightInd/>
        <w:snapToGrid/>
        <w:spacing w:before="0" w:after="0" w:line="360" w:lineRule="auto"/>
        <w:ind w:firstLine="486" w:firstLineChars="200"/>
        <w:textAlignment w:val="auto"/>
        <w:outlineLvl w:val="9"/>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1）应急指挥中心职责</w:t>
      </w:r>
    </w:p>
    <w:p w14:paraId="2A7F5100">
      <w:pPr>
        <w:widowControl/>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应急指挥中心是公司突发环境事件应急管理的最高指挥机构，对本公司突发环境事件的应急工作全面负责，具体有以下职责：</w:t>
      </w:r>
    </w:p>
    <w:p w14:paraId="0A495DD6">
      <w:pPr>
        <w:widowControl/>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①贯彻执行国家、当地政府、上级主管部门关于突发环境事件发生和应急救援的方针、政策及有关规定。</w:t>
      </w:r>
    </w:p>
    <w:p w14:paraId="5275A8F4">
      <w:pPr>
        <w:widowControl/>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②组织制定、修改突发环境事件应急救援预案，组建应急救援队伍，有计划地组织应急救援培训和演习。</w:t>
      </w:r>
    </w:p>
    <w:p w14:paraId="7C905C56">
      <w:pPr>
        <w:widowControl/>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③审批并落实突发环境事件应急救援所需的监测仪器、防护器材、救援器材等的购置。</w:t>
      </w:r>
    </w:p>
    <w:p w14:paraId="66A557DA">
      <w:pPr>
        <w:widowControl/>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④检查、督促做好突发环境事件的预防措施和应急救援的各项准备工作。</w:t>
      </w:r>
    </w:p>
    <w:p w14:paraId="6C59462B">
      <w:pPr>
        <w:widowControl/>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⑤批准应急救援的启动和终止。</w:t>
      </w:r>
    </w:p>
    <w:p w14:paraId="13A3E2CC">
      <w:pPr>
        <w:widowControl/>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⑥及时向上级有关部门报告突发环境事件的具体情况，必要时向有关单位发出增援请求，并向周边单位通报相关情况。</w:t>
      </w:r>
    </w:p>
    <w:p w14:paraId="5E4D6E12">
      <w:pPr>
        <w:widowControl/>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⑦组织指挥救援队伍实施救援行动，负责人员、资源配置、应急队伍的调动。</w:t>
      </w:r>
    </w:p>
    <w:p w14:paraId="43F94AA1">
      <w:pPr>
        <w:widowControl/>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⑧协调事件现场有关工作。配合政府部门对环境进行恢复、事件调查等工作。</w:t>
      </w:r>
    </w:p>
    <w:p w14:paraId="1D66A3D1">
      <w:pPr>
        <w:widowControl/>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⑨负责对员工进行应急知识和基本防护方法的培训，向周边企业、敏感点等提供本单位有关危险化学品特性、救援知识等的宣传材料。</w:t>
      </w:r>
    </w:p>
    <w:p w14:paraId="71D72B09">
      <w:pPr>
        <w:widowControl/>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指挥中心成员职责：</w:t>
      </w:r>
    </w:p>
    <w:p w14:paraId="5DF9033F">
      <w:pPr>
        <w:widowControl/>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总指挥：全面负责公司突发环境事件应急救援工作。发生环境安全事件时，启动、关闭应急救援预案；在启动预案，组织应急的同时，负责向上级应急指挥中心报告；负责组织人员对事故现场进行恢复，并落实整改措施；负责配合上级有关部门对事故进行调查处理。</w:t>
      </w:r>
    </w:p>
    <w:p w14:paraId="75BE7E83">
      <w:pPr>
        <w:widowControl/>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副总指挥：协助组长开展应急救援工作。发生环境突发事件时，协助总指挥对事故进行组织救援；总指挥不在现场或者不方便履行职责时，行使总指挥的权力。</w:t>
      </w:r>
    </w:p>
    <w:p w14:paraId="4ED99D98">
      <w:pPr>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成员：在各自分管的工作范围内，协助</w:t>
      </w:r>
      <w:r>
        <w:rPr>
          <w:rFonts w:hint="default" w:ascii="Times New Roman" w:hAnsi="Times New Roman" w:cs="Times New Roman"/>
          <w:color w:val="auto"/>
          <w:sz w:val="24"/>
          <w:highlight w:val="none"/>
          <w:lang w:eastAsia="zh-CN"/>
        </w:rPr>
        <w:t>总指挥</w:t>
      </w:r>
      <w:r>
        <w:rPr>
          <w:rFonts w:hint="default" w:ascii="Times New Roman" w:hAnsi="Times New Roman" w:cs="Times New Roman"/>
          <w:color w:val="auto"/>
          <w:sz w:val="24"/>
          <w:highlight w:val="none"/>
        </w:rPr>
        <w:t>开展应急救援工作。</w:t>
      </w:r>
    </w:p>
    <w:p w14:paraId="0F894473">
      <w:pPr>
        <w:spacing w:before="0" w:after="0"/>
        <w:ind w:firstLine="486" w:firstLineChars="200"/>
        <w:outlineLvl w:val="9"/>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2）应急救援办公室职责</w:t>
      </w:r>
    </w:p>
    <w:p w14:paraId="4B9B057F">
      <w:pPr>
        <w:adjustRightInd w:val="0"/>
        <w:snapToGrid w:val="0"/>
        <w:spacing w:line="360" w:lineRule="auto"/>
        <w:ind w:firstLine="486" w:firstLineChars="200"/>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①在公司应急救援指挥中心领导下，负责公司</w:t>
      </w:r>
      <w:r>
        <w:rPr>
          <w:rFonts w:hint="default" w:ascii="Times New Roman" w:hAnsi="Times New Roman" w:cs="Times New Roman"/>
          <w:bCs/>
          <w:color w:val="auto"/>
          <w:sz w:val="24"/>
          <w:szCs w:val="24"/>
          <w:highlight w:val="none"/>
          <w:lang w:eastAsia="zh-CN"/>
        </w:rPr>
        <w:t>突发环境</w:t>
      </w:r>
      <w:r>
        <w:rPr>
          <w:rFonts w:hint="default" w:ascii="Times New Roman" w:hAnsi="Times New Roman" w:cs="Times New Roman"/>
          <w:bCs/>
          <w:color w:val="auto"/>
          <w:sz w:val="24"/>
          <w:szCs w:val="24"/>
          <w:highlight w:val="none"/>
        </w:rPr>
        <w:t>事故应急救援日常管理工作；</w:t>
      </w:r>
    </w:p>
    <w:p w14:paraId="191B0444">
      <w:pPr>
        <w:adjustRightInd w:val="0"/>
        <w:snapToGrid w:val="0"/>
        <w:spacing w:line="360" w:lineRule="auto"/>
        <w:ind w:firstLine="486" w:firstLineChars="200"/>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 xml:space="preserve">②负责公司应急救援体系建设，组织编制和修订公司综合应急预案和专项应急预案，监督、预防预警、应急救援员培训的演练，应急救援处置、评估分析、信息发布、应急救援保障和宣传等工作； </w:t>
      </w:r>
    </w:p>
    <w:p w14:paraId="6A41D6DD">
      <w:pPr>
        <w:adjustRightInd w:val="0"/>
        <w:snapToGrid w:val="0"/>
        <w:spacing w:line="360" w:lineRule="auto"/>
        <w:ind w:firstLine="486" w:firstLineChars="200"/>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③负责应急值守、信息汇总和突发事件处置的综合协调工作；</w:t>
      </w:r>
    </w:p>
    <w:p w14:paraId="364905F7">
      <w:pPr>
        <w:adjustRightInd w:val="0"/>
        <w:snapToGrid w:val="0"/>
        <w:spacing w:line="360" w:lineRule="auto"/>
        <w:ind w:firstLine="486" w:firstLineChars="200"/>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 xml:space="preserve">④负责监督落实公司应急救援指挥中心有关决定事项及上级部门关于应急救援工作的文件、指示、批示精神；  </w:t>
      </w:r>
    </w:p>
    <w:p w14:paraId="541EA089">
      <w:pPr>
        <w:adjustRightInd w:val="0"/>
        <w:snapToGrid w:val="0"/>
        <w:spacing w:line="360" w:lineRule="auto"/>
        <w:ind w:firstLine="486" w:firstLineChars="200"/>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⑤发生突发事件时，根据总指挥的命令启动本预案，按照本预案的规定通知有关职能部门以及有关单位，密切关注事故控制情况，及时与事故单位现场保持联系，及时了解情况并向指挥中心报告，将指挥中心领导的指示传达给有关单位和部门；</w:t>
      </w:r>
    </w:p>
    <w:p w14:paraId="5D606D29">
      <w:pPr>
        <w:adjustRightInd w:val="0"/>
        <w:snapToGrid w:val="0"/>
        <w:spacing w:line="360" w:lineRule="auto"/>
        <w:ind w:firstLine="486" w:firstLineChars="200"/>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⑥ 为是否组成现场应急救援指挥部及确定现场指挥部组成人员和专家提出建议，下达应急救援</w:t>
      </w:r>
      <w:r>
        <w:rPr>
          <w:rFonts w:hint="default" w:ascii="Times New Roman" w:hAnsi="Times New Roman" w:cs="Times New Roman"/>
          <w:bCs/>
          <w:color w:val="auto"/>
          <w:sz w:val="24"/>
          <w:szCs w:val="24"/>
          <w:highlight w:val="none"/>
          <w:lang w:eastAsia="zh-CN"/>
        </w:rPr>
        <w:t>指挥</w:t>
      </w:r>
      <w:r>
        <w:rPr>
          <w:rFonts w:hint="default" w:ascii="Times New Roman" w:hAnsi="Times New Roman" w:cs="Times New Roman"/>
          <w:bCs/>
          <w:color w:val="auto"/>
          <w:sz w:val="24"/>
          <w:szCs w:val="24"/>
          <w:highlight w:val="none"/>
        </w:rPr>
        <w:t>有关指令；</w:t>
      </w:r>
    </w:p>
    <w:p w14:paraId="46A2EC25">
      <w:pPr>
        <w:adjustRightInd w:val="0"/>
        <w:snapToGrid w:val="0"/>
        <w:spacing w:line="360" w:lineRule="auto"/>
        <w:ind w:firstLine="486" w:firstLineChars="200"/>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⑦负责统一对外联络工作，及时向上级有关部门报送应急救援工作信息，统一向新闻媒体发布应急救援信息；</w:t>
      </w:r>
    </w:p>
    <w:p w14:paraId="3556D090">
      <w:pPr>
        <w:adjustRightInd w:val="0"/>
        <w:snapToGrid w:val="0"/>
        <w:spacing w:line="360" w:lineRule="auto"/>
        <w:ind w:firstLine="486" w:firstLineChars="200"/>
        <w:jc w:val="left"/>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⑧组织召开事故原因分析会议；</w:t>
      </w:r>
    </w:p>
    <w:p w14:paraId="48459DC6">
      <w:pPr>
        <w:adjustRightInd w:val="0"/>
        <w:snapToGrid w:val="0"/>
        <w:spacing w:line="360" w:lineRule="auto"/>
        <w:ind w:firstLine="486" w:firstLineChars="200"/>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⑨及时办理指挥中心领导交办的各项工作。</w:t>
      </w:r>
    </w:p>
    <w:p w14:paraId="3A9359D3">
      <w:pPr>
        <w:spacing w:before="0" w:after="0"/>
        <w:ind w:firstLine="486" w:firstLineChars="200"/>
        <w:outlineLvl w:val="9"/>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3）通讯联络组职责</w:t>
      </w:r>
    </w:p>
    <w:p w14:paraId="22003DB3">
      <w:pPr>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①确保建立24小时有效的内部、外部通讯联络的畅通。</w:t>
      </w:r>
    </w:p>
    <w:p w14:paraId="675CBC57">
      <w:pPr>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②负责与危险化学品生产厂家运输人员的联络。</w:t>
      </w:r>
    </w:p>
    <w:p w14:paraId="67FA13FF">
      <w:pPr>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③负责报警联络。</w:t>
      </w:r>
    </w:p>
    <w:p w14:paraId="0BD4F392">
      <w:pPr>
        <w:spacing w:before="0" w:after="0"/>
        <w:ind w:firstLine="486" w:firstLineChars="200"/>
        <w:outlineLvl w:val="9"/>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4）抢险救援洗消组职责</w:t>
      </w:r>
    </w:p>
    <w:p w14:paraId="32E4FB69">
      <w:pPr>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①负责向领导部门、消防部门及当地政府发出救援信号。</w:t>
      </w:r>
    </w:p>
    <w:p w14:paraId="5A573E2A">
      <w:pPr>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②负责组织救援小组成员进行应急救援活动。</w:t>
      </w:r>
    </w:p>
    <w:p w14:paraId="36A1DA9B">
      <w:pPr>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③事故发生时，救援小组成员要穿戴好防护用品，迅速进行现场查明火情及危害程度。</w:t>
      </w:r>
    </w:p>
    <w:p w14:paraId="047748F8">
      <w:pPr>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④利用自有灭火器材及消防设施，开展灭火自救。</w:t>
      </w:r>
    </w:p>
    <w:p w14:paraId="47F2D07E">
      <w:pPr>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⑤负责对厂区内员工进行紧急疏散工作。</w:t>
      </w:r>
    </w:p>
    <w:p w14:paraId="23B29DC7">
      <w:pPr>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⑥负责控制现场局面，保护人身及财产安全。</w:t>
      </w:r>
    </w:p>
    <w:p w14:paraId="4F771FD2">
      <w:pPr>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⑦保护好现场，实行24小时对火灾源及中毒区监控。</w:t>
      </w:r>
    </w:p>
    <w:p w14:paraId="5893BE72">
      <w:pPr>
        <w:adjustRightInd w:val="0"/>
        <w:snapToGrid w:val="0"/>
        <w:spacing w:line="360" w:lineRule="auto"/>
        <w:ind w:firstLine="486"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⑧负责在灭火完成后及时对企业各建筑物、生产装置以及道路进行清洗，消除污染。</w:t>
      </w:r>
    </w:p>
    <w:p w14:paraId="3B92ABFB">
      <w:pPr>
        <w:adjustRightInd w:val="0"/>
        <w:snapToGrid w:val="0"/>
        <w:spacing w:line="360" w:lineRule="auto"/>
        <w:ind w:firstLine="486"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5）医疗救援组职责</w:t>
      </w:r>
    </w:p>
    <w:p w14:paraId="00789D7E">
      <w:pPr>
        <w:adjustRightInd w:val="0"/>
        <w:snapToGrid w:val="0"/>
        <w:spacing w:line="360" w:lineRule="auto"/>
        <w:ind w:firstLine="486"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①向当时医疗机构发出求救信号及信息，报告事故发生地及人员伤亡情况，提供必要的救治。</w:t>
      </w:r>
    </w:p>
    <w:p w14:paraId="046490D0">
      <w:pPr>
        <w:adjustRightInd w:val="0"/>
        <w:snapToGrid w:val="0"/>
        <w:spacing w:line="360" w:lineRule="auto"/>
        <w:ind w:firstLine="486"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②进入事故发生区或中毒危害区，抢救伤员及中毒人员。</w:t>
      </w:r>
    </w:p>
    <w:p w14:paraId="52378D6C">
      <w:pPr>
        <w:adjustRightInd w:val="0"/>
        <w:snapToGrid w:val="0"/>
        <w:spacing w:line="360" w:lineRule="auto"/>
        <w:ind w:firstLine="486"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③指导危害区、事故发生区公众进行自救及互救。</w:t>
      </w:r>
    </w:p>
    <w:p w14:paraId="7BA5C422">
      <w:pPr>
        <w:adjustRightInd w:val="0"/>
        <w:snapToGrid w:val="0"/>
        <w:spacing w:line="360" w:lineRule="auto"/>
        <w:ind w:firstLine="486"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④集中清点输送伤员。</w:t>
      </w:r>
    </w:p>
    <w:p w14:paraId="3BCA26AC">
      <w:pPr>
        <w:adjustRightInd w:val="0"/>
        <w:snapToGrid w:val="0"/>
        <w:spacing w:line="360" w:lineRule="auto"/>
        <w:ind w:firstLine="486"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6）警戒保卫组职责</w:t>
      </w:r>
    </w:p>
    <w:p w14:paraId="2B715A18">
      <w:pPr>
        <w:adjustRightInd w:val="0"/>
        <w:snapToGrid w:val="0"/>
        <w:spacing w:line="360" w:lineRule="auto"/>
        <w:ind w:firstLine="486"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对事故现场做好警戒、保护好事故现场；辅助抢险救援组的紧急疏散工作；维持厂区治安，控制事故区域边界人员及车辆的进出，防止无关人员进入，保证救援器材、物资的畅通和道路导向。</w:t>
      </w:r>
    </w:p>
    <w:p w14:paraId="429C1182">
      <w:pPr>
        <w:adjustRightInd w:val="0"/>
        <w:snapToGrid w:val="0"/>
        <w:spacing w:line="360" w:lineRule="auto"/>
        <w:ind w:firstLine="486"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7）后勤保障组职责</w:t>
      </w:r>
    </w:p>
    <w:p w14:paraId="10162091">
      <w:pPr>
        <w:adjustRightInd w:val="0"/>
        <w:snapToGrid w:val="0"/>
        <w:spacing w:line="360" w:lineRule="auto"/>
        <w:ind w:firstLine="486"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提供合格的抢险抢修或救援的物资及设备，保障各组人员必须的防护、救护用品及生活物质的供给</w:t>
      </w:r>
      <w:r>
        <w:rPr>
          <w:rFonts w:hint="default" w:ascii="Times New Roman" w:hAnsi="Times New Roman" w:eastAsia="宋体" w:cs="Times New Roman"/>
          <w:color w:val="auto"/>
          <w:sz w:val="24"/>
          <w:highlight w:val="none"/>
          <w:lang w:eastAsia="zh-CN"/>
        </w:rPr>
        <w:t>以及</w:t>
      </w:r>
      <w:r>
        <w:rPr>
          <w:rFonts w:hint="default" w:ascii="Times New Roman" w:hAnsi="Times New Roman" w:eastAsia="宋体" w:cs="Times New Roman"/>
          <w:color w:val="auto"/>
          <w:sz w:val="24"/>
          <w:highlight w:val="none"/>
        </w:rPr>
        <w:t>负责事故应急所需消防器材及设施、应急救援人员安全防护用品的采购、保管。</w:t>
      </w:r>
    </w:p>
    <w:p w14:paraId="1B733B17">
      <w:pPr>
        <w:adjustRightInd w:val="0"/>
        <w:snapToGrid w:val="0"/>
        <w:spacing w:line="360" w:lineRule="auto"/>
        <w:ind w:firstLine="486"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8）应急环境监测组职责</w:t>
      </w:r>
    </w:p>
    <w:p w14:paraId="4EA28895">
      <w:pPr>
        <w:adjustRightInd w:val="0"/>
        <w:snapToGrid w:val="0"/>
        <w:spacing w:line="360" w:lineRule="auto"/>
        <w:ind w:firstLine="486"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①负责配合企业委托的有资质和能力的专业监测机构进行监测，跟进突发环境事件的应急监测，掌握第一手监测资料，并配合地方环境监测机构进行应急监测工作。</w:t>
      </w:r>
    </w:p>
    <w:p w14:paraId="11E06DD2">
      <w:pPr>
        <w:adjustRightInd w:val="0"/>
        <w:snapToGrid w:val="0"/>
        <w:spacing w:line="360" w:lineRule="auto"/>
        <w:ind w:firstLine="486"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②负责环保设施的运行情况的上报工作。</w:t>
      </w:r>
    </w:p>
    <w:p w14:paraId="730B5934">
      <w:pPr>
        <w:adjustRightInd w:val="0"/>
        <w:snapToGrid w:val="0"/>
        <w:spacing w:line="360" w:lineRule="auto"/>
        <w:ind w:firstLine="486"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③负责环保设施的相关后处理工作实施。</w:t>
      </w:r>
    </w:p>
    <w:p w14:paraId="57A06303">
      <w:pPr>
        <w:adjustRightInd w:val="0"/>
        <w:snapToGrid w:val="0"/>
        <w:spacing w:line="360" w:lineRule="auto"/>
        <w:ind w:firstLine="486"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9）事故原因调查组职责</w:t>
      </w:r>
    </w:p>
    <w:p w14:paraId="7F350F04">
      <w:pPr>
        <w:adjustRightInd w:val="0"/>
        <w:snapToGrid w:val="0"/>
        <w:spacing w:line="360" w:lineRule="auto"/>
        <w:ind w:firstLine="486"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负责调查事故发生原因，检查事故现场，消除潜在隐患，落实防范措施，查明事故责任，调查事故人员伤亡、损失情况，拟定《事故调查报告》，并向上级有关部门汇报。</w:t>
      </w:r>
    </w:p>
    <w:p w14:paraId="2264B208">
      <w:pPr>
        <w:adjustRightInd w:val="0"/>
        <w:snapToGrid w:val="0"/>
        <w:spacing w:line="360" w:lineRule="auto"/>
        <w:ind w:firstLine="486"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val="en-US" w:eastAsia="zh-CN"/>
        </w:rPr>
        <w:t>10</w:t>
      </w:r>
      <w:r>
        <w:rPr>
          <w:rFonts w:hint="default" w:ascii="Times New Roman" w:hAnsi="Times New Roman" w:eastAsia="宋体" w:cs="Times New Roman"/>
          <w:color w:val="auto"/>
          <w:sz w:val="24"/>
          <w:highlight w:val="none"/>
        </w:rPr>
        <w:t>）</w:t>
      </w:r>
      <w:r>
        <w:rPr>
          <w:rFonts w:hint="default" w:ascii="Times New Roman" w:hAnsi="Times New Roman" w:eastAsia="宋体" w:cs="Times New Roman"/>
          <w:color w:val="auto"/>
          <w:sz w:val="24"/>
          <w:highlight w:val="none"/>
          <w:lang w:eastAsia="zh-CN"/>
        </w:rPr>
        <w:t>应急</w:t>
      </w:r>
      <w:r>
        <w:rPr>
          <w:rFonts w:hint="default" w:ascii="Times New Roman" w:hAnsi="Times New Roman" w:eastAsia="宋体" w:cs="Times New Roman"/>
          <w:color w:val="auto"/>
          <w:sz w:val="24"/>
          <w:highlight w:val="none"/>
        </w:rPr>
        <w:t>专家组职责</w:t>
      </w:r>
    </w:p>
    <w:p w14:paraId="2BCFEEB5">
      <w:pPr>
        <w:adjustRightInd w:val="0"/>
        <w:snapToGrid w:val="0"/>
        <w:spacing w:line="360" w:lineRule="auto"/>
        <w:ind w:firstLine="486"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①为应急工作提供应急处置方案、建议和技术支持。</w:t>
      </w:r>
    </w:p>
    <w:p w14:paraId="7F9B0BA1">
      <w:pPr>
        <w:adjustRightInd w:val="0"/>
        <w:snapToGrid w:val="0"/>
        <w:spacing w:line="360" w:lineRule="auto"/>
        <w:ind w:firstLine="486"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②参与制定现场应急处置方案。</w:t>
      </w:r>
    </w:p>
    <w:p w14:paraId="5A583656">
      <w:pPr>
        <w:adjustRightInd w:val="0"/>
        <w:snapToGrid w:val="0"/>
        <w:spacing w:line="360" w:lineRule="auto"/>
        <w:ind w:firstLine="486"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③负责应急指挥中心交办的其他任务。</w:t>
      </w:r>
    </w:p>
    <w:p w14:paraId="4F3F396A">
      <w:pPr>
        <w:keepNext w:val="0"/>
        <w:keepLines w:val="0"/>
        <w:pageBreakBefore w:val="0"/>
        <w:widowControl w:val="0"/>
        <w:kinsoku/>
        <w:wordWrap/>
        <w:overflowPunct/>
        <w:topLinePunct w:val="0"/>
        <w:autoSpaceDE/>
        <w:autoSpaceDN/>
        <w:bidi w:val="0"/>
        <w:adjustRightInd/>
        <w:snapToGrid/>
        <w:spacing w:before="0" w:after="0" w:line="360" w:lineRule="auto"/>
        <w:textAlignment w:val="auto"/>
        <w:outlineLvl w:val="9"/>
        <w:rPr>
          <w:rFonts w:hint="default" w:ascii="Times New Roman" w:hAnsi="Times New Roman" w:eastAsia="宋体" w:cs="Times New Roman"/>
          <w:b/>
          <w:bCs/>
          <w:color w:val="auto"/>
          <w:sz w:val="24"/>
          <w:szCs w:val="32"/>
          <w:highlight w:val="none"/>
        </w:rPr>
      </w:pPr>
      <w:r>
        <w:rPr>
          <w:rFonts w:hint="default" w:ascii="Times New Roman" w:hAnsi="Times New Roman" w:eastAsia="宋体" w:cs="Times New Roman"/>
          <w:b/>
          <w:bCs/>
          <w:color w:val="auto"/>
          <w:sz w:val="24"/>
          <w:szCs w:val="32"/>
          <w:highlight w:val="none"/>
        </w:rPr>
        <w:t>3.7.3 应急通讯保障</w:t>
      </w:r>
    </w:p>
    <w:p w14:paraId="30481180">
      <w:pPr>
        <w:keepNext w:val="0"/>
        <w:keepLines w:val="0"/>
        <w:pageBreakBefore w:val="0"/>
        <w:widowControl w:val="0"/>
        <w:kinsoku/>
        <w:wordWrap/>
        <w:overflowPunct/>
        <w:topLinePunct w:val="0"/>
        <w:autoSpaceDE/>
        <w:autoSpaceDN/>
        <w:bidi w:val="0"/>
        <w:adjustRightInd/>
        <w:snapToGrid/>
        <w:spacing w:before="0" w:after="0" w:line="360" w:lineRule="auto"/>
        <w:textAlignment w:val="auto"/>
        <w:outlineLvl w:val="9"/>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3.7.3.1 内部救援队伍</w:t>
      </w:r>
    </w:p>
    <w:p w14:paraId="1B087928">
      <w:pPr>
        <w:keepNext w:val="0"/>
        <w:keepLines w:val="0"/>
        <w:pageBreakBefore w:val="0"/>
        <w:widowControl w:val="0"/>
        <w:kinsoku/>
        <w:wordWrap/>
        <w:overflowPunct/>
        <w:topLinePunct w:val="0"/>
        <w:autoSpaceDE/>
        <w:autoSpaceDN/>
        <w:bidi w:val="0"/>
        <w:adjustRightInd/>
        <w:snapToGrid/>
        <w:spacing w:before="0" w:after="0" w:line="360" w:lineRule="auto"/>
        <w:ind w:firstLine="486" w:firstLineChars="200"/>
        <w:textAlignment w:val="auto"/>
        <w:outlineLvl w:val="9"/>
        <w:rPr>
          <w:rFonts w:hint="default" w:ascii="Times New Roman" w:hAnsi="Times New Roman" w:eastAsia="宋体" w:cs="Times New Roman"/>
          <w:b w:val="0"/>
          <w:bCs w:val="0"/>
          <w:color w:val="auto"/>
          <w:sz w:val="24"/>
          <w:szCs w:val="32"/>
          <w:highlight w:val="none"/>
        </w:rPr>
      </w:pPr>
      <w:r>
        <w:rPr>
          <w:rFonts w:hint="default" w:ascii="Times New Roman" w:hAnsi="Times New Roman" w:eastAsia="宋体" w:cs="Times New Roman"/>
          <w:b w:val="0"/>
          <w:bCs w:val="0"/>
          <w:color w:val="auto"/>
          <w:sz w:val="24"/>
          <w:szCs w:val="32"/>
          <w:highlight w:val="none"/>
        </w:rPr>
        <w:t>公司设立值班室，值班安排24小时有效报警通讯程控电话，方便报警，与有关方面及时取得联系。职工配备对讲机，可保障信息的及时传递。</w:t>
      </w:r>
    </w:p>
    <w:p w14:paraId="1A234D55">
      <w:pPr>
        <w:widowControl/>
        <w:adjustRightInd w:val="0"/>
        <w:snapToGrid w:val="0"/>
        <w:spacing w:line="360" w:lineRule="auto"/>
        <w:ind w:firstLine="561"/>
        <w:jc w:val="center"/>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表3.7-</w:t>
      </w:r>
      <w:r>
        <w:rPr>
          <w:rFonts w:hint="default" w:ascii="Times New Roman" w:hAnsi="Times New Roman" w:cs="Times New Roman"/>
          <w:b/>
          <w:bCs/>
          <w:color w:val="auto"/>
          <w:sz w:val="24"/>
          <w:highlight w:val="none"/>
          <w:lang w:val="en-US" w:eastAsia="zh-CN"/>
        </w:rPr>
        <w:t>2</w:t>
      </w:r>
      <w:r>
        <w:rPr>
          <w:rFonts w:hint="default" w:ascii="Times New Roman" w:hAnsi="Times New Roman" w:eastAsia="宋体" w:cs="Times New Roman"/>
          <w:b/>
          <w:bCs/>
          <w:color w:val="auto"/>
          <w:sz w:val="24"/>
          <w:highlight w:val="none"/>
        </w:rPr>
        <w:t xml:space="preserve">  企业内部应急联络通讯录</w:t>
      </w:r>
    </w:p>
    <w:tbl>
      <w:tblPr>
        <w:tblStyle w:val="33"/>
        <w:tblW w:w="488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6"/>
        <w:gridCol w:w="1441"/>
        <w:gridCol w:w="1945"/>
        <w:gridCol w:w="2601"/>
        <w:gridCol w:w="1578"/>
      </w:tblGrid>
      <w:tr w14:paraId="0672B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blHeader/>
          <w:jc w:val="center"/>
        </w:trPr>
        <w:tc>
          <w:tcPr>
            <w:tcW w:w="976" w:type="pct"/>
            <w:noWrap w:val="0"/>
            <w:vAlign w:val="center"/>
          </w:tcPr>
          <w:p w14:paraId="1882605A">
            <w:pPr>
              <w:pStyle w:val="127"/>
              <w:keepNext w:val="0"/>
              <w:keepLines w:val="0"/>
              <w:widowControl/>
              <w:suppressLineNumbers w:val="0"/>
              <w:spacing w:before="0" w:beforeAutospacing="0" w:after="0" w:afterAutospacing="0"/>
              <w:ind w:left="360" w:right="0"/>
              <w:jc w:val="both"/>
              <w:rPr>
                <w:rFonts w:hint="default"/>
                <w:b/>
                <w:bCs/>
                <w:color w:val="auto"/>
              </w:rPr>
            </w:pPr>
            <w:r>
              <w:rPr>
                <w:rFonts w:hint="eastAsia"/>
                <w:b/>
                <w:bCs/>
                <w:color w:val="auto"/>
              </w:rPr>
              <w:t>机构名称</w:t>
            </w:r>
          </w:p>
        </w:tc>
        <w:tc>
          <w:tcPr>
            <w:tcW w:w="766" w:type="pct"/>
            <w:noWrap w:val="0"/>
            <w:vAlign w:val="center"/>
          </w:tcPr>
          <w:p w14:paraId="50A47CF3">
            <w:pPr>
              <w:pStyle w:val="127"/>
              <w:keepNext w:val="0"/>
              <w:keepLines w:val="0"/>
              <w:widowControl/>
              <w:suppressLineNumbers w:val="0"/>
              <w:spacing w:before="0" w:beforeAutospacing="0" w:after="0" w:afterAutospacing="0"/>
              <w:ind w:left="0" w:right="0"/>
              <w:rPr>
                <w:rFonts w:hint="default"/>
                <w:b/>
                <w:bCs/>
                <w:color w:val="auto"/>
              </w:rPr>
            </w:pPr>
            <w:r>
              <w:rPr>
                <w:rFonts w:hint="default"/>
                <w:b/>
                <w:bCs/>
                <w:color w:val="auto"/>
              </w:rPr>
              <w:t>应急职务</w:t>
            </w:r>
          </w:p>
        </w:tc>
        <w:tc>
          <w:tcPr>
            <w:tcW w:w="1034" w:type="pct"/>
            <w:noWrap w:val="0"/>
            <w:vAlign w:val="center"/>
          </w:tcPr>
          <w:p w14:paraId="62F5B2DE">
            <w:pPr>
              <w:pStyle w:val="127"/>
              <w:keepNext w:val="0"/>
              <w:keepLines w:val="0"/>
              <w:widowControl/>
              <w:suppressLineNumbers w:val="0"/>
              <w:spacing w:before="0" w:beforeAutospacing="0" w:after="0" w:afterAutospacing="0"/>
              <w:ind w:left="0" w:right="0"/>
              <w:rPr>
                <w:rFonts w:hint="default"/>
                <w:b/>
                <w:bCs/>
                <w:color w:val="auto"/>
              </w:rPr>
            </w:pPr>
            <w:r>
              <w:rPr>
                <w:rFonts w:hint="default"/>
                <w:b/>
                <w:bCs/>
                <w:color w:val="auto"/>
              </w:rPr>
              <w:t>姓名</w:t>
            </w:r>
          </w:p>
        </w:tc>
        <w:tc>
          <w:tcPr>
            <w:tcW w:w="1383" w:type="pct"/>
            <w:noWrap w:val="0"/>
            <w:vAlign w:val="center"/>
          </w:tcPr>
          <w:p w14:paraId="3C107404">
            <w:pPr>
              <w:pStyle w:val="127"/>
              <w:keepNext w:val="0"/>
              <w:keepLines w:val="0"/>
              <w:widowControl/>
              <w:suppressLineNumbers w:val="0"/>
              <w:spacing w:before="0" w:beforeAutospacing="0" w:after="0" w:afterAutospacing="0"/>
              <w:ind w:left="0" w:right="0"/>
              <w:rPr>
                <w:rFonts w:hint="default"/>
                <w:b/>
                <w:bCs/>
                <w:color w:val="auto"/>
              </w:rPr>
            </w:pPr>
            <w:r>
              <w:rPr>
                <w:rFonts w:hint="default"/>
                <w:b/>
                <w:bCs/>
                <w:color w:val="auto"/>
              </w:rPr>
              <w:t>日常职务</w:t>
            </w:r>
          </w:p>
        </w:tc>
        <w:tc>
          <w:tcPr>
            <w:tcW w:w="839" w:type="pct"/>
            <w:noWrap w:val="0"/>
            <w:vAlign w:val="center"/>
          </w:tcPr>
          <w:p w14:paraId="5DEFE0EC">
            <w:pPr>
              <w:pStyle w:val="127"/>
              <w:keepNext w:val="0"/>
              <w:keepLines w:val="0"/>
              <w:widowControl/>
              <w:suppressLineNumbers w:val="0"/>
              <w:spacing w:before="0" w:beforeAutospacing="0" w:after="0" w:afterAutospacing="0"/>
              <w:ind w:left="0" w:right="0"/>
              <w:rPr>
                <w:rFonts w:hint="default"/>
                <w:b/>
                <w:bCs/>
                <w:color w:val="auto"/>
              </w:rPr>
            </w:pPr>
            <w:r>
              <w:rPr>
                <w:rFonts w:hint="default"/>
                <w:b/>
                <w:bCs/>
                <w:color w:val="auto"/>
              </w:rPr>
              <w:t>手机号码</w:t>
            </w:r>
          </w:p>
        </w:tc>
      </w:tr>
      <w:tr w14:paraId="0697E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76" w:type="pct"/>
            <w:vMerge w:val="restart"/>
            <w:noWrap w:val="0"/>
            <w:vAlign w:val="center"/>
          </w:tcPr>
          <w:p w14:paraId="158F1E14">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应急指挥部</w:t>
            </w:r>
          </w:p>
        </w:tc>
        <w:tc>
          <w:tcPr>
            <w:tcW w:w="766" w:type="pct"/>
            <w:noWrap w:val="0"/>
            <w:vAlign w:val="center"/>
          </w:tcPr>
          <w:p w14:paraId="09A0F3B6">
            <w:pPr>
              <w:pStyle w:val="127"/>
              <w:keepNext w:val="0"/>
              <w:keepLines w:val="0"/>
              <w:widowControl/>
              <w:suppressLineNumbers w:val="0"/>
              <w:spacing w:before="0" w:beforeAutospacing="0" w:after="0" w:afterAutospacing="0"/>
              <w:ind w:left="0" w:right="0"/>
              <w:rPr>
                <w:rFonts w:hint="eastAsia" w:ascii="宋体" w:hAnsi="宋体" w:eastAsia="宋体" w:cs="宋体"/>
                <w:color w:val="auto"/>
              </w:rPr>
            </w:pPr>
            <w:r>
              <w:rPr>
                <w:rFonts w:hint="eastAsia" w:ascii="宋体" w:hAnsi="宋体" w:eastAsia="宋体" w:cs="宋体"/>
                <w:color w:val="auto"/>
              </w:rPr>
              <w:t>总指挥</w:t>
            </w:r>
          </w:p>
        </w:tc>
        <w:tc>
          <w:tcPr>
            <w:tcW w:w="1034" w:type="pct"/>
            <w:noWrap w:val="0"/>
            <w:vAlign w:val="center"/>
          </w:tcPr>
          <w:p w14:paraId="3A660249">
            <w:pPr>
              <w:pStyle w:val="127"/>
              <w:keepNext w:val="0"/>
              <w:keepLines w:val="0"/>
              <w:widowControl/>
              <w:suppressLineNumbers w:val="0"/>
              <w:spacing w:before="0" w:beforeAutospacing="0" w:after="0" w:afterAutospacing="0"/>
              <w:ind w:left="0" w:right="0"/>
              <w:rPr>
                <w:rFonts w:hint="eastAsia" w:ascii="宋体" w:hAnsi="宋体" w:eastAsia="宋体" w:cs="宋体"/>
                <w:color w:val="auto"/>
                <w:lang w:eastAsia="zh-CN"/>
              </w:rPr>
            </w:pPr>
            <w:r>
              <w:rPr>
                <w:rFonts w:hint="eastAsia" w:ascii="宋体" w:hAnsi="宋体" w:cs="宋体"/>
                <w:color w:val="auto"/>
                <w:lang w:eastAsia="zh-CN"/>
              </w:rPr>
              <w:t>庞建伟</w:t>
            </w:r>
          </w:p>
        </w:tc>
        <w:tc>
          <w:tcPr>
            <w:tcW w:w="1383" w:type="pct"/>
            <w:noWrap w:val="0"/>
            <w:vAlign w:val="center"/>
          </w:tcPr>
          <w:p w14:paraId="672CD80E">
            <w:pPr>
              <w:pStyle w:val="127"/>
              <w:keepNext w:val="0"/>
              <w:keepLines w:val="0"/>
              <w:widowControl/>
              <w:suppressLineNumbers w:val="0"/>
              <w:spacing w:before="0" w:beforeAutospacing="0" w:after="0" w:afterAutospacing="0"/>
              <w:ind w:left="0" w:right="0"/>
              <w:rPr>
                <w:rFonts w:hint="eastAsia" w:ascii="宋体" w:hAnsi="宋体" w:eastAsia="宋体" w:cs="宋体"/>
                <w:color w:val="auto"/>
              </w:rPr>
            </w:pPr>
            <w:r>
              <w:rPr>
                <w:rFonts w:hint="eastAsia" w:ascii="宋体" w:hAnsi="宋体" w:cs="宋体"/>
                <w:color w:val="auto"/>
                <w:lang w:eastAsia="zh-CN"/>
              </w:rPr>
              <w:t>制造部</w:t>
            </w:r>
            <w:r>
              <w:rPr>
                <w:rFonts w:hint="eastAsia" w:ascii="宋体" w:hAnsi="宋体" w:eastAsia="宋体" w:cs="宋体"/>
                <w:color w:val="auto"/>
              </w:rPr>
              <w:t>经理</w:t>
            </w:r>
          </w:p>
        </w:tc>
        <w:tc>
          <w:tcPr>
            <w:tcW w:w="839" w:type="pct"/>
            <w:noWrap w:val="0"/>
            <w:vAlign w:val="center"/>
          </w:tcPr>
          <w:p w14:paraId="26F7DCE9">
            <w:pPr>
              <w:pStyle w:val="127"/>
              <w:keepNext w:val="0"/>
              <w:keepLines w:val="0"/>
              <w:widowControl/>
              <w:suppressLineNumbers w:val="0"/>
              <w:spacing w:before="0" w:beforeAutospacing="0" w:after="0" w:afterAutospacing="0"/>
              <w:ind w:left="0" w:right="0"/>
              <w:jc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18954400626</w:t>
            </w:r>
          </w:p>
        </w:tc>
      </w:tr>
      <w:tr w14:paraId="20DD4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976" w:type="pct"/>
            <w:vMerge w:val="continue"/>
            <w:noWrap w:val="0"/>
            <w:vAlign w:val="center"/>
          </w:tcPr>
          <w:p w14:paraId="3D597A06">
            <w:pPr>
              <w:pStyle w:val="127"/>
              <w:keepNext w:val="0"/>
              <w:keepLines w:val="0"/>
              <w:widowControl/>
              <w:suppressLineNumbers w:val="0"/>
              <w:spacing w:before="0" w:beforeAutospacing="0" w:after="0" w:afterAutospacing="0"/>
              <w:ind w:left="0" w:right="0"/>
              <w:rPr>
                <w:rFonts w:hint="default"/>
                <w:color w:val="auto"/>
              </w:rPr>
            </w:pPr>
          </w:p>
        </w:tc>
        <w:tc>
          <w:tcPr>
            <w:tcW w:w="766" w:type="pct"/>
            <w:noWrap w:val="0"/>
            <w:vAlign w:val="center"/>
          </w:tcPr>
          <w:p w14:paraId="1B0BE8BD">
            <w:pPr>
              <w:pStyle w:val="127"/>
              <w:keepNext w:val="0"/>
              <w:keepLines w:val="0"/>
              <w:widowControl/>
              <w:suppressLineNumbers w:val="0"/>
              <w:spacing w:before="0" w:beforeAutospacing="0" w:after="0" w:afterAutospacing="0"/>
              <w:ind w:left="0" w:right="0"/>
              <w:rPr>
                <w:rFonts w:hint="eastAsia" w:ascii="宋体" w:hAnsi="宋体" w:eastAsia="宋体" w:cs="宋体"/>
                <w:color w:val="auto"/>
              </w:rPr>
            </w:pPr>
            <w:r>
              <w:rPr>
                <w:rFonts w:hint="eastAsia" w:ascii="宋体" w:hAnsi="宋体" w:eastAsia="宋体" w:cs="宋体"/>
                <w:color w:val="auto"/>
              </w:rPr>
              <w:t>副总指挥</w:t>
            </w:r>
          </w:p>
        </w:tc>
        <w:tc>
          <w:tcPr>
            <w:tcW w:w="1034" w:type="pct"/>
            <w:noWrap w:val="0"/>
            <w:vAlign w:val="center"/>
          </w:tcPr>
          <w:p w14:paraId="6821BB01">
            <w:pPr>
              <w:pStyle w:val="127"/>
              <w:keepNext w:val="0"/>
              <w:keepLines w:val="0"/>
              <w:widowControl/>
              <w:suppressLineNumbers w:val="0"/>
              <w:spacing w:before="0" w:beforeAutospacing="0" w:after="0" w:afterAutospacing="0"/>
              <w:ind w:left="0" w:right="0"/>
              <w:rPr>
                <w:rFonts w:hint="eastAsia" w:ascii="宋体" w:hAnsi="宋体" w:eastAsia="宋体" w:cs="宋体"/>
                <w:color w:val="auto"/>
                <w:lang w:eastAsia="zh-CN"/>
              </w:rPr>
            </w:pPr>
            <w:r>
              <w:rPr>
                <w:rFonts w:hint="eastAsia" w:ascii="宋体" w:hAnsi="宋体" w:cs="宋体"/>
                <w:color w:val="auto"/>
                <w:lang w:eastAsia="zh-CN"/>
              </w:rPr>
              <w:t>杜星</w:t>
            </w:r>
          </w:p>
        </w:tc>
        <w:tc>
          <w:tcPr>
            <w:tcW w:w="1383" w:type="pct"/>
            <w:noWrap w:val="0"/>
            <w:vAlign w:val="center"/>
          </w:tcPr>
          <w:p w14:paraId="6E030AE9">
            <w:pPr>
              <w:pStyle w:val="127"/>
              <w:keepNext w:val="0"/>
              <w:keepLines w:val="0"/>
              <w:widowControl/>
              <w:suppressLineNumbers w:val="0"/>
              <w:spacing w:before="0" w:beforeAutospacing="0" w:after="0" w:afterAutospacing="0"/>
              <w:ind w:left="0" w:right="0"/>
              <w:rPr>
                <w:rFonts w:hint="eastAsia" w:ascii="宋体" w:hAnsi="宋体" w:eastAsia="宋体" w:cs="宋体"/>
                <w:color w:val="auto"/>
                <w:lang w:eastAsia="zh-CN"/>
              </w:rPr>
            </w:pPr>
            <w:r>
              <w:rPr>
                <w:rFonts w:hint="eastAsia" w:ascii="宋体" w:hAnsi="宋体" w:cs="宋体"/>
                <w:color w:val="auto"/>
                <w:lang w:eastAsia="zh-CN"/>
              </w:rPr>
              <w:t>安全总监</w:t>
            </w:r>
          </w:p>
        </w:tc>
        <w:tc>
          <w:tcPr>
            <w:tcW w:w="839" w:type="pct"/>
            <w:noWrap w:val="0"/>
            <w:vAlign w:val="center"/>
          </w:tcPr>
          <w:p w14:paraId="445FC0FF">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15275918688</w:t>
            </w:r>
          </w:p>
        </w:tc>
      </w:tr>
      <w:tr w14:paraId="4A554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976" w:type="pct"/>
            <w:vMerge w:val="restart"/>
            <w:noWrap w:val="0"/>
            <w:vAlign w:val="center"/>
          </w:tcPr>
          <w:p w14:paraId="4CB8CE58">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现场处置组</w:t>
            </w:r>
          </w:p>
        </w:tc>
        <w:tc>
          <w:tcPr>
            <w:tcW w:w="766" w:type="pct"/>
            <w:noWrap w:val="0"/>
            <w:vAlign w:val="center"/>
          </w:tcPr>
          <w:p w14:paraId="2D9204A9">
            <w:pPr>
              <w:pStyle w:val="127"/>
              <w:keepNext w:val="0"/>
              <w:keepLines w:val="0"/>
              <w:widowControl/>
              <w:suppressLineNumbers w:val="0"/>
              <w:spacing w:before="0" w:beforeAutospacing="0" w:after="0" w:afterAutospacing="0"/>
              <w:ind w:left="0" w:right="0"/>
              <w:rPr>
                <w:rFonts w:hint="eastAsia" w:ascii="宋体" w:hAnsi="宋体" w:eastAsia="宋体" w:cs="宋体"/>
                <w:color w:val="auto"/>
              </w:rPr>
            </w:pPr>
            <w:r>
              <w:rPr>
                <w:rFonts w:hint="eastAsia" w:ascii="宋体" w:hAnsi="宋体" w:eastAsia="宋体" w:cs="宋体"/>
                <w:color w:val="auto"/>
              </w:rPr>
              <w:t>组长</w:t>
            </w:r>
          </w:p>
        </w:tc>
        <w:tc>
          <w:tcPr>
            <w:tcW w:w="1034" w:type="pct"/>
            <w:noWrap w:val="0"/>
            <w:vAlign w:val="center"/>
          </w:tcPr>
          <w:p w14:paraId="32A31E44">
            <w:pPr>
              <w:pStyle w:val="127"/>
              <w:keepNext w:val="0"/>
              <w:keepLines w:val="0"/>
              <w:widowControl/>
              <w:suppressLineNumbers w:val="0"/>
              <w:spacing w:before="0" w:beforeAutospacing="0" w:after="0" w:afterAutospacing="0"/>
              <w:ind w:left="0" w:right="0"/>
              <w:rPr>
                <w:rFonts w:hint="eastAsia" w:ascii="宋体" w:hAnsi="宋体" w:eastAsia="宋体" w:cs="宋体"/>
                <w:color w:val="auto"/>
                <w:lang w:eastAsia="zh-CN"/>
              </w:rPr>
            </w:pPr>
            <w:r>
              <w:rPr>
                <w:rFonts w:hint="eastAsia" w:ascii="宋体" w:hAnsi="宋体" w:cs="宋体"/>
                <w:color w:val="auto"/>
                <w:lang w:eastAsia="zh-CN"/>
              </w:rPr>
              <w:t>赵金涛</w:t>
            </w:r>
          </w:p>
        </w:tc>
        <w:tc>
          <w:tcPr>
            <w:tcW w:w="1383" w:type="pct"/>
            <w:noWrap w:val="0"/>
            <w:vAlign w:val="center"/>
          </w:tcPr>
          <w:p w14:paraId="20B91769">
            <w:pPr>
              <w:pStyle w:val="127"/>
              <w:keepNext w:val="0"/>
              <w:keepLines w:val="0"/>
              <w:widowControl/>
              <w:suppressLineNumbers w:val="0"/>
              <w:spacing w:before="0" w:beforeAutospacing="0" w:after="0" w:afterAutospacing="0"/>
              <w:ind w:left="0" w:right="0"/>
              <w:rPr>
                <w:rFonts w:hint="eastAsia" w:ascii="宋体" w:hAnsi="宋体" w:eastAsia="宋体" w:cs="宋体"/>
                <w:color w:val="auto"/>
              </w:rPr>
            </w:pPr>
            <w:r>
              <w:rPr>
                <w:rFonts w:hint="eastAsia" w:ascii="宋体" w:hAnsi="宋体" w:cs="宋体"/>
                <w:color w:val="auto"/>
                <w:lang w:eastAsia="zh-CN"/>
              </w:rPr>
              <w:t>车间主任</w:t>
            </w:r>
          </w:p>
        </w:tc>
        <w:tc>
          <w:tcPr>
            <w:tcW w:w="839" w:type="pct"/>
            <w:noWrap w:val="0"/>
            <w:vAlign w:val="center"/>
          </w:tcPr>
          <w:p w14:paraId="7AE8699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15092325802</w:t>
            </w:r>
          </w:p>
        </w:tc>
      </w:tr>
      <w:tr w14:paraId="643D9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976" w:type="pct"/>
            <w:vMerge w:val="continue"/>
            <w:noWrap w:val="0"/>
            <w:vAlign w:val="center"/>
          </w:tcPr>
          <w:p w14:paraId="244948F0">
            <w:pPr>
              <w:pStyle w:val="127"/>
              <w:keepNext w:val="0"/>
              <w:keepLines w:val="0"/>
              <w:widowControl/>
              <w:suppressLineNumbers w:val="0"/>
              <w:spacing w:before="0" w:beforeAutospacing="0" w:after="0" w:afterAutospacing="0"/>
              <w:ind w:left="0" w:right="0"/>
              <w:rPr>
                <w:rFonts w:hint="default"/>
                <w:color w:val="auto"/>
              </w:rPr>
            </w:pPr>
          </w:p>
        </w:tc>
        <w:tc>
          <w:tcPr>
            <w:tcW w:w="766" w:type="pct"/>
            <w:noWrap w:val="0"/>
            <w:vAlign w:val="center"/>
          </w:tcPr>
          <w:p w14:paraId="66537B74">
            <w:pPr>
              <w:pStyle w:val="127"/>
              <w:keepNext w:val="0"/>
              <w:keepLines w:val="0"/>
              <w:widowControl/>
              <w:suppressLineNumbers w:val="0"/>
              <w:spacing w:before="0" w:beforeAutospacing="0" w:after="0" w:afterAutospacing="0"/>
              <w:ind w:left="0" w:right="0"/>
              <w:rPr>
                <w:rFonts w:hint="eastAsia" w:ascii="宋体" w:hAnsi="宋体" w:eastAsia="宋体" w:cs="宋体"/>
                <w:color w:val="auto"/>
              </w:rPr>
            </w:pPr>
            <w:r>
              <w:rPr>
                <w:rFonts w:hint="eastAsia" w:ascii="宋体" w:hAnsi="宋体" w:eastAsia="宋体" w:cs="宋体"/>
                <w:color w:val="auto"/>
              </w:rPr>
              <w:t>副组长</w:t>
            </w:r>
          </w:p>
        </w:tc>
        <w:tc>
          <w:tcPr>
            <w:tcW w:w="1034" w:type="pct"/>
            <w:noWrap w:val="0"/>
            <w:vAlign w:val="center"/>
          </w:tcPr>
          <w:p w14:paraId="1A57D19B">
            <w:pPr>
              <w:pStyle w:val="127"/>
              <w:keepNext w:val="0"/>
              <w:keepLines w:val="0"/>
              <w:widowControl/>
              <w:suppressLineNumbers w:val="0"/>
              <w:spacing w:before="0" w:beforeAutospacing="0" w:after="0" w:afterAutospacing="0"/>
              <w:ind w:left="0" w:right="0"/>
              <w:rPr>
                <w:rFonts w:hint="eastAsia" w:ascii="宋体" w:hAnsi="宋体" w:eastAsia="宋体" w:cs="宋体"/>
                <w:color w:val="auto"/>
                <w:lang w:eastAsia="zh-CN"/>
              </w:rPr>
            </w:pPr>
            <w:r>
              <w:rPr>
                <w:rFonts w:hint="eastAsia" w:ascii="宋体" w:hAnsi="宋体" w:cs="宋体"/>
                <w:color w:val="auto"/>
                <w:lang w:eastAsia="zh-CN"/>
              </w:rPr>
              <w:t>吴国庆</w:t>
            </w:r>
          </w:p>
        </w:tc>
        <w:tc>
          <w:tcPr>
            <w:tcW w:w="1383" w:type="pct"/>
            <w:noWrap w:val="0"/>
            <w:vAlign w:val="center"/>
          </w:tcPr>
          <w:p w14:paraId="20704794">
            <w:pPr>
              <w:pStyle w:val="127"/>
              <w:keepNext w:val="0"/>
              <w:keepLines w:val="0"/>
              <w:widowControl/>
              <w:suppressLineNumbers w:val="0"/>
              <w:spacing w:before="0" w:beforeAutospacing="0" w:after="0" w:afterAutospacing="0"/>
              <w:ind w:left="0" w:right="0"/>
              <w:rPr>
                <w:rFonts w:hint="eastAsia" w:ascii="宋体" w:hAnsi="宋体" w:eastAsia="宋体" w:cs="宋体"/>
                <w:color w:val="auto"/>
                <w:lang w:eastAsia="zh-CN"/>
              </w:rPr>
            </w:pPr>
            <w:r>
              <w:rPr>
                <w:rFonts w:hint="eastAsia" w:ascii="宋体" w:hAnsi="宋体" w:cs="宋体"/>
                <w:color w:val="auto"/>
                <w:lang w:eastAsia="zh-CN"/>
              </w:rPr>
              <w:t>车间主任</w:t>
            </w:r>
          </w:p>
        </w:tc>
        <w:tc>
          <w:tcPr>
            <w:tcW w:w="839" w:type="pct"/>
            <w:noWrap w:val="0"/>
            <w:vAlign w:val="center"/>
          </w:tcPr>
          <w:p w14:paraId="3D3BD8B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15288951668</w:t>
            </w:r>
          </w:p>
        </w:tc>
      </w:tr>
      <w:tr w14:paraId="1D3C9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976" w:type="pct"/>
            <w:vMerge w:val="continue"/>
            <w:noWrap w:val="0"/>
            <w:vAlign w:val="center"/>
          </w:tcPr>
          <w:p w14:paraId="2DE3C40F">
            <w:pPr>
              <w:pStyle w:val="127"/>
              <w:keepNext w:val="0"/>
              <w:keepLines w:val="0"/>
              <w:widowControl/>
              <w:suppressLineNumbers w:val="0"/>
              <w:spacing w:before="0" w:beforeAutospacing="0" w:after="0" w:afterAutospacing="0"/>
              <w:ind w:left="0" w:right="0"/>
              <w:rPr>
                <w:rFonts w:hint="default"/>
                <w:color w:val="auto"/>
              </w:rPr>
            </w:pPr>
          </w:p>
        </w:tc>
        <w:tc>
          <w:tcPr>
            <w:tcW w:w="766" w:type="pct"/>
            <w:noWrap w:val="0"/>
            <w:vAlign w:val="center"/>
          </w:tcPr>
          <w:p w14:paraId="0E5FEECF">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组员</w:t>
            </w:r>
          </w:p>
        </w:tc>
        <w:tc>
          <w:tcPr>
            <w:tcW w:w="1034" w:type="pct"/>
            <w:noWrap w:val="0"/>
            <w:vAlign w:val="center"/>
          </w:tcPr>
          <w:p w14:paraId="33D3BADD">
            <w:pPr>
              <w:pStyle w:val="127"/>
              <w:keepNext w:val="0"/>
              <w:keepLines w:val="0"/>
              <w:widowControl/>
              <w:suppressLineNumbers w:val="0"/>
              <w:spacing w:before="0" w:beforeAutospacing="0" w:after="0" w:afterAutospacing="0"/>
              <w:ind w:left="0" w:right="0"/>
              <w:rPr>
                <w:rFonts w:hint="eastAsia" w:eastAsia="宋体"/>
                <w:color w:val="auto"/>
                <w:lang w:eastAsia="zh-CN"/>
              </w:rPr>
            </w:pPr>
            <w:r>
              <w:rPr>
                <w:rFonts w:hint="eastAsia"/>
                <w:color w:val="auto"/>
                <w:lang w:eastAsia="zh-CN"/>
              </w:rPr>
              <w:t>王海全</w:t>
            </w:r>
          </w:p>
        </w:tc>
        <w:tc>
          <w:tcPr>
            <w:tcW w:w="1383" w:type="pct"/>
            <w:noWrap w:val="0"/>
            <w:vAlign w:val="center"/>
          </w:tcPr>
          <w:p w14:paraId="2F8AB4C2">
            <w:pPr>
              <w:pStyle w:val="127"/>
              <w:keepNext w:val="0"/>
              <w:keepLines w:val="0"/>
              <w:widowControl/>
              <w:suppressLineNumbers w:val="0"/>
              <w:spacing w:before="0" w:beforeAutospacing="0" w:after="0" w:afterAutospacing="0"/>
              <w:ind w:left="0" w:right="0"/>
              <w:rPr>
                <w:rFonts w:hint="eastAsia" w:eastAsia="宋体"/>
                <w:color w:val="auto"/>
                <w:lang w:eastAsia="zh-CN"/>
              </w:rPr>
            </w:pPr>
            <w:r>
              <w:rPr>
                <w:rFonts w:hint="eastAsia"/>
                <w:color w:val="auto"/>
                <w:lang w:eastAsia="zh-CN"/>
              </w:rPr>
              <w:t>班长</w:t>
            </w:r>
          </w:p>
        </w:tc>
        <w:tc>
          <w:tcPr>
            <w:tcW w:w="839" w:type="pct"/>
            <w:noWrap w:val="0"/>
            <w:vAlign w:val="center"/>
          </w:tcPr>
          <w:p w14:paraId="429712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sz w:val="21"/>
                <w:szCs w:val="21"/>
              </w:rPr>
              <w:t>18560828191</w:t>
            </w:r>
          </w:p>
        </w:tc>
      </w:tr>
      <w:tr w14:paraId="0571E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976" w:type="pct"/>
            <w:vMerge w:val="continue"/>
            <w:noWrap w:val="0"/>
            <w:vAlign w:val="center"/>
          </w:tcPr>
          <w:p w14:paraId="4C12A141">
            <w:pPr>
              <w:pStyle w:val="127"/>
              <w:keepNext w:val="0"/>
              <w:keepLines w:val="0"/>
              <w:widowControl/>
              <w:suppressLineNumbers w:val="0"/>
              <w:spacing w:before="0" w:beforeAutospacing="0" w:after="0" w:afterAutospacing="0"/>
              <w:ind w:left="0" w:right="0"/>
              <w:rPr>
                <w:rFonts w:hint="default"/>
                <w:color w:val="auto"/>
              </w:rPr>
            </w:pPr>
          </w:p>
        </w:tc>
        <w:tc>
          <w:tcPr>
            <w:tcW w:w="766" w:type="pct"/>
            <w:noWrap w:val="0"/>
            <w:vAlign w:val="center"/>
          </w:tcPr>
          <w:p w14:paraId="08A64833">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组员</w:t>
            </w:r>
          </w:p>
        </w:tc>
        <w:tc>
          <w:tcPr>
            <w:tcW w:w="1034" w:type="pct"/>
            <w:noWrap w:val="0"/>
            <w:vAlign w:val="center"/>
          </w:tcPr>
          <w:p w14:paraId="786247F1">
            <w:pPr>
              <w:keepNext w:val="0"/>
              <w:keepLines w:val="0"/>
              <w:widowControl/>
              <w:suppressLineNumbers w:val="0"/>
              <w:spacing w:before="0" w:beforeAutospacing="0" w:after="0" w:afterAutospacing="0"/>
              <w:ind w:left="0" w:right="0"/>
              <w:jc w:val="center"/>
              <w:textAlignment w:val="center"/>
              <w:rPr>
                <w:rFonts w:hint="eastAsia" w:eastAsia="宋体"/>
                <w:color w:val="auto"/>
                <w:lang w:eastAsia="zh-CN"/>
              </w:rPr>
            </w:pPr>
            <w:r>
              <w:rPr>
                <w:rFonts w:hint="eastAsia" w:eastAsia="宋体"/>
                <w:color w:val="auto"/>
                <w:sz w:val="22"/>
                <w:szCs w:val="22"/>
                <w:lang w:eastAsia="zh-CN"/>
              </w:rPr>
              <w:t>边宗厂</w:t>
            </w:r>
          </w:p>
        </w:tc>
        <w:tc>
          <w:tcPr>
            <w:tcW w:w="1383" w:type="pct"/>
            <w:noWrap w:val="0"/>
            <w:vAlign w:val="center"/>
          </w:tcPr>
          <w:p w14:paraId="265FF081">
            <w:pPr>
              <w:pStyle w:val="127"/>
              <w:keepNext w:val="0"/>
              <w:keepLines w:val="0"/>
              <w:widowControl/>
              <w:suppressLineNumbers w:val="0"/>
              <w:spacing w:before="0" w:beforeAutospacing="0" w:after="0" w:afterAutospacing="0"/>
              <w:ind w:left="0" w:right="0"/>
              <w:rPr>
                <w:rFonts w:hint="eastAsia" w:eastAsia="宋体"/>
                <w:color w:val="auto"/>
                <w:lang w:eastAsia="zh-CN"/>
              </w:rPr>
            </w:pPr>
            <w:r>
              <w:rPr>
                <w:rFonts w:hint="eastAsia"/>
                <w:color w:val="auto"/>
                <w:lang w:eastAsia="zh-CN"/>
              </w:rPr>
              <w:t>职工</w:t>
            </w:r>
          </w:p>
        </w:tc>
        <w:tc>
          <w:tcPr>
            <w:tcW w:w="839" w:type="pct"/>
            <w:noWrap w:val="0"/>
            <w:vAlign w:val="center"/>
          </w:tcPr>
          <w:p w14:paraId="53AD6F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sz w:val="21"/>
                <w:szCs w:val="21"/>
              </w:rPr>
              <w:t>13153381483</w:t>
            </w:r>
          </w:p>
        </w:tc>
      </w:tr>
      <w:tr w14:paraId="55B60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976" w:type="pct"/>
            <w:vMerge w:val="continue"/>
            <w:noWrap w:val="0"/>
            <w:vAlign w:val="center"/>
          </w:tcPr>
          <w:p w14:paraId="0DE2F505">
            <w:pPr>
              <w:pStyle w:val="127"/>
              <w:keepNext w:val="0"/>
              <w:keepLines w:val="0"/>
              <w:widowControl/>
              <w:suppressLineNumbers w:val="0"/>
              <w:spacing w:before="0" w:beforeAutospacing="0" w:after="0" w:afterAutospacing="0"/>
              <w:ind w:left="0" w:right="0"/>
              <w:rPr>
                <w:rFonts w:hint="default"/>
                <w:color w:val="auto"/>
              </w:rPr>
            </w:pPr>
          </w:p>
        </w:tc>
        <w:tc>
          <w:tcPr>
            <w:tcW w:w="766" w:type="pct"/>
            <w:noWrap w:val="0"/>
            <w:vAlign w:val="center"/>
          </w:tcPr>
          <w:p w14:paraId="5D6DADAF">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组员</w:t>
            </w:r>
          </w:p>
        </w:tc>
        <w:tc>
          <w:tcPr>
            <w:tcW w:w="1034" w:type="pct"/>
            <w:noWrap w:val="0"/>
            <w:vAlign w:val="center"/>
          </w:tcPr>
          <w:p w14:paraId="0E12B48F">
            <w:pPr>
              <w:keepNext w:val="0"/>
              <w:keepLines w:val="0"/>
              <w:widowControl/>
              <w:suppressLineNumbers w:val="0"/>
              <w:spacing w:before="0" w:beforeAutospacing="0" w:after="0" w:afterAutospacing="0"/>
              <w:ind w:left="0" w:right="0"/>
              <w:jc w:val="center"/>
              <w:textAlignment w:val="center"/>
              <w:rPr>
                <w:rFonts w:hint="eastAsia" w:eastAsia="宋体"/>
                <w:color w:val="auto"/>
                <w:sz w:val="21"/>
                <w:szCs w:val="21"/>
                <w:lang w:eastAsia="zh-CN"/>
              </w:rPr>
            </w:pPr>
            <w:r>
              <w:rPr>
                <w:rFonts w:hint="eastAsia" w:eastAsia="宋体"/>
                <w:color w:val="auto"/>
                <w:sz w:val="21"/>
                <w:szCs w:val="21"/>
                <w:lang w:eastAsia="zh-CN"/>
              </w:rPr>
              <w:t>于成刚</w:t>
            </w:r>
          </w:p>
        </w:tc>
        <w:tc>
          <w:tcPr>
            <w:tcW w:w="1383" w:type="pct"/>
            <w:noWrap w:val="0"/>
            <w:vAlign w:val="center"/>
          </w:tcPr>
          <w:p w14:paraId="2510C4F6">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lang w:eastAsia="zh-CN"/>
              </w:rPr>
              <w:t>职工</w:t>
            </w:r>
          </w:p>
        </w:tc>
        <w:tc>
          <w:tcPr>
            <w:tcW w:w="839" w:type="pct"/>
            <w:noWrap w:val="0"/>
            <w:vAlign w:val="center"/>
          </w:tcPr>
          <w:p w14:paraId="21D1B5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sz w:val="21"/>
                <w:szCs w:val="21"/>
              </w:rPr>
              <w:t>18678129563</w:t>
            </w:r>
          </w:p>
        </w:tc>
      </w:tr>
      <w:tr w14:paraId="02F9C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976" w:type="pct"/>
            <w:vMerge w:val="continue"/>
            <w:noWrap w:val="0"/>
            <w:vAlign w:val="center"/>
          </w:tcPr>
          <w:p w14:paraId="050E3C35">
            <w:pPr>
              <w:pStyle w:val="127"/>
              <w:keepNext w:val="0"/>
              <w:keepLines w:val="0"/>
              <w:widowControl/>
              <w:suppressLineNumbers w:val="0"/>
              <w:spacing w:before="0" w:beforeAutospacing="0" w:after="0" w:afterAutospacing="0"/>
              <w:ind w:left="0" w:right="0"/>
              <w:rPr>
                <w:rFonts w:hint="default"/>
                <w:color w:val="auto"/>
              </w:rPr>
            </w:pPr>
          </w:p>
        </w:tc>
        <w:tc>
          <w:tcPr>
            <w:tcW w:w="766" w:type="pct"/>
            <w:noWrap w:val="0"/>
            <w:vAlign w:val="center"/>
          </w:tcPr>
          <w:p w14:paraId="4B49DD4C">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组员</w:t>
            </w:r>
          </w:p>
        </w:tc>
        <w:tc>
          <w:tcPr>
            <w:tcW w:w="1034" w:type="pct"/>
            <w:noWrap w:val="0"/>
            <w:vAlign w:val="center"/>
          </w:tcPr>
          <w:p w14:paraId="24DFF9C1">
            <w:pPr>
              <w:keepNext w:val="0"/>
              <w:keepLines w:val="0"/>
              <w:widowControl/>
              <w:suppressLineNumbers w:val="0"/>
              <w:spacing w:before="0" w:beforeAutospacing="0" w:after="0" w:afterAutospacing="0"/>
              <w:ind w:left="0" w:right="0"/>
              <w:jc w:val="center"/>
              <w:textAlignment w:val="center"/>
              <w:rPr>
                <w:rFonts w:hint="eastAsia" w:eastAsia="宋体"/>
                <w:color w:val="auto"/>
                <w:sz w:val="21"/>
                <w:szCs w:val="21"/>
                <w:lang w:eastAsia="zh-CN"/>
              </w:rPr>
            </w:pPr>
            <w:r>
              <w:rPr>
                <w:rFonts w:hint="eastAsia" w:eastAsia="宋体"/>
                <w:color w:val="auto"/>
                <w:sz w:val="21"/>
                <w:szCs w:val="21"/>
                <w:lang w:eastAsia="zh-CN"/>
              </w:rPr>
              <w:t>徐善强</w:t>
            </w:r>
          </w:p>
        </w:tc>
        <w:tc>
          <w:tcPr>
            <w:tcW w:w="1383" w:type="pct"/>
            <w:noWrap w:val="0"/>
            <w:vAlign w:val="center"/>
          </w:tcPr>
          <w:p w14:paraId="78437CA8">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lang w:eastAsia="zh-CN"/>
              </w:rPr>
              <w:t>职工</w:t>
            </w:r>
          </w:p>
        </w:tc>
        <w:tc>
          <w:tcPr>
            <w:tcW w:w="839" w:type="pct"/>
            <w:noWrap w:val="0"/>
            <w:vAlign w:val="center"/>
          </w:tcPr>
          <w:p w14:paraId="62C37B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sz w:val="21"/>
                <w:szCs w:val="21"/>
              </w:rPr>
              <w:t>15965095602</w:t>
            </w:r>
          </w:p>
        </w:tc>
      </w:tr>
      <w:tr w14:paraId="2358A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976" w:type="pct"/>
            <w:vMerge w:val="continue"/>
            <w:noWrap w:val="0"/>
            <w:vAlign w:val="center"/>
          </w:tcPr>
          <w:p w14:paraId="27913AE5">
            <w:pPr>
              <w:pStyle w:val="127"/>
              <w:keepNext w:val="0"/>
              <w:keepLines w:val="0"/>
              <w:widowControl/>
              <w:suppressLineNumbers w:val="0"/>
              <w:spacing w:before="0" w:beforeAutospacing="0" w:after="0" w:afterAutospacing="0"/>
              <w:ind w:left="0" w:right="0"/>
              <w:rPr>
                <w:rFonts w:hint="default"/>
                <w:color w:val="auto"/>
              </w:rPr>
            </w:pPr>
          </w:p>
        </w:tc>
        <w:tc>
          <w:tcPr>
            <w:tcW w:w="766" w:type="pct"/>
            <w:noWrap w:val="0"/>
            <w:vAlign w:val="center"/>
          </w:tcPr>
          <w:p w14:paraId="58705376">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组员</w:t>
            </w:r>
          </w:p>
        </w:tc>
        <w:tc>
          <w:tcPr>
            <w:tcW w:w="1034" w:type="pct"/>
            <w:noWrap w:val="0"/>
            <w:vAlign w:val="center"/>
          </w:tcPr>
          <w:p w14:paraId="285C60D3">
            <w:pPr>
              <w:keepNext w:val="0"/>
              <w:keepLines w:val="0"/>
              <w:widowControl/>
              <w:suppressLineNumbers w:val="0"/>
              <w:spacing w:before="0" w:beforeAutospacing="0" w:after="0" w:afterAutospacing="0"/>
              <w:ind w:left="0" w:right="0"/>
              <w:jc w:val="center"/>
              <w:textAlignment w:val="center"/>
              <w:rPr>
                <w:rFonts w:hint="eastAsia" w:eastAsia="宋体"/>
                <w:color w:val="auto"/>
                <w:sz w:val="21"/>
                <w:szCs w:val="21"/>
                <w:lang w:eastAsia="zh-CN"/>
              </w:rPr>
            </w:pPr>
            <w:r>
              <w:rPr>
                <w:rFonts w:hint="eastAsia" w:eastAsia="宋体"/>
                <w:color w:val="auto"/>
                <w:sz w:val="21"/>
                <w:szCs w:val="21"/>
                <w:lang w:eastAsia="zh-CN"/>
              </w:rPr>
              <w:t>冯春亮</w:t>
            </w:r>
          </w:p>
        </w:tc>
        <w:tc>
          <w:tcPr>
            <w:tcW w:w="1383" w:type="pct"/>
            <w:noWrap w:val="0"/>
            <w:vAlign w:val="center"/>
          </w:tcPr>
          <w:p w14:paraId="4C3ADD8F">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lang w:eastAsia="zh-CN"/>
              </w:rPr>
              <w:t>职工</w:t>
            </w:r>
          </w:p>
        </w:tc>
        <w:tc>
          <w:tcPr>
            <w:tcW w:w="839" w:type="pct"/>
            <w:noWrap w:val="0"/>
            <w:vAlign w:val="center"/>
          </w:tcPr>
          <w:p w14:paraId="5926F7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sz w:val="21"/>
                <w:szCs w:val="21"/>
              </w:rPr>
              <w:t>18753612040</w:t>
            </w:r>
          </w:p>
        </w:tc>
      </w:tr>
      <w:tr w14:paraId="56C8D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976" w:type="pct"/>
            <w:vMerge w:val="restart"/>
            <w:noWrap w:val="0"/>
            <w:vAlign w:val="center"/>
          </w:tcPr>
          <w:p w14:paraId="4CA18022">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通讯联络组</w:t>
            </w:r>
          </w:p>
        </w:tc>
        <w:tc>
          <w:tcPr>
            <w:tcW w:w="766" w:type="pct"/>
            <w:noWrap w:val="0"/>
            <w:vAlign w:val="center"/>
          </w:tcPr>
          <w:p w14:paraId="554E61AB">
            <w:pPr>
              <w:pStyle w:val="127"/>
              <w:keepNext w:val="0"/>
              <w:keepLines w:val="0"/>
              <w:widowControl/>
              <w:suppressLineNumbers w:val="0"/>
              <w:spacing w:before="0" w:beforeAutospacing="0" w:after="0" w:afterAutospacing="0"/>
              <w:ind w:left="0" w:right="0"/>
              <w:rPr>
                <w:rFonts w:hint="default"/>
                <w:color w:val="auto"/>
              </w:rPr>
            </w:pPr>
            <w:r>
              <w:rPr>
                <w:rFonts w:hint="default"/>
                <w:color w:val="auto"/>
              </w:rPr>
              <w:t>组长</w:t>
            </w:r>
          </w:p>
        </w:tc>
        <w:tc>
          <w:tcPr>
            <w:tcW w:w="1034" w:type="pct"/>
            <w:noWrap w:val="0"/>
            <w:vAlign w:val="center"/>
          </w:tcPr>
          <w:p w14:paraId="6B1F4AB0">
            <w:pPr>
              <w:pStyle w:val="127"/>
              <w:keepNext w:val="0"/>
              <w:keepLines w:val="0"/>
              <w:widowControl/>
              <w:suppressLineNumbers w:val="0"/>
              <w:spacing w:before="0" w:beforeAutospacing="0" w:after="0" w:afterAutospacing="0"/>
              <w:ind w:left="0" w:right="0"/>
              <w:rPr>
                <w:rFonts w:hint="eastAsia" w:eastAsia="宋体"/>
                <w:color w:val="auto"/>
                <w:lang w:eastAsia="zh-CN"/>
              </w:rPr>
            </w:pPr>
            <w:r>
              <w:rPr>
                <w:rFonts w:hint="eastAsia"/>
                <w:color w:val="auto"/>
                <w:lang w:eastAsia="zh-CN"/>
              </w:rPr>
              <w:t>王鹏超</w:t>
            </w:r>
          </w:p>
        </w:tc>
        <w:tc>
          <w:tcPr>
            <w:tcW w:w="1383" w:type="pct"/>
            <w:noWrap w:val="0"/>
            <w:vAlign w:val="center"/>
          </w:tcPr>
          <w:p w14:paraId="11594B6A">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安环部</w:t>
            </w:r>
            <w:r>
              <w:rPr>
                <w:rFonts w:hint="eastAsia"/>
                <w:color w:val="auto"/>
                <w:lang w:eastAsia="zh-CN"/>
              </w:rPr>
              <w:t>部长</w:t>
            </w:r>
          </w:p>
        </w:tc>
        <w:tc>
          <w:tcPr>
            <w:tcW w:w="839" w:type="pct"/>
            <w:noWrap w:val="0"/>
            <w:vAlign w:val="center"/>
          </w:tcPr>
          <w:p w14:paraId="223A75FD">
            <w:pPr>
              <w:pStyle w:val="127"/>
              <w:keepNext w:val="0"/>
              <w:keepLines w:val="0"/>
              <w:widowControl/>
              <w:suppressLineNumbers w:val="0"/>
              <w:spacing w:before="0" w:beforeAutospacing="0" w:after="0" w:afterAutospacing="0"/>
              <w:ind w:left="0" w:right="0"/>
              <w:jc w:val="center"/>
              <w:rPr>
                <w:rFonts w:hint="default"/>
                <w:color w:val="auto"/>
                <w:sz w:val="21"/>
                <w:szCs w:val="21"/>
              </w:rPr>
            </w:pPr>
            <w:r>
              <w:rPr>
                <w:rFonts w:hint="eastAsia" w:ascii="宋体" w:hAnsi="宋体" w:eastAsia="宋体" w:cs="宋体"/>
                <w:color w:val="auto"/>
                <w:sz w:val="21"/>
                <w:szCs w:val="21"/>
                <w:lang w:val="en-US" w:eastAsia="zh-CN"/>
              </w:rPr>
              <w:t>18653326898</w:t>
            </w:r>
          </w:p>
        </w:tc>
      </w:tr>
      <w:tr w14:paraId="5E69A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976" w:type="pct"/>
            <w:vMerge w:val="continue"/>
            <w:noWrap w:val="0"/>
            <w:vAlign w:val="center"/>
          </w:tcPr>
          <w:p w14:paraId="0829E340">
            <w:pPr>
              <w:pStyle w:val="127"/>
              <w:keepNext w:val="0"/>
              <w:keepLines w:val="0"/>
              <w:widowControl/>
              <w:suppressLineNumbers w:val="0"/>
              <w:spacing w:before="0" w:beforeAutospacing="0" w:after="0" w:afterAutospacing="0"/>
              <w:ind w:left="0" w:right="0"/>
              <w:rPr>
                <w:rFonts w:hint="default"/>
                <w:color w:val="auto"/>
              </w:rPr>
            </w:pPr>
          </w:p>
        </w:tc>
        <w:tc>
          <w:tcPr>
            <w:tcW w:w="766" w:type="pct"/>
            <w:noWrap w:val="0"/>
            <w:vAlign w:val="center"/>
          </w:tcPr>
          <w:p w14:paraId="78793CF1">
            <w:pPr>
              <w:pStyle w:val="127"/>
              <w:keepNext w:val="0"/>
              <w:keepLines w:val="0"/>
              <w:widowControl/>
              <w:suppressLineNumbers w:val="0"/>
              <w:spacing w:before="0" w:beforeAutospacing="0" w:after="0" w:afterAutospacing="0"/>
              <w:ind w:left="0" w:right="0"/>
              <w:rPr>
                <w:rFonts w:hint="eastAsia"/>
                <w:color w:val="auto"/>
              </w:rPr>
            </w:pPr>
            <w:r>
              <w:rPr>
                <w:rFonts w:hint="eastAsia" w:ascii="宋体" w:hAnsi="宋体" w:eastAsia="宋体" w:cs="宋体"/>
                <w:color w:val="auto"/>
              </w:rPr>
              <w:t>副组长</w:t>
            </w:r>
          </w:p>
        </w:tc>
        <w:tc>
          <w:tcPr>
            <w:tcW w:w="1034" w:type="pct"/>
            <w:noWrap w:val="0"/>
            <w:vAlign w:val="center"/>
          </w:tcPr>
          <w:p w14:paraId="226ACE2E">
            <w:pPr>
              <w:pStyle w:val="127"/>
              <w:keepNext w:val="0"/>
              <w:keepLines w:val="0"/>
              <w:widowControl/>
              <w:suppressLineNumbers w:val="0"/>
              <w:spacing w:before="0" w:beforeAutospacing="0" w:after="0" w:afterAutospacing="0"/>
              <w:ind w:left="0" w:right="0"/>
              <w:rPr>
                <w:rFonts w:hint="eastAsia"/>
                <w:color w:val="auto"/>
                <w:lang w:eastAsia="zh-CN"/>
              </w:rPr>
            </w:pPr>
            <w:r>
              <w:rPr>
                <w:rFonts w:hint="eastAsia"/>
                <w:color w:val="auto"/>
                <w:lang w:eastAsia="zh-CN"/>
              </w:rPr>
              <w:t>杜星</w:t>
            </w:r>
          </w:p>
        </w:tc>
        <w:tc>
          <w:tcPr>
            <w:tcW w:w="1383" w:type="pct"/>
            <w:noWrap w:val="0"/>
            <w:vAlign w:val="center"/>
          </w:tcPr>
          <w:p w14:paraId="270C6EFC">
            <w:pPr>
              <w:pStyle w:val="127"/>
              <w:keepNext w:val="0"/>
              <w:keepLines w:val="0"/>
              <w:widowControl/>
              <w:suppressLineNumbers w:val="0"/>
              <w:spacing w:before="0" w:beforeAutospacing="0" w:after="0" w:afterAutospacing="0"/>
              <w:ind w:left="0" w:right="0"/>
              <w:rPr>
                <w:rFonts w:hint="eastAsia" w:eastAsia="宋体"/>
                <w:color w:val="auto"/>
                <w:lang w:eastAsia="zh-CN"/>
              </w:rPr>
            </w:pPr>
            <w:r>
              <w:rPr>
                <w:rFonts w:hint="eastAsia"/>
                <w:color w:val="auto"/>
                <w:lang w:eastAsia="zh-CN"/>
              </w:rPr>
              <w:t>安全总监</w:t>
            </w:r>
          </w:p>
        </w:tc>
        <w:tc>
          <w:tcPr>
            <w:tcW w:w="839" w:type="pct"/>
            <w:noWrap w:val="0"/>
            <w:vAlign w:val="bottom"/>
          </w:tcPr>
          <w:p w14:paraId="65AB6115">
            <w:pPr>
              <w:keepNext w:val="0"/>
              <w:keepLines w:val="0"/>
              <w:widowControl/>
              <w:suppressLineNumbers w:val="0"/>
              <w:spacing w:before="0" w:beforeAutospacing="0" w:after="0" w:afterAutospacing="0"/>
              <w:ind w:left="0" w:right="0"/>
              <w:jc w:val="center"/>
              <w:textAlignment w:val="bottom"/>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15864494906</w:t>
            </w:r>
          </w:p>
        </w:tc>
      </w:tr>
      <w:tr w14:paraId="49826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976" w:type="pct"/>
            <w:vMerge w:val="continue"/>
            <w:noWrap w:val="0"/>
            <w:vAlign w:val="center"/>
          </w:tcPr>
          <w:p w14:paraId="13BC20FD">
            <w:pPr>
              <w:pStyle w:val="127"/>
              <w:keepNext w:val="0"/>
              <w:keepLines w:val="0"/>
              <w:widowControl/>
              <w:suppressLineNumbers w:val="0"/>
              <w:spacing w:before="0" w:beforeAutospacing="0" w:after="0" w:afterAutospacing="0"/>
              <w:ind w:left="0" w:right="0"/>
              <w:rPr>
                <w:rFonts w:hint="default"/>
                <w:color w:val="auto"/>
              </w:rPr>
            </w:pPr>
          </w:p>
        </w:tc>
        <w:tc>
          <w:tcPr>
            <w:tcW w:w="766" w:type="pct"/>
            <w:noWrap w:val="0"/>
            <w:vAlign w:val="center"/>
          </w:tcPr>
          <w:p w14:paraId="0111A51C">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组员</w:t>
            </w:r>
          </w:p>
        </w:tc>
        <w:tc>
          <w:tcPr>
            <w:tcW w:w="1034" w:type="pct"/>
            <w:noWrap w:val="0"/>
            <w:vAlign w:val="center"/>
          </w:tcPr>
          <w:p w14:paraId="4E9E9CB5">
            <w:pPr>
              <w:pStyle w:val="127"/>
              <w:keepNext w:val="0"/>
              <w:keepLines w:val="0"/>
              <w:widowControl/>
              <w:suppressLineNumbers w:val="0"/>
              <w:spacing w:before="0" w:beforeAutospacing="0" w:after="0" w:afterAutospacing="0"/>
              <w:ind w:left="0" w:right="0"/>
              <w:rPr>
                <w:rFonts w:hint="eastAsia" w:eastAsia="宋体"/>
                <w:color w:val="auto"/>
                <w:lang w:eastAsia="zh-CN"/>
              </w:rPr>
            </w:pPr>
            <w:r>
              <w:rPr>
                <w:rFonts w:hint="eastAsia"/>
                <w:color w:val="auto"/>
                <w:lang w:eastAsia="zh-CN"/>
              </w:rPr>
              <w:t>赵传涛</w:t>
            </w:r>
          </w:p>
        </w:tc>
        <w:tc>
          <w:tcPr>
            <w:tcW w:w="1383" w:type="pct"/>
            <w:noWrap w:val="0"/>
            <w:vAlign w:val="center"/>
          </w:tcPr>
          <w:p w14:paraId="5E906C6A">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安全专工</w:t>
            </w:r>
          </w:p>
        </w:tc>
        <w:tc>
          <w:tcPr>
            <w:tcW w:w="839" w:type="pct"/>
            <w:noWrap w:val="0"/>
            <w:vAlign w:val="bottom"/>
          </w:tcPr>
          <w:p w14:paraId="6D18B51C">
            <w:pPr>
              <w:keepNext w:val="0"/>
              <w:keepLines w:val="0"/>
              <w:widowControl/>
              <w:suppressLineNumbers w:val="0"/>
              <w:spacing w:before="0" w:beforeAutospacing="0" w:after="0" w:afterAutospacing="0"/>
              <w:ind w:left="0" w:right="0"/>
              <w:jc w:val="center"/>
              <w:textAlignment w:val="bottom"/>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18678169991</w:t>
            </w:r>
          </w:p>
        </w:tc>
      </w:tr>
      <w:tr w14:paraId="5D1C0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976" w:type="pct"/>
            <w:vMerge w:val="restart"/>
            <w:noWrap w:val="0"/>
            <w:vAlign w:val="center"/>
          </w:tcPr>
          <w:p w14:paraId="744F984F">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应急保障组</w:t>
            </w:r>
          </w:p>
        </w:tc>
        <w:tc>
          <w:tcPr>
            <w:tcW w:w="766" w:type="pct"/>
            <w:noWrap w:val="0"/>
            <w:vAlign w:val="center"/>
          </w:tcPr>
          <w:p w14:paraId="00B50AB3">
            <w:pPr>
              <w:pStyle w:val="127"/>
              <w:keepNext w:val="0"/>
              <w:keepLines w:val="0"/>
              <w:widowControl/>
              <w:suppressLineNumbers w:val="0"/>
              <w:spacing w:before="0" w:beforeAutospacing="0" w:after="0" w:afterAutospacing="0"/>
              <w:ind w:left="0" w:right="0"/>
              <w:rPr>
                <w:rFonts w:hint="default"/>
                <w:color w:val="auto"/>
              </w:rPr>
            </w:pPr>
            <w:r>
              <w:rPr>
                <w:rFonts w:hint="default"/>
                <w:color w:val="auto"/>
              </w:rPr>
              <w:t>组长</w:t>
            </w:r>
          </w:p>
        </w:tc>
        <w:tc>
          <w:tcPr>
            <w:tcW w:w="1034" w:type="pct"/>
            <w:noWrap w:val="0"/>
            <w:vAlign w:val="center"/>
          </w:tcPr>
          <w:p w14:paraId="609AB811">
            <w:pPr>
              <w:pStyle w:val="127"/>
              <w:keepNext w:val="0"/>
              <w:keepLines w:val="0"/>
              <w:widowControl/>
              <w:suppressLineNumbers w:val="0"/>
              <w:spacing w:before="0" w:beforeAutospacing="0" w:after="0" w:afterAutospacing="0"/>
              <w:ind w:left="0" w:right="0" w:firstLine="639" w:firstLineChars="300"/>
              <w:jc w:val="both"/>
              <w:rPr>
                <w:rFonts w:hint="eastAsia" w:eastAsia="宋体"/>
                <w:color w:val="auto"/>
                <w:lang w:eastAsia="zh-CN"/>
              </w:rPr>
            </w:pPr>
            <w:r>
              <w:rPr>
                <w:rFonts w:hint="eastAsia"/>
                <w:color w:val="auto"/>
                <w:lang w:eastAsia="zh-CN"/>
              </w:rPr>
              <w:t>尚宝山</w:t>
            </w:r>
          </w:p>
        </w:tc>
        <w:tc>
          <w:tcPr>
            <w:tcW w:w="1383" w:type="pct"/>
            <w:noWrap w:val="0"/>
            <w:vAlign w:val="center"/>
          </w:tcPr>
          <w:p w14:paraId="6C8A83B7">
            <w:pPr>
              <w:pStyle w:val="127"/>
              <w:keepNext w:val="0"/>
              <w:keepLines w:val="0"/>
              <w:widowControl/>
              <w:suppressLineNumbers w:val="0"/>
              <w:spacing w:before="0" w:beforeAutospacing="0" w:after="0" w:afterAutospacing="0"/>
              <w:ind w:left="0" w:right="0"/>
              <w:rPr>
                <w:rFonts w:hint="eastAsia" w:eastAsia="宋体"/>
                <w:color w:val="auto"/>
                <w:lang w:eastAsia="zh-CN"/>
              </w:rPr>
            </w:pPr>
            <w:r>
              <w:rPr>
                <w:rFonts w:hint="eastAsia"/>
                <w:color w:val="auto"/>
                <w:lang w:eastAsia="zh-CN"/>
              </w:rPr>
              <w:t>车间主任</w:t>
            </w:r>
          </w:p>
        </w:tc>
        <w:tc>
          <w:tcPr>
            <w:tcW w:w="839" w:type="pct"/>
            <w:noWrap w:val="0"/>
            <w:vAlign w:val="bottom"/>
          </w:tcPr>
          <w:p w14:paraId="3C70E9C1">
            <w:pPr>
              <w:keepNext w:val="0"/>
              <w:keepLines w:val="0"/>
              <w:widowControl/>
              <w:suppressLineNumbers w:val="0"/>
              <w:spacing w:before="0" w:beforeAutospacing="0" w:after="0" w:afterAutospacing="0"/>
              <w:ind w:left="0" w:right="0"/>
              <w:jc w:val="center"/>
              <w:textAlignment w:val="bottom"/>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13853337652</w:t>
            </w:r>
          </w:p>
        </w:tc>
      </w:tr>
      <w:tr w14:paraId="361EF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976" w:type="pct"/>
            <w:vMerge w:val="continue"/>
            <w:noWrap w:val="0"/>
            <w:vAlign w:val="center"/>
          </w:tcPr>
          <w:p w14:paraId="56088E71">
            <w:pPr>
              <w:pStyle w:val="127"/>
              <w:keepNext w:val="0"/>
              <w:keepLines w:val="0"/>
              <w:widowControl/>
              <w:suppressLineNumbers w:val="0"/>
              <w:spacing w:before="0" w:beforeAutospacing="0" w:after="0" w:afterAutospacing="0"/>
              <w:ind w:left="0" w:right="0"/>
              <w:rPr>
                <w:rFonts w:hint="default"/>
                <w:color w:val="auto"/>
              </w:rPr>
            </w:pPr>
          </w:p>
        </w:tc>
        <w:tc>
          <w:tcPr>
            <w:tcW w:w="766" w:type="pct"/>
            <w:noWrap w:val="0"/>
            <w:vAlign w:val="center"/>
          </w:tcPr>
          <w:p w14:paraId="066ADC7D">
            <w:pPr>
              <w:pStyle w:val="127"/>
              <w:keepNext w:val="0"/>
              <w:keepLines w:val="0"/>
              <w:widowControl/>
              <w:suppressLineNumbers w:val="0"/>
              <w:spacing w:before="0" w:beforeAutospacing="0" w:after="0" w:afterAutospacing="0"/>
              <w:ind w:left="0" w:right="0"/>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副组长</w:t>
            </w:r>
          </w:p>
        </w:tc>
        <w:tc>
          <w:tcPr>
            <w:tcW w:w="1034" w:type="pct"/>
            <w:noWrap w:val="0"/>
            <w:vAlign w:val="center"/>
          </w:tcPr>
          <w:p w14:paraId="74A7E3E6">
            <w:pPr>
              <w:pStyle w:val="127"/>
              <w:keepNext w:val="0"/>
              <w:keepLines w:val="0"/>
              <w:widowControl/>
              <w:suppressLineNumbers w:val="0"/>
              <w:spacing w:before="0" w:beforeAutospacing="0" w:after="0" w:afterAutospacing="0"/>
              <w:ind w:left="0" w:right="0" w:firstLine="639" w:firstLineChars="300"/>
              <w:jc w:val="both"/>
              <w:rPr>
                <w:rFonts w:hint="eastAsia" w:ascii="Times New Roman" w:hAnsi="Times New Roman" w:eastAsia="宋体" w:cs="Times New Roman"/>
                <w:color w:val="auto"/>
                <w:kern w:val="2"/>
                <w:sz w:val="21"/>
                <w:szCs w:val="21"/>
                <w:lang w:val="en-US" w:eastAsia="zh-CN" w:bidi="ar-SA"/>
              </w:rPr>
            </w:pPr>
            <w:r>
              <w:rPr>
                <w:rFonts w:hint="eastAsia"/>
                <w:color w:val="auto"/>
                <w:lang w:eastAsia="zh-CN"/>
              </w:rPr>
              <w:t>刘畅恒</w:t>
            </w:r>
          </w:p>
        </w:tc>
        <w:tc>
          <w:tcPr>
            <w:tcW w:w="1383" w:type="pct"/>
            <w:noWrap w:val="0"/>
            <w:vAlign w:val="center"/>
          </w:tcPr>
          <w:p w14:paraId="0D8F069D">
            <w:pPr>
              <w:pStyle w:val="127"/>
              <w:keepNext w:val="0"/>
              <w:keepLines w:val="0"/>
              <w:widowControl/>
              <w:suppressLineNumbers w:val="0"/>
              <w:spacing w:before="0" w:beforeAutospacing="0" w:after="0" w:afterAutospacing="0"/>
              <w:ind w:left="0" w:right="0"/>
              <w:rPr>
                <w:rFonts w:hint="eastAsia" w:ascii="Times New Roman" w:hAnsi="Times New Roman" w:eastAsia="宋体" w:cs="Times New Roman"/>
                <w:color w:val="auto"/>
                <w:kern w:val="2"/>
                <w:sz w:val="21"/>
                <w:szCs w:val="21"/>
                <w:lang w:val="en-US" w:eastAsia="zh-CN" w:bidi="ar-SA"/>
              </w:rPr>
            </w:pPr>
            <w:r>
              <w:rPr>
                <w:rFonts w:hint="eastAsia"/>
                <w:color w:val="auto"/>
                <w:lang w:eastAsia="zh-CN"/>
              </w:rPr>
              <w:t>车间主任</w:t>
            </w:r>
          </w:p>
        </w:tc>
        <w:tc>
          <w:tcPr>
            <w:tcW w:w="839" w:type="pct"/>
            <w:noWrap w:val="0"/>
            <w:vAlign w:val="bottom"/>
          </w:tcPr>
          <w:p w14:paraId="69A4B5F0">
            <w:pPr>
              <w:keepNext w:val="0"/>
              <w:keepLines w:val="0"/>
              <w:widowControl/>
              <w:suppressLineNumbers w:val="0"/>
              <w:spacing w:before="0" w:beforeAutospacing="0" w:after="0" w:afterAutospacing="0"/>
              <w:ind w:left="0" w:right="0"/>
              <w:jc w:val="center"/>
              <w:textAlignment w:val="bottom"/>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15666030612</w:t>
            </w:r>
          </w:p>
        </w:tc>
      </w:tr>
      <w:tr w14:paraId="3D214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976" w:type="pct"/>
            <w:vMerge w:val="continue"/>
            <w:noWrap w:val="0"/>
            <w:vAlign w:val="center"/>
          </w:tcPr>
          <w:p w14:paraId="05489A01">
            <w:pPr>
              <w:pStyle w:val="127"/>
              <w:keepNext w:val="0"/>
              <w:keepLines w:val="0"/>
              <w:widowControl/>
              <w:suppressLineNumbers w:val="0"/>
              <w:spacing w:before="0" w:beforeAutospacing="0" w:after="0" w:afterAutospacing="0"/>
              <w:ind w:left="0" w:right="0"/>
              <w:rPr>
                <w:rFonts w:hint="default"/>
                <w:color w:val="auto"/>
              </w:rPr>
            </w:pPr>
          </w:p>
        </w:tc>
        <w:tc>
          <w:tcPr>
            <w:tcW w:w="766" w:type="pct"/>
            <w:noWrap w:val="0"/>
            <w:vAlign w:val="center"/>
          </w:tcPr>
          <w:p w14:paraId="7295489E">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组员</w:t>
            </w:r>
          </w:p>
        </w:tc>
        <w:tc>
          <w:tcPr>
            <w:tcW w:w="1034" w:type="pct"/>
            <w:noWrap w:val="0"/>
            <w:vAlign w:val="center"/>
          </w:tcPr>
          <w:p w14:paraId="10775768">
            <w:pPr>
              <w:pStyle w:val="127"/>
              <w:keepNext w:val="0"/>
              <w:keepLines w:val="0"/>
              <w:widowControl/>
              <w:suppressLineNumbers w:val="0"/>
              <w:spacing w:before="0" w:beforeAutospacing="0" w:after="0" w:afterAutospacing="0"/>
              <w:ind w:left="0" w:right="0"/>
              <w:rPr>
                <w:rFonts w:hint="eastAsia" w:eastAsia="宋体"/>
                <w:color w:val="auto"/>
                <w:lang w:eastAsia="zh-CN"/>
              </w:rPr>
            </w:pPr>
            <w:r>
              <w:rPr>
                <w:rFonts w:hint="eastAsia"/>
                <w:color w:val="auto"/>
                <w:lang w:eastAsia="zh-CN"/>
              </w:rPr>
              <w:t>贾晓燕</w:t>
            </w:r>
          </w:p>
        </w:tc>
        <w:tc>
          <w:tcPr>
            <w:tcW w:w="1383" w:type="pct"/>
            <w:noWrap w:val="0"/>
            <w:vAlign w:val="center"/>
          </w:tcPr>
          <w:p w14:paraId="5E4F1A39">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仓库管理员</w:t>
            </w:r>
          </w:p>
        </w:tc>
        <w:tc>
          <w:tcPr>
            <w:tcW w:w="839" w:type="pct"/>
            <w:noWrap w:val="0"/>
            <w:vAlign w:val="bottom"/>
          </w:tcPr>
          <w:p w14:paraId="5F325F53">
            <w:pPr>
              <w:keepNext w:val="0"/>
              <w:keepLines w:val="0"/>
              <w:widowControl/>
              <w:suppressLineNumbers w:val="0"/>
              <w:spacing w:before="0" w:beforeAutospacing="0" w:after="0" w:afterAutospacing="0"/>
              <w:ind w:left="0" w:right="0"/>
              <w:jc w:val="center"/>
              <w:textAlignment w:val="bottom"/>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18560366652</w:t>
            </w:r>
          </w:p>
        </w:tc>
      </w:tr>
      <w:tr w14:paraId="39FEA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976" w:type="pct"/>
            <w:vMerge w:val="continue"/>
            <w:noWrap w:val="0"/>
            <w:vAlign w:val="center"/>
          </w:tcPr>
          <w:p w14:paraId="78FAE5D7">
            <w:pPr>
              <w:pStyle w:val="127"/>
              <w:keepNext w:val="0"/>
              <w:keepLines w:val="0"/>
              <w:widowControl/>
              <w:suppressLineNumbers w:val="0"/>
              <w:spacing w:before="0" w:beforeAutospacing="0" w:after="0" w:afterAutospacing="0"/>
              <w:ind w:left="0" w:right="0"/>
              <w:rPr>
                <w:rFonts w:hint="default"/>
                <w:color w:val="auto"/>
              </w:rPr>
            </w:pPr>
          </w:p>
        </w:tc>
        <w:tc>
          <w:tcPr>
            <w:tcW w:w="766" w:type="pct"/>
            <w:noWrap w:val="0"/>
            <w:vAlign w:val="center"/>
          </w:tcPr>
          <w:p w14:paraId="126985FA">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组员</w:t>
            </w:r>
          </w:p>
        </w:tc>
        <w:tc>
          <w:tcPr>
            <w:tcW w:w="1034" w:type="pct"/>
            <w:noWrap w:val="0"/>
            <w:vAlign w:val="center"/>
          </w:tcPr>
          <w:p w14:paraId="2E42E69D">
            <w:pPr>
              <w:pStyle w:val="127"/>
              <w:keepNext w:val="0"/>
              <w:keepLines w:val="0"/>
              <w:widowControl/>
              <w:suppressLineNumbers w:val="0"/>
              <w:spacing w:before="0" w:beforeAutospacing="0" w:after="0" w:afterAutospacing="0"/>
              <w:ind w:left="0" w:right="0"/>
              <w:rPr>
                <w:rFonts w:hint="eastAsia" w:eastAsia="宋体"/>
                <w:color w:val="auto"/>
                <w:lang w:eastAsia="zh-CN"/>
              </w:rPr>
            </w:pPr>
            <w:r>
              <w:rPr>
                <w:rFonts w:hint="eastAsia"/>
                <w:color w:val="auto"/>
                <w:lang w:eastAsia="zh-CN"/>
              </w:rPr>
              <w:t>薛贞</w:t>
            </w:r>
          </w:p>
        </w:tc>
        <w:tc>
          <w:tcPr>
            <w:tcW w:w="1383" w:type="pct"/>
            <w:noWrap w:val="0"/>
            <w:vAlign w:val="center"/>
          </w:tcPr>
          <w:p w14:paraId="420541D6">
            <w:pPr>
              <w:pStyle w:val="127"/>
              <w:keepNext w:val="0"/>
              <w:keepLines w:val="0"/>
              <w:widowControl/>
              <w:suppressLineNumbers w:val="0"/>
              <w:spacing w:before="0" w:beforeAutospacing="0" w:after="0" w:afterAutospacing="0"/>
              <w:ind w:left="0" w:right="0"/>
              <w:rPr>
                <w:rFonts w:hint="eastAsia" w:eastAsia="宋体"/>
                <w:color w:val="auto"/>
                <w:lang w:eastAsia="zh-CN"/>
              </w:rPr>
            </w:pPr>
            <w:r>
              <w:rPr>
                <w:rFonts w:hint="eastAsia"/>
                <w:color w:val="auto"/>
                <w:lang w:eastAsia="zh-CN"/>
              </w:rPr>
              <w:t>环保员</w:t>
            </w:r>
          </w:p>
        </w:tc>
        <w:tc>
          <w:tcPr>
            <w:tcW w:w="839" w:type="pct"/>
            <w:noWrap w:val="0"/>
            <w:vAlign w:val="bottom"/>
          </w:tcPr>
          <w:p w14:paraId="10167492">
            <w:pPr>
              <w:keepNext w:val="0"/>
              <w:keepLines w:val="0"/>
              <w:widowControl/>
              <w:suppressLineNumbers w:val="0"/>
              <w:spacing w:before="0" w:beforeAutospacing="0" w:after="0" w:afterAutospacing="0"/>
              <w:ind w:left="0" w:right="0"/>
              <w:jc w:val="center"/>
              <w:textAlignment w:val="bottom"/>
              <w:rPr>
                <w:rFonts w:hint="default"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2"/>
                <w:sz w:val="21"/>
                <w:szCs w:val="21"/>
                <w:u w:val="none"/>
                <w:lang w:val="en-US" w:eastAsia="zh-CN" w:bidi="ar-SA"/>
              </w:rPr>
              <w:t>13287028919</w:t>
            </w:r>
          </w:p>
        </w:tc>
      </w:tr>
      <w:tr w14:paraId="183E4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976" w:type="pct"/>
            <w:vMerge w:val="restart"/>
            <w:noWrap w:val="0"/>
            <w:vAlign w:val="center"/>
          </w:tcPr>
          <w:p w14:paraId="0F2B0CDE">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医疗救护组</w:t>
            </w:r>
          </w:p>
        </w:tc>
        <w:tc>
          <w:tcPr>
            <w:tcW w:w="766" w:type="pct"/>
            <w:noWrap w:val="0"/>
            <w:vAlign w:val="center"/>
          </w:tcPr>
          <w:p w14:paraId="3742CBE1">
            <w:pPr>
              <w:pStyle w:val="127"/>
              <w:keepNext w:val="0"/>
              <w:keepLines w:val="0"/>
              <w:widowControl/>
              <w:suppressLineNumbers w:val="0"/>
              <w:spacing w:before="0" w:beforeAutospacing="0" w:after="0" w:afterAutospacing="0"/>
              <w:ind w:left="0" w:right="0"/>
              <w:rPr>
                <w:rFonts w:hint="default"/>
                <w:color w:val="auto"/>
              </w:rPr>
            </w:pPr>
            <w:r>
              <w:rPr>
                <w:rFonts w:hint="default"/>
                <w:color w:val="auto"/>
              </w:rPr>
              <w:t>组长</w:t>
            </w:r>
          </w:p>
        </w:tc>
        <w:tc>
          <w:tcPr>
            <w:tcW w:w="1034" w:type="pct"/>
            <w:noWrap w:val="0"/>
            <w:vAlign w:val="center"/>
          </w:tcPr>
          <w:p w14:paraId="19396C0B">
            <w:pPr>
              <w:pStyle w:val="127"/>
              <w:keepNext w:val="0"/>
              <w:keepLines w:val="0"/>
              <w:widowControl/>
              <w:suppressLineNumbers w:val="0"/>
              <w:spacing w:before="0" w:beforeAutospacing="0" w:after="0" w:afterAutospacing="0"/>
              <w:ind w:left="0" w:right="0"/>
              <w:rPr>
                <w:rFonts w:hint="eastAsia" w:eastAsia="宋体"/>
                <w:color w:val="auto"/>
                <w:lang w:eastAsia="zh-CN"/>
              </w:rPr>
            </w:pPr>
            <w:r>
              <w:rPr>
                <w:rFonts w:hint="eastAsia"/>
                <w:color w:val="auto"/>
                <w:lang w:eastAsia="zh-CN"/>
              </w:rPr>
              <w:t>刘华</w:t>
            </w:r>
          </w:p>
        </w:tc>
        <w:tc>
          <w:tcPr>
            <w:tcW w:w="1383" w:type="pct"/>
            <w:noWrap w:val="0"/>
            <w:vAlign w:val="center"/>
          </w:tcPr>
          <w:p w14:paraId="40AD53EE">
            <w:pPr>
              <w:pStyle w:val="127"/>
              <w:keepNext w:val="0"/>
              <w:keepLines w:val="0"/>
              <w:widowControl/>
              <w:suppressLineNumbers w:val="0"/>
              <w:spacing w:before="0" w:beforeAutospacing="0" w:after="0" w:afterAutospacing="0"/>
              <w:ind w:left="0" w:right="0"/>
              <w:rPr>
                <w:rFonts w:hint="eastAsia" w:eastAsia="宋体"/>
                <w:color w:val="auto"/>
                <w:lang w:eastAsia="zh-CN"/>
              </w:rPr>
            </w:pPr>
            <w:r>
              <w:rPr>
                <w:rFonts w:hint="eastAsia"/>
                <w:color w:val="auto"/>
                <w:lang w:eastAsia="zh-CN"/>
              </w:rPr>
              <w:t>财务部部长</w:t>
            </w:r>
          </w:p>
        </w:tc>
        <w:tc>
          <w:tcPr>
            <w:tcW w:w="839" w:type="pct"/>
            <w:noWrap w:val="0"/>
            <w:vAlign w:val="bottom"/>
          </w:tcPr>
          <w:p w14:paraId="09CD0276">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18615123108</w:t>
            </w:r>
          </w:p>
        </w:tc>
      </w:tr>
      <w:tr w14:paraId="669D0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976" w:type="pct"/>
            <w:vMerge w:val="continue"/>
            <w:noWrap w:val="0"/>
            <w:vAlign w:val="center"/>
          </w:tcPr>
          <w:p w14:paraId="6A93341C">
            <w:pPr>
              <w:pStyle w:val="127"/>
              <w:keepNext w:val="0"/>
              <w:keepLines w:val="0"/>
              <w:widowControl/>
              <w:suppressLineNumbers w:val="0"/>
              <w:spacing w:before="0" w:beforeAutospacing="0" w:after="0" w:afterAutospacing="0"/>
              <w:ind w:left="0" w:right="0"/>
              <w:rPr>
                <w:rFonts w:hint="default"/>
                <w:color w:val="auto"/>
              </w:rPr>
            </w:pPr>
          </w:p>
        </w:tc>
        <w:tc>
          <w:tcPr>
            <w:tcW w:w="766" w:type="pct"/>
            <w:noWrap w:val="0"/>
            <w:vAlign w:val="center"/>
          </w:tcPr>
          <w:p w14:paraId="250CA054">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组员</w:t>
            </w:r>
          </w:p>
        </w:tc>
        <w:tc>
          <w:tcPr>
            <w:tcW w:w="1034" w:type="pct"/>
            <w:noWrap w:val="0"/>
            <w:vAlign w:val="center"/>
          </w:tcPr>
          <w:p w14:paraId="4E9CD298">
            <w:pPr>
              <w:pStyle w:val="127"/>
              <w:keepNext w:val="0"/>
              <w:keepLines w:val="0"/>
              <w:widowControl/>
              <w:suppressLineNumbers w:val="0"/>
              <w:spacing w:before="0" w:beforeAutospacing="0" w:after="0" w:afterAutospacing="0"/>
              <w:ind w:left="0" w:right="0"/>
              <w:rPr>
                <w:rFonts w:hint="eastAsia" w:eastAsia="宋体"/>
                <w:color w:val="auto"/>
                <w:lang w:eastAsia="zh-CN"/>
              </w:rPr>
            </w:pPr>
            <w:r>
              <w:rPr>
                <w:rFonts w:hint="eastAsia"/>
                <w:color w:val="auto"/>
                <w:lang w:eastAsia="zh-CN"/>
              </w:rPr>
              <w:t>陈延美</w:t>
            </w:r>
          </w:p>
        </w:tc>
        <w:tc>
          <w:tcPr>
            <w:tcW w:w="1383" w:type="pct"/>
            <w:noWrap w:val="0"/>
            <w:vAlign w:val="center"/>
          </w:tcPr>
          <w:p w14:paraId="6239580D">
            <w:pPr>
              <w:pStyle w:val="127"/>
              <w:keepNext w:val="0"/>
              <w:keepLines w:val="0"/>
              <w:widowControl/>
              <w:suppressLineNumbers w:val="0"/>
              <w:spacing w:before="0" w:beforeAutospacing="0" w:after="0" w:afterAutospacing="0"/>
              <w:ind w:left="0" w:right="0"/>
              <w:rPr>
                <w:rFonts w:hint="eastAsia" w:eastAsia="宋体"/>
                <w:color w:val="auto"/>
                <w:lang w:eastAsia="zh-CN"/>
              </w:rPr>
            </w:pPr>
            <w:r>
              <w:rPr>
                <w:rFonts w:hint="eastAsia"/>
                <w:color w:val="auto"/>
                <w:lang w:eastAsia="zh-CN"/>
              </w:rPr>
              <w:t>会计</w:t>
            </w:r>
          </w:p>
        </w:tc>
        <w:tc>
          <w:tcPr>
            <w:tcW w:w="839" w:type="pct"/>
            <w:noWrap w:val="0"/>
            <w:vAlign w:val="bottom"/>
          </w:tcPr>
          <w:p w14:paraId="76405A72">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13616446087</w:t>
            </w:r>
          </w:p>
        </w:tc>
      </w:tr>
      <w:tr w14:paraId="04600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976" w:type="pct"/>
            <w:vMerge w:val="continue"/>
            <w:noWrap w:val="0"/>
            <w:vAlign w:val="center"/>
          </w:tcPr>
          <w:p w14:paraId="55A4F392">
            <w:pPr>
              <w:pStyle w:val="127"/>
              <w:keepNext w:val="0"/>
              <w:keepLines w:val="0"/>
              <w:widowControl/>
              <w:suppressLineNumbers w:val="0"/>
              <w:spacing w:before="0" w:beforeAutospacing="0" w:after="0" w:afterAutospacing="0"/>
              <w:ind w:left="0" w:right="0"/>
              <w:rPr>
                <w:rFonts w:hint="default"/>
                <w:color w:val="auto"/>
              </w:rPr>
            </w:pPr>
          </w:p>
        </w:tc>
        <w:tc>
          <w:tcPr>
            <w:tcW w:w="766" w:type="pct"/>
            <w:noWrap w:val="0"/>
            <w:vAlign w:val="center"/>
          </w:tcPr>
          <w:p w14:paraId="03C0E61E">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组员</w:t>
            </w:r>
          </w:p>
        </w:tc>
        <w:tc>
          <w:tcPr>
            <w:tcW w:w="1034" w:type="pct"/>
            <w:noWrap w:val="0"/>
            <w:vAlign w:val="center"/>
          </w:tcPr>
          <w:p w14:paraId="6DFDCDC7">
            <w:pPr>
              <w:pStyle w:val="127"/>
              <w:keepNext w:val="0"/>
              <w:keepLines w:val="0"/>
              <w:widowControl/>
              <w:suppressLineNumbers w:val="0"/>
              <w:spacing w:before="0" w:beforeAutospacing="0" w:after="0" w:afterAutospacing="0"/>
              <w:ind w:left="0" w:right="0"/>
              <w:rPr>
                <w:rFonts w:hint="eastAsia" w:eastAsia="宋体"/>
                <w:color w:val="auto"/>
                <w:lang w:eastAsia="zh-CN"/>
              </w:rPr>
            </w:pPr>
            <w:r>
              <w:rPr>
                <w:rFonts w:hint="eastAsia"/>
                <w:color w:val="auto"/>
                <w:lang w:eastAsia="zh-CN"/>
              </w:rPr>
              <w:t>王佳宁</w:t>
            </w:r>
          </w:p>
        </w:tc>
        <w:tc>
          <w:tcPr>
            <w:tcW w:w="1383" w:type="pct"/>
            <w:noWrap w:val="0"/>
            <w:vAlign w:val="center"/>
          </w:tcPr>
          <w:p w14:paraId="2B65EB64">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文员</w:t>
            </w:r>
          </w:p>
        </w:tc>
        <w:tc>
          <w:tcPr>
            <w:tcW w:w="839" w:type="pct"/>
            <w:noWrap w:val="0"/>
            <w:vAlign w:val="center"/>
          </w:tcPr>
          <w:p w14:paraId="01178BA9">
            <w:pPr>
              <w:pStyle w:val="127"/>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13616446200</w:t>
            </w:r>
          </w:p>
        </w:tc>
      </w:tr>
      <w:tr w14:paraId="6B22F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976" w:type="pct"/>
            <w:vMerge w:val="restart"/>
            <w:noWrap w:val="0"/>
            <w:vAlign w:val="center"/>
          </w:tcPr>
          <w:p w14:paraId="5154C248">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警戒保卫组</w:t>
            </w:r>
          </w:p>
        </w:tc>
        <w:tc>
          <w:tcPr>
            <w:tcW w:w="766" w:type="pct"/>
            <w:noWrap w:val="0"/>
            <w:vAlign w:val="center"/>
          </w:tcPr>
          <w:p w14:paraId="2FFA25DD">
            <w:pPr>
              <w:pStyle w:val="127"/>
              <w:keepNext w:val="0"/>
              <w:keepLines w:val="0"/>
              <w:widowControl/>
              <w:suppressLineNumbers w:val="0"/>
              <w:spacing w:before="0" w:beforeAutospacing="0" w:after="0" w:afterAutospacing="0"/>
              <w:ind w:left="0" w:right="0"/>
              <w:rPr>
                <w:rFonts w:hint="default"/>
                <w:color w:val="auto"/>
              </w:rPr>
            </w:pPr>
            <w:r>
              <w:rPr>
                <w:rFonts w:hint="default"/>
                <w:color w:val="auto"/>
              </w:rPr>
              <w:t>组长</w:t>
            </w:r>
          </w:p>
        </w:tc>
        <w:tc>
          <w:tcPr>
            <w:tcW w:w="1034" w:type="pct"/>
            <w:noWrap w:val="0"/>
            <w:vAlign w:val="center"/>
          </w:tcPr>
          <w:p w14:paraId="731F43FF">
            <w:pPr>
              <w:pStyle w:val="127"/>
              <w:keepNext w:val="0"/>
              <w:keepLines w:val="0"/>
              <w:widowControl/>
              <w:suppressLineNumbers w:val="0"/>
              <w:spacing w:before="0" w:beforeAutospacing="0" w:after="0" w:afterAutospacing="0"/>
              <w:ind w:left="0" w:right="0"/>
              <w:rPr>
                <w:rFonts w:hint="eastAsia" w:eastAsia="宋体"/>
                <w:color w:val="auto"/>
                <w:lang w:eastAsia="zh-CN"/>
              </w:rPr>
            </w:pPr>
            <w:r>
              <w:rPr>
                <w:rFonts w:hint="eastAsia"/>
                <w:color w:val="auto"/>
                <w:lang w:eastAsia="zh-CN"/>
              </w:rPr>
              <w:t>李超</w:t>
            </w:r>
          </w:p>
        </w:tc>
        <w:tc>
          <w:tcPr>
            <w:tcW w:w="1383" w:type="pct"/>
            <w:noWrap w:val="0"/>
            <w:vAlign w:val="center"/>
          </w:tcPr>
          <w:p w14:paraId="22CAAF77">
            <w:pPr>
              <w:pStyle w:val="127"/>
              <w:keepNext w:val="0"/>
              <w:keepLines w:val="0"/>
              <w:widowControl/>
              <w:suppressLineNumbers w:val="0"/>
              <w:spacing w:before="0" w:beforeAutospacing="0" w:after="0" w:afterAutospacing="0"/>
              <w:ind w:left="0" w:right="0"/>
              <w:rPr>
                <w:rFonts w:hint="eastAsia" w:eastAsia="宋体"/>
                <w:color w:val="auto"/>
                <w:lang w:eastAsia="zh-CN"/>
              </w:rPr>
            </w:pPr>
            <w:r>
              <w:rPr>
                <w:rFonts w:hint="eastAsia"/>
                <w:color w:val="auto"/>
                <w:lang w:eastAsia="zh-CN"/>
              </w:rPr>
              <w:t>班长</w:t>
            </w:r>
          </w:p>
        </w:tc>
        <w:tc>
          <w:tcPr>
            <w:tcW w:w="839" w:type="pct"/>
            <w:noWrap w:val="0"/>
            <w:vAlign w:val="bottom"/>
          </w:tcPr>
          <w:p w14:paraId="17D67FDD">
            <w:pPr>
              <w:keepNext w:val="0"/>
              <w:keepLines w:val="0"/>
              <w:widowControl/>
              <w:suppressLineNumbers w:val="0"/>
              <w:spacing w:before="0" w:beforeAutospacing="0" w:after="0" w:afterAutospacing="0"/>
              <w:ind w:left="0" w:right="0"/>
              <w:jc w:val="center"/>
              <w:textAlignment w:val="bottom"/>
              <w:rPr>
                <w:rFonts w:hint="default"/>
                <w:color w:val="auto"/>
                <w:kern w:val="2"/>
                <w:sz w:val="24"/>
                <w:szCs w:val="24"/>
                <w:lang w:val="en-US" w:eastAsia="zh-CN" w:bidi="ar-SA"/>
              </w:rPr>
            </w:pPr>
            <w:r>
              <w:rPr>
                <w:rFonts w:hint="eastAsia" w:ascii="宋体" w:hAnsi="宋体" w:eastAsia="宋体" w:cs="宋体"/>
                <w:i w:val="0"/>
                <w:iCs w:val="0"/>
                <w:color w:val="000000"/>
                <w:kern w:val="0"/>
                <w:sz w:val="21"/>
                <w:szCs w:val="21"/>
                <w:u w:val="none"/>
                <w:lang w:val="en-US" w:eastAsia="zh-CN" w:bidi="ar"/>
              </w:rPr>
              <w:t>13792163578</w:t>
            </w:r>
          </w:p>
        </w:tc>
      </w:tr>
      <w:tr w14:paraId="08C0E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976" w:type="pct"/>
            <w:vMerge w:val="continue"/>
            <w:noWrap w:val="0"/>
            <w:vAlign w:val="center"/>
          </w:tcPr>
          <w:p w14:paraId="0BBD8954">
            <w:pPr>
              <w:pStyle w:val="127"/>
              <w:keepNext w:val="0"/>
              <w:keepLines w:val="0"/>
              <w:widowControl/>
              <w:suppressLineNumbers w:val="0"/>
              <w:spacing w:before="0" w:beforeAutospacing="0" w:after="0" w:afterAutospacing="0"/>
              <w:ind w:left="0" w:right="0"/>
              <w:rPr>
                <w:rFonts w:hint="default"/>
                <w:color w:val="auto"/>
              </w:rPr>
            </w:pPr>
          </w:p>
        </w:tc>
        <w:tc>
          <w:tcPr>
            <w:tcW w:w="766" w:type="pct"/>
            <w:noWrap w:val="0"/>
            <w:vAlign w:val="center"/>
          </w:tcPr>
          <w:p w14:paraId="0D8AD1B5">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组员</w:t>
            </w:r>
          </w:p>
        </w:tc>
        <w:tc>
          <w:tcPr>
            <w:tcW w:w="1034" w:type="pct"/>
            <w:noWrap w:val="0"/>
            <w:vAlign w:val="center"/>
          </w:tcPr>
          <w:p w14:paraId="612B9A57">
            <w:pPr>
              <w:pStyle w:val="127"/>
              <w:keepNext w:val="0"/>
              <w:keepLines w:val="0"/>
              <w:widowControl/>
              <w:suppressLineNumbers w:val="0"/>
              <w:spacing w:before="0" w:beforeAutospacing="0" w:after="0" w:afterAutospacing="0"/>
              <w:ind w:left="0" w:right="0"/>
              <w:rPr>
                <w:rFonts w:hint="eastAsia" w:eastAsia="宋体"/>
                <w:color w:val="auto"/>
                <w:lang w:eastAsia="zh-CN"/>
              </w:rPr>
            </w:pPr>
            <w:r>
              <w:rPr>
                <w:rFonts w:hint="eastAsia"/>
                <w:color w:val="auto"/>
                <w:lang w:eastAsia="zh-CN"/>
              </w:rPr>
              <w:t>曹全民</w:t>
            </w:r>
          </w:p>
        </w:tc>
        <w:tc>
          <w:tcPr>
            <w:tcW w:w="1383" w:type="pct"/>
            <w:noWrap w:val="0"/>
            <w:vAlign w:val="center"/>
          </w:tcPr>
          <w:p w14:paraId="7272C778">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保安队员</w:t>
            </w:r>
          </w:p>
        </w:tc>
        <w:tc>
          <w:tcPr>
            <w:tcW w:w="839" w:type="pct"/>
            <w:noWrap w:val="0"/>
            <w:vAlign w:val="center"/>
          </w:tcPr>
          <w:p w14:paraId="2D9F27AA">
            <w:pPr>
              <w:pStyle w:val="127"/>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eastAsia" w:ascii="宋体" w:hAnsi="宋体" w:eastAsia="宋体" w:cs="宋体"/>
                <w:color w:val="auto"/>
                <w:lang w:val="en-US" w:eastAsia="zh-CN"/>
              </w:rPr>
              <w:t>13</w:t>
            </w:r>
            <w:r>
              <w:rPr>
                <w:rFonts w:hint="eastAsia" w:ascii="宋体" w:hAnsi="宋体" w:cs="宋体"/>
                <w:color w:val="auto"/>
                <w:lang w:val="en-US" w:eastAsia="zh-CN"/>
              </w:rPr>
              <w:t>5</w:t>
            </w:r>
            <w:r>
              <w:rPr>
                <w:rFonts w:hint="eastAsia" w:ascii="宋体" w:hAnsi="宋体" w:eastAsia="宋体" w:cs="宋体"/>
                <w:color w:val="auto"/>
                <w:lang w:val="en-US" w:eastAsia="zh-CN"/>
              </w:rPr>
              <w:t>12715075</w:t>
            </w:r>
          </w:p>
        </w:tc>
      </w:tr>
      <w:tr w14:paraId="41260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976" w:type="pct"/>
            <w:vMerge w:val="continue"/>
            <w:noWrap w:val="0"/>
            <w:vAlign w:val="center"/>
          </w:tcPr>
          <w:p w14:paraId="49A781BF">
            <w:pPr>
              <w:pStyle w:val="127"/>
              <w:keepNext w:val="0"/>
              <w:keepLines w:val="0"/>
              <w:widowControl/>
              <w:suppressLineNumbers w:val="0"/>
              <w:spacing w:before="0" w:beforeAutospacing="0" w:after="0" w:afterAutospacing="0"/>
              <w:ind w:left="0" w:right="0"/>
              <w:rPr>
                <w:rFonts w:hint="default"/>
                <w:color w:val="auto"/>
              </w:rPr>
            </w:pPr>
          </w:p>
        </w:tc>
        <w:tc>
          <w:tcPr>
            <w:tcW w:w="766" w:type="pct"/>
            <w:noWrap w:val="0"/>
            <w:vAlign w:val="center"/>
          </w:tcPr>
          <w:p w14:paraId="77D48181">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组员</w:t>
            </w:r>
          </w:p>
        </w:tc>
        <w:tc>
          <w:tcPr>
            <w:tcW w:w="1034" w:type="pct"/>
            <w:noWrap w:val="0"/>
            <w:vAlign w:val="center"/>
          </w:tcPr>
          <w:p w14:paraId="62018F08">
            <w:pPr>
              <w:pStyle w:val="127"/>
              <w:keepNext w:val="0"/>
              <w:keepLines w:val="0"/>
              <w:widowControl/>
              <w:suppressLineNumbers w:val="0"/>
              <w:spacing w:before="0" w:beforeAutospacing="0" w:after="0" w:afterAutospacing="0"/>
              <w:ind w:left="0" w:right="0"/>
              <w:rPr>
                <w:rFonts w:hint="eastAsia" w:eastAsia="宋体"/>
                <w:color w:val="auto"/>
                <w:lang w:eastAsia="zh-CN"/>
              </w:rPr>
            </w:pPr>
            <w:r>
              <w:rPr>
                <w:rFonts w:hint="eastAsia"/>
                <w:color w:val="auto"/>
                <w:lang w:eastAsia="zh-CN"/>
              </w:rPr>
              <w:t>刘衍磊</w:t>
            </w:r>
          </w:p>
        </w:tc>
        <w:tc>
          <w:tcPr>
            <w:tcW w:w="1383" w:type="pct"/>
            <w:noWrap w:val="0"/>
            <w:vAlign w:val="center"/>
          </w:tcPr>
          <w:p w14:paraId="2C6F2FF4">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保安队员</w:t>
            </w:r>
          </w:p>
        </w:tc>
        <w:tc>
          <w:tcPr>
            <w:tcW w:w="839" w:type="pct"/>
            <w:noWrap w:val="0"/>
            <w:vAlign w:val="center"/>
          </w:tcPr>
          <w:p w14:paraId="139C449F">
            <w:pPr>
              <w:keepNext w:val="0"/>
              <w:keepLines w:val="0"/>
              <w:widowControl/>
              <w:suppressLineNumbers w:val="0"/>
              <w:spacing w:before="0" w:beforeAutospacing="0" w:after="0" w:afterAutospacing="0"/>
              <w:ind w:left="0" w:right="0"/>
              <w:jc w:val="center"/>
              <w:textAlignment w:val="bottom"/>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15095232870</w:t>
            </w:r>
          </w:p>
        </w:tc>
      </w:tr>
      <w:tr w14:paraId="35908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976" w:type="pct"/>
            <w:vMerge w:val="restart"/>
            <w:noWrap w:val="0"/>
            <w:vAlign w:val="center"/>
          </w:tcPr>
          <w:p w14:paraId="2EF914B4">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环境应急监测组</w:t>
            </w:r>
          </w:p>
        </w:tc>
        <w:tc>
          <w:tcPr>
            <w:tcW w:w="766" w:type="pct"/>
            <w:noWrap w:val="0"/>
            <w:vAlign w:val="center"/>
          </w:tcPr>
          <w:p w14:paraId="0DE87421">
            <w:pPr>
              <w:pStyle w:val="127"/>
              <w:keepNext w:val="0"/>
              <w:keepLines w:val="0"/>
              <w:widowControl/>
              <w:suppressLineNumbers w:val="0"/>
              <w:spacing w:before="0" w:beforeAutospacing="0" w:after="0" w:afterAutospacing="0"/>
              <w:ind w:left="0" w:right="0"/>
              <w:rPr>
                <w:rFonts w:hint="default"/>
                <w:color w:val="auto"/>
              </w:rPr>
            </w:pPr>
            <w:r>
              <w:rPr>
                <w:rFonts w:hint="default"/>
                <w:color w:val="auto"/>
              </w:rPr>
              <w:t>组长</w:t>
            </w:r>
          </w:p>
        </w:tc>
        <w:tc>
          <w:tcPr>
            <w:tcW w:w="1034" w:type="pct"/>
            <w:noWrap w:val="0"/>
            <w:vAlign w:val="center"/>
          </w:tcPr>
          <w:p w14:paraId="5250A795">
            <w:pPr>
              <w:pStyle w:val="127"/>
              <w:keepNext w:val="0"/>
              <w:keepLines w:val="0"/>
              <w:widowControl/>
              <w:suppressLineNumbers w:val="0"/>
              <w:spacing w:before="0" w:beforeAutospacing="0" w:after="0" w:afterAutospacing="0"/>
              <w:ind w:left="0" w:right="0"/>
              <w:rPr>
                <w:rFonts w:hint="eastAsia" w:eastAsia="宋体"/>
                <w:color w:val="auto"/>
                <w:lang w:eastAsia="zh-CN"/>
              </w:rPr>
            </w:pPr>
            <w:r>
              <w:rPr>
                <w:rFonts w:hint="eastAsia"/>
                <w:color w:val="auto"/>
                <w:lang w:eastAsia="zh-CN"/>
              </w:rPr>
              <w:t>于国亮</w:t>
            </w:r>
          </w:p>
        </w:tc>
        <w:tc>
          <w:tcPr>
            <w:tcW w:w="1383" w:type="pct"/>
            <w:noWrap w:val="0"/>
            <w:vAlign w:val="center"/>
          </w:tcPr>
          <w:p w14:paraId="72D0A5F8">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lang w:eastAsia="zh-CN"/>
              </w:rPr>
              <w:t>安全</w:t>
            </w:r>
            <w:r>
              <w:rPr>
                <w:rFonts w:hint="eastAsia"/>
                <w:color w:val="auto"/>
              </w:rPr>
              <w:t>专工</w:t>
            </w:r>
          </w:p>
        </w:tc>
        <w:tc>
          <w:tcPr>
            <w:tcW w:w="839" w:type="pct"/>
            <w:noWrap w:val="0"/>
            <w:vAlign w:val="center"/>
          </w:tcPr>
          <w:p w14:paraId="718B1CD5">
            <w:pPr>
              <w:keepNext w:val="0"/>
              <w:keepLines w:val="0"/>
              <w:widowControl/>
              <w:suppressLineNumbers w:val="0"/>
              <w:spacing w:before="0" w:beforeAutospacing="0" w:after="0" w:afterAutospacing="0"/>
              <w:ind w:left="0" w:right="0"/>
              <w:jc w:val="center"/>
              <w:textAlignment w:val="bottom"/>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13668635301</w:t>
            </w:r>
          </w:p>
        </w:tc>
      </w:tr>
      <w:tr w14:paraId="0432B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976" w:type="pct"/>
            <w:vMerge w:val="continue"/>
            <w:noWrap w:val="0"/>
            <w:vAlign w:val="center"/>
          </w:tcPr>
          <w:p w14:paraId="1FC47B45">
            <w:pPr>
              <w:pStyle w:val="127"/>
              <w:keepNext w:val="0"/>
              <w:keepLines w:val="0"/>
              <w:widowControl/>
              <w:suppressLineNumbers w:val="0"/>
              <w:spacing w:before="0" w:beforeAutospacing="0" w:after="0" w:afterAutospacing="0"/>
              <w:ind w:left="0" w:right="0"/>
              <w:rPr>
                <w:rFonts w:hint="default"/>
                <w:color w:val="auto"/>
              </w:rPr>
            </w:pPr>
          </w:p>
        </w:tc>
        <w:tc>
          <w:tcPr>
            <w:tcW w:w="766" w:type="pct"/>
            <w:noWrap w:val="0"/>
            <w:vAlign w:val="center"/>
          </w:tcPr>
          <w:p w14:paraId="1E7881EB">
            <w:pPr>
              <w:pStyle w:val="127"/>
              <w:keepNext w:val="0"/>
              <w:keepLines w:val="0"/>
              <w:widowControl/>
              <w:suppressLineNumbers w:val="0"/>
              <w:spacing w:before="0" w:beforeAutospacing="0" w:after="0" w:afterAutospacing="0"/>
              <w:ind w:left="0" w:right="0"/>
              <w:rPr>
                <w:rFonts w:hint="eastAsia" w:eastAsia="宋体"/>
                <w:color w:val="auto"/>
                <w:lang w:eastAsia="zh-CN"/>
              </w:rPr>
            </w:pPr>
            <w:r>
              <w:rPr>
                <w:rFonts w:hint="eastAsia"/>
                <w:color w:val="auto"/>
                <w:lang w:eastAsia="zh-CN"/>
              </w:rPr>
              <w:t>副组长</w:t>
            </w:r>
          </w:p>
        </w:tc>
        <w:tc>
          <w:tcPr>
            <w:tcW w:w="1034" w:type="pct"/>
            <w:noWrap w:val="0"/>
            <w:vAlign w:val="center"/>
          </w:tcPr>
          <w:p w14:paraId="407DCFFC">
            <w:pPr>
              <w:pStyle w:val="127"/>
              <w:keepNext w:val="0"/>
              <w:keepLines w:val="0"/>
              <w:widowControl/>
              <w:suppressLineNumbers w:val="0"/>
              <w:spacing w:before="0" w:beforeAutospacing="0" w:after="0" w:afterAutospacing="0"/>
              <w:ind w:left="0" w:right="0"/>
              <w:rPr>
                <w:rFonts w:hint="eastAsia" w:eastAsia="宋体"/>
                <w:color w:val="auto"/>
                <w:lang w:eastAsia="zh-CN"/>
              </w:rPr>
            </w:pPr>
            <w:r>
              <w:rPr>
                <w:rFonts w:hint="eastAsia"/>
                <w:color w:val="auto"/>
                <w:lang w:eastAsia="zh-CN"/>
              </w:rPr>
              <w:t>王延景</w:t>
            </w:r>
          </w:p>
        </w:tc>
        <w:tc>
          <w:tcPr>
            <w:tcW w:w="1383" w:type="pct"/>
            <w:noWrap w:val="0"/>
            <w:vAlign w:val="center"/>
          </w:tcPr>
          <w:p w14:paraId="61B487D8">
            <w:pPr>
              <w:pStyle w:val="127"/>
              <w:keepNext w:val="0"/>
              <w:keepLines w:val="0"/>
              <w:widowControl/>
              <w:suppressLineNumbers w:val="0"/>
              <w:spacing w:before="0" w:beforeAutospacing="0" w:after="0" w:afterAutospacing="0"/>
              <w:ind w:left="0" w:right="0"/>
              <w:rPr>
                <w:rFonts w:hint="eastAsia" w:eastAsia="宋体"/>
                <w:color w:val="auto"/>
                <w:lang w:eastAsia="zh-CN"/>
              </w:rPr>
            </w:pPr>
            <w:r>
              <w:rPr>
                <w:rFonts w:hint="eastAsia"/>
                <w:color w:val="auto"/>
                <w:lang w:eastAsia="zh-CN"/>
              </w:rPr>
              <w:t>车间主任</w:t>
            </w:r>
          </w:p>
        </w:tc>
        <w:tc>
          <w:tcPr>
            <w:tcW w:w="839" w:type="pct"/>
            <w:noWrap w:val="0"/>
            <w:vAlign w:val="center"/>
          </w:tcPr>
          <w:p w14:paraId="67B2AD1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13589555660</w:t>
            </w:r>
          </w:p>
        </w:tc>
      </w:tr>
      <w:tr w14:paraId="0E0CC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976" w:type="pct"/>
            <w:vMerge w:val="continue"/>
            <w:noWrap w:val="0"/>
            <w:vAlign w:val="center"/>
          </w:tcPr>
          <w:p w14:paraId="542B47F0">
            <w:pPr>
              <w:pStyle w:val="127"/>
              <w:keepNext w:val="0"/>
              <w:keepLines w:val="0"/>
              <w:widowControl/>
              <w:suppressLineNumbers w:val="0"/>
              <w:spacing w:before="0" w:beforeAutospacing="0" w:after="0" w:afterAutospacing="0"/>
              <w:ind w:left="0" w:right="0"/>
              <w:rPr>
                <w:rFonts w:hint="default"/>
                <w:color w:val="auto"/>
              </w:rPr>
            </w:pPr>
          </w:p>
        </w:tc>
        <w:tc>
          <w:tcPr>
            <w:tcW w:w="766" w:type="pct"/>
            <w:noWrap w:val="0"/>
            <w:vAlign w:val="center"/>
          </w:tcPr>
          <w:p w14:paraId="0FB919F3">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组员</w:t>
            </w:r>
          </w:p>
        </w:tc>
        <w:tc>
          <w:tcPr>
            <w:tcW w:w="1034" w:type="pct"/>
            <w:noWrap w:val="0"/>
            <w:vAlign w:val="center"/>
          </w:tcPr>
          <w:p w14:paraId="64FBF46F">
            <w:pPr>
              <w:keepNext w:val="0"/>
              <w:keepLines w:val="0"/>
              <w:widowControl/>
              <w:suppressLineNumbers w:val="0"/>
              <w:spacing w:before="0" w:beforeAutospacing="0" w:after="0" w:afterAutospacing="0"/>
              <w:ind w:left="0" w:right="0"/>
              <w:jc w:val="center"/>
              <w:textAlignment w:val="center"/>
              <w:rPr>
                <w:rFonts w:hint="eastAsia" w:eastAsia="宋体"/>
                <w:color w:val="auto"/>
                <w:lang w:eastAsia="zh-CN"/>
              </w:rPr>
            </w:pPr>
            <w:r>
              <w:rPr>
                <w:rFonts w:hint="eastAsia" w:eastAsia="宋体"/>
                <w:color w:val="auto"/>
                <w:sz w:val="21"/>
                <w:szCs w:val="21"/>
                <w:lang w:eastAsia="zh-CN"/>
              </w:rPr>
              <w:t>顾传福</w:t>
            </w:r>
          </w:p>
        </w:tc>
        <w:tc>
          <w:tcPr>
            <w:tcW w:w="1383" w:type="pct"/>
            <w:noWrap w:val="0"/>
            <w:vAlign w:val="center"/>
          </w:tcPr>
          <w:p w14:paraId="0758C3E5">
            <w:pPr>
              <w:keepNext w:val="0"/>
              <w:keepLines w:val="0"/>
              <w:suppressLineNumbers w:val="0"/>
              <w:spacing w:before="0" w:beforeAutospacing="0" w:after="0" w:afterAutospacing="0"/>
              <w:ind w:left="0" w:right="0"/>
              <w:jc w:val="center"/>
              <w:rPr>
                <w:rFonts w:hint="eastAsia" w:eastAsia="宋体"/>
                <w:color w:val="auto"/>
                <w:lang w:eastAsia="zh-CN"/>
              </w:rPr>
            </w:pPr>
            <w:r>
              <w:rPr>
                <w:rFonts w:hint="eastAsia"/>
                <w:color w:val="auto"/>
                <w:lang w:eastAsia="zh-CN"/>
              </w:rPr>
              <w:t>职工</w:t>
            </w:r>
          </w:p>
        </w:tc>
        <w:tc>
          <w:tcPr>
            <w:tcW w:w="839" w:type="pct"/>
            <w:noWrap w:val="0"/>
            <w:vAlign w:val="center"/>
          </w:tcPr>
          <w:p w14:paraId="3ABA305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15621669371</w:t>
            </w:r>
          </w:p>
        </w:tc>
      </w:tr>
      <w:tr w14:paraId="26CB5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976" w:type="pct"/>
            <w:vMerge w:val="continue"/>
            <w:noWrap w:val="0"/>
            <w:vAlign w:val="center"/>
          </w:tcPr>
          <w:p w14:paraId="0B30953E">
            <w:pPr>
              <w:pStyle w:val="127"/>
              <w:keepNext w:val="0"/>
              <w:keepLines w:val="0"/>
              <w:widowControl/>
              <w:suppressLineNumbers w:val="0"/>
              <w:spacing w:before="0" w:beforeAutospacing="0" w:after="0" w:afterAutospacing="0"/>
              <w:ind w:left="0" w:right="0"/>
              <w:rPr>
                <w:rFonts w:hint="default"/>
                <w:color w:val="auto"/>
              </w:rPr>
            </w:pPr>
          </w:p>
        </w:tc>
        <w:tc>
          <w:tcPr>
            <w:tcW w:w="766" w:type="pct"/>
            <w:noWrap w:val="0"/>
            <w:vAlign w:val="center"/>
          </w:tcPr>
          <w:p w14:paraId="72C0134C">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组员</w:t>
            </w:r>
          </w:p>
        </w:tc>
        <w:tc>
          <w:tcPr>
            <w:tcW w:w="1034" w:type="pct"/>
            <w:noWrap w:val="0"/>
            <w:vAlign w:val="center"/>
          </w:tcPr>
          <w:p w14:paraId="1AAAF98C">
            <w:pPr>
              <w:keepNext w:val="0"/>
              <w:keepLines w:val="0"/>
              <w:widowControl/>
              <w:suppressLineNumbers w:val="0"/>
              <w:spacing w:before="0" w:beforeAutospacing="0" w:after="0" w:afterAutospacing="0"/>
              <w:ind w:left="0" w:right="0"/>
              <w:jc w:val="center"/>
              <w:textAlignment w:val="center"/>
              <w:rPr>
                <w:rFonts w:hint="eastAsia" w:eastAsia="宋体"/>
                <w:color w:val="auto"/>
                <w:lang w:eastAsia="zh-CN"/>
              </w:rPr>
            </w:pPr>
            <w:r>
              <w:rPr>
                <w:rFonts w:hint="eastAsia" w:ascii="宋体" w:hAnsi="宋体" w:eastAsia="宋体" w:cs="宋体"/>
                <w:i w:val="0"/>
                <w:iCs w:val="0"/>
                <w:color w:val="000000"/>
                <w:kern w:val="0"/>
                <w:sz w:val="21"/>
                <w:szCs w:val="21"/>
                <w:u w:val="none"/>
                <w:lang w:val="en-US" w:eastAsia="zh-CN" w:bidi="ar"/>
              </w:rPr>
              <w:t>杨胜国</w:t>
            </w:r>
          </w:p>
        </w:tc>
        <w:tc>
          <w:tcPr>
            <w:tcW w:w="1383" w:type="pct"/>
            <w:noWrap w:val="0"/>
            <w:vAlign w:val="center"/>
          </w:tcPr>
          <w:p w14:paraId="4646BC4A">
            <w:pPr>
              <w:keepNext w:val="0"/>
              <w:keepLines w:val="0"/>
              <w:suppressLineNumbers w:val="0"/>
              <w:spacing w:before="0" w:beforeAutospacing="0" w:after="0" w:afterAutospacing="0"/>
              <w:ind w:left="0" w:right="0"/>
              <w:jc w:val="center"/>
              <w:rPr>
                <w:rFonts w:hint="eastAsia" w:eastAsia="宋体"/>
                <w:color w:val="auto"/>
                <w:lang w:eastAsia="zh-CN"/>
              </w:rPr>
            </w:pPr>
            <w:r>
              <w:rPr>
                <w:rFonts w:hint="eastAsia"/>
                <w:color w:val="auto"/>
                <w:lang w:eastAsia="zh-CN"/>
              </w:rPr>
              <w:t>职工</w:t>
            </w:r>
          </w:p>
        </w:tc>
        <w:tc>
          <w:tcPr>
            <w:tcW w:w="839" w:type="pct"/>
            <w:noWrap w:val="0"/>
            <w:vAlign w:val="center"/>
          </w:tcPr>
          <w:p w14:paraId="0226AD7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1"/>
                <w:szCs w:val="21"/>
              </w:rPr>
            </w:pPr>
            <w:r>
              <w:rPr>
                <w:rFonts w:hint="eastAsia" w:ascii="宋体" w:hAnsi="宋体" w:eastAsia="宋体" w:cs="宋体"/>
                <w:color w:val="auto"/>
                <w:sz w:val="21"/>
                <w:szCs w:val="21"/>
              </w:rPr>
              <w:t>13325220040</w:t>
            </w:r>
          </w:p>
        </w:tc>
      </w:tr>
      <w:tr w14:paraId="690A8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976" w:type="pct"/>
            <w:vMerge w:val="restart"/>
            <w:noWrap w:val="0"/>
            <w:vAlign w:val="center"/>
          </w:tcPr>
          <w:p w14:paraId="3ABC034E">
            <w:pPr>
              <w:pStyle w:val="127"/>
              <w:keepNext w:val="0"/>
              <w:keepLines w:val="0"/>
              <w:widowControl/>
              <w:suppressLineNumbers w:val="0"/>
              <w:spacing w:before="0" w:beforeAutospacing="0" w:after="0" w:afterAutospacing="0"/>
              <w:ind w:left="0" w:right="0"/>
              <w:rPr>
                <w:rFonts w:hint="default"/>
                <w:color w:val="auto"/>
              </w:rPr>
            </w:pPr>
            <w:r>
              <w:rPr>
                <w:rFonts w:hint="eastAsia"/>
                <w:color w:val="auto"/>
              </w:rPr>
              <w:t>应急专家组</w:t>
            </w:r>
          </w:p>
        </w:tc>
        <w:tc>
          <w:tcPr>
            <w:tcW w:w="766" w:type="pct"/>
            <w:noWrap w:val="0"/>
            <w:vAlign w:val="center"/>
          </w:tcPr>
          <w:p w14:paraId="4BF86F33">
            <w:pPr>
              <w:pStyle w:val="127"/>
              <w:keepNext w:val="0"/>
              <w:keepLines w:val="0"/>
              <w:widowControl/>
              <w:suppressLineNumbers w:val="0"/>
              <w:spacing w:before="0" w:beforeAutospacing="0" w:after="0" w:afterAutospacing="0"/>
              <w:ind w:left="0" w:right="0"/>
              <w:rPr>
                <w:rFonts w:hint="default"/>
                <w:color w:val="auto"/>
              </w:rPr>
            </w:pPr>
            <w:r>
              <w:rPr>
                <w:rFonts w:hint="default"/>
                <w:color w:val="auto"/>
              </w:rPr>
              <w:t>组长</w:t>
            </w:r>
          </w:p>
        </w:tc>
        <w:tc>
          <w:tcPr>
            <w:tcW w:w="1034" w:type="pct"/>
            <w:noWrap w:val="0"/>
            <w:vAlign w:val="center"/>
          </w:tcPr>
          <w:p w14:paraId="26439EE1">
            <w:pPr>
              <w:pStyle w:val="127"/>
              <w:keepNext w:val="0"/>
              <w:keepLines w:val="0"/>
              <w:widowControl/>
              <w:suppressLineNumbers w:val="0"/>
              <w:spacing w:before="0" w:beforeAutospacing="0" w:after="0" w:afterAutospacing="0"/>
              <w:ind w:left="0" w:right="0"/>
              <w:rPr>
                <w:rFonts w:hint="eastAsia" w:eastAsia="宋体"/>
                <w:color w:val="auto"/>
                <w:lang w:eastAsia="zh-CN"/>
              </w:rPr>
            </w:pPr>
            <w:r>
              <w:rPr>
                <w:rFonts w:hint="eastAsia"/>
                <w:color w:val="auto"/>
                <w:lang w:eastAsia="zh-CN"/>
              </w:rPr>
              <w:t>邹勇</w:t>
            </w:r>
          </w:p>
        </w:tc>
        <w:tc>
          <w:tcPr>
            <w:tcW w:w="1383" w:type="pct"/>
            <w:noWrap w:val="0"/>
            <w:vAlign w:val="center"/>
          </w:tcPr>
          <w:p w14:paraId="68A8ED67">
            <w:pPr>
              <w:pStyle w:val="127"/>
              <w:keepNext w:val="0"/>
              <w:keepLines w:val="0"/>
              <w:widowControl/>
              <w:suppressLineNumbers w:val="0"/>
              <w:spacing w:before="0" w:beforeAutospacing="0" w:after="0" w:afterAutospacing="0"/>
              <w:ind w:left="0" w:right="0"/>
              <w:rPr>
                <w:rFonts w:hint="eastAsia" w:eastAsia="宋体"/>
                <w:color w:val="auto"/>
                <w:sz w:val="22"/>
                <w:szCs w:val="22"/>
                <w:lang w:eastAsia="zh-CN"/>
              </w:rPr>
            </w:pPr>
            <w:r>
              <w:rPr>
                <w:rFonts w:hint="eastAsia"/>
                <w:color w:val="auto"/>
                <w:sz w:val="22"/>
                <w:szCs w:val="22"/>
                <w:lang w:eastAsia="zh-CN"/>
              </w:rPr>
              <w:t>安全总监</w:t>
            </w:r>
          </w:p>
        </w:tc>
        <w:tc>
          <w:tcPr>
            <w:tcW w:w="839" w:type="pct"/>
            <w:noWrap w:val="0"/>
            <w:vAlign w:val="center"/>
          </w:tcPr>
          <w:p w14:paraId="71283B94">
            <w:pPr>
              <w:pStyle w:val="127"/>
              <w:keepNext w:val="0"/>
              <w:keepLines w:val="0"/>
              <w:widowControl/>
              <w:suppressLineNumbers w:val="0"/>
              <w:spacing w:before="0" w:beforeAutospacing="0" w:after="0" w:afterAutospacing="0"/>
              <w:ind w:left="0" w:right="0"/>
              <w:jc w:val="center"/>
              <w:rPr>
                <w:rFonts w:hint="default" w:eastAsia="宋体"/>
                <w:color w:val="auto"/>
                <w:sz w:val="22"/>
                <w:szCs w:val="22"/>
                <w:lang w:val="en-US" w:eastAsia="zh-CN"/>
              </w:rPr>
            </w:pPr>
            <w:r>
              <w:rPr>
                <w:rFonts w:hint="eastAsia" w:ascii="宋体" w:hAnsi="宋体" w:cs="宋体"/>
                <w:color w:val="auto"/>
                <w:sz w:val="22"/>
                <w:szCs w:val="22"/>
                <w:lang w:val="en-US" w:eastAsia="zh-CN"/>
              </w:rPr>
              <w:t>18753303901</w:t>
            </w:r>
          </w:p>
        </w:tc>
      </w:tr>
      <w:tr w14:paraId="32EC7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976" w:type="pct"/>
            <w:vMerge w:val="continue"/>
            <w:noWrap w:val="0"/>
            <w:vAlign w:val="center"/>
          </w:tcPr>
          <w:p w14:paraId="47B118A3">
            <w:pPr>
              <w:pStyle w:val="127"/>
              <w:keepNext w:val="0"/>
              <w:keepLines w:val="0"/>
              <w:widowControl/>
              <w:suppressLineNumbers w:val="0"/>
              <w:spacing w:before="0" w:beforeAutospacing="0" w:after="0" w:afterAutospacing="0"/>
              <w:ind w:left="0" w:right="0"/>
              <w:rPr>
                <w:rFonts w:hint="default"/>
                <w:color w:val="auto"/>
              </w:rPr>
            </w:pPr>
          </w:p>
        </w:tc>
        <w:tc>
          <w:tcPr>
            <w:tcW w:w="1800" w:type="pct"/>
            <w:gridSpan w:val="2"/>
            <w:noWrap w:val="0"/>
            <w:vAlign w:val="center"/>
          </w:tcPr>
          <w:p w14:paraId="73F11FF9">
            <w:pPr>
              <w:pStyle w:val="127"/>
              <w:keepNext w:val="0"/>
              <w:keepLines w:val="0"/>
              <w:widowControl/>
              <w:suppressLineNumbers w:val="0"/>
              <w:spacing w:before="0" w:beforeAutospacing="0" w:after="0" w:afterAutospacing="0"/>
              <w:ind w:left="0" w:right="0"/>
              <w:rPr>
                <w:rFonts w:hint="default"/>
                <w:color w:val="auto"/>
              </w:rPr>
            </w:pPr>
            <w:r>
              <w:rPr>
                <w:rFonts w:hint="default"/>
                <w:color w:val="auto"/>
              </w:rPr>
              <w:t>24小时应急电话</w:t>
            </w:r>
          </w:p>
        </w:tc>
        <w:tc>
          <w:tcPr>
            <w:tcW w:w="2222" w:type="pct"/>
            <w:gridSpan w:val="2"/>
            <w:noWrap w:val="0"/>
            <w:vAlign w:val="center"/>
          </w:tcPr>
          <w:p w14:paraId="62FB6C2A">
            <w:pPr>
              <w:pStyle w:val="127"/>
              <w:keepNext w:val="0"/>
              <w:keepLines w:val="0"/>
              <w:widowControl/>
              <w:suppressLineNumbers w:val="0"/>
              <w:spacing w:before="0" w:beforeAutospacing="0" w:after="0" w:afterAutospacing="0"/>
              <w:ind w:left="0" w:right="0"/>
              <w:rPr>
                <w:rFonts w:hint="default" w:eastAsia="宋体"/>
                <w:color w:val="auto"/>
                <w:lang w:val="en-US" w:eastAsia="zh-CN"/>
              </w:rPr>
            </w:pPr>
            <w:r>
              <w:rPr>
                <w:rFonts w:hint="eastAsia" w:ascii="宋体" w:hAnsi="宋体" w:eastAsia="宋体" w:cs="宋体"/>
                <w:color w:val="auto"/>
              </w:rPr>
              <w:t>0533-</w:t>
            </w:r>
            <w:r>
              <w:rPr>
                <w:rFonts w:hint="eastAsia" w:ascii="宋体" w:hAnsi="宋体" w:eastAsia="宋体" w:cs="宋体"/>
                <w:color w:val="auto"/>
                <w:lang w:val="en-US" w:eastAsia="zh-CN"/>
              </w:rPr>
              <w:t>7</w:t>
            </w:r>
            <w:r>
              <w:rPr>
                <w:rFonts w:hint="eastAsia" w:ascii="宋体" w:hAnsi="宋体" w:cs="宋体"/>
                <w:color w:val="auto"/>
                <w:lang w:val="en-US" w:eastAsia="zh-CN"/>
              </w:rPr>
              <w:t>199909</w:t>
            </w:r>
          </w:p>
        </w:tc>
      </w:tr>
    </w:tbl>
    <w:p w14:paraId="483AF711">
      <w:pPr>
        <w:pStyle w:val="2"/>
        <w:rPr>
          <w:rFonts w:hint="default"/>
        </w:rPr>
      </w:pPr>
    </w:p>
    <w:p w14:paraId="339A43C7">
      <w:pPr>
        <w:widowControl/>
        <w:adjustRightInd w:val="0"/>
        <w:snapToGrid w:val="0"/>
        <w:spacing w:line="360" w:lineRule="auto"/>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3.7.3.2外部救援队伍</w:t>
      </w:r>
      <w:bookmarkEnd w:id="96"/>
      <w:bookmarkEnd w:id="97"/>
      <w:bookmarkEnd w:id="98"/>
    </w:p>
    <w:p w14:paraId="3C9C4531">
      <w:pPr>
        <w:widowControl/>
        <w:adjustRightInd w:val="0"/>
        <w:snapToGrid w:val="0"/>
        <w:spacing w:line="360" w:lineRule="auto"/>
        <w:ind w:firstLine="561"/>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外部救援机构均为政府职能部门或服务型机构及周边临近企业，公司虽未与有关政府职能部门签订应急救援协议或互救协议，一旦发生突发环境事件，通过信息传递需要实施外部救援时，相关部门本着“以人为本、快速响应”的原则，有责任和义务对本公司进行应急救援。</w:t>
      </w:r>
      <w:bookmarkEnd w:id="99"/>
    </w:p>
    <w:p w14:paraId="5CA4AB14">
      <w:pPr>
        <w:keepNext w:val="0"/>
        <w:keepLines w:val="0"/>
        <w:pageBreakBefore w:val="0"/>
        <w:widowControl w:val="0"/>
        <w:kinsoku/>
        <w:wordWrap/>
        <w:overflowPunct/>
        <w:topLinePunct w:val="0"/>
        <w:autoSpaceDE/>
        <w:autoSpaceDN/>
        <w:bidi w:val="0"/>
        <w:adjustRightInd w:val="0"/>
        <w:snapToGrid w:val="0"/>
        <w:spacing w:line="360" w:lineRule="auto"/>
        <w:ind w:firstLine="486" w:firstLineChars="200"/>
        <w:textAlignment w:val="auto"/>
        <w:rPr>
          <w:rFonts w:hint="default" w:ascii="Times New Roman" w:hAnsi="Times New Roman" w:cs="Times New Roman"/>
          <w:color w:val="auto"/>
          <w:sz w:val="24"/>
          <w:szCs w:val="24"/>
          <w:highlight w:val="none"/>
        </w:rPr>
      </w:pPr>
      <w:bookmarkStart w:id="103" w:name="_Toc13226"/>
      <w:bookmarkStart w:id="104" w:name="_Toc11072"/>
      <w:bookmarkStart w:id="105" w:name="_Toc25076"/>
      <w:r>
        <w:rPr>
          <w:rFonts w:hint="default" w:ascii="Times New Roman" w:hAnsi="Times New Roman" w:cs="Times New Roman"/>
          <w:color w:val="auto"/>
          <w:sz w:val="24"/>
          <w:szCs w:val="24"/>
          <w:highlight w:val="none"/>
        </w:rPr>
        <w:t>外部救援机构名单见表3.7-</w:t>
      </w:r>
      <w:r>
        <w:rPr>
          <w:rFonts w:hint="default" w:ascii="Times New Roman" w:hAnsi="Times New Roman" w:cs="Times New Roman"/>
          <w:color w:val="auto"/>
          <w:sz w:val="24"/>
          <w:szCs w:val="24"/>
          <w:highlight w:val="none"/>
          <w:lang w:val="en-US" w:eastAsia="zh-CN"/>
        </w:rPr>
        <w:t>3</w:t>
      </w:r>
      <w:r>
        <w:rPr>
          <w:rFonts w:hint="default" w:ascii="Times New Roman" w:hAnsi="Times New Roman" w:cs="Times New Roman"/>
          <w:color w:val="auto"/>
          <w:sz w:val="24"/>
          <w:szCs w:val="24"/>
          <w:highlight w:val="none"/>
        </w:rPr>
        <w:t>。</w:t>
      </w:r>
      <w:bookmarkEnd w:id="103"/>
      <w:bookmarkEnd w:id="104"/>
      <w:bookmarkEnd w:id="105"/>
    </w:p>
    <w:p w14:paraId="15E77A0E">
      <w:pPr>
        <w:rPr>
          <w:rFonts w:hint="default"/>
          <w:lang w:val="nl-BE"/>
        </w:rPr>
      </w:pPr>
    </w:p>
    <w:p w14:paraId="40ECB75B">
      <w:pPr>
        <w:pStyle w:val="2"/>
        <w:rPr>
          <w:rFonts w:hint="default"/>
          <w:lang w:val="nl-BE"/>
        </w:rPr>
      </w:pPr>
    </w:p>
    <w:tbl>
      <w:tblPr>
        <w:tblStyle w:val="33"/>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2"/>
        <w:gridCol w:w="2228"/>
        <w:gridCol w:w="2835"/>
        <w:gridCol w:w="1723"/>
      </w:tblGrid>
      <w:tr w14:paraId="245C1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blHeader/>
          <w:jc w:val="center"/>
        </w:trPr>
        <w:tc>
          <w:tcPr>
            <w:tcW w:w="2842" w:type="dxa"/>
            <w:noWrap w:val="0"/>
            <w:vAlign w:val="center"/>
          </w:tcPr>
          <w:p w14:paraId="44C51C02">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eastAsia" w:ascii="Times New Roman" w:hAnsi="Times New Roman" w:cs="Times New Roman"/>
                <w:kern w:val="2"/>
                <w:sz w:val="21"/>
                <w:szCs w:val="21"/>
              </w:rPr>
              <w:t>单位名称</w:t>
            </w:r>
          </w:p>
        </w:tc>
        <w:tc>
          <w:tcPr>
            <w:tcW w:w="2228" w:type="dxa"/>
            <w:noWrap w:val="0"/>
            <w:vAlign w:val="center"/>
          </w:tcPr>
          <w:p w14:paraId="7685F80F">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eastAsia" w:ascii="Times New Roman" w:hAnsi="Times New Roman" w:cs="Times New Roman"/>
                <w:kern w:val="2"/>
                <w:sz w:val="21"/>
                <w:szCs w:val="21"/>
              </w:rPr>
              <w:t>联系电话</w:t>
            </w:r>
          </w:p>
        </w:tc>
        <w:tc>
          <w:tcPr>
            <w:tcW w:w="2835" w:type="dxa"/>
            <w:noWrap w:val="0"/>
            <w:vAlign w:val="center"/>
          </w:tcPr>
          <w:p w14:paraId="26424581">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eastAsia" w:ascii="Times New Roman" w:hAnsi="Times New Roman" w:cs="Times New Roman"/>
                <w:kern w:val="2"/>
                <w:sz w:val="21"/>
                <w:szCs w:val="21"/>
              </w:rPr>
              <w:t>单位名称</w:t>
            </w:r>
          </w:p>
        </w:tc>
        <w:tc>
          <w:tcPr>
            <w:tcW w:w="1723" w:type="dxa"/>
            <w:noWrap w:val="0"/>
            <w:vAlign w:val="center"/>
          </w:tcPr>
          <w:p w14:paraId="577EA129">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eastAsia" w:ascii="Times New Roman" w:hAnsi="Times New Roman" w:cs="Times New Roman"/>
                <w:kern w:val="2"/>
                <w:sz w:val="21"/>
                <w:szCs w:val="21"/>
              </w:rPr>
              <w:t>联系电话</w:t>
            </w:r>
          </w:p>
        </w:tc>
      </w:tr>
      <w:tr w14:paraId="7F324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842" w:type="dxa"/>
            <w:noWrap w:val="0"/>
            <w:vAlign w:val="center"/>
          </w:tcPr>
          <w:p w14:paraId="2DDE3F7D">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eastAsia" w:ascii="Times New Roman" w:hAnsi="Times New Roman" w:cs="Times New Roman"/>
                <w:kern w:val="2"/>
                <w:sz w:val="21"/>
                <w:szCs w:val="21"/>
              </w:rPr>
              <w:t>淄博市应急管理局</w:t>
            </w:r>
          </w:p>
        </w:tc>
        <w:tc>
          <w:tcPr>
            <w:tcW w:w="2228" w:type="dxa"/>
            <w:noWrap w:val="0"/>
            <w:vAlign w:val="center"/>
          </w:tcPr>
          <w:p w14:paraId="6DF0C038">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eastAsia" w:ascii="Times New Roman" w:hAnsi="Times New Roman" w:cs="Times New Roman"/>
                <w:kern w:val="2"/>
                <w:sz w:val="21"/>
                <w:szCs w:val="21"/>
                <w:lang w:val="en-US" w:eastAsia="zh-CN"/>
              </w:rPr>
              <w:t>0533-</w:t>
            </w:r>
            <w:r>
              <w:rPr>
                <w:rFonts w:hint="default" w:ascii="Times New Roman" w:hAnsi="Times New Roman" w:cs="Times New Roman"/>
                <w:kern w:val="2"/>
                <w:sz w:val="21"/>
                <w:szCs w:val="21"/>
              </w:rPr>
              <w:t>2301930</w:t>
            </w:r>
          </w:p>
        </w:tc>
        <w:tc>
          <w:tcPr>
            <w:tcW w:w="2835" w:type="dxa"/>
            <w:noWrap w:val="0"/>
            <w:vAlign w:val="center"/>
          </w:tcPr>
          <w:p w14:paraId="14F923FB">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eastAsia" w:ascii="Times New Roman" w:hAnsi="Times New Roman" w:cs="Times New Roman"/>
                <w:kern w:val="2"/>
                <w:sz w:val="21"/>
                <w:szCs w:val="21"/>
              </w:rPr>
              <w:t>淄博市生态环境局</w:t>
            </w:r>
          </w:p>
        </w:tc>
        <w:tc>
          <w:tcPr>
            <w:tcW w:w="1723" w:type="dxa"/>
            <w:noWrap w:val="0"/>
            <w:vAlign w:val="center"/>
          </w:tcPr>
          <w:p w14:paraId="607FDDC5">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eastAsia" w:ascii="Times New Roman" w:hAnsi="Times New Roman" w:cs="Times New Roman"/>
                <w:kern w:val="2"/>
                <w:sz w:val="21"/>
                <w:szCs w:val="21"/>
                <w:lang w:val="en-US" w:eastAsia="zh-CN"/>
              </w:rPr>
              <w:t>0533-</w:t>
            </w:r>
            <w:r>
              <w:rPr>
                <w:rFonts w:hint="eastAsia" w:ascii="Times New Roman" w:hAnsi="Times New Roman" w:cs="Times New Roman"/>
                <w:kern w:val="2"/>
                <w:sz w:val="21"/>
                <w:szCs w:val="21"/>
              </w:rPr>
              <w:t>3</w:t>
            </w:r>
            <w:r>
              <w:rPr>
                <w:rFonts w:hint="default" w:ascii="Times New Roman" w:hAnsi="Times New Roman" w:cs="Times New Roman"/>
                <w:kern w:val="2"/>
                <w:sz w:val="21"/>
                <w:szCs w:val="21"/>
              </w:rPr>
              <w:t>183020</w:t>
            </w:r>
          </w:p>
        </w:tc>
      </w:tr>
      <w:tr w14:paraId="54650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2842" w:type="dxa"/>
            <w:noWrap w:val="0"/>
            <w:vAlign w:val="center"/>
          </w:tcPr>
          <w:p w14:paraId="4E704C51">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eastAsia" w:ascii="Times New Roman" w:hAnsi="Times New Roman" w:cs="Times New Roman"/>
                <w:kern w:val="2"/>
                <w:sz w:val="21"/>
                <w:szCs w:val="21"/>
              </w:rPr>
              <w:t>淄博市生态环境局临淄分局</w:t>
            </w:r>
          </w:p>
        </w:tc>
        <w:tc>
          <w:tcPr>
            <w:tcW w:w="2228" w:type="dxa"/>
            <w:noWrap w:val="0"/>
            <w:vAlign w:val="center"/>
          </w:tcPr>
          <w:p w14:paraId="437480B3">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eastAsia" w:ascii="Times New Roman" w:hAnsi="Times New Roman" w:cs="Times New Roman"/>
                <w:kern w:val="2"/>
                <w:sz w:val="21"/>
                <w:szCs w:val="21"/>
                <w:lang w:val="en-US" w:eastAsia="zh-CN"/>
              </w:rPr>
              <w:t>0533-</w:t>
            </w:r>
            <w:r>
              <w:rPr>
                <w:rFonts w:hint="eastAsia" w:ascii="Times New Roman" w:hAnsi="Times New Roman" w:cs="Times New Roman"/>
                <w:kern w:val="2"/>
                <w:sz w:val="21"/>
                <w:szCs w:val="21"/>
              </w:rPr>
              <w:t>718</w:t>
            </w:r>
            <w:r>
              <w:rPr>
                <w:rFonts w:hint="default" w:ascii="Times New Roman" w:hAnsi="Times New Roman" w:cs="Times New Roman"/>
                <w:kern w:val="2"/>
                <w:sz w:val="21"/>
                <w:szCs w:val="21"/>
              </w:rPr>
              <w:t>4544</w:t>
            </w:r>
          </w:p>
        </w:tc>
        <w:tc>
          <w:tcPr>
            <w:tcW w:w="2835" w:type="dxa"/>
            <w:noWrap w:val="0"/>
            <w:vAlign w:val="center"/>
          </w:tcPr>
          <w:p w14:paraId="13D98BAF">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eastAsia" w:ascii="Times New Roman" w:hAnsi="Times New Roman" w:cs="Times New Roman"/>
                <w:kern w:val="2"/>
                <w:sz w:val="21"/>
                <w:szCs w:val="21"/>
              </w:rPr>
              <w:t>鲁中应急救援中心</w:t>
            </w:r>
          </w:p>
        </w:tc>
        <w:tc>
          <w:tcPr>
            <w:tcW w:w="1723" w:type="dxa"/>
            <w:noWrap w:val="0"/>
            <w:vAlign w:val="center"/>
          </w:tcPr>
          <w:p w14:paraId="4F3B1F47">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eastAsia" w:ascii="Times New Roman" w:hAnsi="Times New Roman" w:cs="Times New Roman"/>
                <w:kern w:val="2"/>
                <w:sz w:val="21"/>
                <w:szCs w:val="21"/>
                <w:lang w:val="en-US" w:eastAsia="zh-CN"/>
              </w:rPr>
              <w:t>0533-</w:t>
            </w:r>
            <w:r>
              <w:rPr>
                <w:rFonts w:hint="default" w:ascii="Times New Roman" w:hAnsi="Times New Roman" w:cs="Times New Roman"/>
                <w:kern w:val="2"/>
                <w:sz w:val="21"/>
                <w:szCs w:val="21"/>
              </w:rPr>
              <w:t>7585119</w:t>
            </w:r>
          </w:p>
        </w:tc>
      </w:tr>
      <w:tr w14:paraId="6E06E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2842" w:type="dxa"/>
            <w:noWrap w:val="0"/>
            <w:vAlign w:val="center"/>
          </w:tcPr>
          <w:p w14:paraId="67920E73">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eastAsia" w:ascii="Times New Roman" w:hAnsi="Times New Roman" w:cs="Times New Roman"/>
                <w:kern w:val="2"/>
                <w:sz w:val="21"/>
                <w:szCs w:val="21"/>
              </w:rPr>
              <w:t>国家应急咨询电话</w:t>
            </w:r>
          </w:p>
        </w:tc>
        <w:tc>
          <w:tcPr>
            <w:tcW w:w="2228" w:type="dxa"/>
            <w:noWrap w:val="0"/>
            <w:vAlign w:val="center"/>
          </w:tcPr>
          <w:p w14:paraId="5C63BE94">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eastAsia" w:ascii="Times New Roman" w:hAnsi="Times New Roman" w:cs="Times New Roman"/>
                <w:kern w:val="2"/>
                <w:sz w:val="21"/>
                <w:szCs w:val="21"/>
              </w:rPr>
              <w:t>0532-83889090</w:t>
            </w:r>
          </w:p>
        </w:tc>
        <w:tc>
          <w:tcPr>
            <w:tcW w:w="2835" w:type="dxa"/>
            <w:noWrap w:val="0"/>
            <w:vAlign w:val="center"/>
          </w:tcPr>
          <w:p w14:paraId="4802D0F5">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lang w:val="en-US" w:eastAsia="zh-CN" w:bidi="ar-SA"/>
              </w:rPr>
            </w:pPr>
            <w:r>
              <w:rPr>
                <w:rFonts w:hint="eastAsia" w:ascii="Times New Roman" w:hAnsi="Times New Roman" w:cs="Times New Roman"/>
                <w:kern w:val="2"/>
                <w:sz w:val="21"/>
                <w:szCs w:val="21"/>
                <w:lang w:val="en-US" w:eastAsia="zh-CN" w:bidi="ar-SA"/>
              </w:rPr>
              <w:t>临淄区应急管理局</w:t>
            </w:r>
          </w:p>
        </w:tc>
        <w:tc>
          <w:tcPr>
            <w:tcW w:w="1723" w:type="dxa"/>
            <w:noWrap w:val="0"/>
            <w:vAlign w:val="center"/>
          </w:tcPr>
          <w:p w14:paraId="0D42148A">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lang w:val="en-US" w:eastAsia="zh-CN" w:bidi="ar-SA"/>
              </w:rPr>
            </w:pPr>
            <w:r>
              <w:rPr>
                <w:rFonts w:hint="eastAsia" w:ascii="Times New Roman" w:hAnsi="Times New Roman" w:cs="Times New Roman"/>
                <w:kern w:val="2"/>
                <w:sz w:val="21"/>
                <w:szCs w:val="21"/>
                <w:lang w:val="en-US" w:eastAsia="zh-CN"/>
              </w:rPr>
              <w:t>0533-</w:t>
            </w:r>
            <w:r>
              <w:rPr>
                <w:rFonts w:hint="eastAsia" w:ascii="Times New Roman" w:hAnsi="Times New Roman" w:cs="Times New Roman"/>
                <w:kern w:val="2"/>
                <w:sz w:val="21"/>
                <w:szCs w:val="21"/>
                <w:lang w:val="en-US" w:eastAsia="zh-CN" w:bidi="ar-SA"/>
              </w:rPr>
              <w:t>7163086</w:t>
            </w:r>
          </w:p>
        </w:tc>
      </w:tr>
      <w:tr w14:paraId="040CB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2842" w:type="dxa"/>
            <w:noWrap w:val="0"/>
            <w:vAlign w:val="center"/>
          </w:tcPr>
          <w:p w14:paraId="20338186">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eastAsia" w:ascii="Times New Roman" w:hAnsi="Times New Roman" w:cs="Times New Roman"/>
                <w:kern w:val="2"/>
                <w:sz w:val="21"/>
                <w:szCs w:val="21"/>
              </w:rPr>
              <w:t>临淄区政府值班电话</w:t>
            </w:r>
          </w:p>
        </w:tc>
        <w:tc>
          <w:tcPr>
            <w:tcW w:w="2228" w:type="dxa"/>
            <w:noWrap w:val="0"/>
            <w:vAlign w:val="center"/>
          </w:tcPr>
          <w:p w14:paraId="25AEAFA0">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default" w:ascii="Times New Roman" w:hAnsi="Times New Roman" w:cs="Times New Roman"/>
                <w:kern w:val="2"/>
                <w:sz w:val="21"/>
                <w:szCs w:val="21"/>
              </w:rPr>
              <w:t>7220372</w:t>
            </w:r>
          </w:p>
        </w:tc>
        <w:tc>
          <w:tcPr>
            <w:tcW w:w="2835" w:type="dxa"/>
            <w:noWrap w:val="0"/>
            <w:vAlign w:val="center"/>
          </w:tcPr>
          <w:p w14:paraId="430084E3">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lang w:val="en-US" w:eastAsia="zh-CN" w:bidi="ar-SA"/>
              </w:rPr>
            </w:pPr>
            <w:r>
              <w:rPr>
                <w:rFonts w:hint="eastAsia" w:ascii="Times New Roman" w:hAnsi="Times New Roman" w:cs="Times New Roman"/>
                <w:color w:val="000000"/>
                <w:kern w:val="2"/>
                <w:sz w:val="21"/>
                <w:szCs w:val="21"/>
              </w:rPr>
              <w:t>区水资源办公室</w:t>
            </w:r>
          </w:p>
        </w:tc>
        <w:tc>
          <w:tcPr>
            <w:tcW w:w="1723" w:type="dxa"/>
            <w:noWrap w:val="0"/>
            <w:vAlign w:val="center"/>
          </w:tcPr>
          <w:p w14:paraId="30CEFD4E">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lang w:val="en-US" w:eastAsia="zh-CN" w:bidi="ar-SA"/>
              </w:rPr>
            </w:pPr>
            <w:r>
              <w:rPr>
                <w:rFonts w:hint="eastAsia" w:ascii="Times New Roman" w:hAnsi="Times New Roman" w:cs="Times New Roman"/>
                <w:kern w:val="2"/>
                <w:sz w:val="21"/>
                <w:szCs w:val="21"/>
                <w:lang w:val="en-US" w:eastAsia="zh-CN"/>
              </w:rPr>
              <w:t>0533-</w:t>
            </w:r>
            <w:r>
              <w:rPr>
                <w:rFonts w:hint="default" w:ascii="Times New Roman" w:hAnsi="Times New Roman" w:cs="Times New Roman"/>
                <w:color w:val="000000"/>
                <w:kern w:val="2"/>
                <w:sz w:val="21"/>
                <w:szCs w:val="21"/>
              </w:rPr>
              <w:t>7310569</w:t>
            </w:r>
          </w:p>
        </w:tc>
      </w:tr>
      <w:tr w14:paraId="7C575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2842" w:type="dxa"/>
            <w:noWrap w:val="0"/>
            <w:vAlign w:val="center"/>
          </w:tcPr>
          <w:p w14:paraId="3CBCC459">
            <w:pPr>
              <w:keepNext w:val="0"/>
              <w:keepLines w:val="0"/>
              <w:suppressLineNumbers w:val="0"/>
              <w:spacing w:before="0" w:beforeAutospacing="0" w:after="0" w:afterAutospacing="0" w:line="245" w:lineRule="auto"/>
              <w:ind w:left="0" w:right="0"/>
              <w:jc w:val="center"/>
              <w:rPr>
                <w:rFonts w:hint="eastAsia" w:ascii="Times New Roman" w:hAnsi="Times New Roman" w:eastAsia="宋体" w:cs="Times New Roman"/>
                <w:kern w:val="2"/>
                <w:sz w:val="21"/>
                <w:szCs w:val="21"/>
                <w:lang w:eastAsia="zh-CN"/>
              </w:rPr>
            </w:pPr>
            <w:r>
              <w:rPr>
                <w:rFonts w:hint="eastAsia" w:ascii="Times New Roman" w:hAnsi="Times New Roman" w:cs="Times New Roman"/>
                <w:color w:val="000000"/>
                <w:kern w:val="2"/>
                <w:sz w:val="21"/>
                <w:szCs w:val="21"/>
                <w:lang w:eastAsia="zh-CN"/>
              </w:rPr>
              <w:t>辛店街道安环办</w:t>
            </w:r>
          </w:p>
        </w:tc>
        <w:tc>
          <w:tcPr>
            <w:tcW w:w="2228" w:type="dxa"/>
            <w:noWrap w:val="0"/>
            <w:vAlign w:val="center"/>
          </w:tcPr>
          <w:p w14:paraId="316C9B5C">
            <w:pPr>
              <w:keepNext w:val="0"/>
              <w:keepLines w:val="0"/>
              <w:suppressLineNumbers w:val="0"/>
              <w:spacing w:before="0" w:beforeAutospacing="0" w:after="0" w:afterAutospacing="0" w:line="245" w:lineRule="auto"/>
              <w:ind w:left="0" w:right="0"/>
              <w:jc w:val="center"/>
              <w:rPr>
                <w:rFonts w:hint="default" w:ascii="Times New Roman" w:hAnsi="Times New Roman" w:eastAsia="宋体" w:cs="Times New Roman"/>
                <w:kern w:val="2"/>
                <w:sz w:val="21"/>
                <w:szCs w:val="21"/>
                <w:lang w:val="en-US" w:eastAsia="zh-CN"/>
              </w:rPr>
            </w:pPr>
            <w:r>
              <w:rPr>
                <w:rFonts w:hint="default" w:ascii="Times New Roman" w:hAnsi="Times New Roman" w:cs="Times New Roman"/>
                <w:color w:val="000000"/>
                <w:kern w:val="2"/>
                <w:sz w:val="21"/>
                <w:szCs w:val="21"/>
              </w:rPr>
              <w:t>0533-</w:t>
            </w:r>
            <w:r>
              <w:rPr>
                <w:rFonts w:hint="eastAsia" w:ascii="Times New Roman" w:hAnsi="Times New Roman" w:cs="Times New Roman"/>
                <w:color w:val="000000"/>
                <w:kern w:val="2"/>
                <w:sz w:val="21"/>
                <w:szCs w:val="21"/>
                <w:lang w:val="en-US" w:eastAsia="zh-CN"/>
              </w:rPr>
              <w:t>7190880</w:t>
            </w:r>
          </w:p>
        </w:tc>
        <w:tc>
          <w:tcPr>
            <w:tcW w:w="2835" w:type="dxa"/>
            <w:noWrap w:val="0"/>
            <w:vAlign w:val="center"/>
          </w:tcPr>
          <w:p w14:paraId="43C9C97F">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lang w:val="en-US" w:eastAsia="zh-CN" w:bidi="ar"/>
              </w:rPr>
            </w:pPr>
            <w:r>
              <w:rPr>
                <w:rFonts w:hint="eastAsia" w:ascii="Times New Roman" w:hAnsi="Times New Roman" w:cs="Times New Roman"/>
                <w:color w:val="000000"/>
                <w:kern w:val="2"/>
                <w:sz w:val="21"/>
                <w:szCs w:val="21"/>
              </w:rPr>
              <w:t>齐鲁消防大队</w:t>
            </w:r>
          </w:p>
        </w:tc>
        <w:tc>
          <w:tcPr>
            <w:tcW w:w="1723" w:type="dxa"/>
            <w:noWrap w:val="0"/>
            <w:vAlign w:val="center"/>
          </w:tcPr>
          <w:p w14:paraId="0B842DFE">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lang w:val="en-US" w:eastAsia="zh-CN" w:bidi="ar"/>
              </w:rPr>
            </w:pPr>
            <w:r>
              <w:rPr>
                <w:rFonts w:hint="eastAsia" w:ascii="Times New Roman" w:hAnsi="Times New Roman" w:cs="Times New Roman"/>
                <w:kern w:val="2"/>
                <w:sz w:val="21"/>
                <w:szCs w:val="21"/>
                <w:lang w:val="en-US" w:eastAsia="zh-CN"/>
              </w:rPr>
              <w:t>0533-</w:t>
            </w:r>
            <w:r>
              <w:rPr>
                <w:rFonts w:hint="default" w:ascii="Times New Roman" w:hAnsi="Times New Roman" w:cs="Times New Roman"/>
                <w:color w:val="000000"/>
                <w:kern w:val="2"/>
                <w:sz w:val="21"/>
                <w:szCs w:val="21"/>
              </w:rPr>
              <w:t>7582129</w:t>
            </w:r>
          </w:p>
        </w:tc>
      </w:tr>
      <w:tr w14:paraId="2FD71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2842" w:type="dxa"/>
            <w:noWrap w:val="0"/>
            <w:vAlign w:val="center"/>
          </w:tcPr>
          <w:p w14:paraId="7077AF90">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rPr>
            </w:pPr>
            <w:r>
              <w:rPr>
                <w:rFonts w:hint="default" w:ascii="Times New Roman" w:hAnsi="Times New Roman" w:cs="Times New Roman"/>
                <w:kern w:val="2"/>
                <w:sz w:val="21"/>
                <w:szCs w:val="21"/>
              </w:rPr>
              <w:t>临淄区消防大队</w:t>
            </w:r>
          </w:p>
        </w:tc>
        <w:tc>
          <w:tcPr>
            <w:tcW w:w="2228" w:type="dxa"/>
            <w:noWrap w:val="0"/>
            <w:vAlign w:val="center"/>
          </w:tcPr>
          <w:p w14:paraId="2B4AFD46">
            <w:pPr>
              <w:keepNext w:val="0"/>
              <w:keepLines w:val="0"/>
              <w:suppressLineNumbers w:val="0"/>
              <w:spacing w:before="0" w:beforeAutospacing="0" w:after="0" w:afterAutospacing="0" w:line="245" w:lineRule="auto"/>
              <w:ind w:left="0" w:right="0"/>
              <w:jc w:val="center"/>
              <w:rPr>
                <w:rFonts w:hint="default" w:ascii="Times New Roman" w:hAnsi="Times New Roman" w:eastAsia="宋体" w:cs="Times New Roman"/>
                <w:kern w:val="2"/>
                <w:sz w:val="21"/>
                <w:szCs w:val="21"/>
                <w:lang w:val="en-US" w:eastAsia="zh-CN"/>
              </w:rPr>
            </w:pPr>
            <w:r>
              <w:rPr>
                <w:rFonts w:hint="eastAsia" w:ascii="Times New Roman" w:hAnsi="Times New Roman" w:cs="Times New Roman"/>
                <w:kern w:val="2"/>
                <w:sz w:val="21"/>
                <w:szCs w:val="21"/>
                <w:lang w:val="en-US" w:eastAsia="zh-CN"/>
              </w:rPr>
              <w:t>0533-7180119/119</w:t>
            </w:r>
          </w:p>
        </w:tc>
        <w:tc>
          <w:tcPr>
            <w:tcW w:w="2835" w:type="dxa"/>
            <w:noWrap w:val="0"/>
            <w:vAlign w:val="center"/>
          </w:tcPr>
          <w:p w14:paraId="321CD66B">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lang w:val="en-US" w:eastAsia="zh-CN" w:bidi="ar"/>
              </w:rPr>
            </w:pPr>
            <w:r>
              <w:rPr>
                <w:rFonts w:hint="eastAsia" w:ascii="Times New Roman" w:hAnsi="Times New Roman" w:cs="Times New Roman"/>
                <w:color w:val="000000"/>
                <w:kern w:val="2"/>
                <w:sz w:val="21"/>
                <w:szCs w:val="21"/>
              </w:rPr>
              <w:t>临淄区人民医院</w:t>
            </w:r>
          </w:p>
        </w:tc>
        <w:tc>
          <w:tcPr>
            <w:tcW w:w="1723" w:type="dxa"/>
            <w:noWrap w:val="0"/>
            <w:vAlign w:val="center"/>
          </w:tcPr>
          <w:p w14:paraId="37FAE353">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lang w:val="en-US" w:eastAsia="zh-CN" w:bidi="ar"/>
              </w:rPr>
            </w:pPr>
            <w:r>
              <w:rPr>
                <w:rFonts w:hint="default" w:ascii="Times New Roman" w:hAnsi="Times New Roman" w:cs="Times New Roman"/>
                <w:color w:val="000000"/>
                <w:kern w:val="2"/>
                <w:sz w:val="21"/>
                <w:szCs w:val="21"/>
              </w:rPr>
              <w:t>0533-7180120</w:t>
            </w:r>
          </w:p>
        </w:tc>
      </w:tr>
      <w:tr w14:paraId="1B2AB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2842" w:type="dxa"/>
            <w:noWrap w:val="0"/>
            <w:vAlign w:val="center"/>
          </w:tcPr>
          <w:p w14:paraId="1B212214">
            <w:pPr>
              <w:keepNext w:val="0"/>
              <w:keepLines w:val="0"/>
              <w:suppressLineNumbers w:val="0"/>
              <w:spacing w:before="0" w:beforeAutospacing="0" w:after="0" w:afterAutospacing="0" w:line="245" w:lineRule="auto"/>
              <w:ind w:left="0" w:right="0"/>
              <w:jc w:val="center"/>
              <w:rPr>
                <w:rFonts w:hint="eastAsia" w:ascii="Times New Roman" w:hAnsi="Times New Roman" w:eastAsia="宋体" w:cs="Times New Roman"/>
                <w:kern w:val="2"/>
                <w:sz w:val="21"/>
                <w:szCs w:val="21"/>
                <w:lang w:eastAsia="zh-CN"/>
              </w:rPr>
            </w:pPr>
            <w:r>
              <w:rPr>
                <w:rFonts w:hint="eastAsia" w:ascii="Times New Roman" w:hAnsi="Times New Roman" w:cs="Times New Roman"/>
                <w:kern w:val="2"/>
                <w:sz w:val="21"/>
                <w:szCs w:val="21"/>
                <w:lang w:eastAsia="zh-CN"/>
              </w:rPr>
              <w:t>淄博元齐生物科技有限公司</w:t>
            </w:r>
          </w:p>
        </w:tc>
        <w:tc>
          <w:tcPr>
            <w:tcW w:w="2228" w:type="dxa"/>
            <w:noWrap w:val="0"/>
            <w:vAlign w:val="center"/>
          </w:tcPr>
          <w:p w14:paraId="47E8906C">
            <w:pPr>
              <w:keepNext w:val="0"/>
              <w:keepLines w:val="0"/>
              <w:suppressLineNumbers w:val="0"/>
              <w:spacing w:before="0" w:beforeAutospacing="0" w:after="0" w:afterAutospacing="0" w:line="245" w:lineRule="auto"/>
              <w:ind w:left="0" w:right="0"/>
              <w:jc w:val="center"/>
              <w:rPr>
                <w:rFonts w:hint="default" w:ascii="Times New Roman" w:hAnsi="Times New Roman" w:eastAsia="宋体" w:cs="Times New Roman"/>
                <w:kern w:val="2"/>
                <w:sz w:val="21"/>
                <w:szCs w:val="21"/>
                <w:lang w:val="en-US" w:eastAsia="zh-CN"/>
              </w:rPr>
            </w:pPr>
            <w:r>
              <w:rPr>
                <w:rFonts w:hint="eastAsia" w:ascii="Times New Roman" w:hAnsi="Times New Roman" w:cs="Times New Roman"/>
                <w:kern w:val="2"/>
                <w:sz w:val="21"/>
                <w:szCs w:val="21"/>
                <w:lang w:val="en-US" w:eastAsia="zh-CN"/>
              </w:rPr>
              <w:t>0533-7199909</w:t>
            </w:r>
          </w:p>
        </w:tc>
        <w:tc>
          <w:tcPr>
            <w:tcW w:w="2835" w:type="dxa"/>
            <w:noWrap w:val="0"/>
            <w:vAlign w:val="center"/>
          </w:tcPr>
          <w:p w14:paraId="2CAD7F0B">
            <w:pPr>
              <w:keepNext w:val="0"/>
              <w:keepLines w:val="0"/>
              <w:suppressLineNumbers w:val="0"/>
              <w:spacing w:before="0" w:beforeAutospacing="0" w:after="0" w:afterAutospacing="0" w:line="245" w:lineRule="auto"/>
              <w:ind w:left="0" w:right="0"/>
              <w:jc w:val="center"/>
              <w:rPr>
                <w:rFonts w:hint="eastAsia" w:ascii="Times New Roman" w:hAnsi="Times New Roman" w:cs="Times New Roman"/>
                <w:kern w:val="2"/>
                <w:sz w:val="21"/>
                <w:szCs w:val="21"/>
                <w:lang w:val="en-US" w:eastAsia="zh-CN" w:bidi="ar-SA"/>
              </w:rPr>
            </w:pPr>
            <w:r>
              <w:rPr>
                <w:rFonts w:hint="eastAsia" w:ascii="Times New Roman" w:hAnsi="Times New Roman" w:cs="Times New Roman"/>
                <w:color w:val="000000"/>
                <w:kern w:val="2"/>
                <w:sz w:val="21"/>
                <w:szCs w:val="21"/>
              </w:rPr>
              <w:t>山东</w:t>
            </w:r>
            <w:r>
              <w:rPr>
                <w:rFonts w:hint="eastAsia" w:ascii="Times New Roman" w:hAnsi="Times New Roman" w:cs="Times New Roman"/>
                <w:color w:val="000000"/>
                <w:kern w:val="2"/>
                <w:sz w:val="21"/>
                <w:szCs w:val="21"/>
                <w:lang w:eastAsia="zh-CN"/>
              </w:rPr>
              <w:t>春城</w:t>
            </w:r>
            <w:r>
              <w:rPr>
                <w:rFonts w:hint="eastAsia" w:ascii="Times New Roman" w:hAnsi="Times New Roman" w:cs="Times New Roman"/>
                <w:color w:val="000000"/>
                <w:kern w:val="2"/>
                <w:sz w:val="21"/>
                <w:szCs w:val="21"/>
              </w:rPr>
              <w:t>检测有限公司</w:t>
            </w:r>
          </w:p>
        </w:tc>
        <w:tc>
          <w:tcPr>
            <w:tcW w:w="1723" w:type="dxa"/>
            <w:noWrap w:val="0"/>
            <w:vAlign w:val="center"/>
          </w:tcPr>
          <w:p w14:paraId="7B7D3EB9">
            <w:pPr>
              <w:keepNext w:val="0"/>
              <w:keepLines w:val="0"/>
              <w:suppressLineNumbers w:val="0"/>
              <w:spacing w:before="0" w:beforeAutospacing="0" w:after="0" w:afterAutospacing="0" w:line="245" w:lineRule="auto"/>
              <w:ind w:left="0" w:right="0"/>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cs="Times New Roman"/>
                <w:color w:val="000000"/>
                <w:kern w:val="2"/>
                <w:sz w:val="21"/>
                <w:szCs w:val="21"/>
                <w:lang w:val="en-US" w:eastAsia="zh-CN"/>
              </w:rPr>
              <w:t>17560323988</w:t>
            </w:r>
          </w:p>
        </w:tc>
      </w:tr>
      <w:tr w14:paraId="56100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2842" w:type="dxa"/>
            <w:noWrap w:val="0"/>
            <w:vAlign w:val="center"/>
          </w:tcPr>
          <w:p w14:paraId="6F96F6FE">
            <w:pPr>
              <w:keepNext w:val="0"/>
              <w:keepLines w:val="0"/>
              <w:suppressLineNumbers w:val="0"/>
              <w:spacing w:before="0" w:beforeAutospacing="0" w:after="0" w:afterAutospacing="0" w:line="245" w:lineRule="auto"/>
              <w:ind w:left="0" w:right="0"/>
              <w:jc w:val="center"/>
              <w:rPr>
                <w:rFonts w:hint="eastAsia" w:ascii="Times New Roman" w:hAnsi="Times New Roman" w:cs="Times New Roman"/>
                <w:kern w:val="2"/>
                <w:sz w:val="21"/>
                <w:szCs w:val="21"/>
                <w:lang w:val="en-US" w:eastAsia="zh-CN" w:bidi="ar-SA"/>
              </w:rPr>
            </w:pPr>
            <w:r>
              <w:rPr>
                <w:rFonts w:hint="eastAsia" w:ascii="Times New Roman" w:hAnsi="Times New Roman" w:cs="Times New Roman"/>
                <w:kern w:val="2"/>
                <w:sz w:val="21"/>
                <w:szCs w:val="21"/>
                <w:lang w:eastAsia="zh-CN"/>
              </w:rPr>
              <w:t>山东九盛检测科技有限公司</w:t>
            </w:r>
          </w:p>
        </w:tc>
        <w:tc>
          <w:tcPr>
            <w:tcW w:w="2228" w:type="dxa"/>
            <w:noWrap w:val="0"/>
            <w:vAlign w:val="center"/>
          </w:tcPr>
          <w:p w14:paraId="6B523E95">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lang w:val="en-US" w:eastAsia="zh-CN" w:bidi="ar-SA"/>
              </w:rPr>
            </w:pPr>
            <w:r>
              <w:rPr>
                <w:rFonts w:hint="eastAsia" w:ascii="Times New Roman" w:hAnsi="Times New Roman" w:cs="Times New Roman"/>
                <w:kern w:val="2"/>
                <w:sz w:val="21"/>
                <w:szCs w:val="21"/>
                <w:lang w:val="en-US" w:eastAsia="zh-CN"/>
              </w:rPr>
              <w:t>13969359122</w:t>
            </w:r>
          </w:p>
        </w:tc>
        <w:tc>
          <w:tcPr>
            <w:tcW w:w="2835" w:type="dxa"/>
            <w:noWrap w:val="0"/>
            <w:vAlign w:val="center"/>
          </w:tcPr>
          <w:p w14:paraId="71451FCD">
            <w:pPr>
              <w:keepNext w:val="0"/>
              <w:keepLines w:val="0"/>
              <w:suppressLineNumbers w:val="0"/>
              <w:spacing w:before="0" w:beforeAutospacing="0" w:after="0" w:afterAutospacing="0" w:line="245" w:lineRule="auto"/>
              <w:ind w:left="0" w:right="0"/>
              <w:jc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cs="Times New Roman"/>
                <w:color w:val="000000"/>
                <w:kern w:val="2"/>
                <w:sz w:val="21"/>
                <w:szCs w:val="21"/>
                <w:lang w:eastAsia="zh-CN"/>
              </w:rPr>
              <w:t>山东隆盛和助剂有限公司</w:t>
            </w:r>
          </w:p>
        </w:tc>
        <w:tc>
          <w:tcPr>
            <w:tcW w:w="1723" w:type="dxa"/>
            <w:noWrap w:val="0"/>
            <w:vAlign w:val="center"/>
          </w:tcPr>
          <w:p w14:paraId="1F86AC84">
            <w:pPr>
              <w:keepNext w:val="0"/>
              <w:keepLines w:val="0"/>
              <w:suppressLineNumbers w:val="0"/>
              <w:spacing w:before="0" w:beforeAutospacing="0" w:after="0" w:afterAutospacing="0" w:line="245" w:lineRule="auto"/>
              <w:ind w:left="0" w:right="0"/>
              <w:jc w:val="center"/>
              <w:rPr>
                <w:rFonts w:hint="eastAsia" w:ascii="Times New Roman" w:hAnsi="Times New Roman" w:cs="Times New Roman"/>
                <w:color w:val="000000"/>
                <w:kern w:val="2"/>
                <w:sz w:val="21"/>
                <w:szCs w:val="21"/>
                <w:lang w:val="en-US" w:eastAsia="zh-CN" w:bidi="ar-SA"/>
              </w:rPr>
            </w:pPr>
            <w:r>
              <w:rPr>
                <w:rFonts w:hint="eastAsia" w:ascii="Times New Roman" w:hAnsi="Times New Roman" w:cs="Times New Roman"/>
                <w:kern w:val="2"/>
                <w:sz w:val="21"/>
                <w:szCs w:val="21"/>
                <w:lang w:val="en-US" w:eastAsia="zh-CN"/>
              </w:rPr>
              <w:t>0533-7199909</w:t>
            </w:r>
          </w:p>
        </w:tc>
      </w:tr>
      <w:tr w14:paraId="6E0F0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2842" w:type="dxa"/>
            <w:noWrap w:val="0"/>
            <w:vAlign w:val="center"/>
          </w:tcPr>
          <w:p w14:paraId="56480A1D">
            <w:pPr>
              <w:keepNext w:val="0"/>
              <w:keepLines w:val="0"/>
              <w:suppressLineNumbers w:val="0"/>
              <w:spacing w:before="0" w:beforeAutospacing="0" w:after="0" w:afterAutospacing="0" w:line="245" w:lineRule="auto"/>
              <w:ind w:left="0" w:right="0"/>
              <w:jc w:val="center"/>
              <w:rPr>
                <w:rFonts w:hint="eastAsia" w:ascii="Times New Roman" w:hAnsi="Times New Roman" w:cs="Times New Roman"/>
                <w:kern w:val="2"/>
                <w:sz w:val="21"/>
                <w:szCs w:val="21"/>
                <w:lang w:eastAsia="zh-CN"/>
              </w:rPr>
            </w:pPr>
            <w:r>
              <w:rPr>
                <w:rFonts w:hint="eastAsia" w:ascii="Times New Roman" w:hAnsi="Times New Roman" w:cs="Times New Roman"/>
                <w:kern w:val="2"/>
                <w:sz w:val="21"/>
                <w:szCs w:val="21"/>
                <w:lang w:eastAsia="zh-CN"/>
              </w:rPr>
              <w:t>东夏村</w:t>
            </w:r>
          </w:p>
        </w:tc>
        <w:tc>
          <w:tcPr>
            <w:tcW w:w="2228" w:type="dxa"/>
            <w:noWrap w:val="0"/>
            <w:vAlign w:val="center"/>
          </w:tcPr>
          <w:p w14:paraId="53B39CA4">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lang w:val="en-US" w:eastAsia="zh-CN"/>
              </w:rPr>
            </w:pPr>
            <w:r>
              <w:rPr>
                <w:rFonts w:hint="eastAsia" w:ascii="Times New Roman" w:hAnsi="Times New Roman" w:cs="Times New Roman"/>
                <w:kern w:val="2"/>
                <w:sz w:val="21"/>
                <w:szCs w:val="21"/>
                <w:lang w:val="en-US" w:eastAsia="zh-CN"/>
              </w:rPr>
              <w:t>0533-7480226</w:t>
            </w:r>
          </w:p>
        </w:tc>
        <w:tc>
          <w:tcPr>
            <w:tcW w:w="2835" w:type="dxa"/>
            <w:noWrap w:val="0"/>
            <w:vAlign w:val="center"/>
          </w:tcPr>
          <w:p w14:paraId="499B5492">
            <w:pPr>
              <w:keepNext w:val="0"/>
              <w:keepLines w:val="0"/>
              <w:suppressLineNumbers w:val="0"/>
              <w:spacing w:before="0" w:beforeAutospacing="0" w:after="0" w:afterAutospacing="0" w:line="245" w:lineRule="auto"/>
              <w:ind w:left="0" w:right="0"/>
              <w:jc w:val="center"/>
              <w:rPr>
                <w:rFonts w:hint="eastAsia" w:ascii="Times New Roman" w:hAnsi="Times New Roman" w:cs="Times New Roman"/>
                <w:color w:val="000000"/>
                <w:kern w:val="2"/>
                <w:sz w:val="21"/>
                <w:szCs w:val="21"/>
                <w:lang w:val="en-US" w:eastAsia="zh-CN" w:bidi="ar-SA"/>
              </w:rPr>
            </w:pPr>
            <w:r>
              <w:rPr>
                <w:rFonts w:hint="eastAsia" w:ascii="Times New Roman" w:hAnsi="Times New Roman" w:cs="Times New Roman"/>
                <w:color w:val="000000"/>
                <w:kern w:val="2"/>
                <w:sz w:val="21"/>
                <w:szCs w:val="21"/>
                <w:lang w:eastAsia="zh-CN"/>
              </w:rPr>
              <w:t>金岭三村</w:t>
            </w:r>
          </w:p>
        </w:tc>
        <w:tc>
          <w:tcPr>
            <w:tcW w:w="1723" w:type="dxa"/>
            <w:noWrap w:val="0"/>
            <w:vAlign w:val="center"/>
          </w:tcPr>
          <w:p w14:paraId="1F81652A">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lang w:val="en-US" w:eastAsia="zh-CN" w:bidi="ar-SA"/>
              </w:rPr>
            </w:pPr>
            <w:r>
              <w:rPr>
                <w:rFonts w:hint="eastAsia" w:ascii="Times New Roman" w:hAnsi="Times New Roman" w:cs="Times New Roman"/>
                <w:kern w:val="2"/>
                <w:sz w:val="21"/>
                <w:szCs w:val="21"/>
                <w:lang w:val="en-US" w:eastAsia="zh-CN"/>
              </w:rPr>
              <w:t>0533-7480378</w:t>
            </w:r>
          </w:p>
        </w:tc>
      </w:tr>
      <w:tr w14:paraId="080F3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2842" w:type="dxa"/>
            <w:noWrap w:val="0"/>
            <w:vAlign w:val="center"/>
          </w:tcPr>
          <w:p w14:paraId="086CD13A">
            <w:pPr>
              <w:keepNext w:val="0"/>
              <w:keepLines w:val="0"/>
              <w:suppressLineNumbers w:val="0"/>
              <w:spacing w:before="0" w:beforeAutospacing="0" w:after="0" w:afterAutospacing="0" w:line="245" w:lineRule="auto"/>
              <w:ind w:left="0" w:right="0"/>
              <w:jc w:val="center"/>
              <w:rPr>
                <w:rFonts w:hint="eastAsia" w:ascii="Times New Roman" w:hAnsi="Times New Roman" w:cs="Times New Roman"/>
                <w:kern w:val="2"/>
                <w:sz w:val="21"/>
                <w:szCs w:val="21"/>
                <w:lang w:eastAsia="zh-CN"/>
              </w:rPr>
            </w:pPr>
            <w:r>
              <w:rPr>
                <w:rFonts w:hint="eastAsia" w:ascii="Times New Roman" w:hAnsi="Times New Roman" w:cs="Times New Roman"/>
                <w:kern w:val="2"/>
                <w:sz w:val="21"/>
                <w:szCs w:val="21"/>
                <w:lang w:eastAsia="zh-CN"/>
              </w:rPr>
              <w:t>西夏村</w:t>
            </w:r>
          </w:p>
        </w:tc>
        <w:tc>
          <w:tcPr>
            <w:tcW w:w="2228" w:type="dxa"/>
            <w:noWrap w:val="0"/>
            <w:vAlign w:val="center"/>
          </w:tcPr>
          <w:p w14:paraId="294C753C">
            <w:pPr>
              <w:keepNext w:val="0"/>
              <w:keepLines w:val="0"/>
              <w:suppressLineNumbers w:val="0"/>
              <w:spacing w:before="0" w:beforeAutospacing="0" w:after="0" w:afterAutospacing="0" w:line="245" w:lineRule="auto"/>
              <w:ind w:left="0" w:right="0"/>
              <w:jc w:val="center"/>
              <w:rPr>
                <w:rFonts w:hint="default" w:ascii="Times New Roman" w:hAnsi="Times New Roman" w:cs="Times New Roman"/>
                <w:kern w:val="2"/>
                <w:sz w:val="21"/>
                <w:szCs w:val="21"/>
                <w:lang w:val="en-US" w:eastAsia="zh-CN"/>
              </w:rPr>
            </w:pPr>
            <w:r>
              <w:rPr>
                <w:rFonts w:hint="eastAsia" w:ascii="Times New Roman" w:hAnsi="Times New Roman" w:cs="Times New Roman"/>
                <w:kern w:val="2"/>
                <w:sz w:val="21"/>
                <w:szCs w:val="21"/>
                <w:lang w:val="en-US" w:eastAsia="zh-CN"/>
              </w:rPr>
              <w:t>0533-7480755</w:t>
            </w:r>
          </w:p>
        </w:tc>
        <w:tc>
          <w:tcPr>
            <w:tcW w:w="2835" w:type="dxa"/>
            <w:noWrap w:val="0"/>
            <w:vAlign w:val="center"/>
          </w:tcPr>
          <w:p w14:paraId="21B772E9">
            <w:pPr>
              <w:keepNext w:val="0"/>
              <w:keepLines w:val="0"/>
              <w:suppressLineNumbers w:val="0"/>
              <w:spacing w:before="0" w:beforeAutospacing="0" w:after="0" w:afterAutospacing="0" w:line="245" w:lineRule="auto"/>
              <w:ind w:left="0" w:leftChars="0" w:right="0" w:rightChars="0"/>
              <w:jc w:val="center"/>
              <w:rPr>
                <w:rFonts w:hint="default" w:ascii="Times New Roman" w:hAnsi="Times New Roman" w:cs="Times New Roman"/>
                <w:color w:val="000000"/>
                <w:kern w:val="2"/>
                <w:sz w:val="21"/>
                <w:szCs w:val="21"/>
                <w:lang w:val="en-US" w:eastAsia="zh-CN" w:bidi="ar-SA"/>
              </w:rPr>
            </w:pPr>
            <w:r>
              <w:rPr>
                <w:rFonts w:hint="eastAsia" w:cs="Times New Roman"/>
                <w:color w:val="000000"/>
                <w:kern w:val="2"/>
                <w:sz w:val="21"/>
                <w:szCs w:val="21"/>
                <w:lang w:val="en-US" w:eastAsia="zh-CN" w:bidi="ar-SA"/>
              </w:rPr>
              <w:t>齐鲁化工园区</w:t>
            </w:r>
          </w:p>
        </w:tc>
        <w:tc>
          <w:tcPr>
            <w:tcW w:w="1723" w:type="dxa"/>
            <w:noWrap w:val="0"/>
            <w:vAlign w:val="center"/>
          </w:tcPr>
          <w:p w14:paraId="4E72E9E6">
            <w:pPr>
              <w:keepNext w:val="0"/>
              <w:keepLines w:val="0"/>
              <w:suppressLineNumbers w:val="0"/>
              <w:spacing w:before="0" w:beforeAutospacing="0" w:after="0" w:afterAutospacing="0" w:line="245" w:lineRule="auto"/>
              <w:ind w:left="0" w:leftChars="0" w:right="0" w:rightChars="0"/>
              <w:jc w:val="center"/>
              <w:rPr>
                <w:rFonts w:hint="default" w:ascii="Times New Roman" w:hAnsi="Times New Roman" w:cs="Times New Roman"/>
                <w:kern w:val="2"/>
                <w:sz w:val="21"/>
                <w:szCs w:val="21"/>
                <w:lang w:val="en-US" w:eastAsia="zh-CN" w:bidi="ar-SA"/>
              </w:rPr>
            </w:pPr>
            <w:r>
              <w:rPr>
                <w:rFonts w:hint="eastAsia" w:cs="Times New Roman"/>
                <w:kern w:val="2"/>
                <w:sz w:val="21"/>
                <w:szCs w:val="21"/>
                <w:lang w:val="en-US" w:eastAsia="zh-CN" w:bidi="ar-SA"/>
              </w:rPr>
              <w:t>0533-7210501</w:t>
            </w:r>
          </w:p>
        </w:tc>
      </w:tr>
    </w:tbl>
    <w:p w14:paraId="4C4F47E5">
      <w:pPr>
        <w:rPr>
          <w:rFonts w:hint="default"/>
          <w:lang w:val="nl-BE"/>
        </w:rPr>
      </w:pPr>
    </w:p>
    <w:p w14:paraId="6F475DEB">
      <w:pPr>
        <w:pStyle w:val="6"/>
        <w:spacing w:beforeLines="0" w:afterLines="0"/>
        <w:rPr>
          <w:rFonts w:hint="default" w:ascii="Times New Roman" w:hAnsi="Times New Roman" w:cs="Times New Roman"/>
          <w:color w:val="auto"/>
          <w:highlight w:val="none"/>
        </w:rPr>
      </w:pPr>
      <w:bookmarkStart w:id="106" w:name="_Toc25792"/>
      <w:bookmarkStart w:id="107" w:name="_Toc6799"/>
      <w:bookmarkStart w:id="108" w:name="_Toc25929"/>
      <w:bookmarkStart w:id="109" w:name="_Toc31641"/>
      <w:r>
        <w:rPr>
          <w:rStyle w:val="42"/>
          <w:rFonts w:hint="default" w:ascii="Times New Roman" w:hAnsi="Times New Roman" w:cs="Times New Roman"/>
          <w:b/>
          <w:bCs/>
          <w:color w:val="auto"/>
          <w:highlight w:val="none"/>
        </w:rPr>
        <w:t>4 突发环境事件及其后果分析</w:t>
      </w:r>
      <w:bookmarkEnd w:id="106"/>
      <w:bookmarkEnd w:id="107"/>
      <w:bookmarkEnd w:id="108"/>
      <w:bookmarkEnd w:id="109"/>
    </w:p>
    <w:p w14:paraId="7AE83489">
      <w:pPr>
        <w:pStyle w:val="7"/>
        <w:spacing w:before="0" w:after="0"/>
        <w:rPr>
          <w:rFonts w:hint="default" w:ascii="Times New Roman" w:hAnsi="Times New Roman" w:cs="Times New Roman"/>
          <w:color w:val="auto"/>
          <w:highlight w:val="none"/>
        </w:rPr>
      </w:pPr>
      <w:bookmarkStart w:id="110" w:name="_Toc4585"/>
      <w:bookmarkStart w:id="111" w:name="_Toc17719"/>
      <w:bookmarkStart w:id="112" w:name="_Toc425866200"/>
      <w:bookmarkStart w:id="113" w:name="_Toc1414"/>
      <w:bookmarkStart w:id="114" w:name="_Toc423956608"/>
      <w:bookmarkStart w:id="115" w:name="_Toc19648"/>
      <w:r>
        <w:rPr>
          <w:rFonts w:hint="default" w:ascii="Times New Roman" w:hAnsi="Times New Roman" w:cs="Times New Roman"/>
          <w:color w:val="auto"/>
          <w:highlight w:val="none"/>
        </w:rPr>
        <w:t>4.1 突发环境事件情景分析</w:t>
      </w:r>
      <w:bookmarkEnd w:id="110"/>
      <w:bookmarkEnd w:id="111"/>
      <w:bookmarkEnd w:id="112"/>
      <w:bookmarkEnd w:id="113"/>
      <w:bookmarkEnd w:id="114"/>
      <w:bookmarkEnd w:id="115"/>
    </w:p>
    <w:p w14:paraId="7371EA85">
      <w:pPr>
        <w:spacing w:before="0" w:after="0"/>
        <w:outlineLvl w:val="9"/>
        <w:rPr>
          <w:rFonts w:hint="default" w:ascii="Times New Roman" w:hAnsi="Times New Roman" w:cs="Times New Roman"/>
          <w:b/>
          <w:bCs/>
          <w:color w:val="auto"/>
          <w:sz w:val="24"/>
          <w:szCs w:val="32"/>
          <w:highlight w:val="none"/>
        </w:rPr>
      </w:pPr>
      <w:bookmarkStart w:id="116" w:name="_Toc423956609"/>
      <w:bookmarkStart w:id="117" w:name="_Toc426701447"/>
      <w:bookmarkStart w:id="118" w:name="_Toc19499"/>
      <w:bookmarkStart w:id="119" w:name="_Toc425866201"/>
      <w:bookmarkStart w:id="120" w:name="_Toc13591"/>
      <w:r>
        <w:rPr>
          <w:rFonts w:hint="default" w:ascii="Times New Roman" w:hAnsi="Times New Roman" w:cs="Times New Roman"/>
          <w:b/>
          <w:bCs/>
          <w:color w:val="auto"/>
          <w:sz w:val="24"/>
          <w:szCs w:val="32"/>
          <w:highlight w:val="none"/>
        </w:rPr>
        <w:t>4.1.1 国内同类企业突发环境事件资料</w:t>
      </w:r>
      <w:bookmarkEnd w:id="116"/>
      <w:bookmarkEnd w:id="117"/>
      <w:bookmarkEnd w:id="118"/>
      <w:bookmarkEnd w:id="119"/>
      <w:bookmarkEnd w:id="120"/>
    </w:p>
    <w:p w14:paraId="52798754">
      <w:pPr>
        <w:spacing w:line="360" w:lineRule="auto"/>
        <w:ind w:firstLine="486" w:firstLineChars="200"/>
        <w:rPr>
          <w:rFonts w:hint="default" w:ascii="Times New Roman" w:hAnsi="Times New Roman" w:eastAsia="宋体" w:cs="Times New Roman"/>
          <w:color w:val="auto"/>
          <w:sz w:val="24"/>
          <w:highlight w:val="none"/>
        </w:rPr>
      </w:pPr>
      <w:bookmarkStart w:id="121" w:name="_Toc426701448"/>
      <w:bookmarkStart w:id="122" w:name="_Toc425866202"/>
      <w:bookmarkStart w:id="123" w:name="_Toc2240"/>
      <w:bookmarkStart w:id="124" w:name="_Toc16781"/>
      <w:bookmarkStart w:id="125" w:name="_Toc423956610"/>
      <w:bookmarkStart w:id="126" w:name="_Toc401654934"/>
      <w:r>
        <w:rPr>
          <w:rFonts w:hint="default" w:ascii="Times New Roman" w:hAnsi="Times New Roman" w:eastAsia="宋体" w:cs="Times New Roman"/>
          <w:b w:val="0"/>
          <w:bCs w:val="0"/>
          <w:color w:val="auto"/>
          <w:sz w:val="24"/>
          <w:szCs w:val="24"/>
          <w:highlight w:val="none"/>
          <w:lang w:val="en-US" w:eastAsia="zh-CN"/>
        </w:rPr>
        <w:t>案例</w:t>
      </w:r>
      <w:r>
        <w:rPr>
          <w:rFonts w:hint="eastAsia" w:cs="Times New Roman"/>
          <w:b w:val="0"/>
          <w:bCs w:val="0"/>
          <w:color w:val="auto"/>
          <w:sz w:val="24"/>
          <w:szCs w:val="24"/>
          <w:highlight w:val="none"/>
          <w:lang w:val="en-US" w:eastAsia="zh-CN"/>
        </w:rPr>
        <w:t>一</w:t>
      </w:r>
      <w:r>
        <w:rPr>
          <w:rFonts w:hint="default" w:ascii="Times New Roman" w:hAnsi="Times New Roman" w:eastAsia="宋体" w:cs="Times New Roman"/>
          <w:color w:val="auto"/>
          <w:sz w:val="24"/>
          <w:highlight w:val="none"/>
        </w:rPr>
        <w:t xml:space="preserve"> 海兴一诺化工有限公司氯气泄漏事故 </w:t>
      </w:r>
    </w:p>
    <w:p w14:paraId="0767E01C">
      <w:pPr>
        <w:pStyle w:val="126"/>
        <w:pageBreakBefore w:val="0"/>
        <w:numPr>
          <w:ilvl w:val="0"/>
          <w:numId w:val="2"/>
        </w:numPr>
        <w:kinsoku/>
        <w:wordWrap/>
        <w:overflowPunct/>
        <w:topLinePunct w:val="0"/>
        <w:autoSpaceDE/>
        <w:autoSpaceDN/>
        <w:bidi w:val="0"/>
        <w:textAlignment w:val="auto"/>
        <w:rPr>
          <w:rFonts w:hint="default" w:ascii="Times New Roman" w:hAnsi="Times New Roman" w:eastAsia="宋体" w:cs="Times New Roman"/>
          <w:b w:val="0"/>
          <w:bCs w:val="0"/>
          <w:color w:val="auto"/>
          <w:sz w:val="24"/>
          <w:highlight w:val="none"/>
        </w:rPr>
      </w:pPr>
      <w:r>
        <w:rPr>
          <w:rFonts w:hint="eastAsia"/>
          <w:b w:val="0"/>
          <w:bCs w:val="0"/>
          <w:color w:val="000000" w:themeColor="text1"/>
          <w:sz w:val="24"/>
          <w:szCs w:val="24"/>
          <w:lang w:eastAsia="zh-CN"/>
          <w14:textFill>
            <w14:solidFill>
              <w14:schemeClr w14:val="tx1"/>
            </w14:solidFill>
          </w14:textFill>
        </w:rPr>
        <w:t>事件经过</w:t>
      </w:r>
    </w:p>
    <w:p w14:paraId="53752AF9">
      <w:pPr>
        <w:widowControl/>
        <w:adjustRightInd w:val="0"/>
        <w:snapToGrid w:val="0"/>
        <w:spacing w:line="360" w:lineRule="auto"/>
        <w:ind w:firstLine="486" w:firstLineChars="200"/>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2019年9月6日21时，海兴县供电公司110kV山南站10kV山经线5614线路过流保护动作开关跳闸，海兴一诺公司厂区停电。正在液氯罐区附近的操作工刘长勇听到液氯罐区传来一声异响，借助液氯罐区应急照明灯和手电筒，透过罐区厂房玻璃向罐区内进行观察，发现车间内有黄绿色气体，疑似氯气泄漏。</w:t>
      </w:r>
    </w:p>
    <w:p w14:paraId="2CE2B851">
      <w:pPr>
        <w:widowControl/>
        <w:numPr>
          <w:ilvl w:val="0"/>
          <w:numId w:val="2"/>
        </w:numPr>
        <w:adjustRightInd w:val="0"/>
        <w:snapToGrid w:val="0"/>
        <w:spacing w:line="360" w:lineRule="auto"/>
        <w:ind w:left="0" w:leftChars="0" w:firstLine="482" w:firstLineChars="0"/>
        <w:rPr>
          <w:rFonts w:hint="eastAsia"/>
          <w:b w:val="0"/>
          <w:bCs w:val="0"/>
          <w:color w:val="000000" w:themeColor="text1"/>
          <w:sz w:val="24"/>
          <w:szCs w:val="32"/>
          <w:lang w:eastAsia="zh-CN"/>
          <w14:textFill>
            <w14:solidFill>
              <w14:schemeClr w14:val="tx1"/>
            </w14:solidFill>
          </w14:textFill>
        </w:rPr>
      </w:pPr>
      <w:r>
        <w:rPr>
          <w:rFonts w:hint="eastAsia"/>
          <w:b w:val="0"/>
          <w:bCs w:val="0"/>
          <w:color w:val="000000" w:themeColor="text1"/>
          <w:sz w:val="24"/>
          <w:szCs w:val="32"/>
          <w:lang w:eastAsia="zh-CN"/>
          <w14:textFill>
            <w14:solidFill>
              <w14:schemeClr w14:val="tx1"/>
            </w14:solidFill>
          </w14:textFill>
        </w:rPr>
        <w:t>事件的原因分析</w:t>
      </w:r>
    </w:p>
    <w:p w14:paraId="1B269C42">
      <w:pPr>
        <w:widowControl/>
        <w:adjustRightInd w:val="0"/>
        <w:snapToGrid w:val="0"/>
        <w:spacing w:line="360" w:lineRule="auto"/>
        <w:ind w:firstLine="486" w:firstLineChars="200"/>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w:t>
      </w:r>
      <w:r>
        <w:rPr>
          <w:rFonts w:hint="eastAsia" w:ascii="Times New Roman" w:hAnsi="Times New Roman" w:eastAsia="宋体" w:cs="Times New Roman"/>
          <w:b w:val="0"/>
          <w:bCs w:val="0"/>
          <w:color w:val="auto"/>
          <w:sz w:val="24"/>
          <w:szCs w:val="24"/>
          <w:highlight w:val="none"/>
          <w:lang w:val="en-US" w:eastAsia="zh-CN"/>
        </w:rPr>
        <w:t>1</w:t>
      </w:r>
      <w:r>
        <w:rPr>
          <w:rFonts w:hint="default" w:ascii="Times New Roman" w:hAnsi="Times New Roman" w:eastAsia="宋体" w:cs="Times New Roman"/>
          <w:b w:val="0"/>
          <w:bCs w:val="0"/>
          <w:color w:val="auto"/>
          <w:sz w:val="24"/>
          <w:szCs w:val="24"/>
          <w:highlight w:val="none"/>
          <w:lang w:val="en-US" w:eastAsia="zh-CN"/>
        </w:rPr>
        <w:t>）直接原因</w:t>
      </w:r>
    </w:p>
    <w:p w14:paraId="0E0AEC2B">
      <w:pPr>
        <w:widowControl/>
        <w:adjustRightInd w:val="0"/>
        <w:snapToGrid w:val="0"/>
        <w:spacing w:line="360" w:lineRule="auto"/>
        <w:ind w:firstLine="486" w:firstLineChars="200"/>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由于市电突然停电，UPS不间断电源与自备发电机也未供电，液氯储罐A、B、C上部放空管道切断阀PV0101A、B、C失电打开，导致氯气外泄至碱液吸收塔。外泄的氯气一部分通过液氯储罐事故引风系统逆流返回液氯储罐区，一部分通过碱液吸收塔尾气排放管进入大气。</w:t>
      </w:r>
    </w:p>
    <w:p w14:paraId="729543F2">
      <w:pPr>
        <w:widowControl/>
        <w:adjustRightInd w:val="0"/>
        <w:snapToGrid w:val="0"/>
        <w:spacing w:line="360" w:lineRule="auto"/>
        <w:ind w:firstLine="486" w:firstLineChars="200"/>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w:t>
      </w:r>
      <w:r>
        <w:rPr>
          <w:rFonts w:hint="eastAsia" w:ascii="Times New Roman" w:hAnsi="Times New Roman" w:eastAsia="宋体" w:cs="Times New Roman"/>
          <w:b w:val="0"/>
          <w:bCs w:val="0"/>
          <w:color w:val="auto"/>
          <w:sz w:val="24"/>
          <w:szCs w:val="24"/>
          <w:highlight w:val="none"/>
          <w:lang w:val="en-US" w:eastAsia="zh-CN"/>
        </w:rPr>
        <w:t>2</w:t>
      </w:r>
      <w:r>
        <w:rPr>
          <w:rFonts w:hint="default" w:ascii="Times New Roman" w:hAnsi="Times New Roman" w:eastAsia="宋体" w:cs="Times New Roman"/>
          <w:b w:val="0"/>
          <w:bCs w:val="0"/>
          <w:color w:val="auto"/>
          <w:sz w:val="24"/>
          <w:szCs w:val="24"/>
          <w:highlight w:val="none"/>
          <w:lang w:val="en-US" w:eastAsia="zh-CN"/>
        </w:rPr>
        <w:t>）间接原因</w:t>
      </w:r>
    </w:p>
    <w:p w14:paraId="7A3E8B9D">
      <w:pPr>
        <w:widowControl/>
        <w:adjustRightInd w:val="0"/>
        <w:snapToGrid w:val="0"/>
        <w:spacing w:line="360" w:lineRule="auto"/>
        <w:ind w:firstLine="486" w:firstLineChars="200"/>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①河北生特瑞公司安全设施设计存在缺陷，安全设施设计逻辑图中液氯储罐放空管道切段阀PV0101A、B、C联锁动作状态为失电开启，导致在停电状态下，液氯储罐放空管道切断阀PV0101A、B、C开启，储罐内氯气进入吸收塔。</w:t>
      </w:r>
    </w:p>
    <w:p w14:paraId="22409055">
      <w:pPr>
        <w:widowControl/>
        <w:numPr>
          <w:ilvl w:val="0"/>
          <w:numId w:val="2"/>
        </w:numPr>
        <w:adjustRightInd w:val="0"/>
        <w:snapToGrid w:val="0"/>
        <w:spacing w:line="360" w:lineRule="auto"/>
        <w:ind w:left="0" w:leftChars="0" w:firstLine="482" w:firstLineChars="0"/>
        <w:rPr>
          <w:rFonts w:hint="eastAsia" w:ascii="Times New Roman" w:hAnsi="Times New Roman" w:eastAsia="宋体" w:cs="Times New Roman"/>
          <w:b w:val="0"/>
          <w:bCs w:val="0"/>
          <w:color w:val="000000" w:themeColor="text1"/>
          <w:sz w:val="24"/>
          <w:szCs w:val="32"/>
          <w:lang w:eastAsia="zh-CN"/>
          <w14:textFill>
            <w14:solidFill>
              <w14:schemeClr w14:val="tx1"/>
            </w14:solidFill>
          </w14:textFill>
        </w:rPr>
      </w:pPr>
      <w:r>
        <w:rPr>
          <w:rFonts w:hint="eastAsia" w:ascii="Times New Roman" w:hAnsi="Times New Roman" w:eastAsia="宋体" w:cs="Times New Roman"/>
          <w:b w:val="0"/>
          <w:bCs w:val="0"/>
          <w:color w:val="000000" w:themeColor="text1"/>
          <w:sz w:val="24"/>
          <w:szCs w:val="32"/>
          <w:lang w:eastAsia="zh-CN"/>
          <w14:textFill>
            <w14:solidFill>
              <w14:schemeClr w14:val="tx1"/>
            </w14:solidFill>
          </w14:textFill>
        </w:rPr>
        <w:t>事件的预防措施</w:t>
      </w:r>
    </w:p>
    <w:p w14:paraId="3B29BE3E">
      <w:pPr>
        <w:widowControl/>
        <w:numPr>
          <w:ilvl w:val="0"/>
          <w:numId w:val="3"/>
        </w:numPr>
        <w:adjustRightInd w:val="0"/>
        <w:snapToGrid w:val="0"/>
        <w:spacing w:line="360" w:lineRule="auto"/>
        <w:ind w:left="482" w:leftChars="0"/>
        <w:rPr>
          <w:rFonts w:hint="eastAsia" w:ascii="Times New Roman" w:hAnsi="Times New Roman" w:eastAsia="宋体" w:cs="Times New Roman"/>
          <w:b w:val="0"/>
          <w:bCs w:val="0"/>
          <w:color w:val="000000" w:themeColor="text1"/>
          <w:sz w:val="24"/>
          <w:szCs w:val="32"/>
          <w:lang w:eastAsia="zh-CN"/>
          <w14:textFill>
            <w14:solidFill>
              <w14:schemeClr w14:val="tx1"/>
            </w14:solidFill>
          </w14:textFill>
        </w:rPr>
      </w:pPr>
      <w:r>
        <w:rPr>
          <w:rFonts w:hint="eastAsia" w:ascii="Times New Roman" w:hAnsi="Times New Roman" w:eastAsia="宋体" w:cs="Times New Roman"/>
          <w:b w:val="0"/>
          <w:bCs w:val="0"/>
          <w:color w:val="000000" w:themeColor="text1"/>
          <w:sz w:val="24"/>
          <w:szCs w:val="32"/>
          <w:lang w:eastAsia="zh-CN"/>
          <w14:textFill>
            <w14:solidFill>
              <w14:schemeClr w14:val="tx1"/>
            </w14:solidFill>
          </w14:textFill>
        </w:rPr>
        <w:t>应对应急发电机、不间断电源（UPS）及其他安全设施进行经常性维护、保养</w:t>
      </w:r>
    </w:p>
    <w:p w14:paraId="5B6FEB34">
      <w:pPr>
        <w:widowControl/>
        <w:numPr>
          <w:ilvl w:val="0"/>
          <w:numId w:val="0"/>
        </w:numPr>
        <w:adjustRightInd w:val="0"/>
        <w:snapToGrid w:val="0"/>
        <w:spacing w:line="360" w:lineRule="auto"/>
        <w:rPr>
          <w:rFonts w:hint="eastAsia" w:ascii="Times New Roman" w:hAnsi="Times New Roman" w:eastAsia="宋体" w:cs="Times New Roman"/>
          <w:b w:val="0"/>
          <w:bCs w:val="0"/>
          <w:color w:val="000000" w:themeColor="text1"/>
          <w:sz w:val="24"/>
          <w:szCs w:val="32"/>
          <w:lang w:eastAsia="zh-CN"/>
          <w14:textFill>
            <w14:solidFill>
              <w14:schemeClr w14:val="tx1"/>
            </w14:solidFill>
          </w14:textFill>
        </w:rPr>
      </w:pPr>
      <w:r>
        <w:rPr>
          <w:rFonts w:hint="eastAsia" w:ascii="Times New Roman" w:hAnsi="Times New Roman" w:eastAsia="宋体" w:cs="Times New Roman"/>
          <w:b w:val="0"/>
          <w:bCs w:val="0"/>
          <w:color w:val="000000" w:themeColor="text1"/>
          <w:sz w:val="24"/>
          <w:szCs w:val="32"/>
          <w:lang w:eastAsia="zh-CN"/>
          <w14:textFill>
            <w14:solidFill>
              <w14:schemeClr w14:val="tx1"/>
            </w14:solidFill>
          </w14:textFill>
        </w:rPr>
        <w:t>和定期检测，以保证意外事故发生时能正常运行。</w:t>
      </w:r>
    </w:p>
    <w:p w14:paraId="44CDECF6">
      <w:pPr>
        <w:widowControl/>
        <w:numPr>
          <w:ilvl w:val="0"/>
          <w:numId w:val="3"/>
        </w:numPr>
        <w:adjustRightInd w:val="0"/>
        <w:snapToGrid w:val="0"/>
        <w:spacing w:line="360" w:lineRule="auto"/>
        <w:ind w:left="482" w:leftChars="0" w:firstLine="0" w:firstLineChars="0"/>
        <w:rPr>
          <w:rFonts w:hint="eastAsia" w:ascii="Times New Roman" w:hAnsi="Times New Roman" w:eastAsia="宋体" w:cs="Times New Roman"/>
          <w:b w:val="0"/>
          <w:bCs w:val="0"/>
          <w:color w:val="000000" w:themeColor="text1"/>
          <w:sz w:val="24"/>
          <w:szCs w:val="32"/>
          <w:lang w:eastAsia="zh-CN"/>
          <w14:textFill>
            <w14:solidFill>
              <w14:schemeClr w14:val="tx1"/>
            </w14:solidFill>
          </w14:textFill>
        </w:rPr>
      </w:pPr>
      <w:r>
        <w:rPr>
          <w:rFonts w:hint="eastAsia" w:ascii="Times New Roman" w:hAnsi="Times New Roman" w:eastAsia="宋体" w:cs="Times New Roman"/>
          <w:b w:val="0"/>
          <w:bCs w:val="0"/>
          <w:color w:val="000000" w:themeColor="text1"/>
          <w:sz w:val="24"/>
          <w:szCs w:val="32"/>
          <w:lang w:eastAsia="zh-CN"/>
          <w14:textFill>
            <w14:solidFill>
              <w14:schemeClr w14:val="tx1"/>
            </w14:solidFill>
          </w14:textFill>
        </w:rPr>
        <w:t>企业应严格落实安全生产主体责任，定期进行隐患排查、风险辨识、事故应急</w:t>
      </w:r>
    </w:p>
    <w:p w14:paraId="7DC48F74">
      <w:pPr>
        <w:widowControl/>
        <w:numPr>
          <w:ilvl w:val="0"/>
          <w:numId w:val="0"/>
        </w:numPr>
        <w:adjustRightInd w:val="0"/>
        <w:snapToGrid w:val="0"/>
        <w:spacing w:line="360" w:lineRule="auto"/>
        <w:rPr>
          <w:rFonts w:hint="default"/>
          <w:b/>
          <w:bCs/>
          <w:color w:val="000000" w:themeColor="text1"/>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4"/>
          <w:szCs w:val="32"/>
          <w:lang w:eastAsia="zh-CN"/>
          <w14:textFill>
            <w14:solidFill>
              <w14:schemeClr w14:val="tx1"/>
            </w14:solidFill>
          </w14:textFill>
        </w:rPr>
        <w:t>演练。</w:t>
      </w:r>
    </w:p>
    <w:p w14:paraId="639052C3">
      <w:pPr>
        <w:widowControl/>
        <w:adjustRightInd w:val="0"/>
        <w:snapToGrid w:val="0"/>
        <w:spacing w:line="360" w:lineRule="auto"/>
        <w:ind w:firstLine="486" w:firstLineChars="200"/>
        <w:rPr>
          <w:b w:val="0"/>
          <w:bCs w:val="0"/>
          <w:color w:val="auto"/>
          <w:sz w:val="24"/>
        </w:rPr>
      </w:pPr>
      <w:r>
        <w:rPr>
          <w:rFonts w:hint="default" w:ascii="Times New Roman" w:hAnsi="Times New Roman" w:eastAsia="宋体" w:cs="Times New Roman"/>
          <w:b w:val="0"/>
          <w:bCs w:val="0"/>
          <w:color w:val="auto"/>
          <w:sz w:val="24"/>
          <w:szCs w:val="24"/>
          <w:highlight w:val="none"/>
          <w:lang w:val="en-US" w:eastAsia="zh-CN"/>
        </w:rPr>
        <w:t>案例</w:t>
      </w:r>
      <w:r>
        <w:rPr>
          <w:rFonts w:hint="eastAsia" w:cs="Times New Roman"/>
          <w:b w:val="0"/>
          <w:bCs w:val="0"/>
          <w:color w:val="auto"/>
          <w:sz w:val="24"/>
          <w:szCs w:val="24"/>
          <w:highlight w:val="none"/>
          <w:lang w:val="en-US" w:eastAsia="zh-CN"/>
        </w:rPr>
        <w:t>二</w:t>
      </w:r>
      <w:r>
        <w:rPr>
          <w:rFonts w:hint="default" w:ascii="Times New Roman" w:hAnsi="Times New Roman" w:eastAsia="宋体" w:cs="Times New Roman"/>
          <w:b w:val="0"/>
          <w:bCs w:val="0"/>
          <w:color w:val="auto"/>
          <w:sz w:val="24"/>
          <w:szCs w:val="24"/>
          <w:highlight w:val="none"/>
          <w:lang w:val="en-US" w:eastAsia="zh-CN"/>
        </w:rPr>
        <w:t xml:space="preserve">  </w:t>
      </w:r>
      <w:r>
        <w:rPr>
          <w:rFonts w:hint="eastAsia" w:ascii="Times New Roman" w:hAnsi="Times New Roman" w:eastAsia="宋体" w:cs="Times New Roman"/>
          <w:b w:val="0"/>
          <w:bCs w:val="0"/>
          <w:color w:val="auto"/>
          <w:sz w:val="24"/>
          <w:lang w:eastAsia="zh-CN"/>
        </w:rPr>
        <w:t>湖北某化工厂氨泄漏事故</w:t>
      </w:r>
    </w:p>
    <w:p w14:paraId="387E2EA2">
      <w:pPr>
        <w:widowControl/>
        <w:numPr>
          <w:ilvl w:val="0"/>
          <w:numId w:val="4"/>
        </w:numPr>
        <w:adjustRightInd w:val="0"/>
        <w:snapToGrid w:val="0"/>
        <w:spacing w:line="360" w:lineRule="auto"/>
        <w:ind w:firstLine="486"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事故经过</w:t>
      </w:r>
    </w:p>
    <w:p w14:paraId="440DD621">
      <w:pPr>
        <w:widowControl/>
        <w:adjustRightInd w:val="0"/>
        <w:snapToGrid w:val="0"/>
        <w:spacing w:line="360" w:lineRule="auto"/>
        <w:ind w:firstLine="486"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lang w:val="en-US" w:eastAsia="zh-CN"/>
        </w:rPr>
        <w:t>20</w:t>
      </w:r>
      <w:r>
        <w:rPr>
          <w:rFonts w:hint="eastAsia" w:cs="Times New Roman"/>
          <w:color w:val="auto"/>
          <w:sz w:val="24"/>
          <w:lang w:val="en-US" w:eastAsia="zh-CN"/>
        </w:rPr>
        <w:t>1</w:t>
      </w:r>
      <w:r>
        <w:rPr>
          <w:rFonts w:hint="eastAsia" w:ascii="Times New Roman" w:hAnsi="Times New Roman" w:eastAsia="宋体" w:cs="Times New Roman"/>
          <w:color w:val="auto"/>
          <w:sz w:val="24"/>
          <w:lang w:val="en-US" w:eastAsia="zh-CN"/>
        </w:rPr>
        <w:t>4年6月5日11时40分左右，该化工厂合成车间加氨阀填料压盖破裂，有少量的液氨滴漏。维修工徐某遵照车间指令，对加氨阀门进行填料更换。徐某没敢大意，首先找来操作工，关闭了加氨阀门前后两道阀门；并牵来一根水管浇在阀门填料上，稀释和吸收氨味，消除氨液释放出的氨雾；又从厂安全室借来一套防化服和一套过滤式防毒面具，佩戴整齐后即投入阀门检修。当他卸掉阀门压盖时，阀门填料跟着冲了出来，瞬间一股液氨猛然喷出，并释放出大片氨雾，包围了整个检修作业点，临近的甲醇岗位和铜洗岗位也笼罩在浓烈的氨味中，情况十分紧急危险。临近岗位的操作人员和安全环保部的安全员发现险情后，纷纷从各处提着消防、防护器材赶来。有的接通了消防水带打开了消火栓，大量喷水压制和稀释氨雾；有的穿上防化服，戴好防毒面具，冲进氨雾中协助抢险处理。闻</w:t>
      </w:r>
      <w:r>
        <w:rPr>
          <w:rFonts w:hint="eastAsia" w:ascii="Times New Roman" w:hAnsi="Times New Roman" w:eastAsia="宋体" w:cs="Times New Roman"/>
          <w:color w:val="auto"/>
          <w:sz w:val="24"/>
          <w:szCs w:val="24"/>
          <w:lang w:val="en-US" w:eastAsia="zh-CN"/>
        </w:rPr>
        <w:t>讯后赶到的厂领导协助车间指挥，生产调度抓紧指挥操作人员减量调整生产负荷，关闭远距离的相关阀门，停止系统加氨，事故很快得到有效控制和妥善处理，并快速更换了阀门填料，堵住了漏点。</w:t>
      </w:r>
    </w:p>
    <w:p w14:paraId="714A760E">
      <w:pPr>
        <w:widowControl/>
        <w:numPr>
          <w:ilvl w:val="0"/>
          <w:numId w:val="4"/>
        </w:numPr>
        <w:adjustRightInd w:val="0"/>
        <w:snapToGrid w:val="0"/>
        <w:spacing w:line="360" w:lineRule="auto"/>
        <w:ind w:left="0" w:leftChars="0" w:firstLine="486"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事故原因</w:t>
      </w:r>
    </w:p>
    <w:p w14:paraId="0DB2CFB4">
      <w:pPr>
        <w:widowControl/>
        <w:adjustRightInd w:val="0"/>
        <w:snapToGrid w:val="0"/>
        <w:spacing w:line="360" w:lineRule="auto"/>
        <w:ind w:firstLine="486" w:firstLineChars="200"/>
        <w:rPr>
          <w:rFonts w:hint="eastAsia" w:ascii="Times New Roman" w:hAnsi="Times New Roman" w:eastAsia="宋体" w:cs="Times New Roman"/>
          <w:color w:val="auto"/>
          <w:sz w:val="24"/>
          <w:lang w:val="en-US" w:eastAsia="zh-CN"/>
        </w:rPr>
      </w:pPr>
      <w:r>
        <w:rPr>
          <w:rFonts w:hint="eastAsia" w:ascii="宋体" w:hAnsi="宋体" w:eastAsia="宋体" w:cs="宋体"/>
          <w:color w:val="auto"/>
          <w:sz w:val="24"/>
          <w:lang w:val="en-US" w:eastAsia="zh-CN"/>
        </w:rPr>
        <w:t>①</w:t>
      </w:r>
      <w:r>
        <w:rPr>
          <w:rFonts w:hint="eastAsia" w:ascii="Times New Roman" w:hAnsi="Times New Roman" w:eastAsia="宋体" w:cs="Times New Roman"/>
          <w:color w:val="auto"/>
          <w:sz w:val="24"/>
          <w:lang w:val="en-US" w:eastAsia="zh-CN"/>
        </w:rPr>
        <w:t>合成车间在检修处理加氨阀填料漏点过程中，未制订周密完整的检修方案，未制订和认真落实必要的安全措施，维修工盲目地接受任务。</w:t>
      </w:r>
    </w:p>
    <w:p w14:paraId="221D908F">
      <w:pPr>
        <w:widowControl/>
        <w:adjustRightInd w:val="0"/>
        <w:snapToGrid w:val="0"/>
        <w:spacing w:line="360" w:lineRule="auto"/>
        <w:ind w:firstLine="486" w:firstLineChars="200"/>
        <w:rPr>
          <w:rFonts w:hint="eastAsia" w:ascii="Times New Roman" w:hAnsi="Times New Roman" w:eastAsia="宋体" w:cs="Times New Roman"/>
          <w:color w:val="auto"/>
          <w:sz w:val="24"/>
          <w:lang w:val="en-US" w:eastAsia="zh-CN"/>
        </w:rPr>
      </w:pPr>
      <w:r>
        <w:rPr>
          <w:rFonts w:hint="eastAsia" w:ascii="宋体" w:hAnsi="宋体" w:eastAsia="宋体" w:cs="宋体"/>
          <w:color w:val="auto"/>
          <w:sz w:val="24"/>
          <w:lang w:val="en-US" w:eastAsia="zh-CN"/>
        </w:rPr>
        <w:t>②</w:t>
      </w:r>
      <w:r>
        <w:rPr>
          <w:rFonts w:hint="eastAsia" w:ascii="Times New Roman" w:hAnsi="Times New Roman" w:eastAsia="宋体" w:cs="Times New Roman"/>
          <w:color w:val="auto"/>
          <w:sz w:val="24"/>
          <w:lang w:val="en-US" w:eastAsia="zh-CN"/>
        </w:rPr>
        <w:t>合成车间领导在获知加氨阀门填料泄漏后，没有引起足够重视，没有向生产、设备、安全部门按程序汇报，自作主张，草率行事，擅自处理。</w:t>
      </w:r>
    </w:p>
    <w:p w14:paraId="51C55B34">
      <w:pPr>
        <w:widowControl/>
        <w:adjustRightInd w:val="0"/>
        <w:snapToGrid w:val="0"/>
        <w:spacing w:line="360" w:lineRule="auto"/>
        <w:ind w:firstLine="486" w:firstLineChars="200"/>
        <w:rPr>
          <w:rFonts w:hint="eastAsia" w:ascii="Times New Roman" w:hAnsi="Times New Roman" w:eastAsia="宋体" w:cs="Times New Roman"/>
          <w:color w:val="auto"/>
          <w:sz w:val="24"/>
          <w:lang w:val="en-US" w:eastAsia="zh-CN"/>
        </w:rPr>
      </w:pPr>
      <w:r>
        <w:rPr>
          <w:rFonts w:hint="eastAsia" w:ascii="宋体" w:hAnsi="宋体" w:eastAsia="宋体" w:cs="宋体"/>
          <w:color w:val="auto"/>
          <w:sz w:val="24"/>
          <w:lang w:val="en-US" w:eastAsia="zh-CN"/>
        </w:rPr>
        <w:t>③</w:t>
      </w:r>
      <w:r>
        <w:rPr>
          <w:rFonts w:hint="eastAsia" w:ascii="Times New Roman" w:hAnsi="Times New Roman" w:eastAsia="宋体" w:cs="Times New Roman"/>
          <w:color w:val="auto"/>
          <w:sz w:val="24"/>
          <w:lang w:val="en-US" w:eastAsia="zh-CN"/>
        </w:rPr>
        <w:t>当加氨阀门填料冲出有大量氨液泄漏时，合成车间组织不力，指挥不统一，手忙脚乱，延误了事故处置的最佳有效时间。</w:t>
      </w:r>
    </w:p>
    <w:p w14:paraId="1EB8BDA0">
      <w:pPr>
        <w:widowControl/>
        <w:adjustRightInd w:val="0"/>
        <w:snapToGrid w:val="0"/>
        <w:spacing w:line="360" w:lineRule="auto"/>
        <w:ind w:firstLine="486" w:firstLineChars="200"/>
        <w:rPr>
          <w:rFonts w:hint="eastAsia" w:ascii="Times New Roman" w:hAnsi="Times New Roman" w:eastAsia="宋体" w:cs="Times New Roman"/>
          <w:color w:val="auto"/>
          <w:sz w:val="24"/>
          <w:lang w:val="en-US" w:eastAsia="zh-CN"/>
        </w:rPr>
      </w:pPr>
      <w:r>
        <w:rPr>
          <w:rFonts w:hint="eastAsia" w:ascii="宋体" w:hAnsi="宋体" w:eastAsia="宋体" w:cs="宋体"/>
          <w:color w:val="auto"/>
          <w:sz w:val="24"/>
          <w:lang w:val="en-US" w:eastAsia="zh-CN"/>
        </w:rPr>
        <w:t>④</w:t>
      </w:r>
      <w:r>
        <w:rPr>
          <w:rFonts w:hint="eastAsia" w:ascii="Times New Roman" w:hAnsi="Times New Roman" w:eastAsia="宋体" w:cs="Times New Roman"/>
          <w:color w:val="auto"/>
          <w:sz w:val="24"/>
          <w:lang w:val="en-US" w:eastAsia="zh-CN"/>
        </w:rPr>
        <w:t>加氨阀前后备用阀关不死内漏，合成车间对危险化学品事故处置思想上麻痹重视不够，安全意识严重不足。人员组织不力，只指派一名维修工去处理；物质准备不充分，现场现找、现领阀门；检修作业未做到“7个对待”中的“无压当有压、无液当有液、无险当有险”对待。</w:t>
      </w:r>
    </w:p>
    <w:p w14:paraId="3461AC0C">
      <w:pPr>
        <w:widowControl/>
        <w:numPr>
          <w:ilvl w:val="0"/>
          <w:numId w:val="4"/>
        </w:numPr>
        <w:adjustRightInd w:val="0"/>
        <w:snapToGrid w:val="0"/>
        <w:spacing w:line="360" w:lineRule="auto"/>
        <w:ind w:left="0" w:leftChars="0" w:firstLine="486"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事故预防措施</w:t>
      </w:r>
    </w:p>
    <w:p w14:paraId="6F8F27B3">
      <w:pPr>
        <w:spacing w:line="360" w:lineRule="auto"/>
        <w:ind w:firstLine="486" w:firstLineChars="200"/>
        <w:rPr>
          <w:rFonts w:hint="default" w:ascii="Times New Roman" w:hAnsi="Times New Roman" w:eastAsia="宋体" w:cs="Times New Roman"/>
          <w:color w:val="auto"/>
          <w:sz w:val="24"/>
          <w:highlight w:val="none"/>
        </w:rPr>
      </w:pPr>
      <w:r>
        <w:rPr>
          <w:rFonts w:hint="eastAsia" w:ascii="Times New Roman" w:hAnsi="Times New Roman" w:eastAsia="宋体" w:cs="Times New Roman"/>
          <w:color w:val="auto"/>
          <w:sz w:val="24"/>
          <w:lang w:val="en-US" w:eastAsia="zh-CN"/>
        </w:rPr>
        <w:t>此次加氨阀填料泄漏事故，开始时思想重视不够，继而处置不当，充分暴露出该车间安全管理“小安则懈”的思想严重。领导工作作风浮漂，查改隐患不主动、不细致。全局观念不强，发现隐患不汇报，自行其事，自作主张。通过此次事故可以看出，安全无小事。整改隐患要从人的思想上抓起，管事要先管人，管人要先管好思想，首先铲除人思想上的不安全因素，麻痹、侥幸、冒险、蛮干的违章行为才能得以彻底根除</w:t>
      </w:r>
      <w:r>
        <w:rPr>
          <w:rFonts w:hint="default" w:ascii="Times New Roman" w:hAnsi="Times New Roman" w:eastAsia="宋体" w:cs="Times New Roman"/>
          <w:color w:val="auto"/>
          <w:sz w:val="24"/>
          <w:highlight w:val="none"/>
        </w:rPr>
        <w:t>。</w:t>
      </w:r>
    </w:p>
    <w:p w14:paraId="56CA6572">
      <w:pPr>
        <w:widowControl/>
        <w:numPr>
          <w:ilvl w:val="0"/>
          <w:numId w:val="0"/>
        </w:numPr>
        <w:adjustRightInd w:val="0"/>
        <w:snapToGrid w:val="0"/>
        <w:spacing w:line="360" w:lineRule="auto"/>
        <w:rPr>
          <w:rFonts w:hint="default" w:ascii="Times New Roman" w:hAnsi="Times New Roman" w:cs="Times New Roman"/>
          <w:color w:val="auto"/>
          <w:sz w:val="24"/>
          <w:szCs w:val="24"/>
          <w:highlight w:val="none"/>
        </w:rPr>
      </w:pPr>
      <w:r>
        <w:rPr>
          <w:rFonts w:hint="default" w:ascii="Times New Roman" w:hAnsi="Times New Roman" w:cs="Times New Roman"/>
          <w:b/>
          <w:bCs/>
          <w:color w:val="auto"/>
          <w:sz w:val="24"/>
          <w:szCs w:val="24"/>
          <w:highlight w:val="none"/>
        </w:rPr>
        <w:t>4.1.2可能发生突发环境事件情景分析</w:t>
      </w:r>
      <w:bookmarkEnd w:id="121"/>
      <w:bookmarkEnd w:id="122"/>
      <w:bookmarkEnd w:id="123"/>
      <w:bookmarkEnd w:id="124"/>
      <w:bookmarkEnd w:id="125"/>
    </w:p>
    <w:p w14:paraId="058179CE">
      <w:pPr>
        <w:spacing w:before="0" w:after="0"/>
        <w:outlineLvl w:val="9"/>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4.1.2.1 生产过程突发环境事件情景分析</w:t>
      </w:r>
    </w:p>
    <w:p w14:paraId="15979162">
      <w:pPr>
        <w:adjustRightInd w:val="0"/>
        <w:snapToGrid w:val="0"/>
        <w:spacing w:line="360" w:lineRule="auto"/>
        <w:ind w:firstLine="486"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w:t>
      </w:r>
      <w:r>
        <w:rPr>
          <w:rFonts w:hint="default" w:ascii="Times New Roman" w:hAnsi="Times New Roman" w:cs="Times New Roman"/>
          <w:color w:val="auto"/>
          <w:sz w:val="24"/>
          <w:szCs w:val="24"/>
          <w:highlight w:val="none"/>
          <w:lang w:eastAsia="zh-CN"/>
        </w:rPr>
        <w:t>泄漏、</w:t>
      </w:r>
      <w:r>
        <w:rPr>
          <w:rFonts w:hint="default" w:ascii="Times New Roman" w:hAnsi="Times New Roman" w:cs="Times New Roman"/>
          <w:color w:val="auto"/>
          <w:sz w:val="24"/>
          <w:szCs w:val="24"/>
          <w:highlight w:val="none"/>
        </w:rPr>
        <w:t>火灾、爆炸危险</w:t>
      </w:r>
    </w:p>
    <w:p w14:paraId="435E0A09">
      <w:pPr>
        <w:keepNext w:val="0"/>
        <w:keepLines w:val="0"/>
        <w:pageBreakBefore w:val="0"/>
        <w:widowControl/>
        <w:suppressLineNumbers w:val="0"/>
        <w:kinsoku/>
        <w:wordWrap/>
        <w:overflowPunct/>
        <w:topLinePunct w:val="0"/>
        <w:autoSpaceDE/>
        <w:autoSpaceDN/>
        <w:bidi w:val="0"/>
        <w:adjustRightInd/>
        <w:snapToGrid/>
        <w:spacing w:line="360" w:lineRule="auto"/>
        <w:ind w:firstLine="486" w:firstLineChars="200"/>
        <w:jc w:val="left"/>
        <w:textAlignment w:val="auto"/>
        <w:rPr>
          <w:rFonts w:hint="default" w:ascii="Times New Roman" w:hAnsi="Times New Roman"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（1）本公司生产、储存过程中主要原料：</w:t>
      </w:r>
      <w:r>
        <w:rPr>
          <w:rFonts w:hint="eastAsia" w:cs="Times New Roman"/>
          <w:color w:val="auto"/>
          <w:kern w:val="0"/>
          <w:sz w:val="24"/>
          <w:szCs w:val="24"/>
          <w:highlight w:val="none"/>
          <w:lang w:val="en-US" w:eastAsia="zh-CN" w:bidi="ar"/>
        </w:rPr>
        <w:t>苯酚</w:t>
      </w:r>
      <w:r>
        <w:rPr>
          <w:rFonts w:hint="default" w:ascii="Times New Roman" w:hAnsi="Times New Roman" w:cs="Times New Roman"/>
          <w:color w:val="auto"/>
          <w:kern w:val="0"/>
          <w:sz w:val="24"/>
          <w:szCs w:val="24"/>
          <w:highlight w:val="none"/>
          <w:lang w:val="en-US" w:eastAsia="zh-CN" w:bidi="ar"/>
        </w:rPr>
        <w:t>、甲醇、</w:t>
      </w:r>
      <w:r>
        <w:rPr>
          <w:rFonts w:hint="eastAsia" w:cs="Times New Roman"/>
          <w:color w:val="auto"/>
          <w:kern w:val="0"/>
          <w:sz w:val="24"/>
          <w:szCs w:val="24"/>
          <w:highlight w:val="none"/>
          <w:lang w:val="en-US" w:eastAsia="zh-CN" w:bidi="ar"/>
        </w:rPr>
        <w:t>氯、氨气</w:t>
      </w:r>
      <w:r>
        <w:rPr>
          <w:rFonts w:hint="default" w:ascii="Times New Roman" w:hAnsi="Times New Roman" w:eastAsia="宋体" w:cs="Times New Roman"/>
          <w:color w:val="auto"/>
          <w:kern w:val="0"/>
          <w:sz w:val="24"/>
          <w:szCs w:val="24"/>
          <w:highlight w:val="none"/>
          <w:lang w:val="en-US" w:eastAsia="zh-CN" w:bidi="ar"/>
        </w:rPr>
        <w:t>等都具有易燃易爆或助燃特性，由于反应釜、容器、管道、阀门、法兰损坏，则有可能造成物料泄漏，遇明火、高热接触有可能引起燃烧的危险，引起火灾、爆炸事故。</w:t>
      </w:r>
    </w:p>
    <w:p w14:paraId="5916EA71">
      <w:pPr>
        <w:adjustRightInd w:val="0"/>
        <w:snapToGrid w:val="0"/>
        <w:spacing w:line="360" w:lineRule="auto"/>
        <w:ind w:firstLine="486"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4"/>
          <w:highlight w:val="none"/>
          <w:lang w:val="en-US" w:eastAsia="zh-CN"/>
        </w:rPr>
        <w:t>2</w:t>
      </w: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4"/>
          <w:highlight w:val="none"/>
          <w:lang w:eastAsia="zh-CN"/>
        </w:rPr>
        <w:t>车间、仓库、中控室</w:t>
      </w:r>
      <w:r>
        <w:rPr>
          <w:rFonts w:hint="default" w:ascii="Times New Roman" w:hAnsi="Times New Roman" w:cs="Times New Roman"/>
          <w:color w:val="auto"/>
          <w:sz w:val="24"/>
          <w:szCs w:val="24"/>
          <w:highlight w:val="none"/>
        </w:rPr>
        <w:t>、配电室等生产装置区所使用的各种设备、照明灯具等电气设施，当电器元件、电气线路发生短路、过载、接触不良、绝缘损坏和有外来火源等，都易引发电气火灾。电缆的绝缘材料、填充物和覆盖层等都具有可燃性，遇到高温或外界火源极容易被引燃，电缆一旦着火会很快蔓延，波及临近的电缆和电气设备使火灾扩大。</w:t>
      </w:r>
    </w:p>
    <w:p w14:paraId="3FFB32D8">
      <w:pPr>
        <w:adjustRightInd w:val="0"/>
        <w:snapToGrid w:val="0"/>
        <w:spacing w:line="360" w:lineRule="auto"/>
        <w:ind w:firstLine="486"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4"/>
          <w:highlight w:val="none"/>
          <w:lang w:val="en-US" w:eastAsia="zh-CN"/>
        </w:rPr>
        <w:t>3</w:t>
      </w:r>
      <w:r>
        <w:rPr>
          <w:rFonts w:hint="default" w:ascii="Times New Roman" w:hAnsi="Times New Roman" w:cs="Times New Roman"/>
          <w:color w:val="auto"/>
          <w:sz w:val="24"/>
          <w:szCs w:val="24"/>
          <w:highlight w:val="none"/>
        </w:rPr>
        <w:t>）危险作业场所，避雷设施不能覆盖整个应保护的装置或避雷引下线接地电阻超标，有遭受雷击引发火灾的危险。</w:t>
      </w:r>
    </w:p>
    <w:p w14:paraId="19FC7B1B">
      <w:pPr>
        <w:adjustRightInd w:val="0"/>
        <w:snapToGrid w:val="0"/>
        <w:spacing w:line="360" w:lineRule="auto"/>
        <w:ind w:firstLine="486"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4</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电气线路由于地埋式电线裸露或老化破旧，电线接头松动脱落发生短路；电线盖板没有盖好，或盖板设计的不合理，长时间移动摩擦，造成电源线破损，引起线路短路；由于现场工作环境不好，如生产过程产生的粉尘以及碎纸屑粘附在电器上，引起控制柜电器短路。电气线路短路可烧坏电机、电器零件，造成生产线停产，重则引发火灾和人员伤害。</w:t>
      </w:r>
    </w:p>
    <w:p w14:paraId="1BF07FFA">
      <w:pPr>
        <w:adjustRightInd w:val="0"/>
        <w:snapToGrid w:val="0"/>
        <w:spacing w:line="360" w:lineRule="auto"/>
        <w:ind w:firstLine="486"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5</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变压器是电力系统的重要元件之一。变压器存在着火灾隐患，因为变压器油是可燃液体，还有纸、布料等可燃材料、绝缘材料，运行时会产生热量，绝缘会老化，变压器一旦发生故障时，产生的电弧使箱体内绝缘油的温度、压力升高喷出甚至爆裂喷出，同时电弧引起绝缘油着火，而且火势发展很快，如果没有有效的防护措施，会导致严重的后果。</w:t>
      </w:r>
    </w:p>
    <w:p w14:paraId="76F58578">
      <w:pPr>
        <w:adjustRightInd w:val="0"/>
        <w:snapToGrid w:val="0"/>
        <w:spacing w:line="360" w:lineRule="auto"/>
        <w:ind w:firstLine="486"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变压器爆炸着火的原因有：</w:t>
      </w:r>
    </w:p>
    <w:p w14:paraId="7D9EF20E">
      <w:pPr>
        <w:adjustRightInd w:val="0"/>
        <w:snapToGrid w:val="0"/>
        <w:spacing w:line="360" w:lineRule="auto"/>
        <w:ind w:firstLine="486"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①绕组绝缘损毁产生短路（如老化、变质、绝缘强度降低、焊渣或铁磁物质进入变压器、制造质量不良等）引起着火爆炸事故。</w:t>
      </w:r>
    </w:p>
    <w:p w14:paraId="7EC9FE71">
      <w:pPr>
        <w:adjustRightInd w:val="0"/>
        <w:snapToGrid w:val="0"/>
        <w:spacing w:line="360" w:lineRule="auto"/>
        <w:ind w:firstLine="486"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②变压器主绝缘击穿（如操作不当引起过电压，变压器内部发生闪络，密封不良，雨水漏入变压器，引线对油箱内距离不够等）。</w:t>
      </w:r>
    </w:p>
    <w:p w14:paraId="013B2BD0">
      <w:pPr>
        <w:adjustRightInd w:val="0"/>
        <w:snapToGrid w:val="0"/>
        <w:spacing w:line="360" w:lineRule="auto"/>
        <w:ind w:firstLine="486"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③变压器套管闪络。</w:t>
      </w:r>
    </w:p>
    <w:p w14:paraId="6959319B">
      <w:pPr>
        <w:adjustRightInd w:val="0"/>
        <w:snapToGrid w:val="0"/>
        <w:spacing w:line="360" w:lineRule="auto"/>
        <w:ind w:firstLine="486"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④分接开关和绕组连接处接触不良，产生高温。</w:t>
      </w:r>
    </w:p>
    <w:p w14:paraId="2B3C6E7B">
      <w:pPr>
        <w:adjustRightInd w:val="0"/>
        <w:snapToGrid w:val="0"/>
        <w:spacing w:line="360" w:lineRule="auto"/>
        <w:ind w:firstLine="486"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⑤磁路发生故障，铁芯故障，产生涡流、环流发热，引起变压器故障等。</w:t>
      </w:r>
    </w:p>
    <w:p w14:paraId="1496A627">
      <w:pPr>
        <w:adjustRightInd w:val="0"/>
        <w:snapToGrid w:val="0"/>
        <w:spacing w:line="360" w:lineRule="auto"/>
        <w:ind w:firstLine="486"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7</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配电装置、电动机以及各种照明设备等存在电气火灾的危险。电气设备本身除可构成引燃源外，也可能成为易燃物的危险源。</w:t>
      </w:r>
    </w:p>
    <w:p w14:paraId="6494E81E">
      <w:pPr>
        <w:adjustRightInd w:val="0"/>
        <w:snapToGrid w:val="0"/>
        <w:spacing w:line="360" w:lineRule="auto"/>
        <w:ind w:firstLine="486"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①部分电气设备中充有大量易燃物，如油浸变压器等，在电弧作用下油可分解为大量油雾可燃性气体。</w:t>
      </w:r>
    </w:p>
    <w:p w14:paraId="290D151E">
      <w:pPr>
        <w:adjustRightInd w:val="0"/>
        <w:snapToGrid w:val="0"/>
        <w:spacing w:line="360" w:lineRule="auto"/>
        <w:ind w:firstLine="486"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②过载</w:t>
      </w:r>
    </w:p>
    <w:p w14:paraId="7A592CE9">
      <w:pPr>
        <w:adjustRightInd w:val="0"/>
        <w:snapToGrid w:val="0"/>
        <w:spacing w:line="360" w:lineRule="auto"/>
        <w:ind w:firstLine="486"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过载又称过负荷，是指电力线路和电气设备在运行过程中通过的电流量超过安全载流量或额定值的现象。由于电流的发热量与电流的平方成正比，因此，过载时，发热量往往大大超过允许限度，轻则加速绝缘层老化，重则会使可燃绝缘层燃烧而引起火灾事故。</w:t>
      </w:r>
    </w:p>
    <w:p w14:paraId="295C8587">
      <w:pPr>
        <w:adjustRightInd w:val="0"/>
        <w:snapToGrid w:val="0"/>
        <w:spacing w:line="360" w:lineRule="auto"/>
        <w:ind w:firstLine="486"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③短路</w:t>
      </w:r>
    </w:p>
    <w:p w14:paraId="0852D016">
      <w:pPr>
        <w:adjustRightInd w:val="0"/>
        <w:snapToGrid w:val="0"/>
        <w:spacing w:line="360" w:lineRule="auto"/>
        <w:ind w:firstLine="486"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短路又称碰线、混线或连电，是指电气线路或设备中相线与相线之间短接，或相线与大地、相线与中性线之间的短接现象。发生短路时，电源电动势被短接，短路电阻抗变小，造成电气回路中电流突然增大，在短路处可产生火花，甚至产生6000℃以上的电弧；不仅会使金属导线熔化和绝缘材料燃烧，还会引起附近的可燃物着火及可燃性气体、蒸气、粉尘与空气混合物爆炸。</w:t>
      </w:r>
    </w:p>
    <w:p w14:paraId="3BE50C7C">
      <w:pPr>
        <w:adjustRightInd w:val="0"/>
        <w:snapToGrid w:val="0"/>
        <w:spacing w:line="360" w:lineRule="auto"/>
        <w:ind w:firstLine="486"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④接触电阻过大</w:t>
      </w:r>
    </w:p>
    <w:p w14:paraId="354920E0">
      <w:pPr>
        <w:adjustRightInd w:val="0"/>
        <w:snapToGrid w:val="0"/>
        <w:spacing w:line="360" w:lineRule="auto"/>
        <w:ind w:firstLine="486"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这是指导线与导线、导线与电气设备的连接处，由于接触不良，使接触部位的局部电阻过大的现象。当电流通过时，在接触电阻过大的部位，就会吸收很大的电能，产生极大的热量，从而使绝缘层损坏以致燃烧，使金属导线变色甚至熔化，严重时可引起附近的可燃物质着火而造成火灾。</w:t>
      </w:r>
    </w:p>
    <w:p w14:paraId="64F6FDEE">
      <w:pPr>
        <w:adjustRightInd w:val="0"/>
        <w:snapToGrid w:val="0"/>
        <w:spacing w:line="360" w:lineRule="auto"/>
        <w:ind w:firstLine="486"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8</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汽轮机轴承及油系统漏油，主变压器、厂用变压器以及高、低压配电装置技术状况不符合要求或非正常运行，未进行电缆巡查、未采取防火措施等，电缆铺设不符合安全要求等，避雷措施不符合规定等，均可能引发火灾事故。</w:t>
      </w:r>
    </w:p>
    <w:p w14:paraId="7A4B65E6">
      <w:pPr>
        <w:adjustRightInd w:val="0"/>
        <w:snapToGrid w:val="0"/>
        <w:spacing w:line="360" w:lineRule="auto"/>
        <w:ind w:firstLine="486"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9</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管理、操作不当导致的火灾爆炸危险</w:t>
      </w:r>
    </w:p>
    <w:p w14:paraId="603ACFE4">
      <w:pPr>
        <w:adjustRightInd w:val="0"/>
        <w:snapToGrid w:val="0"/>
        <w:spacing w:line="360" w:lineRule="auto"/>
        <w:ind w:firstLine="486"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生产过程中安全管理不到位或管理不当，可能因违章指挥、违章作业、违反操作规程而引发火灾爆炸事故。</w:t>
      </w:r>
    </w:p>
    <w:p w14:paraId="7A8CD7AD">
      <w:pPr>
        <w:adjustRightInd w:val="0"/>
        <w:snapToGrid w:val="0"/>
        <w:spacing w:line="360" w:lineRule="auto"/>
        <w:ind w:firstLine="486"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作业人员素质低或未经培训即上岗作业，对生产过程中出现的异常现象不能及时发现、正确处理，可能因贻误处理时机或处理不当而引发火灾爆炸事故。</w:t>
      </w:r>
    </w:p>
    <w:p w14:paraId="3C1CBD50">
      <w:pPr>
        <w:adjustRightInd w:val="0"/>
        <w:snapToGrid w:val="0"/>
        <w:spacing w:line="360" w:lineRule="auto"/>
        <w:ind w:firstLine="486"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2.泄露物料引起中毒和窒息</w:t>
      </w:r>
    </w:p>
    <w:p w14:paraId="1ECE202B">
      <w:pPr>
        <w:adjustRightInd w:val="0"/>
        <w:snapToGrid w:val="0"/>
        <w:spacing w:line="360" w:lineRule="auto"/>
        <w:ind w:firstLine="486"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公司在生产、储存过程中的化学品：邻硝基氯化苯</w:t>
      </w:r>
      <w:r>
        <w:rPr>
          <w:rFonts w:hint="eastAsia" w:cs="Times New Roman"/>
          <w:color w:val="auto"/>
          <w:sz w:val="24"/>
          <w:szCs w:val="24"/>
          <w:highlight w:val="none"/>
          <w:lang w:eastAsia="zh-CN"/>
        </w:rPr>
        <w:t>、苯酚、氨</w:t>
      </w:r>
      <w:r>
        <w:rPr>
          <w:rFonts w:hint="default" w:ascii="Times New Roman" w:hAnsi="Times New Roman" w:cs="Times New Roman"/>
          <w:color w:val="auto"/>
          <w:sz w:val="24"/>
          <w:szCs w:val="24"/>
          <w:highlight w:val="none"/>
        </w:rPr>
        <w:t>具有一定的毒害性，在储存、装卸、生产、加热过程中，如操作不当、野蛮装卸等有可能发生泄漏造成人员中毒、窒息事故。</w:t>
      </w:r>
    </w:p>
    <w:p w14:paraId="7C7E5C13">
      <w:pPr>
        <w:pStyle w:val="120"/>
        <w:spacing w:line="360" w:lineRule="auto"/>
        <w:ind w:firstLine="526" w:firstLineChars="200"/>
        <w:rPr>
          <w:rFonts w:hint="default" w:ascii="Times New Roman" w:hAnsi="Times New Roman" w:cs="Times New Roman"/>
          <w:color w:val="auto"/>
          <w:spacing w:val="10"/>
          <w:sz w:val="24"/>
          <w:szCs w:val="24"/>
          <w:highlight w:val="none"/>
        </w:rPr>
      </w:pPr>
      <w:r>
        <w:rPr>
          <w:rFonts w:hint="default" w:ascii="Times New Roman" w:hAnsi="Times New Roman" w:cs="Times New Roman"/>
          <w:color w:val="auto"/>
          <w:spacing w:val="10"/>
          <w:sz w:val="24"/>
          <w:szCs w:val="24"/>
          <w:highlight w:val="none"/>
        </w:rPr>
        <w:t>中毒、窒息事故诱因分析如下：</w:t>
      </w:r>
    </w:p>
    <w:p w14:paraId="54B43215">
      <w:pPr>
        <w:pStyle w:val="120"/>
        <w:spacing w:line="360" w:lineRule="auto"/>
        <w:ind w:firstLine="526" w:firstLineChars="200"/>
        <w:rPr>
          <w:rFonts w:hint="default" w:ascii="Times New Roman" w:hAnsi="Times New Roman" w:cs="Times New Roman"/>
          <w:bCs/>
          <w:color w:val="auto"/>
          <w:spacing w:val="10"/>
          <w:sz w:val="24"/>
          <w:szCs w:val="24"/>
          <w:highlight w:val="none"/>
        </w:rPr>
      </w:pPr>
      <w:r>
        <w:rPr>
          <w:rFonts w:hint="default" w:ascii="Times New Roman" w:hAnsi="Times New Roman" w:cs="Times New Roman"/>
          <w:bCs/>
          <w:color w:val="auto"/>
          <w:spacing w:val="10"/>
          <w:sz w:val="24"/>
          <w:szCs w:val="24"/>
          <w:highlight w:val="none"/>
        </w:rPr>
        <w:t>①有毒有害气体物质泄漏挥发后成为有毒蒸气，人员吸入中毒；</w:t>
      </w:r>
    </w:p>
    <w:p w14:paraId="604293A3">
      <w:pPr>
        <w:pStyle w:val="120"/>
        <w:spacing w:line="360" w:lineRule="auto"/>
        <w:ind w:firstLine="526" w:firstLineChars="200"/>
        <w:rPr>
          <w:rFonts w:hint="default" w:ascii="Times New Roman" w:hAnsi="Times New Roman" w:cs="Times New Roman"/>
          <w:bCs/>
          <w:color w:val="auto"/>
          <w:spacing w:val="10"/>
          <w:sz w:val="24"/>
          <w:szCs w:val="24"/>
          <w:highlight w:val="none"/>
        </w:rPr>
      </w:pPr>
      <w:r>
        <w:rPr>
          <w:rFonts w:hint="default" w:ascii="Times New Roman" w:hAnsi="Times New Roman" w:cs="Times New Roman"/>
          <w:bCs/>
          <w:color w:val="auto"/>
          <w:spacing w:val="10"/>
          <w:sz w:val="24"/>
          <w:szCs w:val="24"/>
          <w:highlight w:val="none"/>
        </w:rPr>
        <w:t>②处理泄漏事故时，操作人员未穿戴合格的防护用品，吸入、接触有毒品中毒；</w:t>
      </w:r>
    </w:p>
    <w:p w14:paraId="0E087F77">
      <w:pPr>
        <w:pStyle w:val="120"/>
        <w:spacing w:line="360" w:lineRule="auto"/>
        <w:ind w:firstLine="526" w:firstLineChars="200"/>
        <w:rPr>
          <w:rFonts w:hint="default" w:ascii="Times New Roman" w:hAnsi="Times New Roman" w:cs="Times New Roman"/>
          <w:bCs/>
          <w:color w:val="auto"/>
          <w:spacing w:val="10"/>
          <w:sz w:val="24"/>
          <w:szCs w:val="24"/>
          <w:highlight w:val="none"/>
        </w:rPr>
      </w:pPr>
      <w:r>
        <w:rPr>
          <w:rFonts w:hint="default" w:ascii="Times New Roman" w:hAnsi="Times New Roman" w:cs="Times New Roman"/>
          <w:bCs/>
          <w:color w:val="auto"/>
          <w:spacing w:val="10"/>
          <w:sz w:val="24"/>
          <w:szCs w:val="24"/>
          <w:highlight w:val="none"/>
        </w:rPr>
        <w:t>③高温天气，</w:t>
      </w:r>
      <w:r>
        <w:rPr>
          <w:rFonts w:hint="default" w:ascii="Times New Roman" w:hAnsi="Times New Roman" w:cs="Times New Roman"/>
          <w:color w:val="auto"/>
          <w:sz w:val="24"/>
          <w:szCs w:val="24"/>
          <w:highlight w:val="none"/>
        </w:rPr>
        <w:t>储罐内</w:t>
      </w:r>
      <w:r>
        <w:rPr>
          <w:rFonts w:hint="default" w:ascii="Times New Roman" w:hAnsi="Times New Roman" w:cs="Times New Roman"/>
          <w:bCs/>
          <w:color w:val="auto"/>
          <w:spacing w:val="10"/>
          <w:sz w:val="24"/>
          <w:szCs w:val="24"/>
          <w:highlight w:val="none"/>
        </w:rPr>
        <w:t>有毒蒸气大量外逸，由于</w:t>
      </w:r>
      <w:r>
        <w:rPr>
          <w:rFonts w:hint="default" w:ascii="Times New Roman" w:hAnsi="Times New Roman" w:cs="Times New Roman"/>
          <w:color w:val="auto"/>
          <w:spacing w:val="10"/>
          <w:sz w:val="24"/>
          <w:szCs w:val="24"/>
          <w:highlight w:val="none"/>
        </w:rPr>
        <w:t>其</w:t>
      </w:r>
      <w:r>
        <w:rPr>
          <w:rFonts w:hint="default" w:ascii="Times New Roman" w:hAnsi="Times New Roman" w:cs="Times New Roman"/>
          <w:bCs/>
          <w:color w:val="auto"/>
          <w:spacing w:val="10"/>
          <w:sz w:val="24"/>
          <w:szCs w:val="24"/>
          <w:highlight w:val="none"/>
        </w:rPr>
        <w:t>易在储罐区四周积聚，人员进入有毒气体积聚区中毒；</w:t>
      </w:r>
    </w:p>
    <w:p w14:paraId="7183A803">
      <w:pPr>
        <w:pStyle w:val="120"/>
        <w:spacing w:line="360" w:lineRule="auto"/>
        <w:ind w:firstLine="486"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④储罐的物料发生挥发，储罐内部有毒有害气体浓度较高，</w:t>
      </w:r>
      <w:r>
        <w:rPr>
          <w:rFonts w:hint="default" w:ascii="Times New Roman" w:hAnsi="Times New Roman" w:cs="Times New Roman"/>
          <w:bCs/>
          <w:color w:val="auto"/>
          <w:spacing w:val="10"/>
          <w:sz w:val="24"/>
          <w:szCs w:val="24"/>
          <w:highlight w:val="none"/>
        </w:rPr>
        <w:t>人员进入储罐发生中毒、窒息</w:t>
      </w:r>
      <w:r>
        <w:rPr>
          <w:rFonts w:hint="default" w:ascii="Times New Roman" w:hAnsi="Times New Roman" w:cs="Times New Roman"/>
          <w:color w:val="auto"/>
          <w:sz w:val="24"/>
          <w:szCs w:val="24"/>
          <w:highlight w:val="none"/>
        </w:rPr>
        <w:t>；</w:t>
      </w:r>
    </w:p>
    <w:p w14:paraId="2F07AF1C">
      <w:pPr>
        <w:pStyle w:val="120"/>
        <w:spacing w:line="360" w:lineRule="auto"/>
        <w:ind w:firstLine="486"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⑤人员违规操作，未开具作业票证，未检测储罐内氧气及有毒有害气体浓度，擅自进入储罐受限空间内窒息。</w:t>
      </w:r>
    </w:p>
    <w:p w14:paraId="0FD4CC10">
      <w:pPr>
        <w:pStyle w:val="120"/>
        <w:spacing w:line="360" w:lineRule="auto"/>
        <w:ind w:firstLine="486"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中毒、窒息事故防范措施：</w:t>
      </w:r>
    </w:p>
    <w:p w14:paraId="3360BC5F">
      <w:pPr>
        <w:spacing w:line="360" w:lineRule="auto"/>
        <w:ind w:firstLine="486"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①操作过程的机械化是预防中毒的根本措施。在装卸、搬运、使用、堆装等操作过程中，尽可能使用机械化或以其他机械代替人力作业。 </w:t>
      </w:r>
    </w:p>
    <w:p w14:paraId="051C7338">
      <w:pPr>
        <w:spacing w:line="360" w:lineRule="auto"/>
        <w:ind w:firstLine="486"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②在生产过程中应在通风不良的场所安装局部通风、抽风装置，以消除</w:t>
      </w:r>
      <w:r>
        <w:rPr>
          <w:rFonts w:hint="default" w:ascii="Times New Roman" w:hAnsi="Times New Roman" w:cs="Times New Roman"/>
          <w:color w:val="auto"/>
          <w:sz w:val="24"/>
          <w:highlight w:val="none"/>
          <w:lang w:eastAsia="zh-CN"/>
        </w:rPr>
        <w:t>苯酚</w:t>
      </w:r>
      <w:r>
        <w:rPr>
          <w:rFonts w:hint="default" w:ascii="Times New Roman" w:hAnsi="Times New Roman" w:cs="Times New Roman"/>
          <w:color w:val="auto"/>
          <w:sz w:val="24"/>
          <w:szCs w:val="24"/>
          <w:highlight w:val="none"/>
        </w:rPr>
        <w:t>的气体。 储罐、管线设备等要保持严密不漏，如发现渗漏现象应及时维修，并彻底收集和清除漏洒的物料，避免物料挥发产生蒸气，加重生产区、储罐区的空气污染。</w:t>
      </w:r>
    </w:p>
    <w:p w14:paraId="1CBE838D">
      <w:pPr>
        <w:spacing w:line="360" w:lineRule="auto"/>
        <w:ind w:firstLine="486"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③应避免有毒有害物质与人体直接接触。作业完毕后，要用清水或肥皂洗手，未经洗手、洗脸、漱口不要吸烟、饮水和进食。  </w:t>
      </w:r>
    </w:p>
    <w:p w14:paraId="46BDAC15">
      <w:pPr>
        <w:spacing w:line="360" w:lineRule="auto"/>
        <w:ind w:firstLine="486"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④除采取以上措施外，还应发给工人足够的防护用具： 对担任物料的装卸、搬运工作的工人，应发给以下劳动防护用品：工作服、防护眼镜、 防尘防毒口罩、 手套。 工作服应能防止液体飞沫的沾染及粉尘的侵入。</w:t>
      </w:r>
    </w:p>
    <w:p w14:paraId="2392B793">
      <w:pPr>
        <w:spacing w:line="360" w:lineRule="auto"/>
        <w:ind w:firstLine="486"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⑤进入储罐内作业时，必须事先打开人孔通风，并穿戴有通风装置的防毒装备，还要配上保险带和信号绳。操作时，在罐外要有专人值班，以便随时与罐操作工作人员联系，并轮换作业。</w:t>
      </w:r>
    </w:p>
    <w:p w14:paraId="71F95F93">
      <w:pPr>
        <w:numPr>
          <w:ilvl w:val="0"/>
          <w:numId w:val="5"/>
        </w:numPr>
        <w:spacing w:line="360" w:lineRule="auto"/>
        <w:ind w:firstLine="486" w:firstLineChars="200"/>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泄漏、化学灼伤事故</w:t>
      </w:r>
    </w:p>
    <w:p w14:paraId="090679E6">
      <w:pPr>
        <w:numPr>
          <w:ilvl w:val="0"/>
          <w:numId w:val="0"/>
        </w:numPr>
        <w:spacing w:line="360" w:lineRule="auto"/>
        <w:ind w:firstLine="486" w:firstLineChars="200"/>
        <w:rPr>
          <w:rFonts w:hint="default" w:ascii="Times New Roman" w:hAnsi="Times New Roman"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公司在储存、生产过程中</w:t>
      </w:r>
      <w:r>
        <w:rPr>
          <w:rFonts w:hint="default" w:ascii="Times New Roman" w:hAnsi="Times New Roman" w:cs="Times New Roman"/>
          <w:color w:val="auto"/>
          <w:sz w:val="24"/>
          <w:szCs w:val="24"/>
          <w:highlight w:val="none"/>
          <w:lang w:val="en-US" w:eastAsia="zh-CN"/>
        </w:rPr>
        <w:t>硫酸、氢氧化钠</w:t>
      </w:r>
      <w:r>
        <w:rPr>
          <w:rFonts w:hint="default" w:ascii="Times New Roman" w:hAnsi="Times New Roman" w:eastAsia="宋体" w:cs="Times New Roman"/>
          <w:color w:val="auto"/>
          <w:sz w:val="24"/>
          <w:szCs w:val="24"/>
          <w:highlight w:val="none"/>
          <w:lang w:val="en-US" w:eastAsia="zh-CN"/>
        </w:rPr>
        <w:t>泄漏事故分为连续泄漏（小量泄漏）事故和瞬间泄漏（大量泄漏）事故，前者是指管道破裂、阀门法兰密封垫损坏、单个设备的单处泄漏，特点是连续释放但流速不变，使连续少量泄漏形成有毒物料扩散；后者是指储罐或容器解体瞬间、储罐破裂的泄漏，使大量泄漏物料形成一定浓度的有害液体呈扇形向扩散。在小量泄漏事故处理过程中如处理措施不当可引发大量物料泄漏。现场操作人员未采取防护措施，可能造成化学灼伤事故。</w:t>
      </w:r>
      <w:r>
        <w:rPr>
          <w:rFonts w:hint="eastAsia" w:cs="Times New Roman"/>
          <w:color w:val="auto"/>
          <w:sz w:val="24"/>
          <w:szCs w:val="24"/>
          <w:highlight w:val="none"/>
          <w:lang w:val="en-US" w:eastAsia="zh-CN"/>
        </w:rPr>
        <w:t>硫酸</w:t>
      </w:r>
      <w:r>
        <w:rPr>
          <w:rFonts w:hint="default" w:ascii="Times New Roman" w:hAnsi="Times New Roman" w:eastAsia="宋体" w:cs="Times New Roman"/>
          <w:color w:val="auto"/>
          <w:sz w:val="24"/>
          <w:szCs w:val="24"/>
          <w:highlight w:val="none"/>
          <w:lang w:val="en-US" w:eastAsia="zh-CN"/>
        </w:rPr>
        <w:t>卸车过程中车辆罐体破损、车况不佳、司机违规驾驶、车辆超载、超速、超装等，可引发泄漏，造成化学灼伤事故</w:t>
      </w:r>
      <w:r>
        <w:rPr>
          <w:rFonts w:hint="default" w:ascii="Times New Roman" w:hAnsi="Times New Roman" w:cs="Times New Roman"/>
          <w:color w:val="auto"/>
          <w:sz w:val="24"/>
          <w:szCs w:val="24"/>
          <w:highlight w:val="none"/>
          <w:lang w:val="en-US" w:eastAsia="zh-CN"/>
        </w:rPr>
        <w:t>。</w:t>
      </w:r>
    </w:p>
    <w:p w14:paraId="33B3A75E">
      <w:pPr>
        <w:numPr>
          <w:ilvl w:val="0"/>
          <w:numId w:val="0"/>
        </w:numPr>
        <w:spacing w:line="360" w:lineRule="auto"/>
        <w:ind w:firstLine="486"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造成储存区泄漏的原因主要有罐体容器泄漏、管线泄漏、阀门和法兰泄漏、安全附件失效以及跑料等。 </w:t>
      </w:r>
    </w:p>
    <w:p w14:paraId="6EA7D338">
      <w:pPr>
        <w:numPr>
          <w:ilvl w:val="0"/>
          <w:numId w:val="0"/>
        </w:numPr>
        <w:spacing w:line="360" w:lineRule="auto"/>
        <w:ind w:firstLine="486"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1）罐体、容器泄漏 </w:t>
      </w:r>
    </w:p>
    <w:p w14:paraId="637743A3">
      <w:pPr>
        <w:numPr>
          <w:ilvl w:val="0"/>
          <w:numId w:val="0"/>
        </w:numPr>
        <w:spacing w:line="360" w:lineRule="auto"/>
        <w:ind w:firstLine="486"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罐体、容器裂开或裂缝可造成原料及产品泄漏，产生的原因主要有: </w:t>
      </w:r>
    </w:p>
    <w:p w14:paraId="41293BC4">
      <w:pPr>
        <w:numPr>
          <w:ilvl w:val="0"/>
          <w:numId w:val="0"/>
        </w:numPr>
        <w:spacing w:line="360" w:lineRule="auto"/>
        <w:ind w:firstLine="486"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（1）储罐焊接钢板质量缺陷，或焊接质量低下，为罐体破裂带来的事故隐患（例如，砂眼、裂纹等）； </w:t>
      </w:r>
    </w:p>
    <w:p w14:paraId="0DD162EA">
      <w:pPr>
        <w:numPr>
          <w:ilvl w:val="0"/>
          <w:numId w:val="0"/>
        </w:numPr>
        <w:spacing w:line="360" w:lineRule="auto"/>
        <w:ind w:firstLine="486"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（2）储罐地基不好，造成储罐储油后下沉不均，引起罐体变形，折皱、开裂； </w:t>
      </w:r>
    </w:p>
    <w:p w14:paraId="1A3540D9">
      <w:pPr>
        <w:numPr>
          <w:ilvl w:val="0"/>
          <w:numId w:val="0"/>
        </w:numPr>
        <w:spacing w:line="360" w:lineRule="auto"/>
        <w:ind w:firstLine="486"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（3）储罐底部的内、外部腐蚀，造成罐底变薄，出现腐蚀孔洞； </w:t>
      </w:r>
    </w:p>
    <w:p w14:paraId="545323EA">
      <w:pPr>
        <w:numPr>
          <w:ilvl w:val="0"/>
          <w:numId w:val="0"/>
        </w:numPr>
        <w:spacing w:line="360" w:lineRule="auto"/>
        <w:ind w:firstLine="486"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（4）气候严寒条件下，容器的冷脆性有时可导致容器外壁出现裂纹；温度高时，温差引起的热应力，也可导致裂纹的出现。 </w:t>
      </w:r>
    </w:p>
    <w:p w14:paraId="105CE415">
      <w:pPr>
        <w:numPr>
          <w:ilvl w:val="0"/>
          <w:numId w:val="0"/>
        </w:numPr>
        <w:spacing w:line="360" w:lineRule="auto"/>
        <w:ind w:firstLine="486"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 2）管线泄漏 </w:t>
      </w:r>
    </w:p>
    <w:p w14:paraId="43BA9A1A">
      <w:pPr>
        <w:numPr>
          <w:ilvl w:val="0"/>
          <w:numId w:val="0"/>
        </w:numPr>
        <w:spacing w:line="360" w:lineRule="auto"/>
        <w:ind w:firstLine="486"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储罐区内存在大量的输送管线，管线产生裂缝或破裂可造成物料泄漏，产生的原因主要有： </w:t>
      </w:r>
    </w:p>
    <w:p w14:paraId="22D245A8">
      <w:pPr>
        <w:numPr>
          <w:ilvl w:val="0"/>
          <w:numId w:val="0"/>
        </w:numPr>
        <w:spacing w:line="360" w:lineRule="auto"/>
        <w:ind w:firstLine="486"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（1）管道材质缺陷或焊口缺陷隐患，引发的事故多数是因焊缝和管道母材中的缺陷在物料带压输送中引起管道破裂，造成泄漏事故，据统计约30%管道泄漏事故是由焊缝和母材缺陷引起的。 </w:t>
      </w:r>
    </w:p>
    <w:p w14:paraId="1D189328">
      <w:pPr>
        <w:numPr>
          <w:ilvl w:val="0"/>
          <w:numId w:val="0"/>
        </w:numPr>
        <w:spacing w:line="360" w:lineRule="auto"/>
        <w:ind w:firstLine="486"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（2）管道腐蚀穿孔，是由于防腐质量差，施工时防腐层受到机械损伤，土壤中含水、盐、碱及地下杂散电流腐蚀等原因导致的，严重的可造成管道穿孔，引发泄漏事故。 </w:t>
      </w:r>
    </w:p>
    <w:p w14:paraId="5658931A">
      <w:pPr>
        <w:numPr>
          <w:ilvl w:val="0"/>
          <w:numId w:val="0"/>
        </w:numPr>
        <w:spacing w:line="360" w:lineRule="auto"/>
        <w:ind w:firstLine="486"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（3）管道施工温度与正常输料温差之间存在一定的温差，造成管道沿其轴向产生热应力，这一热应力易造成管道变形，弯头内弧里凹，形成折皱，外弧率变大，管壁因拉伸变薄，也会形成破裂，引发漏油事故。 </w:t>
      </w:r>
    </w:p>
    <w:p w14:paraId="45E0F5D0">
      <w:pPr>
        <w:numPr>
          <w:ilvl w:val="0"/>
          <w:numId w:val="0"/>
        </w:numPr>
        <w:spacing w:line="360" w:lineRule="auto"/>
        <w:ind w:firstLine="486"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（4）地基沉降、地层滑动及地面支架设失稳，造成管线扭曲断裂。 </w:t>
      </w:r>
    </w:p>
    <w:p w14:paraId="0EB10718">
      <w:pPr>
        <w:numPr>
          <w:ilvl w:val="0"/>
          <w:numId w:val="0"/>
        </w:numPr>
        <w:spacing w:line="360" w:lineRule="auto"/>
        <w:ind w:firstLine="486"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（5）快速开泵和停泵会造成对管线的冲击，有可能使输料管破裂。 </w:t>
      </w:r>
    </w:p>
    <w:p w14:paraId="5EC0CAE4">
      <w:pPr>
        <w:numPr>
          <w:ilvl w:val="0"/>
          <w:numId w:val="0"/>
        </w:numPr>
        <w:spacing w:line="360" w:lineRule="auto"/>
        <w:ind w:firstLine="486"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（6）气温高引起物料膨胀，使输料管内压力增大，在有些情况下可胀破管线（特别是管道与法兰的连接处）。 </w:t>
      </w:r>
    </w:p>
    <w:p w14:paraId="76A82662">
      <w:pPr>
        <w:numPr>
          <w:ilvl w:val="0"/>
          <w:numId w:val="0"/>
        </w:numPr>
        <w:spacing w:line="360" w:lineRule="auto"/>
        <w:ind w:firstLine="486"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（7）第三方破坏，如遇外力碰撞，可导致管道破裂。 </w:t>
      </w:r>
    </w:p>
    <w:p w14:paraId="1D794C57">
      <w:pPr>
        <w:numPr>
          <w:ilvl w:val="0"/>
          <w:numId w:val="0"/>
        </w:numPr>
        <w:spacing w:line="360" w:lineRule="auto"/>
        <w:ind w:firstLine="486"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（8）自然灾害，如地震、洪水、海潮、塌陷、雷雨等都可能对管道造成破坏，在雨季或遇台风，雨水冲刷引起地面管道不均匀变形，可引发管道泄漏事故</w:t>
      </w:r>
    </w:p>
    <w:p w14:paraId="3668F511">
      <w:pPr>
        <w:numPr>
          <w:ilvl w:val="0"/>
          <w:numId w:val="0"/>
        </w:numPr>
        <w:spacing w:line="360" w:lineRule="auto"/>
        <w:ind w:firstLine="486"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3）阀门和法兰破损 </w:t>
      </w:r>
    </w:p>
    <w:p w14:paraId="2B248097">
      <w:pPr>
        <w:numPr>
          <w:ilvl w:val="0"/>
          <w:numId w:val="0"/>
        </w:numPr>
        <w:spacing w:line="360" w:lineRule="auto"/>
        <w:ind w:firstLine="486"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阀门和法兰破损有可能导致氢氧化钠溶液渗漏，其原因主要有： </w:t>
      </w:r>
    </w:p>
    <w:p w14:paraId="63380C9B">
      <w:pPr>
        <w:numPr>
          <w:ilvl w:val="0"/>
          <w:numId w:val="0"/>
        </w:numPr>
        <w:spacing w:line="360" w:lineRule="auto"/>
        <w:ind w:firstLine="486"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（1）法兰、法兰紧固件及阀门用料缺陷或制造工艺不符合要求； </w:t>
      </w:r>
    </w:p>
    <w:p w14:paraId="086154E8">
      <w:pPr>
        <w:numPr>
          <w:ilvl w:val="0"/>
          <w:numId w:val="0"/>
        </w:numPr>
        <w:spacing w:line="360" w:lineRule="auto"/>
        <w:ind w:firstLine="486"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（2）垫片、填料老化。 （3）操作不当。 </w:t>
      </w:r>
    </w:p>
    <w:p w14:paraId="64F27E56">
      <w:pPr>
        <w:numPr>
          <w:ilvl w:val="0"/>
          <w:numId w:val="0"/>
        </w:numPr>
        <w:spacing w:line="360" w:lineRule="auto"/>
        <w:ind w:firstLine="486"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4）安全附件失效 </w:t>
      </w:r>
    </w:p>
    <w:p w14:paraId="40CF63BC">
      <w:pPr>
        <w:numPr>
          <w:ilvl w:val="0"/>
          <w:numId w:val="0"/>
        </w:numPr>
        <w:spacing w:line="360" w:lineRule="auto"/>
        <w:ind w:firstLine="486"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（1）储罐安全附件 </w:t>
      </w:r>
    </w:p>
    <w:p w14:paraId="546D3920">
      <w:pPr>
        <w:numPr>
          <w:ilvl w:val="0"/>
          <w:numId w:val="0"/>
        </w:numPr>
        <w:spacing w:line="360" w:lineRule="auto"/>
        <w:ind w:firstLine="486"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储罐的安全附件主要包括：输料管线，浮顶密封件，内部关闭阀，放水阀，液位信号器，静电导出装置，静电接地装置，避雷装置，自动检测报警装置，人孔，光孔，防腐层等。 </w:t>
      </w:r>
    </w:p>
    <w:p w14:paraId="4EC82271">
      <w:pPr>
        <w:numPr>
          <w:ilvl w:val="0"/>
          <w:numId w:val="0"/>
        </w:numPr>
        <w:spacing w:line="360" w:lineRule="auto"/>
        <w:ind w:firstLine="486"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（2）管线安全附件 </w:t>
      </w:r>
    </w:p>
    <w:p w14:paraId="0BD18362">
      <w:pPr>
        <w:numPr>
          <w:ilvl w:val="0"/>
          <w:numId w:val="0"/>
        </w:numPr>
        <w:spacing w:line="360" w:lineRule="auto"/>
        <w:ind w:firstLine="486"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管线的安全附件主要包括：管道热力补偿，法兰及其紧固件，支架，静电接地及跨接装置，自动检测报警系统，防腐涂层等。 </w:t>
      </w:r>
    </w:p>
    <w:p w14:paraId="341DC115">
      <w:pPr>
        <w:numPr>
          <w:ilvl w:val="0"/>
          <w:numId w:val="0"/>
        </w:numPr>
        <w:spacing w:line="360" w:lineRule="auto"/>
        <w:ind w:firstLine="486"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如果这些安全附件失效的话，也可能造成物料的泄漏。 </w:t>
      </w:r>
    </w:p>
    <w:p w14:paraId="6DD0D395">
      <w:pPr>
        <w:numPr>
          <w:ilvl w:val="0"/>
          <w:numId w:val="0"/>
        </w:numPr>
        <w:spacing w:line="360" w:lineRule="auto"/>
        <w:ind w:firstLine="486"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5）误操作 </w:t>
      </w:r>
    </w:p>
    <w:p w14:paraId="53EA3465">
      <w:pPr>
        <w:numPr>
          <w:ilvl w:val="0"/>
          <w:numId w:val="0"/>
        </w:numPr>
        <w:spacing w:line="360" w:lineRule="auto"/>
        <w:ind w:firstLine="486"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误操作事故，包括加温沸溢、管道压力突增破裂等，可引起跑料或泄漏，导致严重经济损失，并可能造成火灾。 </w:t>
      </w:r>
    </w:p>
    <w:p w14:paraId="128D07F0">
      <w:pPr>
        <w:numPr>
          <w:ilvl w:val="0"/>
          <w:numId w:val="0"/>
        </w:numPr>
        <w:spacing w:line="360" w:lineRule="auto"/>
        <w:ind w:firstLine="486"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液位检测仪表失灵、溢出自动报警设备失灵，若人员未及时巡检发现和采取措施，同样会引起跑料。</w:t>
      </w:r>
    </w:p>
    <w:p w14:paraId="1219D2F6">
      <w:pPr>
        <w:numPr>
          <w:ilvl w:val="0"/>
          <w:numId w:val="0"/>
        </w:numPr>
        <w:spacing w:line="360" w:lineRule="auto"/>
        <w:ind w:firstLine="486" w:firstLineChars="200"/>
        <w:rPr>
          <w:rFonts w:hint="default" w:ascii="Times New Roman" w:hAnsi="Times New Roman" w:eastAsia="宋体" w:cs="Times New Roman"/>
          <w:color w:val="FF0000"/>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6）卸车过程中车辆发生泄漏分析：</w:t>
      </w:r>
    </w:p>
    <w:p w14:paraId="4B1F187F">
      <w:pPr>
        <w:numPr>
          <w:ilvl w:val="0"/>
          <w:numId w:val="0"/>
        </w:numPr>
        <w:spacing w:line="360" w:lineRule="auto"/>
        <w:ind w:firstLine="486"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（1）在卸车过程中发生意外车辆事故，引起罐体破损发生泄漏事故。</w:t>
      </w:r>
    </w:p>
    <w:p w14:paraId="53C567D9">
      <w:pPr>
        <w:numPr>
          <w:ilvl w:val="0"/>
          <w:numId w:val="0"/>
        </w:numPr>
        <w:spacing w:line="360" w:lineRule="auto"/>
        <w:ind w:firstLine="486"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（2）司机、押运员没有经过专业的培训，私自上岗或者违反操作规程，疲劳驾驶等。</w:t>
      </w:r>
    </w:p>
    <w:p w14:paraId="3036E479">
      <w:pPr>
        <w:numPr>
          <w:ilvl w:val="0"/>
          <w:numId w:val="0"/>
        </w:numPr>
        <w:spacing w:line="360" w:lineRule="auto"/>
        <w:ind w:firstLine="486"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（3）车辆发生泄漏时，现场处理人员不懂危险品的性质，未采取正确的防范措施或者未采取防范措施，极有可能发生化学灼伤事故。</w:t>
      </w:r>
    </w:p>
    <w:p w14:paraId="602D0671">
      <w:pPr>
        <w:numPr>
          <w:ilvl w:val="0"/>
          <w:numId w:val="0"/>
        </w:numPr>
        <w:spacing w:line="360" w:lineRule="auto"/>
        <w:ind w:firstLine="486"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（4）容器受冲击、撞击、腐蚀、老化等导致有毒有害物料泄漏。</w:t>
      </w:r>
    </w:p>
    <w:p w14:paraId="15DA9BB4">
      <w:pPr>
        <w:numPr>
          <w:ilvl w:val="0"/>
          <w:numId w:val="0"/>
        </w:numPr>
        <w:spacing w:line="360" w:lineRule="auto"/>
        <w:ind w:firstLine="486"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（5）超温、超压等造成容器破裂发生泄漏。</w:t>
      </w:r>
    </w:p>
    <w:p w14:paraId="56DDE0A3">
      <w:pPr>
        <w:numPr>
          <w:ilvl w:val="0"/>
          <w:numId w:val="0"/>
        </w:numPr>
        <w:spacing w:line="360" w:lineRule="auto"/>
        <w:ind w:firstLine="486"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（6）罐内、容器等存在有毒、有害物料未彻底清洗干净。</w:t>
      </w:r>
    </w:p>
    <w:p w14:paraId="003C04FC">
      <w:pPr>
        <w:keepLines w:val="0"/>
        <w:pageBreakBefore w:val="0"/>
        <w:widowControl w:val="0"/>
        <w:kinsoku/>
        <w:wordWrap/>
        <w:overflowPunct/>
        <w:topLinePunct w:val="0"/>
        <w:autoSpaceDE/>
        <w:autoSpaceDN/>
        <w:bidi w:val="0"/>
        <w:adjustRightInd w:val="0"/>
        <w:snapToGrid w:val="0"/>
        <w:spacing w:before="0" w:after="0" w:line="360" w:lineRule="auto"/>
        <w:ind w:firstLine="486" w:firstLineChars="200"/>
        <w:textAlignment w:val="auto"/>
        <w:outlineLvl w:val="9"/>
        <w:rPr>
          <w:rFonts w:hint="default" w:ascii="Times New Roman" w:hAnsi="Times New Roman" w:cs="Times New Roman"/>
          <w:b w:val="0"/>
          <w:bCs/>
          <w:color w:val="auto"/>
          <w:kern w:val="0"/>
          <w:sz w:val="24"/>
          <w:szCs w:val="24"/>
          <w:highlight w:val="none"/>
        </w:rPr>
      </w:pPr>
      <w:bookmarkStart w:id="127" w:name="_Toc467188772"/>
      <w:bookmarkStart w:id="128" w:name="_Toc417224660"/>
      <w:r>
        <w:rPr>
          <w:rFonts w:hint="default" w:ascii="Times New Roman" w:hAnsi="Times New Roman" w:cs="Times New Roman"/>
          <w:b w:val="0"/>
          <w:bCs/>
          <w:color w:val="auto"/>
          <w:kern w:val="0"/>
          <w:sz w:val="24"/>
          <w:szCs w:val="24"/>
          <w:highlight w:val="none"/>
          <w:lang w:val="en-US" w:eastAsia="zh-CN"/>
        </w:rPr>
        <w:t>7）</w:t>
      </w:r>
      <w:r>
        <w:rPr>
          <w:rFonts w:hint="default" w:ascii="Times New Roman" w:hAnsi="Times New Roman" w:cs="Times New Roman"/>
          <w:b w:val="0"/>
          <w:bCs/>
          <w:color w:val="auto"/>
          <w:kern w:val="0"/>
          <w:sz w:val="24"/>
          <w:szCs w:val="24"/>
          <w:highlight w:val="none"/>
        </w:rPr>
        <w:t>处置措施</w:t>
      </w:r>
      <w:bookmarkEnd w:id="127"/>
      <w:bookmarkEnd w:id="128"/>
      <w:r>
        <w:rPr>
          <w:rFonts w:hint="default" w:ascii="Times New Roman" w:hAnsi="Times New Roman" w:cs="Times New Roman"/>
          <w:b w:val="0"/>
          <w:bCs/>
          <w:color w:val="auto"/>
          <w:kern w:val="0"/>
          <w:sz w:val="24"/>
          <w:szCs w:val="24"/>
          <w:highlight w:val="none"/>
        </w:rPr>
        <w:t xml:space="preserve"> </w:t>
      </w:r>
    </w:p>
    <w:p w14:paraId="719E4BE5">
      <w:pPr>
        <w:keepLines w:val="0"/>
        <w:pageBreakBefore w:val="0"/>
        <w:widowControl w:val="0"/>
        <w:kinsoku/>
        <w:wordWrap/>
        <w:overflowPunct/>
        <w:topLinePunct w:val="0"/>
        <w:autoSpaceDE/>
        <w:autoSpaceDN/>
        <w:bidi w:val="0"/>
        <w:adjustRightInd w:val="0"/>
        <w:snapToGrid w:val="0"/>
        <w:spacing w:line="360" w:lineRule="auto"/>
        <w:ind w:firstLine="486" w:firstLineChars="200"/>
        <w:textAlignment w:val="auto"/>
        <w:rPr>
          <w:rFonts w:hint="default" w:ascii="Times New Roman" w:hAnsi="Times New Roman" w:cs="Times New Roman"/>
          <w:b w:val="0"/>
          <w:bCs/>
          <w:color w:val="auto"/>
          <w:sz w:val="24"/>
          <w:szCs w:val="24"/>
          <w:highlight w:val="none"/>
        </w:rPr>
      </w:pPr>
      <w:r>
        <w:rPr>
          <w:rFonts w:hint="default" w:ascii="Times New Roman" w:hAnsi="Times New Roman" w:cs="Times New Roman"/>
          <w:b w:val="0"/>
          <w:bCs/>
          <w:color w:val="auto"/>
          <w:sz w:val="24"/>
          <w:szCs w:val="24"/>
          <w:highlight w:val="none"/>
          <w:lang w:val="en-US" w:eastAsia="zh-CN"/>
        </w:rPr>
        <w:t>a.</w:t>
      </w:r>
      <w:r>
        <w:rPr>
          <w:rFonts w:hint="default" w:ascii="Times New Roman" w:hAnsi="Times New Roman" w:cs="Times New Roman"/>
          <w:b w:val="0"/>
          <w:bCs/>
          <w:color w:val="auto"/>
          <w:sz w:val="24"/>
          <w:szCs w:val="24"/>
          <w:highlight w:val="none"/>
        </w:rPr>
        <w:t>泄漏、化学灼伤事故处置原则</w:t>
      </w:r>
    </w:p>
    <w:p w14:paraId="2DC88437">
      <w:pPr>
        <w:spacing w:line="360" w:lineRule="auto"/>
        <w:ind w:firstLine="486" w:firstLineChars="200"/>
        <w:rPr>
          <w:rFonts w:hint="default" w:ascii="Times New Roman" w:hAnsi="Times New Roman" w:cs="Times New Roman"/>
          <w:b w:val="0"/>
          <w:bCs/>
          <w:color w:val="auto"/>
          <w:sz w:val="24"/>
          <w:szCs w:val="24"/>
          <w:highlight w:val="none"/>
        </w:rPr>
      </w:pPr>
      <w:r>
        <w:rPr>
          <w:rFonts w:hint="default" w:ascii="Times New Roman" w:hAnsi="Times New Roman" w:cs="Times New Roman"/>
          <w:b w:val="0"/>
          <w:bCs/>
          <w:color w:val="auto"/>
          <w:sz w:val="24"/>
          <w:szCs w:val="24"/>
          <w:highlight w:val="none"/>
        </w:rPr>
        <w:t>（1）进入现场人员必须配备必要的个人防护器具；如果泄漏物是易燃易爆的，应严禁火种；应急处理时严禁单独行动，要有监护人，必要时用水枪、水炮掩护。化学品泄漏时，除受过相应训练的人员外，其他人员不得盲目试图清除泄漏物，以免造成火灾及化学灼伤事故。</w:t>
      </w:r>
    </w:p>
    <w:p w14:paraId="31C00C7A">
      <w:pPr>
        <w:spacing w:line="360" w:lineRule="auto"/>
        <w:ind w:firstLine="486" w:firstLineChars="200"/>
        <w:rPr>
          <w:rFonts w:hint="default" w:ascii="Times New Roman" w:hAnsi="Times New Roman" w:cs="Times New Roman"/>
          <w:b w:val="0"/>
          <w:bCs/>
          <w:color w:val="auto"/>
          <w:sz w:val="24"/>
          <w:szCs w:val="24"/>
          <w:highlight w:val="none"/>
        </w:rPr>
      </w:pPr>
      <w:r>
        <w:rPr>
          <w:rFonts w:hint="default" w:ascii="Times New Roman" w:hAnsi="Times New Roman" w:cs="Times New Roman"/>
          <w:b w:val="0"/>
          <w:bCs/>
          <w:color w:val="auto"/>
          <w:sz w:val="24"/>
          <w:szCs w:val="24"/>
          <w:highlight w:val="none"/>
        </w:rPr>
        <w:t>（2）易燃易爆物品泄漏现场，禁止使用非防爆电器和易产生火花的工器具，禁止穿戴化纤衣物和携带手机进入泄漏危险区域。</w:t>
      </w:r>
    </w:p>
    <w:p w14:paraId="13B2E2C7">
      <w:pPr>
        <w:spacing w:line="360" w:lineRule="auto"/>
        <w:ind w:firstLine="486" w:firstLineChars="200"/>
        <w:rPr>
          <w:rFonts w:hint="default" w:ascii="Times New Roman" w:hAnsi="Times New Roman" w:cs="Times New Roman"/>
          <w:b w:val="0"/>
          <w:bCs/>
          <w:color w:val="auto"/>
          <w:sz w:val="24"/>
          <w:szCs w:val="24"/>
          <w:highlight w:val="none"/>
        </w:rPr>
      </w:pPr>
      <w:r>
        <w:rPr>
          <w:rFonts w:hint="default" w:ascii="Times New Roman" w:hAnsi="Times New Roman" w:cs="Times New Roman"/>
          <w:b w:val="0"/>
          <w:bCs/>
          <w:color w:val="auto"/>
          <w:sz w:val="24"/>
          <w:szCs w:val="24"/>
          <w:highlight w:val="none"/>
        </w:rPr>
        <w:t>（3）发生重大泄漏事故时应及时对外报警求援。</w:t>
      </w:r>
    </w:p>
    <w:p w14:paraId="0F694DD3">
      <w:pPr>
        <w:autoSpaceDE w:val="0"/>
        <w:autoSpaceDN w:val="0"/>
        <w:spacing w:line="360" w:lineRule="auto"/>
        <w:ind w:firstLine="486" w:firstLineChars="200"/>
        <w:rPr>
          <w:rFonts w:hint="default" w:ascii="Times New Roman" w:hAnsi="Times New Roman" w:cs="Times New Roman"/>
          <w:b w:val="0"/>
          <w:bCs/>
          <w:color w:val="auto"/>
          <w:sz w:val="24"/>
          <w:szCs w:val="24"/>
          <w:highlight w:val="none"/>
          <w:lang w:val="zh-CN"/>
        </w:rPr>
      </w:pPr>
      <w:r>
        <w:rPr>
          <w:rFonts w:hint="default" w:ascii="Times New Roman" w:hAnsi="Times New Roman" w:cs="Times New Roman"/>
          <w:b w:val="0"/>
          <w:bCs/>
          <w:color w:val="auto"/>
          <w:sz w:val="24"/>
          <w:szCs w:val="24"/>
          <w:highlight w:val="none"/>
          <w:lang w:val="zh-CN"/>
        </w:rPr>
        <w:t>（4）腐蚀品发生泄漏事故时，作为在处置此类事故救援行动中，应急救援人员要掌握腐蚀性与危害性，作好个人安全防护，保障救援人员的人身安全。</w:t>
      </w:r>
    </w:p>
    <w:p w14:paraId="145721F6">
      <w:pPr>
        <w:spacing w:line="360" w:lineRule="auto"/>
        <w:ind w:firstLine="486" w:firstLineChars="200"/>
        <w:rPr>
          <w:rFonts w:hint="default" w:ascii="Times New Roman" w:hAnsi="Times New Roman" w:cs="Times New Roman"/>
          <w:b w:val="0"/>
          <w:bCs/>
          <w:color w:val="auto"/>
          <w:sz w:val="24"/>
          <w:szCs w:val="24"/>
          <w:highlight w:val="none"/>
        </w:rPr>
      </w:pPr>
      <w:r>
        <w:rPr>
          <w:rFonts w:hint="default" w:ascii="Times New Roman" w:hAnsi="Times New Roman" w:cs="Times New Roman"/>
          <w:b w:val="0"/>
          <w:bCs/>
          <w:color w:val="auto"/>
          <w:sz w:val="24"/>
          <w:szCs w:val="24"/>
          <w:highlight w:val="none"/>
          <w:lang w:val="en-US" w:eastAsia="zh-CN"/>
        </w:rPr>
        <w:t>b.</w:t>
      </w:r>
      <w:r>
        <w:rPr>
          <w:rFonts w:hint="default" w:ascii="Times New Roman" w:hAnsi="Times New Roman" w:cs="Times New Roman"/>
          <w:b w:val="0"/>
          <w:bCs/>
          <w:color w:val="auto"/>
          <w:sz w:val="24"/>
          <w:szCs w:val="24"/>
          <w:highlight w:val="none"/>
        </w:rPr>
        <w:t>泄漏、化学灼伤事故处置要求　</w:t>
      </w:r>
    </w:p>
    <w:p w14:paraId="7602CB20">
      <w:pPr>
        <w:pStyle w:val="61"/>
        <w:spacing w:line="360" w:lineRule="auto"/>
        <w:rPr>
          <w:rFonts w:hint="default" w:ascii="Times New Roman" w:hAnsi="Times New Roman" w:cs="Times New Roman"/>
          <w:color w:val="auto"/>
          <w:sz w:val="24"/>
          <w:szCs w:val="24"/>
          <w:highlight w:val="none"/>
        </w:rPr>
      </w:pPr>
      <w:r>
        <w:rPr>
          <w:rFonts w:hint="default" w:ascii="Times New Roman" w:hAnsi="Times New Roman" w:cs="Times New Roman"/>
          <w:b/>
          <w:color w:val="FF0000"/>
          <w:sz w:val="24"/>
          <w:szCs w:val="24"/>
          <w:highlight w:val="none"/>
        </w:rPr>
        <w:t xml:space="preserve">　 </w:t>
      </w:r>
      <w:r>
        <w:rPr>
          <w:rFonts w:hint="default" w:ascii="Times New Roman" w:hAnsi="Times New Roman" w:cs="Times New Roman"/>
          <w:b/>
          <w:color w:val="auto"/>
          <w:sz w:val="24"/>
          <w:szCs w:val="24"/>
          <w:highlight w:val="none"/>
        </w:rPr>
        <w:t xml:space="preserve"> </w:t>
      </w:r>
      <w:r>
        <w:rPr>
          <w:rFonts w:hint="default" w:ascii="Times New Roman" w:hAnsi="Times New Roman" w:cs="Times New Roman"/>
          <w:color w:val="auto"/>
          <w:sz w:val="24"/>
          <w:szCs w:val="24"/>
          <w:highlight w:val="none"/>
        </w:rPr>
        <w:t>（1）储罐罐体、车辆储罐泄漏无法实施堵漏时，转移物料至空置储罐内，使泄漏罐体液面降至泄漏点以下，再采取相应的处置措施。</w:t>
      </w:r>
    </w:p>
    <w:p w14:paraId="4587FC00">
      <w:pPr>
        <w:spacing w:line="360" w:lineRule="auto"/>
        <w:ind w:firstLine="486"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（2）装运该物品的车辆排气管必须配备阻火装置，禁止使用易产生火花的机械设备和工具收集泄漏物料。</w:t>
      </w:r>
    </w:p>
    <w:p w14:paraId="6BA00D07">
      <w:pPr>
        <w:spacing w:line="360" w:lineRule="auto"/>
        <w:ind w:firstLine="486"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（3）泄漏物料防止流入下水道、排洪沟等限制性空间。</w:t>
      </w:r>
      <w:r>
        <w:rPr>
          <w:rFonts w:hint="default" w:ascii="Times New Roman" w:hAnsi="Times New Roman" w:cs="Times New Roman"/>
          <w:color w:val="auto"/>
          <w:sz w:val="24"/>
          <w:szCs w:val="24"/>
          <w:highlight w:val="none"/>
          <w:lang w:val="zh-CN"/>
        </w:rPr>
        <w:t>操作人员利用回收泵、回收桶对泄漏的物料进行回收，同时用沙袋对泄漏的物料进行封堵，防止事故扩大，</w:t>
      </w:r>
      <w:r>
        <w:rPr>
          <w:rFonts w:hint="default" w:ascii="Times New Roman" w:hAnsi="Times New Roman" w:cs="Times New Roman"/>
          <w:color w:val="auto"/>
          <w:sz w:val="24"/>
          <w:szCs w:val="24"/>
          <w:highlight w:val="none"/>
        </w:rPr>
        <w:t>用防爆泵转移至槽车或专用收集器内，回收或运至废物处理场所处置。</w:t>
      </w:r>
    </w:p>
    <w:p w14:paraId="0A1381D4">
      <w:pPr>
        <w:pStyle w:val="120"/>
        <w:spacing w:line="360" w:lineRule="auto"/>
        <w:ind w:firstLine="486"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val="zh-CN"/>
        </w:rPr>
        <w:t>（4</w:t>
      </w:r>
      <w:r>
        <w:rPr>
          <w:rFonts w:hint="default" w:ascii="Times New Roman" w:hAnsi="Times New Roman" w:cs="Times New Roman"/>
          <w:color w:val="auto"/>
          <w:sz w:val="24"/>
          <w:szCs w:val="24"/>
          <w:highlight w:val="none"/>
        </w:rPr>
        <w:t>）化学灼伤人员应迅速脱离事故现场，用大量流动的清水冲洗，终止化学物质对机体的继续损害。</w:t>
      </w:r>
    </w:p>
    <w:p w14:paraId="3EFB46D1">
      <w:pPr>
        <w:autoSpaceDE w:val="0"/>
        <w:autoSpaceDN w:val="0"/>
        <w:spacing w:line="360" w:lineRule="auto"/>
        <w:ind w:firstLine="486" w:firstLineChars="200"/>
        <w:rPr>
          <w:rFonts w:hint="default" w:ascii="Times New Roman" w:hAnsi="Times New Roman" w:cs="Times New Roman"/>
          <w:b w:val="0"/>
          <w:bCs/>
          <w:color w:val="auto"/>
          <w:sz w:val="24"/>
          <w:szCs w:val="24"/>
          <w:highlight w:val="none"/>
          <w:lang w:val="zh-CN"/>
        </w:rPr>
      </w:pPr>
      <w:r>
        <w:rPr>
          <w:rFonts w:hint="default" w:ascii="Times New Roman" w:hAnsi="Times New Roman" w:cs="Times New Roman"/>
          <w:b w:val="0"/>
          <w:bCs/>
          <w:color w:val="auto"/>
          <w:sz w:val="24"/>
          <w:szCs w:val="24"/>
          <w:highlight w:val="none"/>
          <w:lang w:val="en-US" w:eastAsia="zh-CN"/>
        </w:rPr>
        <w:t>c.</w:t>
      </w:r>
      <w:r>
        <w:rPr>
          <w:rFonts w:hint="default" w:ascii="Times New Roman" w:hAnsi="Times New Roman" w:cs="Times New Roman"/>
          <w:b w:val="0"/>
          <w:bCs/>
          <w:color w:val="auto"/>
          <w:sz w:val="24"/>
          <w:szCs w:val="24"/>
          <w:highlight w:val="none"/>
          <w:lang w:val="zh-CN"/>
        </w:rPr>
        <w:t xml:space="preserve"> 储罐区</w:t>
      </w:r>
      <w:r>
        <w:rPr>
          <w:rFonts w:hint="default" w:ascii="Times New Roman" w:hAnsi="Times New Roman" w:eastAsia="宋体" w:cs="Times New Roman"/>
          <w:bCs w:val="0"/>
          <w:snapToGrid/>
          <w:color w:val="auto"/>
          <w:kern w:val="2"/>
          <w:sz w:val="24"/>
          <w:szCs w:val="24"/>
          <w:lang w:eastAsia="zh-CN"/>
        </w:rPr>
        <w:t>苯酚、甲醇、硫酸</w:t>
      </w:r>
      <w:r>
        <w:rPr>
          <w:rFonts w:hint="default" w:ascii="Times New Roman" w:hAnsi="Times New Roman" w:cs="Times New Roman"/>
          <w:b w:val="0"/>
          <w:bCs/>
          <w:color w:val="auto"/>
          <w:sz w:val="24"/>
          <w:szCs w:val="24"/>
          <w:highlight w:val="none"/>
          <w:lang w:val="zh-CN"/>
        </w:rPr>
        <w:t>泄漏处置措施：</w:t>
      </w:r>
    </w:p>
    <w:p w14:paraId="7C5FEA20">
      <w:pPr>
        <w:autoSpaceDE w:val="0"/>
        <w:autoSpaceDN w:val="0"/>
        <w:spacing w:line="360" w:lineRule="auto"/>
        <w:ind w:firstLine="486" w:firstLineChars="200"/>
        <w:rPr>
          <w:rFonts w:hint="default" w:ascii="Times New Roman" w:hAnsi="Times New Roman" w:cs="Times New Roman"/>
          <w:color w:val="auto"/>
          <w:sz w:val="24"/>
          <w:szCs w:val="24"/>
          <w:highlight w:val="none"/>
          <w:lang w:val="zh-CN"/>
        </w:rPr>
      </w:pPr>
      <w:r>
        <w:rPr>
          <w:rFonts w:hint="default" w:ascii="Times New Roman" w:hAnsi="Times New Roman" w:cs="Times New Roman"/>
          <w:color w:val="auto"/>
          <w:sz w:val="24"/>
          <w:szCs w:val="24"/>
          <w:highlight w:val="none"/>
          <w:lang w:val="zh-CN"/>
        </w:rPr>
        <w:t>1）报警 </w:t>
      </w:r>
    </w:p>
    <w:p w14:paraId="0ACBC03F">
      <w:pPr>
        <w:autoSpaceDE w:val="0"/>
        <w:autoSpaceDN w:val="0"/>
        <w:spacing w:line="360" w:lineRule="auto"/>
        <w:ind w:firstLine="486" w:firstLineChars="200"/>
        <w:rPr>
          <w:rFonts w:hint="default" w:ascii="Times New Roman" w:hAnsi="Times New Roman" w:cs="Times New Roman"/>
          <w:color w:val="auto"/>
          <w:sz w:val="24"/>
          <w:szCs w:val="24"/>
          <w:highlight w:val="none"/>
          <w:lang w:val="zh-CN"/>
        </w:rPr>
      </w:pPr>
      <w:r>
        <w:rPr>
          <w:rFonts w:hint="default" w:ascii="Times New Roman" w:hAnsi="Times New Roman" w:cs="Times New Roman"/>
          <w:color w:val="auto"/>
          <w:sz w:val="24"/>
          <w:szCs w:val="24"/>
          <w:highlight w:val="none"/>
          <w:lang w:val="zh-CN"/>
        </w:rPr>
        <w:t>发现人利用对讲机向公司值班领导报警，说明泄漏位置、泄漏量。当发生大量泄漏时，公司值班领导应立即向公司应急总指挥报告。 </w:t>
      </w:r>
    </w:p>
    <w:p w14:paraId="48763AAA">
      <w:pPr>
        <w:autoSpaceDE w:val="0"/>
        <w:autoSpaceDN w:val="0"/>
        <w:spacing w:line="360" w:lineRule="auto"/>
        <w:ind w:firstLine="486" w:firstLineChars="200"/>
        <w:rPr>
          <w:rFonts w:hint="default" w:ascii="Times New Roman" w:hAnsi="Times New Roman" w:cs="Times New Roman"/>
          <w:color w:val="auto"/>
          <w:sz w:val="24"/>
          <w:szCs w:val="24"/>
          <w:highlight w:val="none"/>
          <w:lang w:val="zh-CN"/>
        </w:rPr>
      </w:pPr>
      <w:r>
        <w:rPr>
          <w:rFonts w:hint="default" w:ascii="Times New Roman" w:hAnsi="Times New Roman" w:cs="Times New Roman"/>
          <w:color w:val="auto"/>
          <w:sz w:val="24"/>
          <w:szCs w:val="24"/>
          <w:highlight w:val="none"/>
          <w:lang w:val="zh-CN"/>
        </w:rPr>
        <w:t>2）防护 </w:t>
      </w:r>
    </w:p>
    <w:p w14:paraId="347EC171">
      <w:pPr>
        <w:autoSpaceDE w:val="0"/>
        <w:autoSpaceDN w:val="0"/>
        <w:spacing w:line="360" w:lineRule="auto"/>
        <w:ind w:firstLine="486" w:firstLineChars="200"/>
        <w:rPr>
          <w:rFonts w:hint="default" w:ascii="Times New Roman" w:hAnsi="Times New Roman" w:cs="Times New Roman"/>
          <w:color w:val="auto"/>
          <w:sz w:val="24"/>
          <w:szCs w:val="24"/>
          <w:highlight w:val="none"/>
          <w:lang w:val="zh-CN"/>
        </w:rPr>
      </w:pPr>
      <w:r>
        <w:rPr>
          <w:rFonts w:hint="default" w:ascii="Times New Roman" w:hAnsi="Times New Roman" w:cs="Times New Roman"/>
          <w:color w:val="auto"/>
          <w:sz w:val="24"/>
          <w:szCs w:val="24"/>
          <w:highlight w:val="none"/>
          <w:lang w:val="zh-CN"/>
        </w:rPr>
        <w:t>根据泄漏液体的特性及划定的危险区域，确定相应的防护等级。 </w:t>
      </w:r>
    </w:p>
    <w:p w14:paraId="4576D53D">
      <w:pPr>
        <w:autoSpaceDE w:val="0"/>
        <w:autoSpaceDN w:val="0"/>
        <w:spacing w:line="360" w:lineRule="auto"/>
        <w:ind w:firstLine="486" w:firstLineChars="200"/>
        <w:rPr>
          <w:rFonts w:hint="default" w:ascii="Times New Roman" w:hAnsi="Times New Roman" w:cs="Times New Roman"/>
          <w:color w:val="auto"/>
          <w:sz w:val="24"/>
          <w:szCs w:val="24"/>
          <w:highlight w:val="none"/>
          <w:lang w:val="zh-CN"/>
        </w:rPr>
      </w:pPr>
      <w:r>
        <w:rPr>
          <w:rFonts w:hint="default" w:ascii="Times New Roman" w:hAnsi="Times New Roman" w:cs="Times New Roman"/>
          <w:color w:val="auto"/>
          <w:sz w:val="24"/>
          <w:szCs w:val="24"/>
          <w:highlight w:val="none"/>
          <w:lang w:val="zh-CN"/>
        </w:rPr>
        <w:t>3）切断泄漏源 </w:t>
      </w:r>
    </w:p>
    <w:p w14:paraId="0B5FE89E">
      <w:pPr>
        <w:autoSpaceDE w:val="0"/>
        <w:autoSpaceDN w:val="0"/>
        <w:spacing w:line="360" w:lineRule="auto"/>
        <w:ind w:firstLine="486" w:firstLineChars="200"/>
        <w:rPr>
          <w:rFonts w:hint="default" w:ascii="Times New Roman" w:hAnsi="Times New Roman" w:cs="Times New Roman"/>
          <w:color w:val="auto"/>
          <w:sz w:val="24"/>
          <w:szCs w:val="24"/>
          <w:highlight w:val="none"/>
          <w:lang w:val="zh-CN"/>
        </w:rPr>
      </w:pPr>
      <w:r>
        <w:rPr>
          <w:rFonts w:hint="default" w:ascii="Times New Roman" w:hAnsi="Times New Roman" w:cs="Times New Roman"/>
          <w:color w:val="auto"/>
          <w:sz w:val="24"/>
          <w:szCs w:val="24"/>
          <w:highlight w:val="none"/>
          <w:lang w:val="zh-CN"/>
        </w:rPr>
        <w:t>罐区操作人员切断泄漏源前后的阀门。</w:t>
      </w:r>
      <w:r>
        <w:rPr>
          <w:rFonts w:hint="default" w:ascii="Times New Roman" w:hAnsi="Times New Roman" w:cs="Times New Roman"/>
          <w:color w:val="auto"/>
          <w:sz w:val="24"/>
          <w:szCs w:val="24"/>
          <w:highlight w:val="none"/>
        </w:rPr>
        <w:t>转移泄漏的储存罐内物料至空置储罐内，使储罐液面降至泄漏点以下。</w:t>
      </w:r>
    </w:p>
    <w:p w14:paraId="1A2E8671">
      <w:pPr>
        <w:autoSpaceDE w:val="0"/>
        <w:autoSpaceDN w:val="0"/>
        <w:spacing w:line="360" w:lineRule="auto"/>
        <w:ind w:firstLine="486" w:firstLineChars="200"/>
        <w:rPr>
          <w:rFonts w:hint="default" w:ascii="Times New Roman" w:hAnsi="Times New Roman" w:cs="Times New Roman"/>
          <w:color w:val="auto"/>
          <w:sz w:val="24"/>
          <w:szCs w:val="24"/>
          <w:highlight w:val="none"/>
          <w:lang w:val="zh-CN"/>
        </w:rPr>
      </w:pPr>
      <w:r>
        <w:rPr>
          <w:rFonts w:hint="default" w:ascii="Times New Roman" w:hAnsi="Times New Roman" w:cs="Times New Roman"/>
          <w:color w:val="auto"/>
          <w:sz w:val="24"/>
          <w:szCs w:val="24"/>
          <w:highlight w:val="none"/>
          <w:lang w:val="zh-CN"/>
        </w:rPr>
        <w:t>4）堵漏  </w:t>
      </w:r>
    </w:p>
    <w:p w14:paraId="4E05F8F8">
      <w:pPr>
        <w:autoSpaceDE w:val="0"/>
        <w:autoSpaceDN w:val="0"/>
        <w:spacing w:line="360" w:lineRule="auto"/>
        <w:ind w:firstLine="486" w:firstLineChars="200"/>
        <w:rPr>
          <w:rFonts w:hint="default" w:ascii="Times New Roman" w:hAnsi="Times New Roman" w:cs="Times New Roman"/>
          <w:color w:val="auto"/>
          <w:sz w:val="24"/>
          <w:szCs w:val="24"/>
          <w:highlight w:val="none"/>
          <w:lang w:val="zh-CN"/>
        </w:rPr>
      </w:pPr>
      <w:r>
        <w:rPr>
          <w:rFonts w:hint="default" w:ascii="Times New Roman" w:hAnsi="Times New Roman" w:cs="Times New Roman"/>
          <w:color w:val="auto"/>
          <w:sz w:val="24"/>
          <w:szCs w:val="24"/>
          <w:highlight w:val="none"/>
          <w:lang w:val="zh-CN"/>
        </w:rPr>
        <w:t>①根据现场泄漏情况，研究制定堵漏方案，并严格按照堵漏方案实施。②若易燃液体泄漏，所有堵漏行动必须采取防爆措施，确保安全。③关闭前置阀</w:t>
      </w:r>
    </w:p>
    <w:p w14:paraId="22451B43">
      <w:pPr>
        <w:autoSpaceDE w:val="0"/>
        <w:autoSpaceDN w:val="0"/>
        <w:spacing w:line="360" w:lineRule="auto"/>
        <w:rPr>
          <w:rFonts w:hint="default" w:ascii="Times New Roman" w:hAnsi="Times New Roman" w:cs="Times New Roman"/>
          <w:color w:val="auto"/>
          <w:sz w:val="24"/>
          <w:szCs w:val="24"/>
          <w:highlight w:val="none"/>
          <w:lang w:val="zh-CN"/>
        </w:rPr>
      </w:pPr>
      <w:r>
        <w:rPr>
          <w:rFonts w:hint="default" w:ascii="Times New Roman" w:hAnsi="Times New Roman" w:cs="Times New Roman"/>
          <w:color w:val="auto"/>
          <w:sz w:val="24"/>
          <w:szCs w:val="24"/>
          <w:highlight w:val="none"/>
          <w:lang w:val="zh-CN"/>
        </w:rPr>
        <w:t>门，切断泄漏源。 </w:t>
      </w:r>
    </w:p>
    <w:p w14:paraId="637A9EF4">
      <w:pPr>
        <w:autoSpaceDE w:val="0"/>
        <w:autoSpaceDN w:val="0"/>
        <w:spacing w:line="360" w:lineRule="auto"/>
        <w:ind w:firstLine="364" w:firstLineChars="150"/>
        <w:rPr>
          <w:rFonts w:hint="default" w:ascii="Times New Roman" w:hAnsi="Times New Roman" w:cs="Times New Roman"/>
          <w:color w:val="auto"/>
          <w:sz w:val="24"/>
          <w:szCs w:val="24"/>
          <w:highlight w:val="none"/>
          <w:lang w:val="zh-CN"/>
        </w:rPr>
      </w:pPr>
      <w:r>
        <w:rPr>
          <w:rFonts w:hint="default" w:ascii="Times New Roman" w:hAnsi="Times New Roman" w:cs="Times New Roman"/>
          <w:color w:val="auto"/>
          <w:sz w:val="24"/>
          <w:szCs w:val="24"/>
          <w:highlight w:val="none"/>
          <w:lang w:val="zh-CN"/>
        </w:rPr>
        <w:t> 5）回收清理</w:t>
      </w:r>
    </w:p>
    <w:p w14:paraId="083BD83E">
      <w:pPr>
        <w:autoSpaceDE w:val="0"/>
        <w:autoSpaceDN w:val="0"/>
        <w:spacing w:line="360" w:lineRule="auto"/>
        <w:ind w:firstLine="486" w:firstLineChars="200"/>
        <w:rPr>
          <w:rFonts w:hint="default" w:ascii="Times New Roman" w:hAnsi="Times New Roman" w:cs="Times New Roman"/>
          <w:color w:val="auto"/>
          <w:sz w:val="24"/>
          <w:szCs w:val="24"/>
          <w:highlight w:val="none"/>
          <w:lang w:val="zh-CN"/>
        </w:rPr>
      </w:pPr>
      <w:r>
        <w:rPr>
          <w:rFonts w:hint="default" w:ascii="Times New Roman" w:hAnsi="Times New Roman" w:cs="Times New Roman"/>
          <w:color w:val="auto"/>
          <w:sz w:val="24"/>
          <w:szCs w:val="24"/>
          <w:highlight w:val="none"/>
        </w:rPr>
        <w:t>防止流入下水道、排洪沟等限制性空间。</w:t>
      </w:r>
      <w:r>
        <w:rPr>
          <w:rFonts w:hint="default" w:ascii="Times New Roman" w:hAnsi="Times New Roman" w:cs="Times New Roman"/>
          <w:color w:val="auto"/>
          <w:sz w:val="24"/>
          <w:szCs w:val="24"/>
          <w:highlight w:val="none"/>
          <w:lang w:val="zh-CN"/>
        </w:rPr>
        <w:t>操作人员利用回收泵、回收桶对泄漏的物料进行回收，同时用沙袋对泄漏的物料进行封堵，防止事故扩大。</w:t>
      </w:r>
      <w:r>
        <w:rPr>
          <w:rFonts w:hint="default" w:ascii="Times New Roman" w:hAnsi="Times New Roman" w:cs="Times New Roman"/>
          <w:color w:val="auto"/>
          <w:sz w:val="24"/>
          <w:szCs w:val="24"/>
          <w:highlight w:val="none"/>
        </w:rPr>
        <w:t>小量泄漏：用大量水冲洗，洗水稀释后放入废水系统。大量泄漏：构筑围堤或挖坑收容。用泵转移至槽车或专用收集器内，回收或运至废物处理场所处置。</w:t>
      </w:r>
    </w:p>
    <w:p w14:paraId="40F5F4D2">
      <w:pPr>
        <w:autoSpaceDE w:val="0"/>
        <w:autoSpaceDN w:val="0"/>
        <w:spacing w:line="360" w:lineRule="auto"/>
        <w:ind w:firstLine="243" w:firstLineChars="100"/>
        <w:rPr>
          <w:rFonts w:hint="default" w:ascii="Times New Roman" w:hAnsi="Times New Roman" w:cs="Times New Roman"/>
          <w:color w:val="auto"/>
          <w:sz w:val="24"/>
          <w:szCs w:val="24"/>
          <w:highlight w:val="none"/>
          <w:lang w:val="zh-CN"/>
        </w:rPr>
      </w:pPr>
      <w:r>
        <w:rPr>
          <w:rFonts w:hint="default" w:ascii="Times New Roman" w:hAnsi="Times New Roman" w:cs="Times New Roman"/>
          <w:color w:val="auto"/>
          <w:sz w:val="24"/>
          <w:szCs w:val="24"/>
          <w:highlight w:val="none"/>
          <w:lang w:val="zh-CN"/>
        </w:rPr>
        <w:t> 6）警示和疏散 </w:t>
      </w:r>
    </w:p>
    <w:p w14:paraId="579903E9">
      <w:pPr>
        <w:autoSpaceDE w:val="0"/>
        <w:autoSpaceDN w:val="0"/>
        <w:spacing w:line="360" w:lineRule="auto"/>
        <w:ind w:firstLine="570"/>
        <w:rPr>
          <w:rFonts w:hint="default" w:ascii="Times New Roman" w:hAnsi="Times New Roman" w:cs="Times New Roman"/>
          <w:b w:val="0"/>
          <w:bCs w:val="0"/>
          <w:color w:val="auto"/>
          <w:sz w:val="24"/>
          <w:szCs w:val="24"/>
          <w:highlight w:val="none"/>
          <w:lang w:val="zh-CN"/>
        </w:rPr>
      </w:pPr>
      <w:r>
        <w:rPr>
          <w:rFonts w:hint="default" w:ascii="Times New Roman" w:hAnsi="Times New Roman" w:cs="Times New Roman"/>
          <w:color w:val="auto"/>
          <w:sz w:val="24"/>
          <w:szCs w:val="24"/>
          <w:highlight w:val="none"/>
          <w:lang w:val="zh-CN"/>
        </w:rPr>
        <w:t>①进入现场必须正确选择行车路线、停车位置、作战阵地。②严密监视液体流淌情况，防止灾情扩大。注意风向变换，适时调整部署。应立即组织无关人员向上风项疏散。没有足够防毒面具的情况下，可用湿毛巾捂住眼睛和呼吸道，撤离到上风和侧风方向，禁忌顺风跑。如果皮肤接触了污染物，组织洗消队，应立即脱去被污染的衣物，用大量流动清水冲洗。</w:t>
      </w:r>
      <w:r>
        <w:rPr>
          <w:rFonts w:hint="default" w:ascii="Times New Roman" w:hAnsi="Times New Roman" w:cs="Times New Roman"/>
          <w:b w:val="0"/>
          <w:bCs w:val="0"/>
          <w:color w:val="auto"/>
          <w:sz w:val="24"/>
          <w:szCs w:val="24"/>
          <w:highlight w:val="none"/>
          <w:lang w:val="zh-CN"/>
        </w:rPr>
        <w:t>如果是在室内，应迅速从污染环境撤离，中毒人员最好用担架抬走，减少体力消耗，并集中起来观察，安静休息，注意保温。</w:t>
      </w:r>
    </w:p>
    <w:p w14:paraId="2A77C679">
      <w:pPr>
        <w:autoSpaceDE w:val="0"/>
        <w:autoSpaceDN w:val="0"/>
        <w:spacing w:line="360" w:lineRule="auto"/>
        <w:ind w:firstLine="570"/>
        <w:rPr>
          <w:rFonts w:hint="default" w:ascii="Times New Roman" w:hAnsi="Times New Roman" w:cs="Times New Roman"/>
          <w:b w:val="0"/>
          <w:bCs w:val="0"/>
          <w:color w:val="auto"/>
          <w:sz w:val="24"/>
          <w:szCs w:val="24"/>
          <w:highlight w:val="none"/>
        </w:rPr>
      </w:pPr>
      <w:r>
        <w:rPr>
          <w:rFonts w:hint="default" w:ascii="Times New Roman" w:hAnsi="Times New Roman" w:cs="Times New Roman"/>
          <w:b w:val="0"/>
          <w:bCs w:val="0"/>
          <w:color w:val="auto"/>
          <w:sz w:val="24"/>
          <w:szCs w:val="24"/>
          <w:highlight w:val="none"/>
          <w:lang w:val="en-US" w:eastAsia="zh-CN"/>
        </w:rPr>
        <w:t>d.</w:t>
      </w:r>
      <w:r>
        <w:rPr>
          <w:rFonts w:hint="default" w:ascii="Times New Roman" w:hAnsi="Times New Roman" w:cs="Times New Roman"/>
          <w:b w:val="0"/>
          <w:bCs w:val="0"/>
          <w:color w:val="auto"/>
          <w:sz w:val="24"/>
          <w:szCs w:val="24"/>
          <w:highlight w:val="none"/>
        </w:rPr>
        <w:t xml:space="preserve"> </w:t>
      </w:r>
      <w:r>
        <w:rPr>
          <w:rFonts w:hint="default" w:ascii="Times New Roman" w:hAnsi="Times New Roman" w:eastAsia="宋体" w:cs="Times New Roman"/>
          <w:bCs w:val="0"/>
          <w:snapToGrid/>
          <w:color w:val="auto"/>
          <w:kern w:val="2"/>
          <w:sz w:val="24"/>
          <w:szCs w:val="24"/>
          <w:lang w:eastAsia="zh-CN"/>
        </w:rPr>
        <w:t>苯酚、甲醇、硫酸</w:t>
      </w:r>
      <w:r>
        <w:rPr>
          <w:rFonts w:hint="default" w:ascii="Times New Roman" w:hAnsi="Times New Roman" w:cs="Times New Roman"/>
          <w:b w:val="0"/>
          <w:bCs w:val="0"/>
          <w:color w:val="auto"/>
          <w:sz w:val="24"/>
          <w:szCs w:val="24"/>
          <w:highlight w:val="none"/>
        </w:rPr>
        <w:t>卸车过程中泄漏的应急处置措施</w:t>
      </w:r>
    </w:p>
    <w:p w14:paraId="5A132F22">
      <w:pPr>
        <w:spacing w:line="360" w:lineRule="auto"/>
        <w:ind w:firstLine="486" w:firstLineChars="200"/>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1）泄漏根据现场情况，利用堵漏应急设施切断泄漏点；采取提示警示设施,避免无关人员靠近车辆泄漏发生区域。</w:t>
      </w:r>
    </w:p>
    <w:p w14:paraId="783AA959">
      <w:pPr>
        <w:spacing w:line="360" w:lineRule="auto"/>
        <w:ind w:firstLine="486" w:firstLineChars="200"/>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2）检测确认车辆的状况，在设置警戒区域后，要与事故单位及外部救援人员一起对车辆的受损情况进行检查，救援人员确认物料的泄漏范围及数量。</w:t>
      </w:r>
    </w:p>
    <w:p w14:paraId="2BC3042A">
      <w:pPr>
        <w:pStyle w:val="61"/>
        <w:spacing w:line="360" w:lineRule="auto"/>
        <w:ind w:firstLine="486" w:firstLineChars="200"/>
        <w:rPr>
          <w:rFonts w:hint="default" w:ascii="Times New Roman" w:hAnsi="Times New Roman" w:cs="Times New Roman"/>
          <w:color w:val="auto"/>
          <w:sz w:val="24"/>
          <w:szCs w:val="24"/>
          <w:highlight w:val="none"/>
          <w:shd w:val="clear" w:color="auto" w:fill="FFFFFF"/>
        </w:rPr>
      </w:pPr>
      <w:r>
        <w:rPr>
          <w:rFonts w:hint="default" w:ascii="Times New Roman" w:hAnsi="Times New Roman" w:cs="Times New Roman"/>
          <w:color w:val="auto"/>
          <w:sz w:val="24"/>
          <w:szCs w:val="24"/>
          <w:highlight w:val="none"/>
        </w:rPr>
        <w:t>3）</w:t>
      </w:r>
      <w:r>
        <w:rPr>
          <w:rFonts w:hint="default" w:ascii="Times New Roman" w:hAnsi="Times New Roman" w:cs="Times New Roman"/>
          <w:color w:val="auto"/>
          <w:sz w:val="24"/>
          <w:szCs w:val="24"/>
          <w:highlight w:val="none"/>
          <w:shd w:val="clear" w:color="auto" w:fill="FFFFFF"/>
        </w:rPr>
        <w:t>向公司值班领导报警，说明泄漏位置、泄漏量。当发生大量泄漏时，公司值班领导应立即向公司应急总指挥报告。</w:t>
      </w:r>
    </w:p>
    <w:p w14:paraId="708DA18D">
      <w:pPr>
        <w:pStyle w:val="61"/>
        <w:spacing w:line="360" w:lineRule="auto"/>
        <w:ind w:firstLine="486"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4）应急救援人员迅速赶到事故现场展开抢险救援，当车辆罐体 阀门、法兰盘或法兰垫片发生少量泄露：前端有阀门的关闭阀门切断泄漏源，没有阀门的可用不同型号的法兰夹具并注射密封胶的方法实施封堵，也可直接使用专用阀门堵漏工具实施堵漏。</w:t>
      </w:r>
    </w:p>
    <w:p w14:paraId="7A0F938F">
      <w:pPr>
        <w:pStyle w:val="61"/>
        <w:spacing w:line="360" w:lineRule="auto"/>
        <w:ind w:firstLine="486"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5）车辆罐体泄漏无法实施堵漏时，转移物料至空置储罐内，使泄漏罐体液面降至泄漏点以下，然后进行罐体堵漏处理。</w:t>
      </w:r>
    </w:p>
    <w:p w14:paraId="7BD53DD9">
      <w:pPr>
        <w:pStyle w:val="61"/>
        <w:spacing w:line="360" w:lineRule="auto"/>
        <w:ind w:firstLine="486"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6）防止流入下水道、排洪沟等限制性空间。</w:t>
      </w:r>
      <w:r>
        <w:rPr>
          <w:rFonts w:hint="default" w:ascii="Times New Roman" w:hAnsi="Times New Roman" w:cs="Times New Roman"/>
          <w:color w:val="auto"/>
          <w:sz w:val="24"/>
          <w:szCs w:val="24"/>
          <w:highlight w:val="none"/>
          <w:lang w:val="zh-CN"/>
        </w:rPr>
        <w:t>操作人员利用回收泵、回收桶对泄漏的物料进行回收，同时用沙袋对泄漏的物料进行封堵，防止事故扩大，</w:t>
      </w:r>
      <w:r>
        <w:rPr>
          <w:rFonts w:hint="default" w:ascii="Times New Roman" w:hAnsi="Times New Roman" w:cs="Times New Roman"/>
          <w:color w:val="auto"/>
          <w:sz w:val="24"/>
          <w:szCs w:val="24"/>
          <w:highlight w:val="none"/>
        </w:rPr>
        <w:t>用泵转移至槽车或专用收集器内，回收或运至废物处理场所处置。</w:t>
      </w:r>
    </w:p>
    <w:p w14:paraId="515517F9">
      <w:pPr>
        <w:spacing w:line="360" w:lineRule="auto"/>
        <w:ind w:firstLine="486"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8）抢险完毕，立即组织人员进行泄漏现场的清理和洗消工作。</w:t>
      </w:r>
    </w:p>
    <w:p w14:paraId="475DC5B2">
      <w:pPr>
        <w:spacing w:line="360" w:lineRule="auto"/>
        <w:ind w:firstLine="486" w:firstLineChars="200"/>
        <w:rPr>
          <w:rFonts w:hint="default" w:ascii="Times New Roman" w:hAnsi="Times New Roman" w:cs="Times New Roman"/>
          <w:b w:val="0"/>
          <w:bCs/>
          <w:color w:val="auto"/>
          <w:sz w:val="24"/>
          <w:szCs w:val="24"/>
          <w:highlight w:val="none"/>
        </w:rPr>
      </w:pPr>
      <w:r>
        <w:rPr>
          <w:rFonts w:hint="default" w:ascii="Times New Roman" w:hAnsi="Times New Roman" w:cs="Times New Roman"/>
          <w:b w:val="0"/>
          <w:bCs/>
          <w:color w:val="auto"/>
          <w:sz w:val="24"/>
          <w:szCs w:val="24"/>
          <w:highlight w:val="none"/>
          <w:lang w:val="en-US" w:eastAsia="zh-CN"/>
        </w:rPr>
        <w:t>e.</w:t>
      </w:r>
      <w:r>
        <w:rPr>
          <w:rFonts w:hint="default" w:ascii="Times New Roman" w:hAnsi="Times New Roman" w:cs="Times New Roman"/>
          <w:b w:val="0"/>
          <w:bCs/>
          <w:color w:val="auto"/>
          <w:sz w:val="24"/>
          <w:szCs w:val="24"/>
          <w:highlight w:val="none"/>
        </w:rPr>
        <w:t>化学灼伤事故的应急处置措施</w:t>
      </w:r>
    </w:p>
    <w:p w14:paraId="1EE3478B">
      <w:pPr>
        <w:spacing w:line="360" w:lineRule="auto"/>
        <w:ind w:firstLine="486"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1）发现化学灼伤者，现场工作人员立即停止设备设施的运行，关闭泄漏点的前端阀门，并迅速按照应急响应程序向现场应急处置小组报告，按照得到的事故情况启动应急预案。</w:t>
      </w:r>
    </w:p>
    <w:p w14:paraId="27DAAFC5">
      <w:pPr>
        <w:spacing w:line="360" w:lineRule="auto"/>
        <w:ind w:firstLine="486"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救护人员应第一时间开展救护工作，进入现场救护人员必须配备必要的个人防护器具，泄漏物是腐蚀性的，配备防酸碱防护服，应急处理时严禁单独行动，要有监护人，必要时，除受过特别训练的人员外，其他人不得盲目清除泄漏物，防止物料飞溅，引起更大的灼伤事故</w:t>
      </w:r>
    </w:p>
    <w:p w14:paraId="6F2F9C61">
      <w:pPr>
        <w:spacing w:line="360" w:lineRule="auto"/>
        <w:ind w:firstLine="486"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3）警戒人员依据可能发生的事故类别、危害程度级别，划定危险区，对事故现场周边区域进行隔离和交通疏导。</w:t>
      </w:r>
    </w:p>
    <w:p w14:paraId="36C1B689">
      <w:pPr>
        <w:spacing w:line="360" w:lineRule="auto"/>
        <w:ind w:firstLine="486"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4）救护组进行现场救护，如有需要立即将伤员送至医院。</w:t>
      </w:r>
    </w:p>
    <w:p w14:paraId="497B4208">
      <w:pPr>
        <w:spacing w:line="360" w:lineRule="auto"/>
        <w:ind w:firstLine="486"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5）腐蚀品触及皮肤时，应立即用水冲洗。如皮肤已腐烂，应用水冲洗20分钟以上，再护送医院治疗。</w:t>
      </w:r>
    </w:p>
    <w:p w14:paraId="66C1C773">
      <w:pPr>
        <w:spacing w:line="360" w:lineRule="auto"/>
        <w:ind w:firstLine="486"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6) </w:t>
      </w:r>
      <w:r>
        <w:rPr>
          <w:rFonts w:hint="default" w:ascii="Times New Roman" w:hAnsi="Times New Roman" w:cs="Times New Roman"/>
          <w:bCs/>
          <w:color w:val="auto"/>
          <w:sz w:val="24"/>
          <w:szCs w:val="24"/>
          <w:highlight w:val="none"/>
        </w:rPr>
        <w:t>人员救护后，检查事故现场，收集有毒有害物料，消除隐患。</w:t>
      </w:r>
      <w:r>
        <w:rPr>
          <w:rFonts w:hint="default" w:ascii="Times New Roman" w:hAnsi="Times New Roman" w:cs="Times New Roman"/>
          <w:color w:val="auto"/>
          <w:sz w:val="24"/>
          <w:szCs w:val="24"/>
          <w:highlight w:val="none"/>
        </w:rPr>
        <w:t>对有毒有害物质的泄漏场所进行彻底洗消(设备装置、地面、管道、墙面等)。</w:t>
      </w:r>
    </w:p>
    <w:p w14:paraId="3A182A2A">
      <w:pPr>
        <w:spacing w:line="360" w:lineRule="auto"/>
        <w:ind w:firstLine="486" w:firstLineChars="200"/>
        <w:rPr>
          <w:rFonts w:hint="default" w:ascii="Times New Roman" w:hAnsi="Times New Roman" w:cs="Times New Roman"/>
          <w:b w:val="0"/>
          <w:bCs/>
          <w:color w:val="auto"/>
          <w:sz w:val="24"/>
          <w:szCs w:val="24"/>
          <w:highlight w:val="none"/>
        </w:rPr>
      </w:pPr>
      <w:r>
        <w:rPr>
          <w:rFonts w:hint="default" w:ascii="Times New Roman" w:hAnsi="Times New Roman" w:cs="Times New Roman"/>
          <w:b w:val="0"/>
          <w:bCs/>
          <w:color w:val="auto"/>
          <w:sz w:val="24"/>
          <w:szCs w:val="24"/>
          <w:highlight w:val="none"/>
          <w:lang w:val="en-US" w:eastAsia="zh-CN"/>
        </w:rPr>
        <w:t>f.</w:t>
      </w:r>
      <w:r>
        <w:rPr>
          <w:rFonts w:hint="default" w:ascii="Times New Roman" w:hAnsi="Times New Roman" w:cs="Times New Roman"/>
          <w:b w:val="0"/>
          <w:bCs/>
          <w:color w:val="auto"/>
          <w:sz w:val="24"/>
          <w:szCs w:val="24"/>
          <w:highlight w:val="none"/>
        </w:rPr>
        <w:t xml:space="preserve"> 公司涉及腐蚀品的应急处置及急救方法</w:t>
      </w:r>
    </w:p>
    <w:p w14:paraId="69B1F295">
      <w:pPr>
        <w:spacing w:line="360" w:lineRule="auto"/>
        <w:ind w:firstLine="486"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w:t>
      </w:r>
      <w:r>
        <w:rPr>
          <w:rFonts w:hint="default" w:ascii="Times New Roman" w:hAnsi="Times New Roman" w:cs="Times New Roman"/>
          <w:color w:val="auto"/>
          <w:kern w:val="0"/>
          <w:sz w:val="24"/>
          <w:szCs w:val="24"/>
          <w:highlight w:val="none"/>
          <w:lang w:eastAsia="zh-CN"/>
        </w:rPr>
        <w:t>硫酸</w:t>
      </w:r>
      <w:r>
        <w:rPr>
          <w:rFonts w:hint="default" w:ascii="Times New Roman" w:hAnsi="Times New Roman" w:cs="Times New Roman"/>
          <w:color w:val="auto"/>
          <w:kern w:val="0"/>
          <w:sz w:val="24"/>
          <w:szCs w:val="24"/>
          <w:highlight w:val="none"/>
        </w:rPr>
        <w:t>溶液</w:t>
      </w:r>
    </w:p>
    <w:p w14:paraId="12F70EA2">
      <w:pPr>
        <w:spacing w:line="360" w:lineRule="auto"/>
        <w:ind w:left="485" w:leftChars="228"/>
        <w:rPr>
          <w:rFonts w:hint="eastAsia" w:ascii="Times New Roman" w:hAnsi="Times New Roman" w:eastAsia="宋体" w:cs="Times New Roman"/>
          <w:bCs/>
          <w:color w:val="auto"/>
          <w:sz w:val="24"/>
          <w:szCs w:val="24"/>
          <w:highlight w:val="none"/>
          <w:lang w:eastAsia="zh-CN"/>
        </w:rPr>
      </w:pPr>
      <w:r>
        <w:rPr>
          <w:rFonts w:hint="default" w:ascii="Times New Roman" w:hAnsi="Times New Roman" w:cs="Times New Roman"/>
          <w:bCs/>
          <w:color w:val="auto"/>
          <w:sz w:val="24"/>
          <w:szCs w:val="24"/>
          <w:highlight w:val="none"/>
        </w:rPr>
        <w:t>皮肤接触：脱去被污染的衣着，用流动的清水彻底冲洗皮肤。</w:t>
      </w:r>
    </w:p>
    <w:p w14:paraId="4CA591F3">
      <w:pPr>
        <w:spacing w:line="360" w:lineRule="auto"/>
        <w:ind w:left="485" w:leftChars="228"/>
        <w:rPr>
          <w:rFonts w:hint="eastAsia" w:ascii="Times New Roman" w:hAnsi="Times New Roman" w:eastAsia="宋体" w:cs="Times New Roman"/>
          <w:bCs/>
          <w:color w:val="auto"/>
          <w:sz w:val="24"/>
          <w:szCs w:val="24"/>
          <w:highlight w:val="none"/>
          <w:lang w:eastAsia="zh-CN"/>
        </w:rPr>
      </w:pPr>
      <w:r>
        <w:rPr>
          <w:rFonts w:hint="default" w:ascii="Times New Roman" w:hAnsi="Times New Roman" w:cs="Times New Roman"/>
          <w:bCs/>
          <w:color w:val="auto"/>
          <w:sz w:val="24"/>
          <w:szCs w:val="24"/>
          <w:highlight w:val="none"/>
        </w:rPr>
        <w:t>眼睛接触：提起眼睑，用大量流动清水或生理盐水冲洗至少15分钟。就医</w:t>
      </w:r>
    </w:p>
    <w:p w14:paraId="2CF8A7E1">
      <w:pPr>
        <w:spacing w:line="360" w:lineRule="auto"/>
        <w:ind w:left="485" w:leftChars="228"/>
        <w:rPr>
          <w:rFonts w:hint="eastAsia" w:ascii="Times New Roman" w:hAnsi="Times New Roman" w:eastAsia="宋体" w:cs="Times New Roman"/>
          <w:bCs/>
          <w:color w:val="auto"/>
          <w:sz w:val="24"/>
          <w:szCs w:val="24"/>
          <w:highlight w:val="none"/>
          <w:lang w:eastAsia="zh-CN"/>
        </w:rPr>
      </w:pPr>
      <w:r>
        <w:rPr>
          <w:rFonts w:hint="default" w:ascii="Times New Roman" w:hAnsi="Times New Roman" w:cs="Times New Roman"/>
          <w:bCs/>
          <w:color w:val="auto"/>
          <w:sz w:val="24"/>
          <w:szCs w:val="24"/>
          <w:highlight w:val="none"/>
        </w:rPr>
        <w:t>吸入：迅速脱离现场至空气新鲜处。呼吸困难时给输氧。如呼吸停止，立即进行人工呼吸。就医。</w:t>
      </w:r>
    </w:p>
    <w:p w14:paraId="2F9EC785">
      <w:pPr>
        <w:spacing w:line="360" w:lineRule="auto"/>
        <w:ind w:left="485" w:leftChars="228"/>
        <w:rPr>
          <w:rFonts w:hint="default" w:ascii="Times New Roman" w:hAnsi="Times New Roman" w:cs="Times New Roman"/>
          <w:b w:val="0"/>
          <w:bCs/>
          <w:color w:val="auto"/>
          <w:spacing w:val="2"/>
          <w:sz w:val="24"/>
          <w:szCs w:val="24"/>
          <w:highlight w:val="none"/>
        </w:rPr>
      </w:pPr>
      <w:r>
        <w:rPr>
          <w:rFonts w:hint="default" w:ascii="Times New Roman" w:hAnsi="Times New Roman" w:cs="Times New Roman"/>
          <w:b w:val="0"/>
          <w:bCs/>
          <w:color w:val="auto"/>
          <w:sz w:val="24"/>
          <w:szCs w:val="24"/>
          <w:highlight w:val="none"/>
        </w:rPr>
        <w:t>食入：饮足量温开水，催吐，就医。</w:t>
      </w:r>
    </w:p>
    <w:p w14:paraId="17772533">
      <w:pPr>
        <w:pStyle w:val="120"/>
        <w:spacing w:line="360" w:lineRule="auto"/>
        <w:ind w:firstLine="494" w:firstLineChars="200"/>
        <w:rPr>
          <w:rFonts w:hint="default" w:ascii="Times New Roman" w:hAnsi="Times New Roman" w:cs="Times New Roman"/>
          <w:b w:val="0"/>
          <w:bCs/>
          <w:color w:val="auto"/>
          <w:sz w:val="24"/>
          <w:szCs w:val="24"/>
          <w:highlight w:val="none"/>
        </w:rPr>
      </w:pPr>
      <w:r>
        <w:rPr>
          <w:rFonts w:hint="default" w:ascii="Times New Roman" w:hAnsi="Times New Roman" w:cs="Times New Roman"/>
          <w:b w:val="0"/>
          <w:bCs/>
          <w:color w:val="auto"/>
          <w:spacing w:val="2"/>
          <w:sz w:val="24"/>
          <w:szCs w:val="24"/>
          <w:highlight w:val="none"/>
        </w:rPr>
        <w:t>泄漏处理：隔离泄漏污染区，周围设警告标志，建议应急处理人员戴好防毒面具，穿化学防护服。不要直接接触泄漏物，以少量加入大量水中，调节至中性，再放入废水系统。也可以用大量水冲洗，经稀释的洗水放入废水系统。如大量泄漏，收集回收或无害处理后废弃。</w:t>
      </w:r>
    </w:p>
    <w:p w14:paraId="4DA6464F">
      <w:pPr>
        <w:spacing w:line="360" w:lineRule="auto"/>
        <w:ind w:firstLine="486" w:firstLineChars="200"/>
        <w:rPr>
          <w:rFonts w:hint="default" w:ascii="Times New Roman" w:hAnsi="Times New Roman" w:cs="Times New Roman"/>
          <w:b w:val="0"/>
          <w:bCs/>
          <w:color w:val="auto"/>
          <w:sz w:val="24"/>
          <w:szCs w:val="24"/>
          <w:highlight w:val="none"/>
        </w:rPr>
      </w:pPr>
      <w:r>
        <w:rPr>
          <w:rFonts w:hint="default" w:ascii="Times New Roman" w:hAnsi="Times New Roman" w:cs="Times New Roman"/>
          <w:b w:val="0"/>
          <w:bCs/>
          <w:color w:val="auto"/>
          <w:sz w:val="24"/>
          <w:szCs w:val="24"/>
          <w:highlight w:val="none"/>
        </w:rPr>
        <w:t>2）</w:t>
      </w:r>
      <w:r>
        <w:rPr>
          <w:rFonts w:hint="default" w:ascii="Times New Roman" w:hAnsi="Times New Roman" w:cs="Times New Roman"/>
          <w:b w:val="0"/>
          <w:bCs/>
          <w:color w:val="auto"/>
          <w:kern w:val="0"/>
          <w:sz w:val="24"/>
          <w:szCs w:val="24"/>
          <w:highlight w:val="none"/>
        </w:rPr>
        <w:t>氢氧化钠溶液</w:t>
      </w:r>
    </w:p>
    <w:p w14:paraId="79046239">
      <w:pPr>
        <w:spacing w:line="360" w:lineRule="auto"/>
        <w:ind w:left="485" w:leftChars="228"/>
        <w:rPr>
          <w:rFonts w:hint="eastAsia" w:ascii="Times New Roman" w:hAnsi="Times New Roman" w:eastAsia="宋体" w:cs="Times New Roman"/>
          <w:b w:val="0"/>
          <w:bCs/>
          <w:color w:val="auto"/>
          <w:sz w:val="24"/>
          <w:szCs w:val="24"/>
          <w:highlight w:val="none"/>
          <w:lang w:eastAsia="zh-CN"/>
        </w:rPr>
      </w:pPr>
      <w:r>
        <w:rPr>
          <w:rFonts w:hint="default" w:ascii="Times New Roman" w:hAnsi="Times New Roman" w:cs="Times New Roman"/>
          <w:b w:val="0"/>
          <w:bCs/>
          <w:color w:val="auto"/>
          <w:sz w:val="24"/>
          <w:szCs w:val="24"/>
          <w:highlight w:val="none"/>
        </w:rPr>
        <w:t>皮肤接触：脱去被污染的衣着，用流动的清水彻底冲洗皮肤。</w:t>
      </w:r>
    </w:p>
    <w:p w14:paraId="21FE6E8A">
      <w:pPr>
        <w:spacing w:line="360" w:lineRule="auto"/>
        <w:ind w:left="485" w:leftChars="228"/>
        <w:rPr>
          <w:rFonts w:hint="eastAsia" w:ascii="Times New Roman" w:hAnsi="Times New Roman" w:eastAsia="宋体" w:cs="Times New Roman"/>
          <w:b w:val="0"/>
          <w:bCs/>
          <w:color w:val="auto"/>
          <w:sz w:val="24"/>
          <w:szCs w:val="24"/>
          <w:highlight w:val="none"/>
          <w:lang w:eastAsia="zh-CN"/>
        </w:rPr>
      </w:pPr>
      <w:r>
        <w:rPr>
          <w:rFonts w:hint="default" w:ascii="Times New Roman" w:hAnsi="Times New Roman" w:cs="Times New Roman"/>
          <w:b w:val="0"/>
          <w:bCs/>
          <w:color w:val="auto"/>
          <w:sz w:val="24"/>
          <w:szCs w:val="24"/>
          <w:highlight w:val="none"/>
        </w:rPr>
        <w:t>眼睛接触：提起眼睑，用大量流动清水或生理盐水冲洗至少15分钟。就医</w:t>
      </w:r>
    </w:p>
    <w:p w14:paraId="3846EDC3">
      <w:pPr>
        <w:spacing w:line="360" w:lineRule="auto"/>
        <w:ind w:left="485" w:leftChars="228"/>
        <w:rPr>
          <w:rFonts w:hint="eastAsia" w:ascii="Times New Roman" w:hAnsi="Times New Roman" w:eastAsia="宋体" w:cs="Times New Roman"/>
          <w:b w:val="0"/>
          <w:bCs/>
          <w:color w:val="auto"/>
          <w:sz w:val="24"/>
          <w:szCs w:val="24"/>
          <w:highlight w:val="none"/>
          <w:lang w:eastAsia="zh-CN"/>
        </w:rPr>
      </w:pPr>
      <w:r>
        <w:rPr>
          <w:rFonts w:hint="default" w:ascii="Times New Roman" w:hAnsi="Times New Roman" w:cs="Times New Roman"/>
          <w:b w:val="0"/>
          <w:bCs/>
          <w:color w:val="auto"/>
          <w:sz w:val="24"/>
          <w:szCs w:val="24"/>
          <w:highlight w:val="none"/>
        </w:rPr>
        <w:t>吸入：迅速脱离现场至空气新鲜处。呼吸困难时给输氧。如呼吸停止，立即进行人工呼吸。就医。</w:t>
      </w:r>
    </w:p>
    <w:p w14:paraId="7691F4DE">
      <w:pPr>
        <w:spacing w:line="360" w:lineRule="auto"/>
        <w:ind w:left="485" w:leftChars="228"/>
        <w:rPr>
          <w:rFonts w:hint="default" w:ascii="Times New Roman" w:hAnsi="Times New Roman" w:cs="Times New Roman"/>
          <w:b w:val="0"/>
          <w:bCs/>
          <w:color w:val="auto"/>
          <w:spacing w:val="2"/>
          <w:sz w:val="24"/>
          <w:szCs w:val="24"/>
          <w:highlight w:val="none"/>
        </w:rPr>
      </w:pPr>
      <w:r>
        <w:rPr>
          <w:rFonts w:hint="default" w:ascii="Times New Roman" w:hAnsi="Times New Roman" w:cs="Times New Roman"/>
          <w:b w:val="0"/>
          <w:bCs/>
          <w:color w:val="auto"/>
          <w:sz w:val="24"/>
          <w:szCs w:val="24"/>
          <w:highlight w:val="none"/>
        </w:rPr>
        <w:t>食入：饮足量温开水，催吐，就医。</w:t>
      </w:r>
    </w:p>
    <w:p w14:paraId="0A064239">
      <w:pPr>
        <w:pStyle w:val="120"/>
        <w:spacing w:line="360" w:lineRule="auto"/>
        <w:ind w:firstLine="494" w:firstLineChars="200"/>
        <w:rPr>
          <w:rFonts w:hint="default" w:ascii="Times New Roman" w:hAnsi="Times New Roman" w:cs="Times New Roman"/>
          <w:color w:val="auto"/>
          <w:sz w:val="24"/>
          <w:szCs w:val="24"/>
          <w:highlight w:val="none"/>
        </w:rPr>
      </w:pPr>
      <w:r>
        <w:rPr>
          <w:rFonts w:hint="default" w:ascii="Times New Roman" w:hAnsi="Times New Roman" w:cs="Times New Roman"/>
          <w:b w:val="0"/>
          <w:bCs/>
          <w:color w:val="auto"/>
          <w:spacing w:val="2"/>
          <w:sz w:val="24"/>
          <w:szCs w:val="24"/>
          <w:highlight w:val="none"/>
        </w:rPr>
        <w:t>泄漏处理：隔离泄漏污染区，周围设警告标志，建议应急处理人员戴好防毒面具，穿化学防护服。不要直接接</w:t>
      </w:r>
      <w:r>
        <w:rPr>
          <w:rFonts w:hint="default" w:ascii="Times New Roman" w:hAnsi="Times New Roman" w:cs="Times New Roman"/>
          <w:color w:val="auto"/>
          <w:spacing w:val="2"/>
          <w:sz w:val="24"/>
          <w:szCs w:val="24"/>
          <w:highlight w:val="none"/>
        </w:rPr>
        <w:t>触泄漏物，以少量加入大量水中，调节至中性，再放入废水系统。也可以用大量水冲洗，经稀释的洗水放入废水系统。如大量泄漏，收集回收或无害处理后废弃。</w:t>
      </w:r>
    </w:p>
    <w:p w14:paraId="69BC95FD">
      <w:pPr>
        <w:adjustRightInd w:val="0"/>
        <w:snapToGrid w:val="0"/>
        <w:spacing w:line="360" w:lineRule="auto"/>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4.1.2.2 储存过程中突发环境事件情景分析</w:t>
      </w:r>
    </w:p>
    <w:p w14:paraId="256594BB">
      <w:pPr>
        <w:keepNext w:val="0"/>
        <w:keepLines w:val="0"/>
        <w:pageBreakBefore w:val="0"/>
        <w:widowControl w:val="0"/>
        <w:kinsoku/>
        <w:wordWrap/>
        <w:overflowPunct/>
        <w:topLinePunct w:val="0"/>
        <w:autoSpaceDE/>
        <w:autoSpaceDN/>
        <w:bidi w:val="0"/>
        <w:adjustRightInd w:val="0"/>
        <w:snapToGrid w:val="0"/>
        <w:spacing w:line="360" w:lineRule="auto"/>
        <w:ind w:firstLine="526"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pacing w:val="10"/>
          <w:sz w:val="24"/>
          <w:highlight w:val="none"/>
        </w:rPr>
        <w:t>若储存、生产过程中发生</w:t>
      </w:r>
      <w:r>
        <w:rPr>
          <w:rFonts w:hint="default" w:ascii="Times New Roman" w:hAnsi="Times New Roman" w:cs="Times New Roman"/>
          <w:color w:val="auto"/>
          <w:spacing w:val="10"/>
          <w:sz w:val="24"/>
          <w:highlight w:val="none"/>
          <w:lang w:eastAsia="zh-CN"/>
        </w:rPr>
        <w:t>苯酚</w:t>
      </w:r>
      <w:r>
        <w:rPr>
          <w:rFonts w:hint="default" w:ascii="Times New Roman" w:hAnsi="Times New Roman" w:cs="Times New Roman"/>
          <w:color w:val="auto"/>
          <w:spacing w:val="10"/>
          <w:sz w:val="24"/>
          <w:highlight w:val="none"/>
        </w:rPr>
        <w:t>泄漏，则可能发生中毒事故。由于储罐、管线腐蚀损坏，违章操作，维修巡视不及时等种种原因，均可能造成有毒物质大量泄漏，或作业场所毒物浓度超标，致使操作人员、检查维修作业人员中毒。</w:t>
      </w:r>
      <w:r>
        <w:rPr>
          <w:rFonts w:hint="default" w:ascii="Times New Roman" w:hAnsi="Times New Roman" w:cs="Times New Roman"/>
          <w:color w:val="auto"/>
          <w:sz w:val="24"/>
          <w:highlight w:val="none"/>
        </w:rPr>
        <w:t>人员违规操作，未开具作业票证，未检测储罐内氧气及有毒有害气体浓度，擅自进入储罐受限空间内窒息</w:t>
      </w:r>
      <w:r>
        <w:rPr>
          <w:rFonts w:hint="default" w:ascii="Times New Roman" w:hAnsi="Times New Roman" w:cs="Times New Roman"/>
          <w:color w:val="auto"/>
          <w:spacing w:val="10"/>
          <w:sz w:val="24"/>
          <w:highlight w:val="none"/>
        </w:rPr>
        <w:t>。在卸车过程中由于输料管道、阀门、法兰、罐车罐体损坏，则有可能造成物料大量泄漏，若人员防护不当或未佩戴相应的防护用品，就会造成人员中毒事故</w:t>
      </w:r>
      <w:r>
        <w:rPr>
          <w:rFonts w:hint="default" w:ascii="Times New Roman" w:hAnsi="Times New Roman" w:cs="Times New Roman"/>
          <w:color w:val="auto"/>
          <w:kern w:val="0"/>
          <w:sz w:val="24"/>
          <w:highlight w:val="none"/>
          <w:lang w:val="en-US" w:eastAsia="zh-CN"/>
        </w:rPr>
        <w:t>。</w:t>
      </w:r>
    </w:p>
    <w:p w14:paraId="3A05DFE5">
      <w:pPr>
        <w:pStyle w:val="2"/>
        <w:adjustRightInd w:val="0"/>
        <w:snapToGrid w:val="0"/>
        <w:spacing w:after="0" w:line="360" w:lineRule="auto"/>
        <w:ind w:left="0" w:leftChars="0" w:firstLine="316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val="en-US" w:eastAsia="zh-CN"/>
        </w:rPr>
        <w:t>项目装置的原料及产品多存放于储罐区，属于易燃、易爆物品。若易燃易爆物质包装物的破损、裂缝造成泄漏，潜在事故主要是火灾、爆炸和泄漏所造成的环境污染。</w:t>
      </w:r>
    </w:p>
    <w:p w14:paraId="31C805B0">
      <w:pPr>
        <w:pStyle w:val="2"/>
        <w:adjustRightInd w:val="0"/>
        <w:snapToGrid w:val="0"/>
        <w:spacing w:after="0" w:line="360" w:lineRule="auto"/>
        <w:ind w:left="0" w:leftChars="0" w:firstLine="316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a.储罐质量因素泄漏：包括设计不当，材料错误，品质不符，强度不足，加工焊接组装缺陷，结构缺陷，附件不符合要求等。</w:t>
      </w:r>
    </w:p>
    <w:p w14:paraId="10EE89B4">
      <w:pPr>
        <w:pStyle w:val="2"/>
        <w:adjustRightInd w:val="0"/>
        <w:snapToGrid w:val="0"/>
        <w:spacing w:after="0" w:line="360" w:lineRule="auto"/>
        <w:ind w:left="0" w:leftChars="0" w:firstLine="316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b.工艺因素：在装卸时有高流速介质冲击磨损，反复应力作用，腐蚀破坏，冷脆断裂，老化变质，内压超高等。储罐的排污阀，因其处于储罐的最底部，最容易被冻破，并且经常操作易损坏发生泄漏。储罐上及连接管道的法兰垫片质量问题破裂造成泄漏。</w:t>
      </w:r>
    </w:p>
    <w:p w14:paraId="7A8FBF4A">
      <w:pPr>
        <w:pStyle w:val="2"/>
        <w:adjustRightInd w:val="0"/>
        <w:snapToGrid w:val="0"/>
        <w:spacing w:after="0" w:line="360" w:lineRule="auto"/>
        <w:ind w:left="0" w:leftChars="0" w:firstLine="316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c.外来因素破坏：如外来飞射物打击，外来车辆撞击，施工破坏，基础下沉或倾斜等。</w:t>
      </w:r>
    </w:p>
    <w:p w14:paraId="3F47B80F">
      <w:pPr>
        <w:pStyle w:val="2"/>
        <w:adjustRightInd w:val="0"/>
        <w:snapToGrid w:val="0"/>
        <w:spacing w:after="0" w:line="360" w:lineRule="auto"/>
        <w:ind w:left="0" w:leftChars="0" w:firstLine="316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d.操作失误引起泄漏：误开阀门；对液位监测错误或不及时，超量罐装超压，导致储罐本体破裂或法兰垫片破裂泄漏；违章检修等。</w:t>
      </w:r>
    </w:p>
    <w:p w14:paraId="38BB64D4">
      <w:pPr>
        <w:pStyle w:val="2"/>
        <w:adjustRightInd w:val="0"/>
        <w:snapToGrid w:val="0"/>
        <w:spacing w:after="0" w:line="360" w:lineRule="auto"/>
        <w:ind w:left="0" w:leftChars="0" w:firstLine="316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e.受热破裂泄漏：夏季高温辐射储罐受热后罐壁温度升高导致设备的材料强度降低，以及内部介质压力骤升，储罐的主体或支撑件产生的应力高于其可承受的最大应力值时，机械性破裂或软榻，造成储罐泄漏。</w:t>
      </w:r>
    </w:p>
    <w:p w14:paraId="5EE34C18">
      <w:pPr>
        <w:adjustRightInd w:val="0"/>
        <w:snapToGrid w:val="0"/>
        <w:spacing w:line="360" w:lineRule="auto"/>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4.1.2.</w:t>
      </w:r>
      <w:r>
        <w:rPr>
          <w:rFonts w:hint="default" w:ascii="Times New Roman" w:hAnsi="Times New Roman" w:cs="Times New Roman"/>
          <w:b/>
          <w:color w:val="auto"/>
          <w:sz w:val="24"/>
          <w:highlight w:val="none"/>
          <w:lang w:val="en-US" w:eastAsia="zh-CN"/>
        </w:rPr>
        <w:t>3</w:t>
      </w:r>
      <w:r>
        <w:rPr>
          <w:rFonts w:hint="default" w:ascii="Times New Roman" w:hAnsi="Times New Roman" w:cs="Times New Roman"/>
          <w:b/>
          <w:color w:val="auto"/>
          <w:sz w:val="24"/>
          <w:highlight w:val="none"/>
        </w:rPr>
        <w:t xml:space="preserve"> 公用工程突发环境事件情景分析</w:t>
      </w:r>
    </w:p>
    <w:p w14:paraId="610C94BA">
      <w:pPr>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（1）厂区内违章进行动土作业，造成地埋敷设的电气线路、供水管线及工艺管线损坏，导致工艺停电、停水或是易燃、可燃物料泄漏等，有引发火灾爆炸的危险。</w:t>
      </w:r>
    </w:p>
    <w:p w14:paraId="1E6BB106">
      <w:pPr>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（2）若生产用汽意外中断，反应温度失控可造成事故发生，蒸汽包及蒸汽管道安全附件不全、超温超压、未定期检查，可能会发生爆裂继而引发生产系统火灾爆炸事故</w:t>
      </w:r>
    </w:p>
    <w:p w14:paraId="2A8A086F">
      <w:pPr>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（3）企业配套原变配电室，内设变压器、高低压供配电设备，若供配电系统存在以下不安全因素，可能引发火灾爆炸事故发生：</w:t>
      </w:r>
    </w:p>
    <w:p w14:paraId="28159082">
      <w:pPr>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a.变配电室若无避雷装置或避雷接地装置不健全，有遭雷击危险，或能引发变压器发生火灾，导致突发停电事故，进而引发生产系统火灾爆炸事故发生。</w:t>
      </w:r>
    </w:p>
    <w:p w14:paraId="4749A24A">
      <w:pPr>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b.变配电室若无挡鼠板，门窗及通风气孔无防小动物网，变配电室电缆入口未堵塞，电缆沟未用细砂填实，可能造成供电线路因动物窜入、咬伤等引发短路、跳闸故障而突发停电，进而引发生产装置发生火灾爆炸事故。</w:t>
      </w:r>
    </w:p>
    <w:p w14:paraId="71B024BA">
      <w:pPr>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c.直埋式地下电缆深度在冻土层以上、没有填细砂层进行保护，会受到冻土和鼠咬的破坏，造成停电，进而引发火灾爆炸事故。</w:t>
      </w:r>
    </w:p>
    <w:p w14:paraId="590553D7">
      <w:pPr>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d.电缆沟未用细砂填实，生产系统的助燃气体在电缆沟积聚，在一定条件下遇火源能引发火灾爆炸事故发生。</w:t>
      </w:r>
    </w:p>
    <w:p w14:paraId="26D01583">
      <w:pPr>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e.因变压器油是可燃液体，变压器运行时会产生热量，绝缘可能老化，故变压器本身存在火灾隐患。变压器一旦发生故障，产生的电弧可使箱体内绝缘油的温度、压力升高导致绝缘油喷出甚至引起箱体爆裂；同时电弧可引起绝缘油着火，若无有效的防护措施，火势会发展很快，导致严重的后果。</w:t>
      </w:r>
    </w:p>
    <w:p w14:paraId="5AD39E36">
      <w:pPr>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低压配电系统中漏电产生的电流和电压等均可引起火灾。若因安装质量差、有酸碱腐蚀性的环境中电线明敷、设备未做保护直接安装、布线时绝缘层损伤、导线接头连接质量和绝缘包扎质量不符合要求等原因导致低压配电系统发生漏电，可因产生火花、电弧、过热高温等而造成火灾。</w:t>
      </w:r>
    </w:p>
    <w:p w14:paraId="0C760F09">
      <w:pPr>
        <w:adjustRightInd w:val="0"/>
        <w:snapToGrid w:val="0"/>
        <w:spacing w:line="360" w:lineRule="auto"/>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4.1.2.5 环保设施突发环境事件情景分析</w:t>
      </w:r>
    </w:p>
    <w:p w14:paraId="48ED6CDE">
      <w:pPr>
        <w:keepNext w:val="0"/>
        <w:keepLines w:val="0"/>
        <w:pageBreakBefore w:val="0"/>
        <w:kinsoku/>
        <w:wordWrap/>
        <w:overflowPunct/>
        <w:topLinePunct w:val="0"/>
        <w:autoSpaceDE/>
        <w:autoSpaceDN/>
        <w:bidi w:val="0"/>
        <w:adjustRightInd w:val="0"/>
        <w:snapToGrid w:val="0"/>
        <w:spacing w:line="360" w:lineRule="auto"/>
        <w:ind w:firstLine="486" w:firstLineChars="200"/>
        <w:textAlignment w:val="auto"/>
        <w:rPr>
          <w:rFonts w:hint="default" w:ascii="Times New Roman" w:hAnsi="Times New Roman" w:cs="Times New Roman"/>
          <w:b w:val="0"/>
          <w:bCs/>
          <w:color w:val="auto"/>
          <w:sz w:val="24"/>
          <w:highlight w:val="none"/>
          <w:lang w:val="en-US" w:eastAsia="zh-CN"/>
        </w:rPr>
      </w:pPr>
      <w:r>
        <w:rPr>
          <w:rFonts w:hint="default" w:ascii="Times New Roman" w:hAnsi="Times New Roman" w:cs="Times New Roman"/>
          <w:b w:val="0"/>
          <w:bCs/>
          <w:color w:val="auto"/>
          <w:sz w:val="24"/>
          <w:highlight w:val="none"/>
          <w:lang w:val="en-US" w:eastAsia="zh-CN"/>
        </w:rPr>
        <w:t>废气处理设施出现故障可能导致废气的事故排放。突发性火灾爆炸伴生和次生有毒有害气体会对周边大气环境造成重大危害。</w:t>
      </w:r>
    </w:p>
    <w:p w14:paraId="4D269780">
      <w:pPr>
        <w:spacing w:line="360" w:lineRule="auto"/>
        <w:ind w:firstLine="465"/>
        <w:jc w:val="left"/>
        <w:rPr>
          <w:rFonts w:hint="eastAsia" w:cs="Times New Roman"/>
          <w:sz w:val="24"/>
          <w:highlight w:val="none"/>
          <w:lang w:val="en-US" w:eastAsia="zh-CN"/>
        </w:rPr>
      </w:pPr>
      <w:r>
        <w:rPr>
          <w:rFonts w:hint="eastAsia" w:cs="Times New Roman"/>
          <w:sz w:val="24"/>
          <w:highlight w:val="none"/>
          <w:lang w:val="en-US" w:eastAsia="zh-CN"/>
        </w:rPr>
        <w:t>1、3000t/a药用水杨酸生产装置</w:t>
      </w:r>
    </w:p>
    <w:p w14:paraId="1C7F96C3">
      <w:pPr>
        <w:spacing w:line="360" w:lineRule="auto"/>
        <w:ind w:firstLine="465"/>
        <w:jc w:val="left"/>
        <w:rPr>
          <w:rFonts w:hint="default" w:ascii="Times New Roman" w:hAnsi="Times New Roman" w:eastAsia="宋体" w:cs="Times New Roman"/>
          <w:sz w:val="24"/>
          <w:highlight w:val="none"/>
          <w:lang w:val="en-US" w:eastAsia="zh-CN"/>
        </w:rPr>
      </w:pPr>
      <w:r>
        <w:rPr>
          <w:rFonts w:hint="eastAsia" w:cs="Times New Roman"/>
          <w:sz w:val="24"/>
          <w:highlight w:val="none"/>
          <w:lang w:val="en-US" w:eastAsia="zh-CN"/>
        </w:rPr>
        <w:t>废气经管道收集后送往碱液喷淋吸收塔处理，粉尘去除效率为50%，VOCs去除率为5%，废气经处理后通过15m的排气筒排放、</w:t>
      </w:r>
    </w:p>
    <w:p w14:paraId="1EA8D309">
      <w:pPr>
        <w:spacing w:line="360" w:lineRule="auto"/>
        <w:ind w:firstLine="465"/>
        <w:jc w:val="left"/>
        <w:rPr>
          <w:rFonts w:hint="eastAsia" w:ascii="Times New Roman" w:hAnsi="Times New Roman" w:eastAsia="宋体" w:cs="Times New Roman"/>
          <w:sz w:val="24"/>
          <w:highlight w:val="none"/>
          <w:lang w:val="en-US" w:eastAsia="zh-CN"/>
        </w:rPr>
      </w:pPr>
      <w:r>
        <w:rPr>
          <w:rFonts w:hint="eastAsia" w:cs="Times New Roman"/>
          <w:sz w:val="24"/>
          <w:highlight w:val="none"/>
          <w:lang w:val="en-US" w:eastAsia="zh-CN"/>
        </w:rPr>
        <w:t>2、5000t/a水杨酸钠生产装置</w:t>
      </w:r>
    </w:p>
    <w:p w14:paraId="5BC34446">
      <w:pPr>
        <w:spacing w:line="360" w:lineRule="auto"/>
        <w:ind w:firstLine="465"/>
        <w:jc w:val="left"/>
        <w:rPr>
          <w:rFonts w:hint="eastAsia" w:cs="Times New Roman"/>
          <w:sz w:val="24"/>
          <w:highlight w:val="none"/>
          <w:lang w:val="en-US" w:eastAsia="zh-CN"/>
        </w:rPr>
      </w:pPr>
      <w:r>
        <w:rPr>
          <w:rFonts w:hint="eastAsia" w:cs="Times New Roman"/>
          <w:sz w:val="24"/>
          <w:highlight w:val="none"/>
          <w:lang w:val="en-US" w:eastAsia="zh-CN"/>
        </w:rPr>
        <w:t>3、6000t/a磺基水杨酸生产装置</w:t>
      </w:r>
    </w:p>
    <w:p w14:paraId="33D71CCA">
      <w:pPr>
        <w:spacing w:line="360" w:lineRule="auto"/>
        <w:ind w:firstLine="465"/>
        <w:jc w:val="left"/>
        <w:rPr>
          <w:rFonts w:hint="eastAsia" w:cs="Times New Roman"/>
          <w:sz w:val="24"/>
          <w:highlight w:val="none"/>
          <w:lang w:val="en-US" w:eastAsia="zh-CN"/>
        </w:rPr>
      </w:pPr>
      <w:r>
        <w:rPr>
          <w:rFonts w:hint="eastAsia" w:ascii="Times New Roman" w:hAnsi="Times New Roman" w:eastAsia="宋体" w:cs="Times New Roman"/>
          <w:sz w:val="24"/>
          <w:highlight w:val="none"/>
          <w:lang w:val="en-US" w:eastAsia="zh-CN"/>
        </w:rPr>
        <w:t>废气</w:t>
      </w:r>
      <w:r>
        <w:rPr>
          <w:rFonts w:hint="eastAsia" w:cs="Times New Roman"/>
          <w:sz w:val="24"/>
          <w:highlight w:val="none"/>
          <w:lang w:val="en-US" w:eastAsia="zh-CN"/>
        </w:rPr>
        <w:t>（硫酸雾、VOCs）</w:t>
      </w:r>
      <w:r>
        <w:rPr>
          <w:rFonts w:hint="eastAsia" w:ascii="Times New Roman" w:hAnsi="Times New Roman" w:eastAsia="宋体" w:cs="Times New Roman"/>
          <w:sz w:val="24"/>
          <w:highlight w:val="none"/>
          <w:lang w:val="en-US" w:eastAsia="zh-CN"/>
        </w:rPr>
        <w:t>经管道收集后送往碱液喷淋吸收塔处理，通过15m的排气筒排放</w:t>
      </w:r>
      <w:r>
        <w:rPr>
          <w:rFonts w:hint="eastAsia" w:cs="Times New Roman"/>
          <w:sz w:val="24"/>
          <w:highlight w:val="none"/>
          <w:lang w:val="en-US" w:eastAsia="zh-CN"/>
        </w:rPr>
        <w:t>。</w:t>
      </w:r>
    </w:p>
    <w:p w14:paraId="765FAA8F">
      <w:pPr>
        <w:spacing w:line="360" w:lineRule="auto"/>
        <w:ind w:firstLine="465"/>
        <w:jc w:val="left"/>
        <w:rPr>
          <w:rFonts w:hint="eastAsia" w:cs="Times New Roman"/>
          <w:sz w:val="24"/>
          <w:highlight w:val="none"/>
          <w:lang w:val="en-US" w:eastAsia="zh-CN"/>
        </w:rPr>
      </w:pPr>
      <w:r>
        <w:rPr>
          <w:rFonts w:hint="eastAsia" w:cs="Times New Roman"/>
          <w:sz w:val="24"/>
          <w:highlight w:val="none"/>
          <w:lang w:val="en-US" w:eastAsia="zh-CN"/>
        </w:rPr>
        <w:t>4、5000t/a水杨酸酰胺生产装置</w:t>
      </w:r>
    </w:p>
    <w:p w14:paraId="0FE823C6">
      <w:pPr>
        <w:spacing w:line="360" w:lineRule="auto"/>
        <w:ind w:firstLine="465"/>
        <w:jc w:val="left"/>
        <w:rPr>
          <w:rFonts w:hint="default" w:ascii="Times New Roman" w:hAnsi="Times New Roman" w:eastAsia="宋体" w:cs="Times New Roman"/>
          <w:sz w:val="24"/>
          <w:highlight w:val="none"/>
          <w:lang w:val="en-US" w:eastAsia="zh-CN"/>
        </w:rPr>
      </w:pPr>
      <w:r>
        <w:rPr>
          <w:rFonts w:hint="default" w:ascii="Times New Roman" w:hAnsi="Times New Roman" w:eastAsia="宋体" w:cs="Times New Roman"/>
          <w:sz w:val="24"/>
          <w:highlight w:val="none"/>
          <w:lang w:val="en-US" w:eastAsia="zh-CN"/>
        </w:rPr>
        <w:t>废气</w:t>
      </w:r>
      <w:r>
        <w:rPr>
          <w:rFonts w:hint="eastAsia" w:cs="Times New Roman"/>
          <w:sz w:val="24"/>
          <w:highlight w:val="none"/>
          <w:lang w:val="en-US" w:eastAsia="zh-CN"/>
        </w:rPr>
        <w:t>（氨气、甲醇、VOCs）</w:t>
      </w:r>
      <w:r>
        <w:rPr>
          <w:rFonts w:hint="default" w:ascii="Times New Roman" w:hAnsi="Times New Roman" w:eastAsia="宋体" w:cs="Times New Roman"/>
          <w:sz w:val="24"/>
          <w:highlight w:val="none"/>
          <w:lang w:val="en-US" w:eastAsia="zh-CN"/>
        </w:rPr>
        <w:t>经管道收集后送往喷淋吸收塔（处理，通过15m的排气筒排放</w:t>
      </w:r>
      <w:r>
        <w:rPr>
          <w:rFonts w:hint="eastAsia" w:cs="Times New Roman"/>
          <w:sz w:val="24"/>
          <w:highlight w:val="none"/>
          <w:lang w:val="en-US" w:eastAsia="zh-CN"/>
        </w:rPr>
        <w:t>。</w:t>
      </w:r>
    </w:p>
    <w:p w14:paraId="592A5E44">
      <w:pPr>
        <w:spacing w:line="360" w:lineRule="auto"/>
        <w:ind w:firstLine="465"/>
        <w:jc w:val="left"/>
        <w:rPr>
          <w:rFonts w:hint="default" w:ascii="Times New Roman" w:hAnsi="Times New Roman" w:cs="Times New Roman"/>
          <w:sz w:val="24"/>
          <w:highlight w:val="none"/>
        </w:rPr>
      </w:pPr>
      <w:r>
        <w:rPr>
          <w:rFonts w:hint="eastAsia" w:cs="Times New Roman"/>
          <w:sz w:val="24"/>
          <w:highlight w:val="none"/>
          <w:lang w:val="en-US" w:eastAsia="zh-CN"/>
        </w:rPr>
        <w:t>5</w:t>
      </w:r>
      <w:r>
        <w:rPr>
          <w:rFonts w:hint="default" w:ascii="Times New Roman" w:hAnsi="Times New Roman" w:cs="Times New Roman"/>
          <w:sz w:val="24"/>
          <w:highlight w:val="none"/>
        </w:rPr>
        <w:t>、</w:t>
      </w:r>
      <w:r>
        <w:rPr>
          <w:rFonts w:hint="eastAsia" w:cs="Times New Roman"/>
          <w:sz w:val="24"/>
          <w:highlight w:val="none"/>
          <w:lang w:val="en-US" w:eastAsia="zh-CN"/>
        </w:rPr>
        <w:t>30000t/a</w:t>
      </w:r>
      <w:r>
        <w:rPr>
          <w:rFonts w:hint="default" w:ascii="Times New Roman" w:hAnsi="Times New Roman" w:cs="Times New Roman"/>
          <w:sz w:val="24"/>
          <w:highlight w:val="none"/>
        </w:rPr>
        <w:t>水杨酸装置</w:t>
      </w:r>
    </w:p>
    <w:p w14:paraId="636D1014">
      <w:pPr>
        <w:spacing w:line="360" w:lineRule="auto"/>
        <w:ind w:firstLine="465"/>
        <w:jc w:val="left"/>
        <w:rPr>
          <w:rFonts w:hint="default" w:ascii="Times New Roman" w:hAnsi="Times New Roman" w:cs="Times New Roman"/>
          <w:kern w:val="0"/>
          <w:sz w:val="24"/>
          <w:highlight w:val="none"/>
        </w:rPr>
      </w:pPr>
      <w:r>
        <w:rPr>
          <w:rFonts w:hint="default" w:ascii="Times New Roman" w:hAnsi="Times New Roman" w:cs="Times New Roman"/>
          <w:sz w:val="24"/>
          <w:highlight w:val="none"/>
        </w:rPr>
        <w:t>水杨酸生产过程中废气主要为搅拌废气</w:t>
      </w:r>
      <w:r>
        <w:rPr>
          <w:rFonts w:hint="default" w:ascii="Times New Roman" w:hAnsi="Times New Roman" w:cs="Times New Roman"/>
          <w:kern w:val="0"/>
          <w:sz w:val="24"/>
          <w:highlight w:val="none"/>
          <w:lang w:eastAsia="zh-CN"/>
        </w:rPr>
        <w:t>（苯酚）</w:t>
      </w:r>
      <w:r>
        <w:rPr>
          <w:rFonts w:hint="default" w:ascii="Times New Roman" w:hAnsi="Times New Roman" w:cs="Times New Roman"/>
          <w:kern w:val="0"/>
          <w:sz w:val="24"/>
          <w:highlight w:val="none"/>
        </w:rPr>
        <w:t>、常压干燥废气</w:t>
      </w:r>
      <w:r>
        <w:rPr>
          <w:rFonts w:hint="default" w:ascii="Times New Roman" w:hAnsi="Times New Roman" w:cs="Times New Roman"/>
          <w:kern w:val="0"/>
          <w:sz w:val="24"/>
          <w:highlight w:val="none"/>
          <w:lang w:eastAsia="zh-CN"/>
        </w:rPr>
        <w:t>（苯酚）</w:t>
      </w:r>
      <w:r>
        <w:rPr>
          <w:rFonts w:hint="default" w:ascii="Times New Roman" w:hAnsi="Times New Roman" w:cs="Times New Roman"/>
          <w:kern w:val="0"/>
          <w:sz w:val="24"/>
          <w:highlight w:val="none"/>
        </w:rPr>
        <w:t>、减压干燥废气</w:t>
      </w:r>
      <w:r>
        <w:rPr>
          <w:rFonts w:hint="default" w:ascii="Times New Roman" w:hAnsi="Times New Roman" w:cs="Times New Roman"/>
          <w:kern w:val="0"/>
          <w:sz w:val="24"/>
          <w:highlight w:val="none"/>
          <w:lang w:eastAsia="zh-CN"/>
        </w:rPr>
        <w:t>（苯酚）</w:t>
      </w:r>
      <w:r>
        <w:rPr>
          <w:rFonts w:hint="default" w:ascii="Times New Roman" w:hAnsi="Times New Roman" w:cs="Times New Roman"/>
          <w:kern w:val="0"/>
          <w:sz w:val="24"/>
          <w:highlight w:val="none"/>
        </w:rPr>
        <w:t>、羧化废气</w:t>
      </w:r>
      <w:r>
        <w:rPr>
          <w:rFonts w:hint="default" w:ascii="Times New Roman" w:hAnsi="Times New Roman" w:cs="Times New Roman"/>
          <w:kern w:val="0"/>
          <w:sz w:val="24"/>
          <w:highlight w:val="none"/>
          <w:lang w:eastAsia="zh-CN"/>
        </w:rPr>
        <w:t>（苯酚、二氧化碳）</w:t>
      </w:r>
      <w:r>
        <w:rPr>
          <w:rFonts w:hint="default" w:ascii="Times New Roman" w:hAnsi="Times New Roman" w:cs="Times New Roman"/>
          <w:kern w:val="0"/>
          <w:sz w:val="24"/>
          <w:highlight w:val="none"/>
        </w:rPr>
        <w:t>、二次羧化废气</w:t>
      </w:r>
      <w:r>
        <w:rPr>
          <w:rFonts w:hint="default" w:ascii="Times New Roman" w:hAnsi="Times New Roman" w:cs="Times New Roman"/>
          <w:kern w:val="0"/>
          <w:sz w:val="24"/>
          <w:highlight w:val="none"/>
          <w:lang w:eastAsia="zh-CN"/>
        </w:rPr>
        <w:t>（苯酚、二氧化碳）</w:t>
      </w:r>
      <w:r>
        <w:rPr>
          <w:rFonts w:hint="default" w:ascii="Times New Roman" w:hAnsi="Times New Roman" w:cs="Times New Roman"/>
          <w:kern w:val="0"/>
          <w:sz w:val="24"/>
          <w:highlight w:val="none"/>
        </w:rPr>
        <w:t>、酸析废气</w:t>
      </w:r>
      <w:r>
        <w:rPr>
          <w:rFonts w:hint="default" w:ascii="Times New Roman" w:hAnsi="Times New Roman" w:cs="Times New Roman"/>
          <w:kern w:val="0"/>
          <w:sz w:val="24"/>
          <w:highlight w:val="none"/>
          <w:lang w:eastAsia="zh-CN"/>
        </w:rPr>
        <w:t>（苯酚、硫酸雾）</w:t>
      </w:r>
      <w:r>
        <w:rPr>
          <w:rFonts w:hint="default" w:ascii="Times New Roman" w:hAnsi="Times New Roman" w:cs="Times New Roman"/>
          <w:kern w:val="0"/>
          <w:sz w:val="24"/>
          <w:highlight w:val="none"/>
        </w:rPr>
        <w:t>、干燥废气</w:t>
      </w:r>
      <w:r>
        <w:rPr>
          <w:rFonts w:hint="default" w:ascii="Times New Roman" w:hAnsi="Times New Roman" w:cs="Times New Roman"/>
          <w:kern w:val="0"/>
          <w:sz w:val="24"/>
          <w:highlight w:val="none"/>
          <w:lang w:eastAsia="zh-CN"/>
        </w:rPr>
        <w:t>（粉尘、苯酚）</w:t>
      </w:r>
      <w:r>
        <w:rPr>
          <w:rFonts w:hint="default" w:ascii="Times New Roman" w:hAnsi="Times New Roman" w:cs="Times New Roman"/>
          <w:kern w:val="0"/>
          <w:sz w:val="24"/>
          <w:highlight w:val="none"/>
        </w:rPr>
        <w:t>和包装废气</w:t>
      </w:r>
      <w:r>
        <w:rPr>
          <w:rFonts w:hint="default" w:ascii="Times New Roman" w:hAnsi="Times New Roman" w:cs="Times New Roman"/>
          <w:kern w:val="0"/>
          <w:sz w:val="24"/>
          <w:highlight w:val="none"/>
          <w:lang w:eastAsia="zh-CN"/>
        </w:rPr>
        <w:t>（粉尘）</w:t>
      </w:r>
      <w:r>
        <w:rPr>
          <w:rFonts w:hint="default" w:ascii="Times New Roman" w:hAnsi="Times New Roman" w:cs="Times New Roman"/>
          <w:kern w:val="0"/>
          <w:sz w:val="24"/>
          <w:highlight w:val="none"/>
        </w:rPr>
        <w:t>。</w:t>
      </w:r>
    </w:p>
    <w:p w14:paraId="564ACD78">
      <w:pPr>
        <w:spacing w:line="360" w:lineRule="auto"/>
        <w:ind w:firstLine="465"/>
        <w:jc w:val="left"/>
        <w:rPr>
          <w:rFonts w:hint="default" w:ascii="Times New Roman" w:hAnsi="Times New Roman" w:cs="Times New Roman"/>
          <w:sz w:val="24"/>
          <w:highlight w:val="none"/>
        </w:rPr>
      </w:pPr>
      <w:r>
        <w:rPr>
          <w:rFonts w:hint="default" w:ascii="Times New Roman" w:hAnsi="Times New Roman" w:cs="Times New Roman"/>
          <w:sz w:val="24"/>
          <w:highlight w:val="none"/>
        </w:rPr>
        <w:t>搅拌废气</w:t>
      </w:r>
      <w:r>
        <w:rPr>
          <w:rFonts w:hint="default" w:ascii="Times New Roman" w:hAnsi="Times New Roman" w:cs="Times New Roman"/>
          <w:kern w:val="0"/>
          <w:sz w:val="24"/>
          <w:highlight w:val="none"/>
        </w:rPr>
        <w:t>、常压干燥废气、减压干燥废气、羧化废气、二次羧化废气、酸析废气经管道收集，</w:t>
      </w:r>
      <w:r>
        <w:rPr>
          <w:rFonts w:hint="default" w:ascii="Times New Roman" w:hAnsi="Times New Roman" w:cs="Times New Roman"/>
          <w:sz w:val="24"/>
          <w:highlight w:val="none"/>
        </w:rPr>
        <w:t>进入三级碱液喷淋吸收塔装置处理，然后经25m高排气筒排放。</w:t>
      </w:r>
    </w:p>
    <w:p w14:paraId="3A1F1082">
      <w:pPr>
        <w:spacing w:line="360" w:lineRule="auto"/>
        <w:ind w:firstLine="465"/>
        <w:jc w:val="left"/>
        <w:rPr>
          <w:rFonts w:hint="default" w:ascii="Times New Roman" w:hAnsi="Times New Roman" w:cs="Times New Roman"/>
          <w:sz w:val="24"/>
          <w:highlight w:val="none"/>
        </w:rPr>
      </w:pPr>
      <w:r>
        <w:rPr>
          <w:rFonts w:hint="default" w:ascii="Times New Roman" w:hAnsi="Times New Roman" w:cs="Times New Roman"/>
          <w:kern w:val="0"/>
          <w:sz w:val="24"/>
          <w:highlight w:val="none"/>
        </w:rPr>
        <w:t>干燥废气经管道收集，经布袋除尘器除尘后</w:t>
      </w:r>
      <w:r>
        <w:rPr>
          <w:rFonts w:hint="default" w:ascii="Times New Roman" w:hAnsi="Times New Roman" w:cs="Times New Roman"/>
          <w:sz w:val="24"/>
          <w:highlight w:val="none"/>
        </w:rPr>
        <w:t>进入三级碱液喷淋吸收塔装置处理，然后经15m高排气筒排放。</w:t>
      </w:r>
    </w:p>
    <w:p w14:paraId="02205F0B">
      <w:pPr>
        <w:spacing w:line="360" w:lineRule="auto"/>
        <w:ind w:firstLine="465"/>
        <w:jc w:val="left"/>
        <w:rPr>
          <w:rFonts w:hint="default" w:ascii="Times New Roman" w:hAnsi="Times New Roman" w:cs="Times New Roman"/>
          <w:kern w:val="0"/>
          <w:sz w:val="24"/>
          <w:highlight w:val="none"/>
        </w:rPr>
      </w:pPr>
      <w:r>
        <w:rPr>
          <w:rFonts w:hint="default" w:ascii="Times New Roman" w:hAnsi="Times New Roman" w:cs="Times New Roman"/>
          <w:kern w:val="0"/>
          <w:sz w:val="24"/>
          <w:highlight w:val="none"/>
        </w:rPr>
        <w:t>包装废气经引风机</w:t>
      </w:r>
      <w:r>
        <w:rPr>
          <w:rFonts w:hint="default" w:ascii="Times New Roman" w:hAnsi="Times New Roman" w:cs="Times New Roman"/>
          <w:sz w:val="24"/>
          <w:highlight w:val="none"/>
        </w:rPr>
        <w:t>引入布袋除尘器处理，然后经15m高排气筒排放。</w:t>
      </w:r>
    </w:p>
    <w:p w14:paraId="5B87ACB3">
      <w:pPr>
        <w:spacing w:line="360" w:lineRule="auto"/>
        <w:ind w:firstLine="465"/>
        <w:jc w:val="left"/>
        <w:rPr>
          <w:rFonts w:hint="default" w:ascii="Times New Roman" w:hAnsi="Times New Roman" w:cs="Times New Roman"/>
          <w:sz w:val="24"/>
          <w:highlight w:val="none"/>
        </w:rPr>
      </w:pPr>
      <w:r>
        <w:rPr>
          <w:rFonts w:hint="eastAsia" w:cs="Times New Roman"/>
          <w:sz w:val="24"/>
          <w:highlight w:val="none"/>
          <w:lang w:val="en-US" w:eastAsia="zh-CN"/>
        </w:rPr>
        <w:t>6</w:t>
      </w:r>
      <w:r>
        <w:rPr>
          <w:rFonts w:hint="default" w:ascii="Times New Roman" w:hAnsi="Times New Roman" w:cs="Times New Roman"/>
          <w:sz w:val="24"/>
          <w:highlight w:val="none"/>
        </w:rPr>
        <w:t>、</w:t>
      </w:r>
      <w:r>
        <w:rPr>
          <w:rFonts w:hint="eastAsia" w:cs="Times New Roman"/>
          <w:sz w:val="24"/>
          <w:highlight w:val="none"/>
          <w:lang w:val="en-US" w:eastAsia="zh-CN"/>
        </w:rPr>
        <w:t>20000t/a</w:t>
      </w:r>
      <w:r>
        <w:rPr>
          <w:rFonts w:hint="default" w:ascii="Times New Roman" w:hAnsi="Times New Roman" w:cs="Times New Roman"/>
          <w:sz w:val="24"/>
          <w:highlight w:val="none"/>
        </w:rPr>
        <w:t>水杨酸甲酯装置</w:t>
      </w:r>
    </w:p>
    <w:p w14:paraId="66331470">
      <w:pPr>
        <w:spacing w:line="360" w:lineRule="auto"/>
        <w:ind w:firstLine="465"/>
        <w:jc w:val="left"/>
        <w:rPr>
          <w:rFonts w:hint="default" w:ascii="Times New Roman" w:hAnsi="Times New Roman" w:cs="Times New Roman"/>
          <w:kern w:val="0"/>
          <w:sz w:val="24"/>
          <w:highlight w:val="none"/>
        </w:rPr>
      </w:pPr>
      <w:r>
        <w:rPr>
          <w:rFonts w:hint="default" w:ascii="Times New Roman" w:hAnsi="Times New Roman" w:cs="Times New Roman"/>
          <w:sz w:val="24"/>
          <w:highlight w:val="none"/>
        </w:rPr>
        <w:t>水杨酸甲酯生产过程中废气主要为酯化废气</w:t>
      </w:r>
      <w:r>
        <w:rPr>
          <w:rFonts w:hint="default" w:ascii="Times New Roman" w:hAnsi="Times New Roman" w:cs="Times New Roman"/>
          <w:kern w:val="0"/>
          <w:sz w:val="24"/>
          <w:highlight w:val="none"/>
          <w:lang w:eastAsia="zh-CN"/>
        </w:rPr>
        <w:t>（甲醇、硫酸雾、</w:t>
      </w:r>
      <w:r>
        <w:rPr>
          <w:rFonts w:hint="default" w:ascii="Times New Roman" w:hAnsi="Times New Roman" w:cs="Times New Roman"/>
          <w:kern w:val="0"/>
          <w:sz w:val="24"/>
          <w:highlight w:val="none"/>
          <w:lang w:val="en-US" w:eastAsia="zh-CN"/>
        </w:rPr>
        <w:t>VOCs</w:t>
      </w:r>
      <w:r>
        <w:rPr>
          <w:rFonts w:hint="default" w:ascii="Times New Roman" w:hAnsi="Times New Roman" w:cs="Times New Roman"/>
          <w:kern w:val="0"/>
          <w:sz w:val="24"/>
          <w:highlight w:val="none"/>
          <w:lang w:eastAsia="zh-CN"/>
        </w:rPr>
        <w:t>）</w:t>
      </w:r>
      <w:r>
        <w:rPr>
          <w:rFonts w:hint="default" w:ascii="Times New Roman" w:hAnsi="Times New Roman" w:cs="Times New Roman"/>
          <w:kern w:val="0"/>
          <w:sz w:val="24"/>
          <w:highlight w:val="none"/>
        </w:rPr>
        <w:t>、精馏废气</w:t>
      </w:r>
      <w:r>
        <w:rPr>
          <w:rFonts w:hint="default" w:ascii="Times New Roman" w:hAnsi="Times New Roman" w:cs="Times New Roman"/>
          <w:kern w:val="0"/>
          <w:sz w:val="24"/>
          <w:highlight w:val="none"/>
          <w:lang w:eastAsia="zh-CN"/>
        </w:rPr>
        <w:t>（甲醇、</w:t>
      </w:r>
      <w:r>
        <w:rPr>
          <w:rFonts w:hint="default" w:ascii="Times New Roman" w:hAnsi="Times New Roman" w:cs="Times New Roman"/>
          <w:kern w:val="0"/>
          <w:sz w:val="24"/>
          <w:highlight w:val="none"/>
          <w:lang w:val="en-US" w:eastAsia="zh-CN"/>
        </w:rPr>
        <w:t>VOCs</w:t>
      </w:r>
      <w:r>
        <w:rPr>
          <w:rFonts w:hint="default" w:ascii="Times New Roman" w:hAnsi="Times New Roman" w:cs="Times New Roman"/>
          <w:kern w:val="0"/>
          <w:sz w:val="24"/>
          <w:highlight w:val="none"/>
          <w:lang w:eastAsia="zh-CN"/>
        </w:rPr>
        <w:t>）</w:t>
      </w:r>
      <w:r>
        <w:rPr>
          <w:rFonts w:hint="default" w:ascii="Times New Roman" w:hAnsi="Times New Roman" w:cs="Times New Roman"/>
          <w:kern w:val="0"/>
          <w:sz w:val="24"/>
          <w:highlight w:val="none"/>
        </w:rPr>
        <w:t>、蒸馏废气G</w:t>
      </w:r>
      <w:r>
        <w:rPr>
          <w:rFonts w:hint="default" w:ascii="Times New Roman" w:hAnsi="Times New Roman" w:cs="Times New Roman"/>
          <w:kern w:val="0"/>
          <w:sz w:val="24"/>
          <w:highlight w:val="none"/>
          <w:vertAlign w:val="subscript"/>
        </w:rPr>
        <w:t>2-3</w:t>
      </w:r>
      <w:r>
        <w:rPr>
          <w:rFonts w:hint="default" w:ascii="Times New Roman" w:hAnsi="Times New Roman" w:cs="Times New Roman"/>
          <w:kern w:val="0"/>
          <w:sz w:val="24"/>
          <w:highlight w:val="none"/>
          <w:lang w:eastAsia="zh-CN"/>
        </w:rPr>
        <w:t>（甲醇、</w:t>
      </w:r>
      <w:r>
        <w:rPr>
          <w:rFonts w:hint="default" w:ascii="Times New Roman" w:hAnsi="Times New Roman" w:cs="Times New Roman"/>
          <w:kern w:val="0"/>
          <w:sz w:val="24"/>
          <w:highlight w:val="none"/>
          <w:lang w:val="en-US" w:eastAsia="zh-CN"/>
        </w:rPr>
        <w:t>VOCs</w:t>
      </w:r>
      <w:r>
        <w:rPr>
          <w:rFonts w:hint="default" w:ascii="Times New Roman" w:hAnsi="Times New Roman" w:cs="Times New Roman"/>
          <w:kern w:val="0"/>
          <w:sz w:val="24"/>
          <w:highlight w:val="none"/>
          <w:lang w:eastAsia="zh-CN"/>
        </w:rPr>
        <w:t>）</w:t>
      </w:r>
      <w:r>
        <w:rPr>
          <w:rFonts w:hint="default" w:ascii="Times New Roman" w:hAnsi="Times New Roman" w:cs="Times New Roman"/>
          <w:kern w:val="0"/>
          <w:sz w:val="24"/>
          <w:highlight w:val="none"/>
        </w:rPr>
        <w:t>。</w:t>
      </w:r>
    </w:p>
    <w:p w14:paraId="750461AC">
      <w:pPr>
        <w:spacing w:line="360" w:lineRule="auto"/>
        <w:ind w:firstLine="465"/>
        <w:jc w:val="left"/>
        <w:rPr>
          <w:rFonts w:hint="default" w:ascii="Times New Roman" w:hAnsi="Times New Roman" w:cs="Times New Roman"/>
          <w:color w:val="auto"/>
          <w:sz w:val="24"/>
          <w:highlight w:val="none"/>
        </w:rPr>
      </w:pPr>
      <w:r>
        <w:rPr>
          <w:rFonts w:hint="default" w:ascii="Times New Roman" w:hAnsi="Times New Roman" w:cs="Times New Roman"/>
          <w:sz w:val="24"/>
          <w:highlight w:val="none"/>
        </w:rPr>
        <w:t>酯化废气</w:t>
      </w:r>
      <w:r>
        <w:rPr>
          <w:rFonts w:hint="default" w:ascii="Times New Roman" w:hAnsi="Times New Roman" w:cs="Times New Roman"/>
          <w:kern w:val="0"/>
          <w:sz w:val="24"/>
          <w:highlight w:val="none"/>
        </w:rPr>
        <w:t>、精馏废气、蒸馏废气经管道收集，经深冷装置冷凝后</w:t>
      </w:r>
      <w:r>
        <w:rPr>
          <w:rFonts w:hint="default" w:ascii="Times New Roman" w:hAnsi="Times New Roman" w:cs="Times New Roman"/>
          <w:sz w:val="24"/>
          <w:highlight w:val="none"/>
        </w:rPr>
        <w:t>进入三级酸洗+</w:t>
      </w:r>
      <w:r>
        <w:rPr>
          <w:rFonts w:hint="default" w:ascii="Times New Roman" w:hAnsi="Times New Roman" w:cs="Times New Roman"/>
          <w:color w:val="auto"/>
          <w:sz w:val="24"/>
          <w:highlight w:val="none"/>
        </w:rPr>
        <w:t>碱洗喷淋吸收塔装置处理，然后经15m高排气筒排放。</w:t>
      </w:r>
    </w:p>
    <w:p w14:paraId="40ECE868">
      <w:pPr>
        <w:spacing w:line="360" w:lineRule="auto"/>
        <w:ind w:firstLine="480"/>
        <w:rPr>
          <w:rFonts w:hint="default" w:ascii="Times New Roman" w:hAnsi="Times New Roman" w:cs="Times New Roman"/>
          <w:color w:val="auto"/>
          <w:sz w:val="24"/>
          <w:highlight w:val="none"/>
        </w:rPr>
      </w:pPr>
      <w:r>
        <w:rPr>
          <w:rFonts w:hint="default" w:ascii="Times New Roman" w:hAnsi="Times New Roman" w:eastAsia="宋体" w:cs="Times New Roman"/>
          <w:color w:val="auto"/>
          <w:sz w:val="24"/>
          <w:szCs w:val="24"/>
          <w:highlight w:val="none"/>
        </w:rPr>
        <w:t xml:space="preserve"> </w:t>
      </w:r>
      <w:r>
        <w:rPr>
          <w:rFonts w:hint="eastAsia" w:cs="Times New Roman"/>
          <w:color w:val="auto"/>
          <w:sz w:val="24"/>
          <w:szCs w:val="24"/>
          <w:highlight w:val="none"/>
          <w:lang w:val="en-US" w:eastAsia="zh-CN"/>
        </w:rPr>
        <w:t>7</w:t>
      </w:r>
      <w:r>
        <w:rPr>
          <w:rFonts w:hint="default"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highlight w:val="none"/>
        </w:rPr>
        <w:t>罐区呼吸废气（</w:t>
      </w:r>
      <w:r>
        <w:rPr>
          <w:rFonts w:hint="default" w:ascii="Times New Roman" w:hAnsi="Times New Roman" w:cs="Times New Roman"/>
          <w:color w:val="auto"/>
          <w:sz w:val="24"/>
          <w:highlight w:val="none"/>
          <w:lang w:eastAsia="zh-CN"/>
        </w:rPr>
        <w:t>苯酚、硫酸雾、甲醇</w:t>
      </w:r>
      <w:r>
        <w:rPr>
          <w:rFonts w:hint="default" w:ascii="Times New Roman" w:hAnsi="Times New Roman" w:cs="Times New Roman"/>
          <w:color w:val="auto"/>
          <w:sz w:val="24"/>
          <w:highlight w:val="none"/>
        </w:rPr>
        <w:t>）</w:t>
      </w:r>
      <w:r>
        <w:rPr>
          <w:rFonts w:hint="default" w:ascii="Times New Roman" w:hAnsi="Times New Roman" w:cs="Times New Roman"/>
          <w:color w:val="auto"/>
          <w:kern w:val="0"/>
          <w:sz w:val="24"/>
          <w:highlight w:val="none"/>
        </w:rPr>
        <w:t>经深冷装置冷凝后</w:t>
      </w:r>
      <w:r>
        <w:rPr>
          <w:rFonts w:hint="default" w:ascii="Times New Roman" w:hAnsi="Times New Roman" w:cs="Times New Roman"/>
          <w:color w:val="auto"/>
          <w:sz w:val="24"/>
          <w:highlight w:val="none"/>
        </w:rPr>
        <w:t>进入三级酸洗+碱洗喷淋吸收塔装置处理，然后经15m高排气筒排放。</w:t>
      </w:r>
    </w:p>
    <w:p w14:paraId="3E8B07C1">
      <w:pPr>
        <w:keepNext w:val="0"/>
        <w:keepLines w:val="0"/>
        <w:pageBreakBefore w:val="0"/>
        <w:widowControl w:val="0"/>
        <w:kinsoku/>
        <w:wordWrap/>
        <w:overflowPunct/>
        <w:topLinePunct w:val="0"/>
        <w:autoSpaceDE/>
        <w:autoSpaceDN/>
        <w:bidi w:val="0"/>
        <w:adjustRightInd w:val="0"/>
        <w:snapToGrid w:val="0"/>
        <w:spacing w:line="360" w:lineRule="auto"/>
        <w:ind w:firstLine="486" w:firstLineChars="200"/>
        <w:textAlignment w:val="auto"/>
        <w:rPr>
          <w:rFonts w:hint="default" w:ascii="Times New Roman" w:hAnsi="Times New Roman" w:cs="Times New Roman"/>
          <w:b w:val="0"/>
          <w:bCs/>
          <w:color w:val="auto"/>
          <w:sz w:val="24"/>
          <w:highlight w:val="none"/>
          <w:lang w:val="en-US" w:eastAsia="zh-CN"/>
        </w:rPr>
      </w:pPr>
      <w:r>
        <w:rPr>
          <w:rFonts w:hint="default" w:ascii="Times New Roman" w:hAnsi="Times New Roman" w:cs="Times New Roman"/>
          <w:b w:val="0"/>
          <w:bCs/>
          <w:color w:val="auto"/>
          <w:sz w:val="24"/>
          <w:highlight w:val="none"/>
          <w:lang w:val="en-US" w:eastAsia="zh-CN"/>
        </w:rPr>
        <w:t>当公司废气处理设施发生故障时，应及时进行故障的排查和修复。当无法短时间内进行修复时，应进行减产或停产。直至故障排除，设施运行正常后恢复生产。</w:t>
      </w:r>
    </w:p>
    <w:p w14:paraId="453EF936">
      <w:pPr>
        <w:adjustRightInd w:val="0"/>
        <w:snapToGrid w:val="0"/>
        <w:spacing w:line="360" w:lineRule="auto"/>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lang w:val="en-US" w:eastAsia="zh-CN"/>
        </w:rPr>
        <w:t>4.1.2.6</w:t>
      </w:r>
      <w:r>
        <w:rPr>
          <w:rFonts w:hint="default" w:ascii="Times New Roman" w:hAnsi="Times New Roman" w:cs="Times New Roman"/>
          <w:b/>
          <w:color w:val="auto"/>
          <w:sz w:val="24"/>
          <w:highlight w:val="none"/>
        </w:rPr>
        <w:t>其他突发环境事件情景分析</w:t>
      </w:r>
    </w:p>
    <w:p w14:paraId="6C22F514">
      <w:pPr>
        <w:autoSpaceDE w:val="0"/>
        <w:autoSpaceDN w:val="0"/>
        <w:adjustRightInd w:val="0"/>
        <w:snapToGrid w:val="0"/>
        <w:spacing w:line="360" w:lineRule="auto"/>
        <w:ind w:firstLine="486" w:firstLineChars="200"/>
        <w:rPr>
          <w:rFonts w:hint="default" w:ascii="Times New Roman" w:hAnsi="Times New Roman" w:cs="Times New Roman"/>
          <w:color w:val="auto"/>
          <w:kern w:val="44"/>
          <w:sz w:val="24"/>
          <w:highlight w:val="none"/>
        </w:rPr>
      </w:pPr>
      <w:r>
        <w:rPr>
          <w:rFonts w:hint="default" w:ascii="Times New Roman" w:hAnsi="Times New Roman" w:cs="Times New Roman"/>
          <w:color w:val="auto"/>
          <w:kern w:val="44"/>
          <w:sz w:val="24"/>
          <w:highlight w:val="none"/>
        </w:rPr>
        <w:t>企业的违法排污、各种自然灾害、极端天气或不利气象条件等都可能会造成废气、废水未经处理直接超标排放，对附近的居民或地表水体等造成较大影响。</w:t>
      </w:r>
    </w:p>
    <w:p w14:paraId="600E4B03">
      <w:pPr>
        <w:autoSpaceDE w:val="0"/>
        <w:autoSpaceDN w:val="0"/>
        <w:adjustRightInd w:val="0"/>
        <w:snapToGrid w:val="0"/>
        <w:spacing w:line="360" w:lineRule="auto"/>
        <w:ind w:firstLine="486" w:firstLineChars="200"/>
        <w:rPr>
          <w:rFonts w:hint="default" w:ascii="Times New Roman" w:hAnsi="Times New Roman" w:cs="Times New Roman"/>
          <w:color w:val="auto"/>
          <w:kern w:val="44"/>
          <w:sz w:val="24"/>
          <w:highlight w:val="none"/>
        </w:rPr>
      </w:pPr>
      <w:r>
        <w:rPr>
          <w:rFonts w:hint="default" w:ascii="Times New Roman" w:hAnsi="Times New Roman" w:cs="Times New Roman"/>
          <w:color w:val="auto"/>
          <w:kern w:val="44"/>
          <w:sz w:val="24"/>
          <w:highlight w:val="none"/>
        </w:rPr>
        <w:t>废气处理设施运转不正常造成</w:t>
      </w:r>
      <w:r>
        <w:rPr>
          <w:rFonts w:hint="default" w:ascii="Times New Roman" w:hAnsi="Times New Roman" w:cs="Times New Roman"/>
          <w:color w:val="auto"/>
          <w:kern w:val="44"/>
          <w:sz w:val="24"/>
          <w:highlight w:val="none"/>
          <w:lang w:eastAsia="zh-CN"/>
        </w:rPr>
        <w:t>废气</w:t>
      </w:r>
      <w:r>
        <w:rPr>
          <w:rFonts w:hint="default" w:ascii="Times New Roman" w:hAnsi="Times New Roman" w:cs="Times New Roman"/>
          <w:color w:val="auto"/>
          <w:kern w:val="44"/>
          <w:sz w:val="24"/>
          <w:highlight w:val="none"/>
        </w:rPr>
        <w:t>超标排放，对大气环境造成较大影响。</w:t>
      </w:r>
    </w:p>
    <w:p w14:paraId="6C2369A3">
      <w:pPr>
        <w:autoSpaceDE w:val="0"/>
        <w:autoSpaceDN w:val="0"/>
        <w:adjustRightInd w:val="0"/>
        <w:snapToGrid w:val="0"/>
        <w:spacing w:line="360" w:lineRule="auto"/>
        <w:ind w:firstLine="486" w:firstLineChars="200"/>
        <w:rPr>
          <w:rFonts w:hint="default" w:ascii="Times New Roman" w:hAnsi="Times New Roman" w:cs="Times New Roman"/>
          <w:color w:val="auto"/>
          <w:kern w:val="44"/>
          <w:sz w:val="24"/>
          <w:highlight w:val="none"/>
        </w:rPr>
      </w:pPr>
      <w:r>
        <w:rPr>
          <w:rFonts w:hint="default" w:ascii="Times New Roman" w:hAnsi="Times New Roman" w:cs="Times New Roman"/>
          <w:color w:val="auto"/>
          <w:kern w:val="44"/>
          <w:sz w:val="24"/>
          <w:highlight w:val="none"/>
        </w:rPr>
        <w:t>风险类型识别见表4.1-1</w:t>
      </w:r>
      <w:r>
        <w:rPr>
          <w:rFonts w:hint="default" w:ascii="Times New Roman" w:hAnsi="Times New Roman" w:cs="Times New Roman"/>
          <w:color w:val="auto"/>
          <w:kern w:val="44"/>
          <w:sz w:val="24"/>
          <w:highlight w:val="none"/>
          <w:lang w:eastAsia="zh-CN"/>
        </w:rPr>
        <w:t>。</w:t>
      </w:r>
    </w:p>
    <w:p w14:paraId="726ADC23">
      <w:pPr>
        <w:adjustRightInd w:val="0"/>
        <w:snapToGrid w:val="0"/>
        <w:spacing w:line="360" w:lineRule="auto"/>
        <w:jc w:val="center"/>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 xml:space="preserve">表4.1-1  </w:t>
      </w:r>
      <w:r>
        <w:rPr>
          <w:rFonts w:hint="default" w:ascii="Times New Roman" w:hAnsi="Times New Roman" w:cs="Times New Roman"/>
          <w:b/>
          <w:color w:val="auto"/>
          <w:sz w:val="24"/>
          <w:highlight w:val="none"/>
          <w:lang w:eastAsia="zh-CN"/>
        </w:rPr>
        <w:t>厂区风险单元及</w:t>
      </w:r>
      <w:r>
        <w:rPr>
          <w:rFonts w:hint="default" w:ascii="Times New Roman" w:hAnsi="Times New Roman" w:cs="Times New Roman"/>
          <w:b/>
          <w:color w:val="auto"/>
          <w:sz w:val="24"/>
          <w:highlight w:val="none"/>
        </w:rPr>
        <w:t>风险类型识别一览表</w:t>
      </w:r>
    </w:p>
    <w:tbl>
      <w:tblPr>
        <w:tblStyle w:val="33"/>
        <w:tblW w:w="97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9"/>
        <w:gridCol w:w="3630"/>
        <w:gridCol w:w="1748"/>
        <w:gridCol w:w="2954"/>
      </w:tblGrid>
      <w:tr w14:paraId="25451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439" w:type="dxa"/>
            <w:tcMar>
              <w:left w:w="0" w:type="dxa"/>
              <w:right w:w="0" w:type="dxa"/>
            </w:tcMar>
            <w:vAlign w:val="center"/>
          </w:tcPr>
          <w:p w14:paraId="4DD8B1AE">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事故类型</w:t>
            </w:r>
          </w:p>
        </w:tc>
        <w:tc>
          <w:tcPr>
            <w:tcW w:w="3630" w:type="dxa"/>
            <w:vAlign w:val="center"/>
          </w:tcPr>
          <w:p w14:paraId="4D2CF027">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伴生事故</w:t>
            </w:r>
          </w:p>
        </w:tc>
        <w:tc>
          <w:tcPr>
            <w:tcW w:w="1748" w:type="dxa"/>
            <w:vAlign w:val="center"/>
          </w:tcPr>
          <w:p w14:paraId="469F09DC">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风险途径</w:t>
            </w:r>
          </w:p>
        </w:tc>
        <w:tc>
          <w:tcPr>
            <w:tcW w:w="2954" w:type="dxa"/>
            <w:vAlign w:val="center"/>
          </w:tcPr>
          <w:p w14:paraId="29475136">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伴生事故风险途径</w:t>
            </w:r>
          </w:p>
        </w:tc>
      </w:tr>
      <w:tr w14:paraId="36E58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439" w:type="dxa"/>
            <w:tcMar>
              <w:left w:w="0" w:type="dxa"/>
              <w:right w:w="0" w:type="dxa"/>
            </w:tcMar>
            <w:vAlign w:val="center"/>
          </w:tcPr>
          <w:p w14:paraId="67045982">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火灾</w:t>
            </w:r>
          </w:p>
        </w:tc>
        <w:tc>
          <w:tcPr>
            <w:tcW w:w="3630" w:type="dxa"/>
            <w:vAlign w:val="center"/>
          </w:tcPr>
          <w:p w14:paraId="0F402DB4">
            <w:pPr>
              <w:keepNext w:val="0"/>
              <w:keepLines w:val="0"/>
              <w:numPr>
                <w:ilvl w:val="0"/>
                <w:numId w:val="6"/>
              </w:numPr>
              <w:suppressLineNumbers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生产车间的火灾；</w:t>
            </w:r>
          </w:p>
          <w:p w14:paraId="080B88CA">
            <w:pPr>
              <w:keepNext w:val="0"/>
              <w:keepLines w:val="0"/>
              <w:numPr>
                <w:ilvl w:val="0"/>
                <w:numId w:val="0"/>
              </w:numPr>
              <w:suppressLineNumbers w:val="0"/>
              <w:spacing w:before="0" w:beforeAutospacing="0" w:after="0" w:afterAutospacing="0"/>
              <w:ind w:left="0" w:right="0" w:rightChars="0"/>
              <w:rPr>
                <w:rFonts w:hint="default" w:ascii="Times New Roman" w:hAnsi="Times New Roman" w:cs="Times New Roman" w:eastAsiaTheme="minorEastAsia"/>
                <w:color w:val="auto"/>
                <w:sz w:val="21"/>
                <w:szCs w:val="21"/>
                <w:highlight w:val="none"/>
                <w:lang w:eastAsia="zh-CN"/>
              </w:rPr>
            </w:pPr>
            <w:r>
              <w:rPr>
                <w:rFonts w:hint="default" w:ascii="Times New Roman" w:hAnsi="Times New Roman" w:cs="Times New Roman" w:eastAsiaTheme="minorEastAsia"/>
                <w:color w:val="auto"/>
                <w:sz w:val="21"/>
                <w:szCs w:val="21"/>
                <w:highlight w:val="none"/>
                <w:lang w:val="en-US" w:eastAsia="zh-CN"/>
              </w:rPr>
              <w:t>2、</w:t>
            </w:r>
            <w:r>
              <w:rPr>
                <w:rFonts w:hint="default" w:ascii="Times New Roman" w:hAnsi="Times New Roman" w:cs="Times New Roman" w:eastAsiaTheme="minorEastAsia"/>
                <w:color w:val="auto"/>
                <w:sz w:val="21"/>
                <w:szCs w:val="21"/>
                <w:highlight w:val="none"/>
                <w:lang w:eastAsia="zh-CN"/>
              </w:rPr>
              <w:t>物料泄漏和流失发生不希望的化学反应生成剧毒物质或产生爆炸；</w:t>
            </w:r>
          </w:p>
          <w:p w14:paraId="31DAFFE5">
            <w:pPr>
              <w:keepNext w:val="0"/>
              <w:keepLines w:val="0"/>
              <w:suppressLineNumbers w:val="0"/>
              <w:spacing w:before="0" w:beforeAutospacing="0" w:after="0" w:afterAutospacing="0"/>
              <w:ind w:left="0" w:right="0"/>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3、</w:t>
            </w:r>
            <w:r>
              <w:rPr>
                <w:rFonts w:hint="default" w:ascii="Times New Roman" w:hAnsi="Times New Roman" w:cs="Times New Roman" w:eastAsiaTheme="minorEastAsia"/>
                <w:color w:val="auto"/>
                <w:sz w:val="21"/>
                <w:szCs w:val="21"/>
                <w:highlight w:val="none"/>
                <w:lang w:eastAsia="zh-CN"/>
              </w:rPr>
              <w:t>有毒物料进入大气系统</w:t>
            </w:r>
          </w:p>
        </w:tc>
        <w:tc>
          <w:tcPr>
            <w:tcW w:w="1748" w:type="dxa"/>
            <w:vAlign w:val="center"/>
          </w:tcPr>
          <w:p w14:paraId="65F6CD15">
            <w:pPr>
              <w:keepNext w:val="0"/>
              <w:keepLines w:val="0"/>
              <w:suppressLineNumbers w:val="0"/>
              <w:spacing w:before="0" w:beforeAutospacing="0" w:after="0" w:afterAutospacing="0"/>
              <w:ind w:left="0" w:right="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1、热辐射：空气</w:t>
            </w:r>
          </w:p>
          <w:p w14:paraId="5A003607">
            <w:pPr>
              <w:keepNext w:val="0"/>
              <w:keepLines w:val="0"/>
              <w:suppressLineNumbers w:val="0"/>
              <w:spacing w:before="0" w:beforeAutospacing="0" w:after="0" w:afterAutospacing="0"/>
              <w:ind w:left="0" w:right="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2、浓烟：空气</w:t>
            </w:r>
          </w:p>
        </w:tc>
        <w:tc>
          <w:tcPr>
            <w:tcW w:w="2954" w:type="dxa"/>
            <w:vAlign w:val="center"/>
          </w:tcPr>
          <w:p w14:paraId="581BF7E3">
            <w:pPr>
              <w:keepNext w:val="0"/>
              <w:keepLines w:val="0"/>
              <w:suppressLineNumbers w:val="0"/>
              <w:spacing w:before="0" w:beforeAutospacing="0" w:after="0" w:afterAutospacing="0"/>
              <w:ind w:left="0" w:right="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1、热辐射：空气；浓烟：空气</w:t>
            </w:r>
          </w:p>
          <w:p w14:paraId="63778C54">
            <w:pPr>
              <w:keepNext w:val="0"/>
              <w:keepLines w:val="0"/>
              <w:suppressLineNumbers w:val="0"/>
              <w:spacing w:before="0" w:beforeAutospacing="0" w:after="0" w:afterAutospacing="0"/>
              <w:ind w:left="0" w:right="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2、有毒物质：排水系统或空气</w:t>
            </w:r>
          </w:p>
        </w:tc>
      </w:tr>
      <w:tr w14:paraId="73DC3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439" w:type="dxa"/>
            <w:tcMar>
              <w:left w:w="0" w:type="dxa"/>
              <w:right w:w="0" w:type="dxa"/>
            </w:tcMar>
            <w:vAlign w:val="center"/>
          </w:tcPr>
          <w:p w14:paraId="5C728120">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sz w:val="21"/>
                <w:szCs w:val="21"/>
                <w:highlight w:val="none"/>
                <w:lang w:eastAsia="zh-CN"/>
              </w:rPr>
            </w:pPr>
            <w:r>
              <w:rPr>
                <w:rFonts w:hint="default" w:ascii="Times New Roman" w:hAnsi="Times New Roman" w:cs="Times New Roman" w:eastAsiaTheme="minorEastAsia"/>
                <w:color w:val="auto"/>
                <w:sz w:val="21"/>
                <w:szCs w:val="21"/>
                <w:highlight w:val="none"/>
                <w:lang w:eastAsia="zh-CN"/>
              </w:rPr>
              <w:t>火灾、爆炸</w:t>
            </w:r>
          </w:p>
        </w:tc>
        <w:tc>
          <w:tcPr>
            <w:tcW w:w="3630" w:type="dxa"/>
            <w:vAlign w:val="center"/>
          </w:tcPr>
          <w:p w14:paraId="574F6392">
            <w:pPr>
              <w:keepNext w:val="0"/>
              <w:keepLines w:val="0"/>
              <w:numPr>
                <w:ilvl w:val="0"/>
                <w:numId w:val="0"/>
              </w:numPr>
              <w:suppressLineNumbers w:val="0"/>
              <w:spacing w:before="0" w:beforeAutospacing="0" w:after="0" w:afterAutospacing="0"/>
              <w:ind w:left="0" w:right="0" w:rightChars="0"/>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1、生产车间的火灾；</w:t>
            </w:r>
          </w:p>
          <w:p w14:paraId="685C577F">
            <w:pPr>
              <w:keepNext w:val="0"/>
              <w:keepLines w:val="0"/>
              <w:numPr>
                <w:ilvl w:val="0"/>
                <w:numId w:val="0"/>
              </w:numPr>
              <w:suppressLineNumbers w:val="0"/>
              <w:spacing w:before="0" w:beforeAutospacing="0" w:after="0" w:afterAutospacing="0"/>
              <w:ind w:left="0" w:right="0" w:rightChars="0"/>
              <w:rPr>
                <w:rFonts w:hint="default" w:ascii="Times New Roman" w:hAnsi="Times New Roman" w:cs="Times New Roman" w:eastAsiaTheme="minorEastAsia"/>
                <w:color w:val="auto"/>
                <w:sz w:val="21"/>
                <w:szCs w:val="21"/>
                <w:highlight w:val="none"/>
                <w:lang w:eastAsia="zh-CN"/>
              </w:rPr>
            </w:pPr>
            <w:r>
              <w:rPr>
                <w:rFonts w:hint="default" w:ascii="Times New Roman" w:hAnsi="Times New Roman" w:cs="Times New Roman" w:eastAsiaTheme="minorEastAsia"/>
                <w:color w:val="auto"/>
                <w:sz w:val="21"/>
                <w:szCs w:val="21"/>
                <w:highlight w:val="none"/>
                <w:lang w:val="en-US" w:eastAsia="zh-CN"/>
              </w:rPr>
              <w:t>2、</w:t>
            </w:r>
            <w:r>
              <w:rPr>
                <w:rFonts w:hint="default" w:ascii="Times New Roman" w:hAnsi="Times New Roman" w:cs="Times New Roman" w:eastAsiaTheme="minorEastAsia"/>
                <w:color w:val="auto"/>
                <w:sz w:val="21"/>
                <w:szCs w:val="21"/>
                <w:highlight w:val="none"/>
                <w:lang w:eastAsia="zh-CN"/>
              </w:rPr>
              <w:t>物料泄漏和流失发生不希望的化学反应生成剧毒物质或产生爆炸；</w:t>
            </w:r>
          </w:p>
          <w:p w14:paraId="63CEE6A2">
            <w:pPr>
              <w:keepNext w:val="0"/>
              <w:keepLines w:val="0"/>
              <w:suppressLineNumbers w:val="0"/>
              <w:spacing w:before="0" w:beforeAutospacing="0" w:after="0" w:afterAutospacing="0"/>
              <w:ind w:left="0" w:right="0"/>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3、</w:t>
            </w:r>
            <w:r>
              <w:rPr>
                <w:rFonts w:hint="default" w:ascii="Times New Roman" w:hAnsi="Times New Roman" w:cs="Times New Roman" w:eastAsiaTheme="minorEastAsia"/>
                <w:color w:val="auto"/>
                <w:sz w:val="21"/>
                <w:szCs w:val="21"/>
                <w:highlight w:val="none"/>
                <w:lang w:eastAsia="zh-CN"/>
              </w:rPr>
              <w:t>有毒物料进入大气系统</w:t>
            </w:r>
          </w:p>
        </w:tc>
        <w:tc>
          <w:tcPr>
            <w:tcW w:w="1748" w:type="dxa"/>
            <w:vAlign w:val="center"/>
          </w:tcPr>
          <w:p w14:paraId="1E6B9D8A">
            <w:pPr>
              <w:pStyle w:val="2"/>
              <w:keepNext w:val="0"/>
              <w:keepLines w:val="0"/>
              <w:suppressLineNumbers w:val="0"/>
              <w:spacing w:before="0" w:beforeAutospacing="0" w:afterAutospacing="0"/>
              <w:ind w:left="0" w:leftChars="0" w:right="0" w:firstLine="0" w:firstLineChars="0"/>
              <w:jc w:val="left"/>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1、爆炸超压：空气；</w:t>
            </w:r>
          </w:p>
          <w:p w14:paraId="6866D15D">
            <w:pPr>
              <w:pStyle w:val="2"/>
              <w:keepNext w:val="0"/>
              <w:keepLines w:val="0"/>
              <w:suppressLineNumbers w:val="0"/>
              <w:spacing w:before="0" w:beforeAutospacing="0" w:afterAutospacing="0"/>
              <w:ind w:left="0" w:leftChars="0" w:right="0" w:firstLine="0" w:firstLineChars="0"/>
              <w:jc w:val="left"/>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2、冲击波：空气；</w:t>
            </w:r>
          </w:p>
          <w:p w14:paraId="09F81BCF">
            <w:pPr>
              <w:pStyle w:val="2"/>
              <w:keepNext w:val="0"/>
              <w:keepLines w:val="0"/>
              <w:suppressLineNumbers w:val="0"/>
              <w:spacing w:before="0" w:beforeAutospacing="0" w:afterAutospacing="0"/>
              <w:ind w:left="0" w:leftChars="0" w:right="0" w:firstLine="0" w:firstLineChars="0"/>
              <w:jc w:val="left"/>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3、碎片冲击：空气</w:t>
            </w:r>
          </w:p>
        </w:tc>
        <w:tc>
          <w:tcPr>
            <w:tcW w:w="2954" w:type="dxa"/>
            <w:vAlign w:val="center"/>
          </w:tcPr>
          <w:p w14:paraId="712A7DB0">
            <w:pPr>
              <w:keepNext w:val="0"/>
              <w:keepLines w:val="0"/>
              <w:suppressLineNumbers w:val="0"/>
              <w:spacing w:before="0" w:beforeAutospacing="0" w:after="0" w:afterAutospacing="0"/>
              <w:ind w:left="0" w:right="0"/>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1、爆炸风险途径相同；</w:t>
            </w:r>
          </w:p>
          <w:p w14:paraId="755A50CE">
            <w:pPr>
              <w:keepNext w:val="0"/>
              <w:keepLines w:val="0"/>
              <w:suppressLineNumbers w:val="0"/>
              <w:spacing w:before="0" w:beforeAutospacing="0" w:after="0" w:afterAutospacing="0"/>
              <w:ind w:left="0" w:right="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2、有毒物质：排水系统或空气</w:t>
            </w:r>
          </w:p>
        </w:tc>
      </w:tr>
      <w:tr w14:paraId="3CD4C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439" w:type="dxa"/>
            <w:tcMar>
              <w:left w:w="0" w:type="dxa"/>
              <w:right w:w="0" w:type="dxa"/>
            </w:tcMar>
            <w:vAlign w:val="center"/>
          </w:tcPr>
          <w:p w14:paraId="6A5D186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有毒液体物料泄漏</w:t>
            </w:r>
          </w:p>
        </w:tc>
        <w:tc>
          <w:tcPr>
            <w:tcW w:w="3630" w:type="dxa"/>
            <w:vAlign w:val="center"/>
          </w:tcPr>
          <w:p w14:paraId="664D43C1">
            <w:pPr>
              <w:keepNext w:val="0"/>
              <w:keepLines w:val="0"/>
              <w:numPr>
                <w:ilvl w:val="0"/>
                <w:numId w:val="7"/>
              </w:numPr>
              <w:suppressLineNumbers w:val="0"/>
              <w:spacing w:before="0" w:beforeAutospacing="0" w:after="0" w:afterAutospacing="0"/>
              <w:ind w:left="0" w:right="0"/>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有机物蒸汽逸散；</w:t>
            </w:r>
          </w:p>
          <w:p w14:paraId="4C796156">
            <w:pPr>
              <w:keepNext w:val="0"/>
              <w:keepLines w:val="0"/>
              <w:numPr>
                <w:ilvl w:val="0"/>
                <w:numId w:val="7"/>
              </w:numPr>
              <w:suppressLineNumbers w:val="0"/>
              <w:spacing w:before="0" w:beforeAutospacing="0" w:after="0" w:afterAutospacing="0"/>
              <w:ind w:left="0" w:right="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引起火灾爆炸</w:t>
            </w:r>
          </w:p>
        </w:tc>
        <w:tc>
          <w:tcPr>
            <w:tcW w:w="1748" w:type="dxa"/>
            <w:vAlign w:val="center"/>
          </w:tcPr>
          <w:p w14:paraId="4ECFAC7B">
            <w:pPr>
              <w:keepNext w:val="0"/>
              <w:keepLines w:val="0"/>
              <w:suppressLineNumbers w:val="0"/>
              <w:spacing w:before="0" w:beforeAutospacing="0" w:after="0" w:afterAutospacing="0"/>
              <w:ind w:left="0" w:right="0"/>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排水系统</w:t>
            </w:r>
          </w:p>
        </w:tc>
        <w:tc>
          <w:tcPr>
            <w:tcW w:w="2954" w:type="dxa"/>
            <w:vAlign w:val="center"/>
          </w:tcPr>
          <w:p w14:paraId="7C2AD567">
            <w:pPr>
              <w:keepNext w:val="0"/>
              <w:keepLines w:val="0"/>
              <w:suppressLineNumbers w:val="0"/>
              <w:spacing w:before="0" w:beforeAutospacing="0" w:after="0" w:afterAutospacing="0"/>
              <w:ind w:left="0" w:right="0"/>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火灾爆炸</w:t>
            </w:r>
            <w:r>
              <w:rPr>
                <w:rFonts w:hint="default" w:ascii="Times New Roman" w:hAnsi="Times New Roman" w:cs="Times New Roman"/>
                <w:color w:val="auto"/>
                <w:sz w:val="21"/>
                <w:szCs w:val="21"/>
                <w:highlight w:val="none"/>
                <w:lang w:val="en-US" w:eastAsia="zh-CN"/>
              </w:rPr>
              <w:t>风险途径相同</w:t>
            </w:r>
          </w:p>
        </w:tc>
      </w:tr>
      <w:tr w14:paraId="13057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439" w:type="dxa"/>
            <w:tcMar>
              <w:left w:w="0" w:type="dxa"/>
              <w:right w:w="0" w:type="dxa"/>
            </w:tcMar>
            <w:vAlign w:val="center"/>
          </w:tcPr>
          <w:p w14:paraId="4380748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rPr>
              <w:t>消防废水</w:t>
            </w:r>
            <w:r>
              <w:rPr>
                <w:rFonts w:hint="eastAsia" w:cs="Times New Roman"/>
                <w:color w:val="auto"/>
                <w:szCs w:val="21"/>
                <w:lang w:eastAsia="zh-CN"/>
              </w:rPr>
              <w:t>以及物料</w:t>
            </w:r>
            <w:r>
              <w:rPr>
                <w:rFonts w:hint="default" w:ascii="Times New Roman" w:hAnsi="Times New Roman" w:cs="Times New Roman"/>
                <w:color w:val="auto"/>
                <w:szCs w:val="21"/>
              </w:rPr>
              <w:t>泄漏</w:t>
            </w:r>
          </w:p>
        </w:tc>
        <w:tc>
          <w:tcPr>
            <w:tcW w:w="3630" w:type="dxa"/>
            <w:vAlign w:val="center"/>
          </w:tcPr>
          <w:p w14:paraId="054D26C9">
            <w:pPr>
              <w:keepNext w:val="0"/>
              <w:keepLines w:val="0"/>
              <w:suppressLineNumbers w:val="0"/>
              <w:spacing w:before="0" w:beforeAutospacing="0" w:after="0" w:afterAutospacing="0"/>
              <w:ind w:left="0" w:leftChars="0" w:right="0" w:rightChars="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rPr>
              <w:t>土壤污染</w:t>
            </w:r>
          </w:p>
        </w:tc>
        <w:tc>
          <w:tcPr>
            <w:tcW w:w="1748" w:type="dxa"/>
            <w:vAlign w:val="center"/>
          </w:tcPr>
          <w:p w14:paraId="71E45CD7">
            <w:pPr>
              <w:keepNext w:val="0"/>
              <w:keepLines w:val="0"/>
              <w:suppressLineNumbers w:val="0"/>
              <w:spacing w:before="0" w:beforeAutospacing="0" w:after="0" w:afterAutospacing="0"/>
              <w:ind w:left="0" w:leftChars="0" w:right="0" w:rightChars="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rPr>
              <w:t>渗漏：土壤</w:t>
            </w:r>
          </w:p>
        </w:tc>
        <w:tc>
          <w:tcPr>
            <w:tcW w:w="2954" w:type="dxa"/>
            <w:vAlign w:val="center"/>
          </w:tcPr>
          <w:p w14:paraId="3FA3CA43">
            <w:pPr>
              <w:keepNext w:val="0"/>
              <w:keepLines w:val="0"/>
              <w:suppressLineNumbers w:val="0"/>
              <w:spacing w:before="0" w:beforeAutospacing="0" w:after="0" w:afterAutospacing="0"/>
              <w:ind w:left="0" w:leftChars="0" w:right="0" w:rightChars="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rPr>
              <w:t>渗漏：土壤</w:t>
            </w:r>
          </w:p>
        </w:tc>
      </w:tr>
    </w:tbl>
    <w:p w14:paraId="5BA8E9EB">
      <w:pPr>
        <w:pStyle w:val="7"/>
        <w:spacing w:before="0" w:after="0"/>
        <w:rPr>
          <w:rFonts w:hint="default" w:ascii="Times New Roman" w:hAnsi="Times New Roman" w:cs="Times New Roman"/>
          <w:color w:val="auto"/>
          <w:highlight w:val="none"/>
        </w:rPr>
      </w:pPr>
      <w:bookmarkStart w:id="129" w:name="_Toc423956612"/>
      <w:bookmarkStart w:id="130" w:name="_Toc425866204"/>
      <w:bookmarkStart w:id="131" w:name="_Toc5629"/>
      <w:bookmarkStart w:id="132" w:name="_Toc13469"/>
      <w:bookmarkStart w:id="133" w:name="_Toc26990"/>
      <w:bookmarkStart w:id="134" w:name="_Toc1781"/>
      <w:r>
        <w:rPr>
          <w:rFonts w:hint="default" w:ascii="Times New Roman" w:hAnsi="Times New Roman" w:cs="Times New Roman"/>
          <w:color w:val="auto"/>
          <w:highlight w:val="none"/>
        </w:rPr>
        <w:t>4.2 突发环境事件情景源强分析</w:t>
      </w:r>
      <w:bookmarkEnd w:id="129"/>
      <w:bookmarkEnd w:id="130"/>
      <w:bookmarkEnd w:id="131"/>
      <w:bookmarkEnd w:id="132"/>
      <w:bookmarkEnd w:id="133"/>
      <w:bookmarkEnd w:id="134"/>
    </w:p>
    <w:p w14:paraId="6635EAE6">
      <w:pPr>
        <w:outlineLvl w:val="9"/>
        <w:rPr>
          <w:rFonts w:hint="default" w:ascii="Times New Roman" w:hAnsi="Times New Roman" w:cs="Times New Roman"/>
          <w:b/>
          <w:bCs/>
          <w:color w:val="auto"/>
          <w:sz w:val="24"/>
          <w:szCs w:val="32"/>
        </w:rPr>
      </w:pPr>
      <w:bookmarkStart w:id="135" w:name="_Toc434493767"/>
      <w:bookmarkStart w:id="136" w:name="_Toc430618376"/>
      <w:bookmarkStart w:id="137" w:name="_Toc23148"/>
      <w:bookmarkStart w:id="138" w:name="_Toc426701452"/>
      <w:r>
        <w:rPr>
          <w:rFonts w:hint="default" w:ascii="Times New Roman" w:hAnsi="Times New Roman" w:cs="Times New Roman"/>
          <w:b/>
          <w:bCs/>
          <w:color w:val="auto"/>
          <w:sz w:val="24"/>
          <w:szCs w:val="32"/>
        </w:rPr>
        <w:t>4.</w:t>
      </w:r>
      <w:r>
        <w:rPr>
          <w:rFonts w:hint="default" w:ascii="Times New Roman" w:hAnsi="Times New Roman" w:cs="Times New Roman"/>
          <w:b/>
          <w:bCs/>
          <w:color w:val="auto"/>
          <w:sz w:val="24"/>
          <w:szCs w:val="32"/>
          <w:lang w:val="en-US" w:eastAsia="zh-CN"/>
        </w:rPr>
        <w:t>2</w:t>
      </w:r>
      <w:r>
        <w:rPr>
          <w:rFonts w:hint="default" w:ascii="Times New Roman" w:hAnsi="Times New Roman" w:cs="Times New Roman"/>
          <w:b/>
          <w:bCs/>
          <w:color w:val="auto"/>
          <w:sz w:val="24"/>
          <w:szCs w:val="32"/>
        </w:rPr>
        <w:t>.1突发环境事件情景分析</w:t>
      </w:r>
      <w:bookmarkEnd w:id="135"/>
      <w:bookmarkEnd w:id="136"/>
    </w:p>
    <w:p w14:paraId="71B927ED">
      <w:pPr>
        <w:spacing w:line="360" w:lineRule="auto"/>
        <w:ind w:firstLine="486" w:firstLineChars="200"/>
        <w:rPr>
          <w:rFonts w:hint="default" w:ascii="Times New Roman" w:hAnsi="Times New Roman" w:cs="Times New Roman"/>
          <w:color w:val="auto"/>
          <w:sz w:val="24"/>
        </w:rPr>
      </w:pPr>
      <w:bookmarkStart w:id="139" w:name="_Toc434493768"/>
      <w:r>
        <w:rPr>
          <w:rFonts w:hint="default" w:ascii="Times New Roman" w:hAnsi="Times New Roman" w:cs="Times New Roman"/>
          <w:color w:val="auto"/>
          <w:sz w:val="24"/>
        </w:rPr>
        <w:t>根据项目风险因素识别和比较的结果，结合事故统计分析，本次评价认为，本项目的风险类型</w:t>
      </w:r>
      <w:r>
        <w:rPr>
          <w:rFonts w:hint="default" w:ascii="Times New Roman" w:hAnsi="Times New Roman" w:cs="Times New Roman"/>
          <w:color w:val="auto"/>
          <w:sz w:val="24"/>
          <w:lang w:eastAsia="zh-CN"/>
        </w:rPr>
        <w:t>主要为</w:t>
      </w:r>
      <w:r>
        <w:rPr>
          <w:rFonts w:hint="default" w:ascii="Times New Roman" w:hAnsi="Times New Roman" w:cs="Times New Roman"/>
          <w:color w:val="auto"/>
          <w:sz w:val="24"/>
        </w:rPr>
        <w:t>储罐区</w:t>
      </w:r>
      <w:r>
        <w:rPr>
          <w:rFonts w:hint="default" w:ascii="Times New Roman" w:hAnsi="Times New Roman" w:cs="Times New Roman"/>
          <w:color w:val="auto"/>
          <w:sz w:val="24"/>
          <w:lang w:eastAsia="zh-CN"/>
        </w:rPr>
        <w:t>、生产</w:t>
      </w:r>
      <w:r>
        <w:rPr>
          <w:rFonts w:hint="default" w:ascii="Times New Roman" w:hAnsi="Times New Roman" w:cs="Times New Roman"/>
          <w:color w:val="auto"/>
          <w:sz w:val="24"/>
        </w:rPr>
        <w:t>装置中</w:t>
      </w:r>
      <w:r>
        <w:rPr>
          <w:rFonts w:hint="eastAsia" w:cs="Times New Roman"/>
          <w:color w:val="auto"/>
          <w:sz w:val="24"/>
          <w:lang w:eastAsia="zh-CN"/>
        </w:rPr>
        <w:t>苯酚、</w:t>
      </w:r>
      <w:r>
        <w:rPr>
          <w:rFonts w:hint="default" w:ascii="Times New Roman" w:hAnsi="Times New Roman" w:cs="Times New Roman"/>
          <w:color w:val="auto"/>
          <w:sz w:val="24"/>
          <w:lang w:eastAsia="zh-CN"/>
        </w:rPr>
        <w:t>甲醇、</w:t>
      </w:r>
      <w:r>
        <w:rPr>
          <w:rFonts w:hint="eastAsia" w:cs="Times New Roman"/>
          <w:color w:val="auto"/>
          <w:sz w:val="24"/>
          <w:lang w:eastAsia="zh-CN"/>
        </w:rPr>
        <w:t>氨气</w:t>
      </w:r>
      <w:r>
        <w:rPr>
          <w:rFonts w:hint="default" w:ascii="Times New Roman" w:hAnsi="Times New Roman" w:cs="Times New Roman"/>
          <w:color w:val="auto"/>
          <w:sz w:val="24"/>
        </w:rPr>
        <w:t xml:space="preserve">等物质泄漏引起的环境影响及泄漏引起的火灾、爆炸事故； </w:t>
      </w:r>
    </w:p>
    <w:p w14:paraId="47D50921">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ascii="Times New Roman" w:hAnsi="Times New Roman" w:eastAsia="宋体" w:cs="Times New Roman"/>
          <w:b/>
          <w:bCs/>
          <w:color w:val="auto"/>
          <w:sz w:val="24"/>
          <w:szCs w:val="32"/>
        </w:rPr>
      </w:pPr>
      <w:r>
        <w:rPr>
          <w:rFonts w:hint="default" w:ascii="Times New Roman" w:hAnsi="Times New Roman" w:eastAsia="宋体" w:cs="Times New Roman"/>
          <w:b/>
          <w:bCs/>
          <w:color w:val="auto"/>
          <w:sz w:val="24"/>
          <w:szCs w:val="32"/>
        </w:rPr>
        <w:t>4.</w:t>
      </w:r>
      <w:r>
        <w:rPr>
          <w:rFonts w:hint="default" w:ascii="Times New Roman" w:hAnsi="Times New Roman" w:eastAsia="宋体" w:cs="Times New Roman"/>
          <w:b/>
          <w:bCs/>
          <w:color w:val="auto"/>
          <w:sz w:val="24"/>
          <w:szCs w:val="32"/>
          <w:lang w:val="en-US" w:eastAsia="zh-CN"/>
        </w:rPr>
        <w:t>2</w:t>
      </w:r>
      <w:r>
        <w:rPr>
          <w:rFonts w:hint="default" w:ascii="Times New Roman" w:hAnsi="Times New Roman" w:eastAsia="宋体" w:cs="Times New Roman"/>
          <w:b/>
          <w:bCs/>
          <w:color w:val="auto"/>
          <w:sz w:val="24"/>
          <w:szCs w:val="32"/>
        </w:rPr>
        <w:t>.2突发环境事件情景源强分析</w:t>
      </w:r>
      <w:bookmarkEnd w:id="139"/>
    </w:p>
    <w:p w14:paraId="003C68EF">
      <w:pPr>
        <w:keepNext w:val="0"/>
        <w:keepLines w:val="0"/>
        <w:pageBreakBefore w:val="0"/>
        <w:widowControl w:val="0"/>
        <w:numPr>
          <w:ilvl w:val="3"/>
          <w:numId w:val="0"/>
        </w:numPr>
        <w:kinsoku/>
        <w:wordWrap/>
        <w:overflowPunct/>
        <w:topLinePunct w:val="0"/>
        <w:autoSpaceDE/>
        <w:autoSpaceDN/>
        <w:bidi w:val="0"/>
        <w:adjustRightInd/>
        <w:snapToGrid/>
        <w:spacing w:line="360" w:lineRule="auto"/>
        <w:ind w:left="482" w:leftChars="0"/>
        <w:textAlignment w:val="auto"/>
        <w:outlineLvl w:val="9"/>
        <w:rPr>
          <w:rFonts w:hint="default" w:ascii="Times New Roman" w:hAnsi="Times New Roman" w:cs="Times New Roman"/>
          <w:color w:val="auto"/>
          <w:sz w:val="24"/>
          <w:szCs w:val="32"/>
        </w:rPr>
      </w:pPr>
      <w:r>
        <w:rPr>
          <w:rFonts w:hint="default" w:ascii="Times New Roman" w:hAnsi="Times New Roman" w:cs="Times New Roman"/>
          <w:color w:val="auto"/>
          <w:sz w:val="24"/>
          <w:szCs w:val="32"/>
        </w:rPr>
        <w:t>4.5.2.1危险化学品泄漏源强分析</w:t>
      </w:r>
    </w:p>
    <w:p w14:paraId="6E779644">
      <w:pPr>
        <w:spacing w:line="360" w:lineRule="auto"/>
        <w:ind w:firstLine="486" w:firstLineChars="200"/>
        <w:rPr>
          <w:rFonts w:hint="default" w:ascii="Times New Roman" w:hAnsi="Times New Roman" w:cs="Times New Roman"/>
          <w:color w:val="auto"/>
          <w:sz w:val="24"/>
        </w:rPr>
      </w:pPr>
      <w:r>
        <w:rPr>
          <w:rFonts w:hint="default" w:ascii="Times New Roman" w:hAnsi="Times New Roman" w:cs="Times New Roman"/>
          <w:color w:val="auto"/>
          <w:sz w:val="24"/>
        </w:rPr>
        <w:t>本项目虽具有多个事故风险源，但环境风险将来自主要危险源的事故性泄漏，尤其是重大危险源。项目最大可信事故的确定是依据事故源大小和物质特性对环境的影响程度确定。根据事故源识别和事故因素分析表明，生产物料泄漏为重大环境污染事故隐患，事故原因主要是生产装置和储罐壳件出口部位断裂、阀门破损等。</w:t>
      </w:r>
    </w:p>
    <w:p w14:paraId="4592E4E9">
      <w:pPr>
        <w:spacing w:line="360" w:lineRule="auto"/>
        <w:rPr>
          <w:rFonts w:hint="default" w:ascii="Times New Roman" w:hAnsi="Times New Roman" w:cs="Times New Roman"/>
          <w:color w:val="auto"/>
          <w:sz w:val="24"/>
        </w:rPr>
      </w:pPr>
      <w:r>
        <w:rPr>
          <w:rFonts w:hint="default" w:ascii="Times New Roman" w:hAnsi="Times New Roman" w:cs="Times New Roman"/>
          <w:color w:val="auto"/>
          <w:sz w:val="24"/>
          <w:lang w:val="en-US" w:eastAsia="zh-CN"/>
        </w:rPr>
        <w:t xml:space="preserve">    </w:t>
      </w:r>
      <w:r>
        <w:rPr>
          <w:rFonts w:hint="default" w:ascii="Times New Roman" w:hAnsi="Times New Roman" w:cs="Times New Roman"/>
          <w:color w:val="auto"/>
          <w:sz w:val="24"/>
        </w:rPr>
        <w:t>考虑到原料、产品等物料在理化性质、储存量及毒性、危险性的差异，评价确定本项目最大可信事故及类型为：生产装置或储罐发生泄漏事故（污染物为</w:t>
      </w:r>
      <w:r>
        <w:rPr>
          <w:rFonts w:hint="default" w:ascii="Times New Roman" w:hAnsi="Times New Roman" w:eastAsia="宋体" w:cs="Times New Roman"/>
          <w:bCs w:val="0"/>
          <w:snapToGrid/>
          <w:color w:val="auto"/>
          <w:kern w:val="2"/>
          <w:sz w:val="24"/>
          <w:szCs w:val="24"/>
          <w:lang w:eastAsia="zh-CN"/>
        </w:rPr>
        <w:t>苯酚、甲醇</w:t>
      </w:r>
      <w:r>
        <w:rPr>
          <w:rFonts w:hint="eastAsia" w:cs="Times New Roman"/>
          <w:bCs w:val="0"/>
          <w:snapToGrid/>
          <w:color w:val="auto"/>
          <w:kern w:val="2"/>
          <w:sz w:val="24"/>
          <w:szCs w:val="24"/>
          <w:lang w:eastAsia="zh-CN"/>
        </w:rPr>
        <w:t>、氯气、氨气</w:t>
      </w:r>
      <w:r>
        <w:rPr>
          <w:rFonts w:hint="default" w:ascii="Times New Roman" w:hAnsi="Times New Roman" w:eastAsia="宋体" w:cs="Times New Roman"/>
          <w:color w:val="auto"/>
          <w:kern w:val="2"/>
          <w:sz w:val="24"/>
          <w:szCs w:val="24"/>
          <w:lang w:eastAsia="zh-CN"/>
        </w:rPr>
        <w:t>）</w:t>
      </w:r>
      <w:r>
        <w:rPr>
          <w:rFonts w:hint="default" w:ascii="Times New Roman" w:hAnsi="Times New Roman" w:cs="Times New Roman"/>
          <w:color w:val="auto"/>
          <w:sz w:val="24"/>
        </w:rPr>
        <w:t>储罐泄漏后引发的火灾爆炸事故。</w:t>
      </w:r>
    </w:p>
    <w:p w14:paraId="1E174142">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一、</w:t>
      </w:r>
      <w:r>
        <w:rPr>
          <w:rFonts w:hint="default" w:ascii="Times New Roman" w:hAnsi="Times New Roman" w:cs="Times New Roman"/>
          <w:sz w:val="24"/>
          <w:lang w:eastAsia="zh-CN"/>
        </w:rPr>
        <w:t>苯酚</w:t>
      </w:r>
      <w:r>
        <w:rPr>
          <w:rFonts w:hint="default" w:ascii="Times New Roman" w:hAnsi="Times New Roman" w:cs="Times New Roman"/>
          <w:sz w:val="24"/>
        </w:rPr>
        <w:t>泄漏火灾事故源强计算</w:t>
      </w:r>
    </w:p>
    <w:p w14:paraId="1260CF07">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（1）泄漏火灾源强</w:t>
      </w:r>
      <w:r>
        <w:rPr>
          <w:rFonts w:hint="default" w:ascii="Times New Roman" w:hAnsi="Times New Roman" w:cs="Times New Roman"/>
          <w:sz w:val="24"/>
          <w:lang w:eastAsia="zh-CN"/>
        </w:rPr>
        <w:t>苯酚</w:t>
      </w:r>
      <w:r>
        <w:rPr>
          <w:rFonts w:hint="default" w:ascii="Times New Roman" w:hAnsi="Times New Roman" w:cs="Times New Roman"/>
          <w:sz w:val="24"/>
        </w:rPr>
        <w:t>为液态，</w:t>
      </w:r>
    </w:p>
    <w:p w14:paraId="77E8D837">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A、</w:t>
      </w:r>
      <w:r>
        <w:rPr>
          <w:rFonts w:hint="default" w:ascii="Times New Roman" w:hAnsi="Times New Roman" w:cs="Times New Roman"/>
          <w:sz w:val="24"/>
          <w:lang w:eastAsia="zh-CN"/>
        </w:rPr>
        <w:t>苯酚</w:t>
      </w:r>
      <w:r>
        <w:rPr>
          <w:rFonts w:hint="default" w:ascii="Times New Roman" w:hAnsi="Times New Roman" w:cs="Times New Roman"/>
          <w:sz w:val="24"/>
        </w:rPr>
        <w:t>燃烧</w:t>
      </w:r>
    </w:p>
    <w:p w14:paraId="7DB426BC">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pict>
          <v:shape id="_x0000_s2051" o:spid="_x0000_s2051" o:spt="75" type="#_x0000_t75" style="position:absolute;left:0pt;margin-left:30pt;margin-top:57.3pt;height:45.95pt;width:180pt;mso-wrap-distance-bottom:0pt;mso-wrap-distance-top:0pt;z-index:-251642880;mso-width-relative:page;mso-height-relative:page;" o:ole="t" filled="f" stroked="f" coordsize="21600,21600">
            <v:path/>
            <v:fill on="f" focussize="0,0"/>
            <v:stroke on="f"/>
            <v:imagedata r:id="rId52" o:title=""/>
            <o:lock v:ext="edit" aspectratio="t"/>
            <w10:wrap type="topAndBottom"/>
          </v:shape>
          <o:OLEObject Type="Embed" ProgID="" ShapeID="_x0000_s2051" DrawAspect="Content" ObjectID="_1468075738" r:id="rId51">
            <o:LockedField>false</o:LockedField>
          </o:OLEObject>
        </w:pict>
      </w:r>
      <w:r>
        <w:rPr>
          <w:rFonts w:hint="default" w:ascii="Times New Roman" w:hAnsi="Times New Roman" w:cs="Times New Roman"/>
          <w:sz w:val="24"/>
        </w:rPr>
        <w:t>以</w:t>
      </w:r>
      <w:r>
        <w:rPr>
          <w:rFonts w:hint="default" w:ascii="Times New Roman" w:hAnsi="Times New Roman" w:cs="Times New Roman"/>
          <w:sz w:val="24"/>
          <w:lang w:eastAsia="zh-CN"/>
        </w:rPr>
        <w:t>苯酚</w:t>
      </w:r>
      <w:r>
        <w:rPr>
          <w:rFonts w:hint="default" w:ascii="Times New Roman" w:hAnsi="Times New Roman" w:cs="Times New Roman"/>
          <w:sz w:val="24"/>
        </w:rPr>
        <w:t xml:space="preserve">储罐发生泄漏遇火种发生燃烧，假定泄漏时间为30min。泄漏速度QL用柏努利方程计算：                                                            </w:t>
      </w:r>
    </w:p>
    <w:p w14:paraId="2DC37C50">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式中： </w:t>
      </w:r>
    </w:p>
    <w:p w14:paraId="2D74C908">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QL——液体泄漏速度，kg/s； </w:t>
      </w:r>
    </w:p>
    <w:p w14:paraId="13765A4C">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Cd——液体泄漏系数，此值常用0.6-0.64；取0.62</w:t>
      </w:r>
    </w:p>
    <w:p w14:paraId="74162405">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A——裂口面积，0.00025m2； </w:t>
      </w:r>
    </w:p>
    <w:p w14:paraId="5BA70FDA">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P——容器内介质压力，101325Pa； </w:t>
      </w:r>
    </w:p>
    <w:p w14:paraId="29CAAFC4">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P0——环境压力，101325Pa； </w:t>
      </w:r>
    </w:p>
    <w:p w14:paraId="125E2B71">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g ——重力加速度。9.8m／s2</w:t>
      </w:r>
    </w:p>
    <w:p w14:paraId="7D98DB52">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h ——裂口之上液位高度，2.0m。</w:t>
      </w:r>
    </w:p>
    <w:p w14:paraId="2B1B59B5">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经计算可知，</w:t>
      </w:r>
      <w:r>
        <w:rPr>
          <w:rFonts w:hint="default" w:ascii="Times New Roman" w:hAnsi="Times New Roman" w:cs="Times New Roman"/>
          <w:sz w:val="24"/>
          <w:lang w:eastAsia="zh-CN"/>
        </w:rPr>
        <w:t>苯酚</w:t>
      </w:r>
      <w:r>
        <w:rPr>
          <w:rFonts w:hint="default" w:ascii="Times New Roman" w:hAnsi="Times New Roman" w:cs="Times New Roman"/>
          <w:sz w:val="24"/>
        </w:rPr>
        <w:t>泄漏速度为0.74kg／s，泄漏量1332kg／h。</w:t>
      </w:r>
      <w:r>
        <w:rPr>
          <w:rFonts w:hint="default" w:ascii="Times New Roman" w:hAnsi="Times New Roman" w:cs="Times New Roman"/>
          <w:sz w:val="24"/>
          <w:lang w:eastAsia="zh-CN"/>
        </w:rPr>
        <w:t>苯酚</w:t>
      </w:r>
      <w:r>
        <w:rPr>
          <w:rFonts w:hint="default" w:ascii="Times New Roman" w:hAnsi="Times New Roman" w:cs="Times New Roman"/>
          <w:sz w:val="24"/>
        </w:rPr>
        <w:t>泄漏至事故池，池体面积为4m×4m=16m</w:t>
      </w:r>
      <w:r>
        <w:rPr>
          <w:rFonts w:hint="default" w:ascii="Times New Roman" w:hAnsi="Times New Roman" w:cs="Times New Roman"/>
          <w:sz w:val="24"/>
          <w:vertAlign w:val="superscript"/>
        </w:rPr>
        <w:t>2</w:t>
      </w:r>
      <w:r>
        <w:rPr>
          <w:rFonts w:hint="default" w:ascii="Times New Roman" w:hAnsi="Times New Roman" w:cs="Times New Roman"/>
          <w:sz w:val="24"/>
        </w:rPr>
        <w:t>。</w:t>
      </w:r>
    </w:p>
    <w:p w14:paraId="5633B9CE">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预测模式：池火灾模型和热辐射伤害概率模型。</w:t>
      </w:r>
    </w:p>
    <w:p w14:paraId="492DB719">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（1） 池火模型 </w:t>
      </w:r>
    </w:p>
    <w:p w14:paraId="378C9882">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池火是一种常见的火灾形式，是可燃液体面上的自然燃烧。泄漏到地面上、堤坝内液体的火灾、敞开的容器内液体的燃烧等均称为池火。池火模型一般按圆形液面计算，所以其他形状的液池应换算为等面积的圆池。 </w:t>
      </w:r>
    </w:p>
    <w:p w14:paraId="17286A82">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燃烧速率 </w:t>
      </w:r>
    </w:p>
    <w:p w14:paraId="7FB9F877">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下面是广泛采用的液体单位面积燃烧速率的计算公式。 </w:t>
      </w:r>
    </w:p>
    <w:p w14:paraId="4D0919E3">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当液体沸点高于环境温度时： </w:t>
      </w:r>
    </w:p>
    <w:p w14:paraId="5D30B09C">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038" o:spt="75" type="#_x0000_t75" style="height:39.45pt;width:192.05pt;" o:ole="t" filled="f" o:preferrelative="t" stroked="f" coordsize="21600,21600">
            <v:path/>
            <v:fill on="f" alignshape="1" focussize="0,0"/>
            <v:stroke on="f"/>
            <v:imagedata r:id="rId54" o:title=""/>
            <o:lock v:ext="edit" aspectratio="t"/>
            <w10:wrap type="none"/>
            <w10:anchorlock/>
          </v:shape>
          <o:OLEObject Type="Embed" ProgID="Equation.3" ShapeID="_x0000_i1038" DrawAspect="Content" ObjectID="_1468075739" r:id="rId53">
            <o:LockedField>false</o:LockedField>
          </o:OLEObject>
        </w:object>
      </w:r>
    </w:p>
    <w:p w14:paraId="3D03C817">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当液体的沸点低于环境温度时，如加压液化气或冷冻液化气，其单位面积的燃烧速度mf为：</w:t>
      </w:r>
    </w:p>
    <w:p w14:paraId="3B537E5B">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 </w:t>
      </w:r>
      <w:r>
        <w:rPr>
          <w:rFonts w:hint="default" w:ascii="Times New Roman" w:hAnsi="Times New Roman" w:cs="Times New Roman"/>
          <w:sz w:val="24"/>
        </w:rPr>
        <w:object>
          <v:shape id="_x0000_i1039" o:spt="75" type="#_x0000_t75" style="height:34.5pt;width:106.6pt;" o:ole="t" filled="f" o:preferrelative="t" stroked="f" coordsize="21600,21600">
            <v:path/>
            <v:fill on="f" alignshape="1" focussize="0,0"/>
            <v:stroke on="f"/>
            <v:imagedata r:id="rId56" o:title=""/>
            <o:lock v:ext="edit" aspectratio="t"/>
            <w10:wrap type="none"/>
            <w10:anchorlock/>
          </v:shape>
          <o:OLEObject Type="Embed" ProgID="Equation.3" ShapeID="_x0000_i1039" DrawAspect="Content" ObjectID="_1468075740" r:id="rId55">
            <o:LockedField>false</o:LockedField>
          </o:OLEObject>
        </w:object>
      </w:r>
    </w:p>
    <w:p w14:paraId="6D2ACAF7">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式中  mf——液体单位表面积燃烧速度，kg／(m2·s)； </w:t>
      </w:r>
    </w:p>
    <w:p w14:paraId="37C3FD99">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Hc——液体燃烧热； J／kg； </w:t>
      </w:r>
    </w:p>
    <w:p w14:paraId="6B227455">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Cp——液体的比定压热容； J／(kg·K)； </w:t>
      </w:r>
    </w:p>
    <w:p w14:paraId="4CEB7758">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Tb——液体的沸点， K； </w:t>
      </w:r>
    </w:p>
    <w:p w14:paraId="2F5529BE">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Ta——环境温度， K； </w:t>
      </w:r>
    </w:p>
    <w:p w14:paraId="4CBE4C61">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HV——液体在常压沸点下的蒸发热（气化热）， J／kg。 </w:t>
      </w:r>
    </w:p>
    <w:p w14:paraId="4203EB99">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②燃烧时间 </w:t>
      </w:r>
    </w:p>
    <w:p w14:paraId="13C4DAC9">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池火持续时间按下式计算： </w:t>
      </w:r>
    </w:p>
    <w:p w14:paraId="304E6527">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040" o:spt="75" type="#_x0000_t75" style="height:43.15pt;width:82.9pt;" o:ole="t" filled="f" o:preferrelative="t" stroked="f" coordsize="21600,21600">
            <v:path/>
            <v:fill on="f" alignshape="1" focussize="0,0"/>
            <v:stroke on="f"/>
            <v:imagedata r:id="rId58" o:title=""/>
            <o:lock v:ext="edit" aspectratio="t"/>
            <w10:wrap type="none"/>
            <w10:anchorlock/>
          </v:shape>
          <o:OLEObject Type="Embed" ProgID="Equation.3" ShapeID="_x0000_i1040" DrawAspect="Content" ObjectID="_1468075741" r:id="rId57">
            <o:LockedField>false</o:LockedField>
          </o:OLEObject>
        </w:object>
      </w:r>
    </w:p>
    <w:p w14:paraId="153CC109">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式中：t——池火持续时间，s； </w:t>
      </w:r>
    </w:p>
    <w:p w14:paraId="4214B808">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W——液池液体的总质量，kg； </w:t>
      </w:r>
    </w:p>
    <w:p w14:paraId="25335E51">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S——液池的面积，m2； </w:t>
      </w:r>
    </w:p>
    <w:p w14:paraId="32303E3B">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mf——液体单位面积燃烧速率，kg/m2•s； </w:t>
      </w:r>
    </w:p>
    <w:p w14:paraId="300F4543">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③确定火焰高度 </w:t>
      </w:r>
    </w:p>
    <w:p w14:paraId="1C00C922">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Thomas给出的计算池火焰高度的经验公式在文献中被广泛使用。 </w:t>
      </w:r>
    </w:p>
    <w:p w14:paraId="4B7B1517">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为简化计算，仅考虑无风时的情况： </w:t>
      </w:r>
    </w:p>
    <w:p w14:paraId="3333F0B6">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041" o:spt="75" type="#_x0000_t75" style="height:34.5pt;width:149.85pt;" o:ole="t" filled="f" o:preferrelative="t" stroked="f" coordsize="21600,21600">
            <v:path/>
            <v:fill on="f" alignshape="1" focussize="0,0"/>
            <v:stroke on="f"/>
            <v:imagedata r:id="rId60" o:title=""/>
            <o:lock v:ext="edit" aspectratio="t"/>
            <w10:wrap type="none"/>
            <w10:anchorlock/>
          </v:shape>
          <o:OLEObject Type="Embed" ProgID="Equation.3" ShapeID="_x0000_i1041" DrawAspect="Content" ObjectID="_1468075742" r:id="rId59">
            <o:LockedField>false</o:LockedField>
          </o:OLEObject>
        </w:object>
      </w:r>
    </w:p>
    <w:p w14:paraId="4522F0FE">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式中：L——火焰高度，m； </w:t>
      </w:r>
    </w:p>
    <w:p w14:paraId="4A888A67">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D——液池直径，m； </w:t>
      </w:r>
    </w:p>
    <w:p w14:paraId="5A9A1DE8">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mf——液体单位面积燃烧速率，kg/m2•s； </w:t>
      </w:r>
    </w:p>
    <w:p w14:paraId="6A56CB9C">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ρa——空气密度，kg/m3； </w:t>
      </w:r>
    </w:p>
    <w:p w14:paraId="3D9C6177">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g——重力加速度，9.8m/s； </w:t>
      </w:r>
    </w:p>
    <w:p w14:paraId="41E0C1BD">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④火焰表面热通量的计算 </w:t>
      </w:r>
    </w:p>
    <w:p w14:paraId="1F27D4DB">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假定能量由圆柱形火焰侧面和顶部向周围均匀辐射，则可以用下式计算火焰表面的热通量： </w:t>
      </w:r>
    </w:p>
    <w:p w14:paraId="2A70E317">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042" o:spt="75" type="#_x0000_t75" style="height:34.5pt;width:165.05pt;" o:ole="t" filled="f" o:preferrelative="t" stroked="f" coordsize="21600,21600">
            <v:path/>
            <v:fill on="f" alignshape="1" focussize="0,0"/>
            <v:stroke on="f"/>
            <v:imagedata r:id="rId62" o:title=""/>
            <o:lock v:ext="edit" aspectratio="t"/>
            <w10:wrap type="none"/>
            <w10:anchorlock/>
          </v:shape>
          <o:OLEObject Type="Embed" ProgID="Equation.3" ShapeID="_x0000_i1042" DrawAspect="Content" ObjectID="_1468075743" r:id="rId61">
            <o:LockedField>false</o:LockedField>
          </o:OLEObject>
        </w:object>
      </w:r>
    </w:p>
    <w:p w14:paraId="2DDCD19F">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式中：E——池火表面的热通量， W/m2； </w:t>
      </w:r>
    </w:p>
    <w:p w14:paraId="70ACFD6D">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HC——液体燃烧热，J/kg； </w:t>
      </w:r>
    </w:p>
    <w:p w14:paraId="3A47F1B1">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π——圆周率，3.14； </w:t>
      </w:r>
    </w:p>
    <w:p w14:paraId="5D2C8BD3">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f——热辐射系数，范围为0.13~0.35，保守值为0.35； </w:t>
      </w:r>
    </w:p>
    <w:p w14:paraId="4AB6DF00">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mf——燃烧速率，kg/m2•s； </w:t>
      </w:r>
    </w:p>
    <w:p w14:paraId="0F4724A8">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其它符号同前。 </w:t>
      </w:r>
    </w:p>
    <w:p w14:paraId="26DA925C">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⑤目标接收到的热通量的计算 </w:t>
      </w:r>
    </w:p>
    <w:p w14:paraId="0D5D6F77">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目标接收到的热通量q的计算公式为： </w:t>
      </w:r>
    </w:p>
    <w:p w14:paraId="1B8EC6E9">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043" o:spt="75" type="#_x0000_t75" style="height:17.45pt;width:179.75pt;" o:ole="t" filled="f" o:preferrelative="t" stroked="f" coordsize="21600,21600">
            <v:path/>
            <v:fill on="f" alignshape="1" focussize="0,0"/>
            <v:stroke on="f"/>
            <v:imagedata r:id="rId64" o:title=""/>
            <o:lock v:ext="edit" aspectratio="t"/>
            <w10:wrap type="none"/>
            <w10:anchorlock/>
          </v:shape>
          <o:OLEObject Type="Embed" ProgID="Equation.3" ShapeID="_x0000_i1043" DrawAspect="Content" ObjectID="_1468075744" r:id="rId63">
            <o:LockedField>false</o:LockedField>
          </o:OLEObject>
        </w:object>
      </w:r>
    </w:p>
    <w:p w14:paraId="0FAEAB40">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式中：q——目标接收到的热通量，w/m2； </w:t>
      </w:r>
    </w:p>
    <w:p w14:paraId="3E34AF86">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E——池火表面的热通量，w/m2； </w:t>
      </w:r>
    </w:p>
    <w:p w14:paraId="3ED1781C">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x——目标到池火中心的水平距离，m； </w:t>
      </w:r>
    </w:p>
    <w:p w14:paraId="316758B4">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V——视角系数，按Rai&amp;Kalelkar(1974)提供的方法计算。 </w:t>
      </w:r>
    </w:p>
    <w:p w14:paraId="7D13C82E">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⑥视角系数的计算 </w:t>
      </w:r>
      <w:r>
        <w:rPr>
          <w:rFonts w:hint="default" w:ascii="Times New Roman" w:hAnsi="Times New Roman" w:cs="Times New Roman"/>
          <w:sz w:val="24"/>
        </w:rPr>
        <w:fldChar w:fldCharType="begin"/>
      </w:r>
      <w:r>
        <w:instrText xml:space="preserve"> INCLUDEPICTURE "F:\\WeChat Files\\wxid_d7zyx1an0kqf22\\FileStorage\\File\\2022-12\\mk:@MSITStore:C:\\Program%20Files\\环境风险评价系统\\RiskSystem%201.0\\HELP.chm::\\1%20火灾、爆炸、中毒事故后果及其数学模型\\1.2%20汲2.gif" \* MERGEFORMAT </w:instrText>
      </w:r>
      <w:r>
        <w:rPr>
          <w:rFonts w:hint="default" w:ascii="Times New Roman" w:hAnsi="Times New Roman" w:cs="Times New Roman"/>
          <w:sz w:val="24"/>
        </w:rPr>
        <w:fldChar w:fldCharType="separate"/>
      </w:r>
      <w:r>
        <w:rPr>
          <w:rFonts w:hint="default" w:ascii="Times New Roman" w:hAnsi="Times New Roman" w:cs="Times New Roman"/>
          <w:sz w:val="24"/>
        </w:rPr>
        <mc:AlternateContent>
          <mc:Choice Requires="wps">
            <w:drawing>
              <wp:inline distT="0" distB="0" distL="114300" distR="114300">
                <wp:extent cx="114935" cy="219710"/>
                <wp:effectExtent l="0" t="0" r="0" b="0"/>
                <wp:docPr id="28" name="矩形 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14935" cy="219710"/>
                        </a:xfrm>
                        <a:prstGeom prst="rect">
                          <a:avLst/>
                        </a:prstGeom>
                        <a:noFill/>
                        <a:ln>
                          <a:noFill/>
                        </a:ln>
                      </wps:spPr>
                      <wps:bodyPr upright="1"/>
                    </wps:wsp>
                  </a:graphicData>
                </a:graphic>
              </wp:inline>
            </w:drawing>
          </mc:Choice>
          <mc:Fallback>
            <w:pict>
              <v:rect id="_x0000_s1026" o:spid="_x0000_s1026" o:spt="1" style="height:17.3pt;width:9.05pt;" filled="f" stroked="f" coordsize="21600,21600" o:gfxdata="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E9x+CdQA&#10;AAADAQAADwAAAAAAAAABACAAAAAiAAAAZHJzL2Rvd25yZXYueG1sUEsBAhQAFAAAAAgAh07iQF7T&#10;+5KxAQAAYwMAAA4AAAAAAAAAAQAgAAAAIwEAAGRycy9lMm9Eb2MueG1sUEsFBgAAAAAGAAYAWQEA&#10;AEYFAAAAAA==&#10;">
                <v:fill on="f" focussize="0,0"/>
                <v:stroke on="f"/>
                <v:imagedata o:title=""/>
                <o:lock v:ext="edit" aspectratio="t"/>
                <w10:wrap type="none"/>
                <w10:anchorlock/>
              </v:rect>
            </w:pict>
          </mc:Fallback>
        </mc:AlternateContent>
      </w:r>
      <w:r>
        <w:rPr>
          <w:rFonts w:hint="default" w:ascii="Times New Roman" w:hAnsi="Times New Roman" w:cs="Times New Roman"/>
          <w:sz w:val="24"/>
        </w:rPr>
        <w:fldChar w:fldCharType="end"/>
      </w:r>
    </w:p>
    <w:p w14:paraId="2E4BE71D">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视角系数V可由下式确定： </w:t>
      </w:r>
    </w:p>
    <w:p w14:paraId="0FD0C1D9">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044" o:spt="75" type="#_x0000_t75" style="height:23.85pt;width:120pt;" o:ole="t" filled="f" o:preferrelative="t" stroked="f" coordsize="21600,21600">
            <v:path/>
            <v:fill on="f" alignshape="1" focussize="0,0"/>
            <v:stroke on="f"/>
            <v:imagedata r:id="rId66" o:title=""/>
            <o:lock v:ext="edit" aspectratio="t"/>
            <w10:wrap type="none"/>
            <w10:anchorlock/>
          </v:shape>
          <o:OLEObject Type="Embed" ProgID="Equation.3" ShapeID="_x0000_i1044" DrawAspect="Content" ObjectID="_1468075745" r:id="rId65">
            <o:LockedField>false</o:LockedField>
          </o:OLEObject>
        </w:object>
      </w:r>
    </w:p>
    <w:p w14:paraId="7F5DE95F">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045" o:spt="75" type="#_x0000_t75" style="height:15.9pt;width:91.6pt;" o:ole="t" filled="f" o:preferrelative="t" stroked="f" coordsize="21600,21600">
            <v:path/>
            <v:fill on="f" alignshape="1" focussize="0,0"/>
            <v:stroke on="f"/>
            <v:imagedata r:id="rId68" o:title=""/>
            <o:lock v:ext="edit" aspectratio="t"/>
            <w10:wrap type="none"/>
            <w10:anchorlock/>
          </v:shape>
          <o:OLEObject Type="Embed" ProgID="Equation.3" ShapeID="_x0000_i1045" DrawAspect="Content" ObjectID="_1468075746" r:id="rId67">
            <o:LockedField>false</o:LockedField>
          </o:OLEObject>
        </w:object>
      </w:r>
    </w:p>
    <w:p w14:paraId="3D79486F">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046" o:spt="75" type="#_x0000_t75" style="height:27.15pt;width:238.45pt;" o:ole="t" filled="f" o:preferrelative="t" stroked="f" coordsize="21600,21600">
            <v:path/>
            <v:fill on="f" alignshape="1" focussize="0,0"/>
            <v:stroke on="f"/>
            <v:imagedata r:id="rId70" o:title=""/>
            <o:lock v:ext="edit" aspectratio="t"/>
            <w10:wrap type="none"/>
            <w10:anchorlock/>
          </v:shape>
          <o:OLEObject Type="Embed" ProgID="Equation.3" ShapeID="_x0000_i1046" DrawAspect="Content" ObjectID="_1468075747" r:id="rId69">
            <o:LockedField>false</o:LockedField>
          </o:OLEObject>
        </w:object>
      </w:r>
    </w:p>
    <w:p w14:paraId="56D3072C">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047" o:spt="75" type="#_x0000_t75" style="height:34.65pt;width:240.05pt;" o:ole="t" filled="f" o:preferrelative="t" stroked="f" coordsize="21600,21600">
            <v:path/>
            <v:fill on="f" alignshape="1" focussize="0,0"/>
            <v:stroke on="f"/>
            <v:imagedata r:id="rId72" o:title=""/>
            <o:lock v:ext="edit" aspectratio="t"/>
            <w10:wrap type="none"/>
            <w10:anchorlock/>
          </v:shape>
          <o:OLEObject Type="Embed" ProgID="Equation.3" ShapeID="_x0000_i1047" DrawAspect="Content" ObjectID="_1468075748" r:id="rId71">
            <o:LockedField>false</o:LockedField>
          </o:OLEObject>
        </w:object>
      </w:r>
    </w:p>
    <w:p w14:paraId="561EE31C">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048" o:spt="75" type="#_x0000_t75" style="height:28.65pt;width:186pt;" o:ole="t" filled="f" o:preferrelative="t" stroked="f" coordsize="21600,21600">
            <v:path/>
            <v:fill on="f" alignshape="1" focussize="0,0"/>
            <v:stroke on="f"/>
            <v:imagedata r:id="rId74" o:title=""/>
            <o:lock v:ext="edit" aspectratio="t"/>
            <w10:wrap type="none"/>
            <w10:anchorlock/>
          </v:shape>
          <o:OLEObject Type="Embed" ProgID="Equation.3" ShapeID="_x0000_i1048" DrawAspect="Content" ObjectID="_1468075749" r:id="rId73">
            <o:LockedField>false</o:LockedField>
          </o:OLEObject>
        </w:object>
      </w:r>
    </w:p>
    <w:p w14:paraId="142A324E">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049" o:spt="75" type="#_x0000_t75" style="height:28.35pt;width:182.2pt;" o:ole="t" filled="f" o:preferrelative="t" stroked="f" coordsize="21600,21600">
            <v:path/>
            <v:fill on="f" alignshape="1" focussize="0,0"/>
            <v:stroke on="f"/>
            <v:imagedata r:id="rId76" o:title=""/>
            <o:lock v:ext="edit" aspectratio="t"/>
            <w10:wrap type="none"/>
            <w10:anchorlock/>
          </v:shape>
          <o:OLEObject Type="Embed" ProgID="Equation.3" ShapeID="_x0000_i1049" DrawAspect="Content" ObjectID="_1468075750" r:id="rId75">
            <o:LockedField>false</o:LockedField>
          </o:OLEObject>
        </w:object>
      </w:r>
    </w:p>
    <w:p w14:paraId="1BAA4466">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050" o:spt="75" type="#_x0000_t75" style="height:24.3pt;width:93pt;" o:ole="t" filled="f" o:preferrelative="t" stroked="f" coordsize="21600,21600">
            <v:path/>
            <v:fill on="f" alignshape="1" focussize="0,0"/>
            <v:stroke on="f"/>
            <v:imagedata r:id="rId78" o:title=""/>
            <o:lock v:ext="edit" aspectratio="t"/>
            <w10:wrap type="none"/>
            <w10:anchorlock/>
          </v:shape>
          <o:OLEObject Type="Embed" ProgID="Equation.3" ShapeID="_x0000_i1050" DrawAspect="Content" ObjectID="_1468075751" r:id="rId77">
            <o:LockedField>false</o:LockedField>
          </o:OLEObject>
        </w:object>
      </w:r>
    </w:p>
    <w:p w14:paraId="0EAFFE7D">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a=(h</w:t>
      </w:r>
      <w:r>
        <w:rPr>
          <w:rFonts w:hint="default" w:ascii="Times New Roman" w:hAnsi="Times New Roman" w:cs="Times New Roman"/>
          <w:sz w:val="24"/>
        </w:rPr>
        <w:softHyphen/>
      </w:r>
      <w:r>
        <w:rPr>
          <w:rFonts w:hint="default" w:ascii="Times New Roman" w:hAnsi="Times New Roman" w:cs="Times New Roman"/>
          <w:sz w:val="24"/>
        </w:rPr>
        <w:t xml:space="preserve">2+s2+1)/2s </w:t>
      </w:r>
    </w:p>
    <w:p w14:paraId="195A34B5">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b=(1+s2)/2s </w:t>
      </w:r>
    </w:p>
    <w:p w14:paraId="32F3BF03">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s=2R/D </w:t>
      </w:r>
    </w:p>
    <w:p w14:paraId="3F567BD9">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h=L/D </w:t>
      </w:r>
    </w:p>
    <w:p w14:paraId="45D3A450">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（2） 热辐射伤害概率模型 </w:t>
      </w:r>
    </w:p>
    <w:p w14:paraId="75EABD42">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热辐射伤害常用概率模型描述。概率与伤害百分率的关系为 </w:t>
      </w:r>
    </w:p>
    <w:p w14:paraId="0C663089">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051" o:spt="75" type="#_x0000_t75" style="height:32.7pt;width:150.05pt;" o:ole="t" filled="f" o:preferrelative="t" stroked="f" coordsize="21600,21600">
            <v:path/>
            <v:fill on="f" alignshape="1" focussize="0,0"/>
            <v:stroke on="f"/>
            <v:imagedata r:id="rId80" o:title=""/>
            <o:lock v:ext="edit" aspectratio="t"/>
            <w10:wrap type="none"/>
            <w10:anchorlock/>
          </v:shape>
          <o:OLEObject Type="Embed" ProgID="Equation.3" ShapeID="_x0000_i1051" DrawAspect="Content" ObjectID="_1468075752" r:id="rId79">
            <o:LockedField>false</o:LockedField>
          </o:OLEObject>
        </w:object>
      </w:r>
    </w:p>
    <w:p w14:paraId="564ACC8A">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当Pr＝5时，伤害百分率为50%。 </w:t>
      </w:r>
    </w:p>
    <w:p w14:paraId="5EDA7022">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皮肤裸露时的死亡概率： </w:t>
      </w:r>
    </w:p>
    <w:p w14:paraId="1EEE8658">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Pr = -36.38 + 2.56ln(tq4/3) </w:t>
      </w:r>
    </w:p>
    <w:p w14:paraId="698DAFF2">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有衣服保护时（20%皮肤裸露）的死亡概率： </w:t>
      </w:r>
    </w:p>
    <w:p w14:paraId="1406D841">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Pr = -37.23 + 2.56ln(tq4/3) </w:t>
      </w:r>
    </w:p>
    <w:p w14:paraId="7059EC1C">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有衣服保护时（20%皮肤裸露）的二度烧伤概率： </w:t>
      </w:r>
    </w:p>
    <w:p w14:paraId="3B45E9B7">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Pr = -43.14 + 3.0188ln(tq4/3) </w:t>
      </w:r>
    </w:p>
    <w:p w14:paraId="2A15D104">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有衣服保护时（20%皮肤裸露）的一度烧伤概率： </w:t>
      </w:r>
    </w:p>
    <w:p w14:paraId="3C797FEC">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Pr = -39.83 + 3.0188ln(tq4/3) </w:t>
      </w:r>
    </w:p>
    <w:p w14:paraId="13A74658">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关于人暴露时间，对于火球，采用火球持续时间；对于池火和喷射火，可取30s或40s，此时间范围内，在较低热辐射能量下人可以逃生。</w:t>
      </w:r>
    </w:p>
    <w:p w14:paraId="2054D076">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根据人体接收的热辐射通量和暴露时间，按上面的公式计算伤害概率，确定暴露时间，根据上面的式子计算热辐射通量，根据热辐射通量和距离的关系算出距火源的距离，此距离即为相应的伤害距离。 </w:t>
      </w:r>
    </w:p>
    <w:p w14:paraId="2B55BBEA">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分析过程中通常都按50%伤害率计算，例如按50%死亡率划定出死亡范围，该范围表明范围内、外死亡人数各占一半，也可以认为死亡范围内人员全部死亡，范围外无一人死亡，这样可以使问题简化。 </w:t>
      </w:r>
    </w:p>
    <w:p w14:paraId="2F14C626">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对于财产损失，可以按引燃木材所需热通量计算。 </w:t>
      </w:r>
    </w:p>
    <w:p w14:paraId="0D3AB808">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Q=6730t-4/5 + 25400 </w:t>
      </w:r>
    </w:p>
    <w:p w14:paraId="2213E6EA">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暴露时间一般取燃烧持续时间。</w:t>
      </w:r>
    </w:p>
    <w:p w14:paraId="1F6A1E96">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通过计算，公司</w:t>
      </w:r>
      <w:r>
        <w:rPr>
          <w:rFonts w:hint="default" w:ascii="Times New Roman" w:hAnsi="Times New Roman" w:cs="Times New Roman"/>
          <w:sz w:val="24"/>
          <w:lang w:eastAsia="zh-CN"/>
        </w:rPr>
        <w:t>苯酚</w:t>
      </w:r>
      <w:r>
        <w:rPr>
          <w:rFonts w:hint="default" w:ascii="Times New Roman" w:hAnsi="Times New Roman" w:cs="Times New Roman"/>
          <w:sz w:val="24"/>
        </w:rPr>
        <w:t>发生火灾情况下，一度烧伤半径为1.4m，财产损失半径4m。项目一旦发生火灾对厂区内设施产生一定的影响。但是对周围环境保护目标影响较小。</w:t>
      </w:r>
    </w:p>
    <w:p w14:paraId="2540D704">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B、</w:t>
      </w:r>
      <w:r>
        <w:rPr>
          <w:rFonts w:hint="default" w:ascii="Times New Roman" w:hAnsi="Times New Roman" w:cs="Times New Roman"/>
          <w:sz w:val="24"/>
          <w:lang w:eastAsia="zh-CN"/>
        </w:rPr>
        <w:t>苯酚</w:t>
      </w:r>
      <w:r>
        <w:rPr>
          <w:rFonts w:hint="default" w:ascii="Times New Roman" w:hAnsi="Times New Roman" w:cs="Times New Roman"/>
          <w:sz w:val="24"/>
        </w:rPr>
        <w:t>爆炸</w:t>
      </w:r>
    </w:p>
    <w:p w14:paraId="4C4816E4">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存储的可燃液体瞬态泄漏，并在环境温度高于其沸点时急剧气化，如果遇到火源就会发生剧烈的燃烧，产生巨大的火球，形成强烈的热辐射，造成人员的伤亡和财产损失，此种现象称为沸腾液体扩展为蒸气爆炸，简称BLEVE（Boiling Liquid Expanding Vapor Explosions）。沸腾液体扩展为蒸气爆炸是石油、化工和交通运输行业常见的重要事故类型。 </w:t>
      </w:r>
    </w:p>
    <w:p w14:paraId="4F80040A">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BLEVE可以产生三种危害后果：冲击波超压、火球热辐射和抛射碎片，有时也可能伴随延迟发生的蒸气云爆炸或闪火等事故灾害。BLEVE过程虽然有破片和冲击波产生，但近场以外的冲击波压力效应不重要，爆炸也通常只产生几块较大的抛射碎片，故爆炸火球的热辐射是最主要的伤害因素。 </w:t>
      </w:r>
    </w:p>
    <w:p w14:paraId="5BA607EF">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（1）火球半径的计算 </w:t>
      </w:r>
    </w:p>
    <w:p w14:paraId="597A6187">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实验证明，火球的半径与可燃物质量的立方根成正比，火球半径的计算公式为：</w:t>
      </w:r>
    </w:p>
    <w:p w14:paraId="5D14721A">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052" o:spt="75" type="#_x0000_t75" style="height:17.4pt;width:95.95pt;" o:ole="t" filled="f" o:preferrelative="t" stroked="f" coordsize="21600,21600">
            <v:path/>
            <v:fill on="f" alignshape="1" focussize="0,0"/>
            <v:stroke on="f"/>
            <v:imagedata r:id="rId82" o:title=""/>
            <o:lock v:ext="edit" aspectratio="t"/>
            <w10:wrap type="none"/>
            <w10:anchorlock/>
          </v:shape>
          <o:OLEObject Type="Embed" ProgID="Equation.3" ShapeID="_x0000_i1052" DrawAspect="Content" ObjectID="_1468075753" r:id="rId81">
            <o:LockedField>false</o:LockedField>
          </o:OLEObject>
        </w:object>
      </w:r>
    </w:p>
    <w:p w14:paraId="5C437DF2">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其中，D——火球直径，m； </w:t>
      </w:r>
    </w:p>
    <w:p w14:paraId="4C7BAA9F">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W——火球中消耗的可燃物质量，kg。对单罐储存，W取罐容量的50%；对双罐储存，W取罐容的70%；对多罐储存，W取罐容的90%。 </w:t>
      </w:r>
    </w:p>
    <w:p w14:paraId="54B9A107">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（2）火球持续时间的计算 </w:t>
      </w:r>
    </w:p>
    <w:p w14:paraId="39D114F2">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实验证明，火球的持续时间也与可燃物质量W的立方根成正比，可按下式计算： </w:t>
      </w:r>
    </w:p>
    <w:p w14:paraId="6DE29431">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053" o:spt="75" type="#_x0000_t75" style="height:16pt;width:42pt;" o:ole="t" filled="f" o:preferrelative="t" stroked="f" coordsize="21600,21600">
            <v:path/>
            <v:fill on="f" alignshape="1" focussize="0,0"/>
            <v:stroke on="f"/>
            <v:imagedata r:id="rId84" o:title=""/>
            <o:lock v:ext="edit" aspectratio="t"/>
            <w10:wrap type="none"/>
            <w10:anchorlock/>
          </v:shape>
          <o:OLEObject Type="Embed" ProgID="Equation.3" ShapeID="_x0000_i1053" DrawAspect="Content" ObjectID="_1468075754" r:id="rId83">
            <o:LockedField>false</o:LockedField>
          </o:OLEObject>
        </w:object>
      </w:r>
    </w:p>
    <w:p w14:paraId="78A9F983">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其中，t——火球持续时间，s； </w:t>
      </w:r>
    </w:p>
    <w:p w14:paraId="79B6A743">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W——火球内燃料质量，kg。对单罐储存，W取罐容量的50%；对双罐储存，W取罐容的70%；对多罐储存，W取罐容的90%。 </w:t>
      </w:r>
    </w:p>
    <w:p w14:paraId="255478FC">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式中系数a、b、c、d在不同的模型中取值不同，典型的计算模型见下表：</w:t>
      </w:r>
    </w:p>
    <w:p w14:paraId="5E701939">
      <w:pPr>
        <w:widowControl/>
        <w:adjustRightInd w:val="0"/>
        <w:snapToGrid w:val="0"/>
        <w:ind w:firstLine="420"/>
        <w:jc w:val="center"/>
        <w:rPr>
          <w:rFonts w:hint="default" w:ascii="Times New Roman" w:hAnsi="Times New Roman" w:cs="Times New Roman"/>
          <w:bCs/>
          <w:kern w:val="0"/>
          <w:sz w:val="28"/>
          <w:szCs w:val="28"/>
        </w:rPr>
      </w:pPr>
      <w:r>
        <w:rPr>
          <w:rFonts w:hint="default" w:ascii="Times New Roman" w:hAnsi="Times New Roman" w:cs="Times New Roman"/>
          <w:b/>
          <w:bCs/>
          <w:sz w:val="24"/>
          <w:lang w:val="en-US" w:eastAsia="zh-CN"/>
        </w:rPr>
        <w:t>表4.2-1</w:t>
      </w:r>
      <w:r>
        <w:rPr>
          <w:rFonts w:hint="default" w:ascii="Times New Roman" w:hAnsi="Times New Roman" w:cs="Times New Roman"/>
          <w:b/>
          <w:bCs/>
          <w:sz w:val="24"/>
        </w:rPr>
        <w:t>不同模型中系数值</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96"/>
        <w:gridCol w:w="1196"/>
        <w:gridCol w:w="1336"/>
        <w:gridCol w:w="1336"/>
        <w:gridCol w:w="1336"/>
      </w:tblGrid>
      <w:tr w14:paraId="10A47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996" w:type="dxa"/>
            <w:vMerge w:val="restart"/>
            <w:noWrap w:val="0"/>
            <w:vAlign w:val="center"/>
          </w:tcPr>
          <w:p w14:paraId="46DA8E35">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模　　型 </w:t>
            </w:r>
          </w:p>
        </w:tc>
        <w:tc>
          <w:tcPr>
            <w:tcW w:w="2532" w:type="dxa"/>
            <w:gridSpan w:val="2"/>
            <w:noWrap w:val="0"/>
            <w:vAlign w:val="center"/>
          </w:tcPr>
          <w:p w14:paraId="03EC7459">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D＝aW</w:t>
            </w:r>
            <w:r>
              <w:rPr>
                <w:rFonts w:hint="default" w:ascii="Times New Roman" w:hAnsi="Times New Roman" w:cs="Times New Roman"/>
                <w:kern w:val="0"/>
                <w:szCs w:val="21"/>
                <w:vertAlign w:val="superscript"/>
              </w:rPr>
              <w:t xml:space="preserve">b </w:t>
            </w:r>
          </w:p>
        </w:tc>
        <w:tc>
          <w:tcPr>
            <w:tcW w:w="2672" w:type="dxa"/>
            <w:gridSpan w:val="2"/>
            <w:noWrap w:val="0"/>
            <w:vAlign w:val="center"/>
          </w:tcPr>
          <w:p w14:paraId="60D30B4F">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T=cW</w:t>
            </w:r>
            <w:r>
              <w:rPr>
                <w:rFonts w:hint="default" w:ascii="Times New Roman" w:hAnsi="Times New Roman" w:cs="Times New Roman"/>
                <w:kern w:val="0"/>
                <w:szCs w:val="21"/>
                <w:vertAlign w:val="superscript"/>
              </w:rPr>
              <w:t xml:space="preserve">d </w:t>
            </w:r>
          </w:p>
        </w:tc>
      </w:tr>
      <w:tr w14:paraId="14C40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996" w:type="dxa"/>
            <w:vMerge w:val="continue"/>
            <w:noWrap w:val="0"/>
            <w:vAlign w:val="center"/>
          </w:tcPr>
          <w:p w14:paraId="513C5261">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cs="Times New Roman"/>
                <w:kern w:val="0"/>
                <w:szCs w:val="21"/>
              </w:rPr>
            </w:pPr>
          </w:p>
        </w:tc>
        <w:tc>
          <w:tcPr>
            <w:tcW w:w="1196" w:type="dxa"/>
            <w:noWrap w:val="0"/>
            <w:vAlign w:val="center"/>
          </w:tcPr>
          <w:p w14:paraId="6E3582B7">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a </w:t>
            </w:r>
          </w:p>
        </w:tc>
        <w:tc>
          <w:tcPr>
            <w:tcW w:w="1336" w:type="dxa"/>
            <w:noWrap w:val="0"/>
            <w:vAlign w:val="center"/>
          </w:tcPr>
          <w:p w14:paraId="0A257AFA">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b </w:t>
            </w:r>
          </w:p>
        </w:tc>
        <w:tc>
          <w:tcPr>
            <w:tcW w:w="1336" w:type="dxa"/>
            <w:noWrap w:val="0"/>
            <w:vAlign w:val="center"/>
          </w:tcPr>
          <w:p w14:paraId="1A61C5EF">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c </w:t>
            </w:r>
          </w:p>
        </w:tc>
        <w:tc>
          <w:tcPr>
            <w:tcW w:w="1336" w:type="dxa"/>
            <w:noWrap w:val="0"/>
            <w:vAlign w:val="center"/>
          </w:tcPr>
          <w:p w14:paraId="59D14033">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d </w:t>
            </w:r>
          </w:p>
        </w:tc>
      </w:tr>
      <w:tr w14:paraId="5F31B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6" w:type="dxa"/>
            <w:noWrap w:val="0"/>
            <w:vAlign w:val="top"/>
          </w:tcPr>
          <w:p w14:paraId="63E15DD4">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Lihou&amp;Maund </w:t>
            </w:r>
          </w:p>
          <w:p w14:paraId="1638AB45">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CCPS </w:t>
            </w:r>
          </w:p>
          <w:p w14:paraId="7C2706BA">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Williamson,TNO </w:t>
            </w:r>
          </w:p>
          <w:p w14:paraId="26F0C35F">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Roberts </w:t>
            </w:r>
          </w:p>
          <w:p w14:paraId="604FAADA">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Moorhouse,Pirtchard </w:t>
            </w:r>
          </w:p>
          <w:p w14:paraId="0804831A">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Hasegawa&amp;Sato </w:t>
            </w:r>
          </w:p>
          <w:p w14:paraId="3B5F602D">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Fay&amp;Lewis </w:t>
            </w:r>
          </w:p>
          <w:p w14:paraId="02A8A367">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ILO </w:t>
            </w:r>
          </w:p>
          <w:p w14:paraId="09C36FDD">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H.R.Greengerg&amp;J.J.Cramer </w:t>
            </w:r>
          </w:p>
          <w:p w14:paraId="363B62E9">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修正模型 </w:t>
            </w:r>
          </w:p>
        </w:tc>
        <w:tc>
          <w:tcPr>
            <w:tcW w:w="1196" w:type="dxa"/>
            <w:noWrap w:val="0"/>
            <w:vAlign w:val="top"/>
          </w:tcPr>
          <w:p w14:paraId="62A548BF">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3.51 </w:t>
            </w:r>
          </w:p>
          <w:p w14:paraId="3AA47724">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6.48 </w:t>
            </w:r>
          </w:p>
          <w:p w14:paraId="79909DDB">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5.88 </w:t>
            </w:r>
          </w:p>
          <w:p w14:paraId="2828517A">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5.80 </w:t>
            </w:r>
          </w:p>
          <w:p w14:paraId="44856EC8">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5.33 </w:t>
            </w:r>
          </w:p>
          <w:p w14:paraId="08268923">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5.28 </w:t>
            </w:r>
          </w:p>
          <w:p w14:paraId="31167AF4">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6.28 </w:t>
            </w:r>
          </w:p>
          <w:p w14:paraId="5378BDD0">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5.80 </w:t>
            </w:r>
          </w:p>
          <w:p w14:paraId="215FF233">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5.33 </w:t>
            </w:r>
          </w:p>
          <w:p w14:paraId="7D443447">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5.6 </w:t>
            </w:r>
          </w:p>
        </w:tc>
        <w:tc>
          <w:tcPr>
            <w:tcW w:w="1336" w:type="dxa"/>
            <w:noWrap w:val="0"/>
            <w:vAlign w:val="top"/>
          </w:tcPr>
          <w:p w14:paraId="5E18628F">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0.333 </w:t>
            </w:r>
          </w:p>
          <w:p w14:paraId="51CA5169">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0.325 </w:t>
            </w:r>
          </w:p>
          <w:p w14:paraId="7288A7AF">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0.33 </w:t>
            </w:r>
          </w:p>
          <w:p w14:paraId="3C4D6953">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1/3 </w:t>
            </w:r>
          </w:p>
          <w:p w14:paraId="3EA686B4">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0.327 </w:t>
            </w:r>
          </w:p>
          <w:p w14:paraId="0C2A89E3">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0.277 </w:t>
            </w:r>
          </w:p>
          <w:p w14:paraId="037020AA">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0.330 </w:t>
            </w:r>
          </w:p>
          <w:p w14:paraId="00C194C1">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1/3 </w:t>
            </w:r>
          </w:p>
          <w:p w14:paraId="3742FB1B">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0.327 </w:t>
            </w:r>
          </w:p>
          <w:p w14:paraId="1B374147">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0.323 </w:t>
            </w:r>
          </w:p>
        </w:tc>
        <w:tc>
          <w:tcPr>
            <w:tcW w:w="1336" w:type="dxa"/>
            <w:noWrap w:val="0"/>
            <w:vAlign w:val="top"/>
          </w:tcPr>
          <w:p w14:paraId="64C66BF2">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0.32 </w:t>
            </w:r>
          </w:p>
          <w:p w14:paraId="01D3353E">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0.825 </w:t>
            </w:r>
          </w:p>
          <w:p w14:paraId="7FA36BF1">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1.09 </w:t>
            </w:r>
          </w:p>
          <w:p w14:paraId="5E379623">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0.450 </w:t>
            </w:r>
          </w:p>
          <w:p w14:paraId="4754F371">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1.09 </w:t>
            </w:r>
          </w:p>
          <w:p w14:paraId="1198C225">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1.100 </w:t>
            </w:r>
          </w:p>
          <w:p w14:paraId="541E0BF8">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2.530 </w:t>
            </w:r>
          </w:p>
          <w:p w14:paraId="67022D02">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0.450 </w:t>
            </w:r>
          </w:p>
          <w:p w14:paraId="73327BE5">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1.089 </w:t>
            </w:r>
          </w:p>
          <w:p w14:paraId="264E5540">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1.26 </w:t>
            </w:r>
          </w:p>
        </w:tc>
        <w:tc>
          <w:tcPr>
            <w:tcW w:w="1336" w:type="dxa"/>
            <w:noWrap w:val="0"/>
            <w:vAlign w:val="top"/>
          </w:tcPr>
          <w:p w14:paraId="6B0E0095">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0.330 </w:t>
            </w:r>
          </w:p>
          <w:p w14:paraId="4708C52F">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0.260 </w:t>
            </w:r>
          </w:p>
          <w:p w14:paraId="7F3881B5">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0.617 </w:t>
            </w:r>
          </w:p>
          <w:p w14:paraId="2C39FAE0">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1/3 </w:t>
            </w:r>
          </w:p>
          <w:p w14:paraId="341F2D76">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0.327 </w:t>
            </w:r>
          </w:p>
          <w:p w14:paraId="79D47615">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0.097 </w:t>
            </w:r>
          </w:p>
          <w:p w14:paraId="0BFE8F31">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0.170 </w:t>
            </w:r>
          </w:p>
          <w:p w14:paraId="696C2ABB">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1/3 </w:t>
            </w:r>
          </w:p>
          <w:p w14:paraId="598C2C0B">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0.327 </w:t>
            </w:r>
          </w:p>
          <w:p w14:paraId="0298BF30">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0.224 </w:t>
            </w:r>
          </w:p>
        </w:tc>
      </w:tr>
    </w:tbl>
    <w:p w14:paraId="18C38DAF">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（3）热辐射通量 </w:t>
      </w:r>
    </w:p>
    <w:p w14:paraId="7144F84A">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火球表面热辐射通量按下式计算： </w:t>
      </w:r>
    </w:p>
    <w:p w14:paraId="48C8DA54">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054" o:spt="75" type="#_x0000_t75" style="height:36.55pt;width:84.05pt;" o:ole="t" filled="f" o:preferrelative="t" stroked="f" coordsize="21600,21600">
            <v:path/>
            <v:fill on="f" alignshape="1" focussize="0,0"/>
            <v:stroke on="f"/>
            <v:imagedata r:id="rId86" o:title=""/>
            <o:lock v:ext="edit" aspectratio="t"/>
            <w10:wrap type="none"/>
            <w10:anchorlock/>
          </v:shape>
          <o:OLEObject Type="Embed" ProgID="Equation.3" ShapeID="_x0000_i1054" DrawAspect="Content" ObjectID="_1468075755" r:id="rId85">
            <o:LockedField>false</o:LockedField>
          </o:OLEObject>
        </w:object>
      </w:r>
    </w:p>
    <w:p w14:paraId="4A583979">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上式实际上假定火球在持续时间内辐射热量是恒定不变的。 </w:t>
      </w:r>
    </w:p>
    <w:p w14:paraId="0A3BB34D">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Hc——液体燃烧热； </w:t>
      </w:r>
    </w:p>
    <w:p w14:paraId="5F7C376B">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设f是燃烧辐射分数，是容器压力的函数： </w:t>
      </w:r>
    </w:p>
    <w:p w14:paraId="53D0C273">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055" o:spt="75" type="#_x0000_t75" style="height:21pt;width:68.75pt;" o:ole="t" filled="f" o:preferrelative="t" stroked="f" coordsize="21600,21600">
            <v:path/>
            <v:fill on="f" alignshape="1" focussize="0,0"/>
            <v:stroke on="f"/>
            <v:imagedata r:id="rId88" o:title=""/>
            <o:lock v:ext="edit" aspectratio="t"/>
            <w10:wrap type="none"/>
            <w10:anchorlock/>
          </v:shape>
          <o:OLEObject Type="Embed" ProgID="Equation.3" ShapeID="_x0000_i1055" DrawAspect="Content" ObjectID="_1468075756" r:id="rId87">
            <o:LockedField>false</o:LockedField>
          </o:OLEObject>
        </w:object>
      </w:r>
    </w:p>
    <w:p w14:paraId="04669CD8">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常数f1=0.27，f2=0.32；p为容器内压力，单位是MPa。在没有可靠数据时，f可取0.3。 </w:t>
      </w:r>
    </w:p>
    <w:p w14:paraId="26056A34">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距火球在地面投影处x的热辐射通量为： </w:t>
      </w:r>
    </w:p>
    <w:p w14:paraId="2A20BDFD">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056" o:spt="75" type="#_x0000_t75" style="height:16.65pt;width:159.25pt;" o:ole="t" filled="f" o:preferrelative="t" stroked="f" coordsize="21600,21600">
            <v:path/>
            <v:fill on="f" alignshape="1" focussize="0,0"/>
            <v:stroke on="f"/>
            <v:imagedata r:id="rId90" o:title=""/>
            <o:lock v:ext="edit" aspectratio="t"/>
            <w10:wrap type="none"/>
            <w10:anchorlock/>
          </v:shape>
          <o:OLEObject Type="Embed" ProgID="Equation.3" ShapeID="_x0000_i1056" DrawAspect="Content" ObjectID="_1468075757" r:id="rId89">
            <o:LockedField>false</o:LockedField>
          </o:OLEObject>
        </w:object>
      </w:r>
    </w:p>
    <w:p w14:paraId="2F66E5B3">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式中：q——目标接收到的热通量，w/m2； </w:t>
      </w:r>
    </w:p>
    <w:p w14:paraId="5012214F">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E——池火表面的热通量，w/m2； </w:t>
      </w:r>
    </w:p>
    <w:p w14:paraId="458C855A">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x——目标到池火中心的水平距离，m； </w:t>
      </w:r>
    </w:p>
    <w:p w14:paraId="5B791E2A">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V——视角系数。 </w:t>
      </w:r>
    </w:p>
    <w:p w14:paraId="39DC37B3">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（4）目标接收到热辐射通量计算 </w:t>
      </w:r>
    </w:p>
    <w:p w14:paraId="4F662E0A">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除了采用上述的方法计算目标接收到热辐射能量外，还常采用以下公式计算。当r&gt;R时，目标接收到的热辐射通量按下式计算： </w:t>
      </w:r>
    </w:p>
    <w:p w14:paraId="1C70893C">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057" o:spt="75" type="#_x0000_t75" style="height:25.95pt;width:263.95pt;" o:ole="t" filled="f" o:preferrelative="t" stroked="f" coordsize="21600,21600">
            <v:path/>
            <v:fill on="f" alignshape="1" focussize="0,0"/>
            <v:stroke on="f"/>
            <v:imagedata r:id="rId92" o:title=""/>
            <o:lock v:ext="edit" aspectratio="t"/>
            <w10:wrap type="none"/>
            <w10:anchorlock/>
          </v:shape>
          <o:OLEObject Type="Embed" ProgID="Equation.3" ShapeID="_x0000_i1057" DrawAspect="Content" ObjectID="_1468075758" r:id="rId91">
            <o:LockedField>false</o:LockedField>
          </o:OLEObject>
        </w:object>
      </w:r>
    </w:p>
    <w:p w14:paraId="1AE01816">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式中：q0——火球表面的辐射通量，W/m2。对柱形罐取270000W/m2，对于球形罐取200000W/m2。 </w:t>
      </w:r>
    </w:p>
    <w:p w14:paraId="03B9C56C">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r——目标到火球中心的水平距离，m； </w:t>
      </w:r>
    </w:p>
    <w:p w14:paraId="1BFD9D0B">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R——火球半径，m； </w:t>
      </w:r>
    </w:p>
    <w:p w14:paraId="626E01DC">
      <w:pPr>
        <w:spacing w:line="360" w:lineRule="auto"/>
        <w:ind w:firstLine="486" w:firstLineChars="200"/>
        <w:rPr>
          <w:rFonts w:hint="default" w:ascii="Times New Roman" w:hAnsi="Times New Roman" w:cs="Times New Roman"/>
          <w:color w:val="auto"/>
          <w:sz w:val="24"/>
        </w:rPr>
      </w:pPr>
      <w:r>
        <w:rPr>
          <w:rFonts w:hint="default" w:ascii="Times New Roman" w:hAnsi="Times New Roman" w:cs="Times New Roman"/>
          <w:sz w:val="24"/>
        </w:rPr>
        <w:t>通过计算，公司</w:t>
      </w:r>
      <w:r>
        <w:rPr>
          <w:rFonts w:hint="default" w:ascii="Times New Roman" w:hAnsi="Times New Roman" w:cs="Times New Roman"/>
          <w:sz w:val="24"/>
          <w:lang w:eastAsia="zh-CN"/>
        </w:rPr>
        <w:t>苯酚</w:t>
      </w:r>
      <w:r>
        <w:rPr>
          <w:rFonts w:hint="default" w:ascii="Times New Roman" w:hAnsi="Times New Roman" w:cs="Times New Roman"/>
          <w:sz w:val="24"/>
        </w:rPr>
        <w:t>发生爆炸情况下，死亡半径： 19.9 m，重伤半径： 55.6 m，轻伤半径： 99.8 m，财产损失半径： 56.4 m。项目一旦发生火灾和爆炸对厂区及附近设施产生一定的破坏影响，但是对保护目标影响较小。</w:t>
      </w:r>
    </w:p>
    <w:p w14:paraId="46E4E23D">
      <w:pPr>
        <w:spacing w:line="360" w:lineRule="auto"/>
        <w:ind w:firstLine="486" w:firstLineChars="200"/>
        <w:rPr>
          <w:rFonts w:hint="default" w:ascii="Times New Roman" w:hAnsi="Times New Roman" w:cs="Times New Roman"/>
          <w:b w:val="0"/>
          <w:bCs/>
          <w:color w:val="auto"/>
          <w:sz w:val="24"/>
          <w:szCs w:val="21"/>
        </w:rPr>
      </w:pPr>
      <w:r>
        <w:rPr>
          <w:rFonts w:hint="default" w:ascii="Times New Roman" w:hAnsi="Times New Roman" w:cs="Times New Roman"/>
          <w:b w:val="0"/>
          <w:bCs/>
          <w:color w:val="auto"/>
          <w:sz w:val="24"/>
          <w:szCs w:val="21"/>
          <w:lang w:val="en-US" w:eastAsia="zh-CN"/>
        </w:rPr>
        <w:t>二、</w:t>
      </w:r>
      <w:r>
        <w:rPr>
          <w:rFonts w:hint="default" w:ascii="Times New Roman" w:hAnsi="Times New Roman" w:cs="Times New Roman"/>
          <w:b w:val="0"/>
          <w:bCs/>
          <w:color w:val="auto"/>
          <w:sz w:val="24"/>
          <w:szCs w:val="21"/>
        </w:rPr>
        <w:t>风险值评价</w:t>
      </w:r>
    </w:p>
    <w:p w14:paraId="2EE5571F">
      <w:pPr>
        <w:spacing w:line="360" w:lineRule="auto"/>
        <w:ind w:firstLine="486" w:firstLineChars="200"/>
        <w:rPr>
          <w:rFonts w:hint="default" w:ascii="Times New Roman" w:hAnsi="Times New Roman" w:cs="Times New Roman"/>
          <w:color w:val="auto"/>
          <w:sz w:val="24"/>
          <w:szCs w:val="21"/>
        </w:rPr>
      </w:pPr>
      <w:r>
        <w:rPr>
          <w:rFonts w:hint="default" w:ascii="Times New Roman" w:hAnsi="Times New Roman" w:cs="Times New Roman"/>
          <w:color w:val="auto"/>
          <w:sz w:val="24"/>
          <w:szCs w:val="21"/>
        </w:rPr>
        <w:t>功能单元的风险值（R）为最大可信灾害事故对环境造成的危害，是风险评价的表征量，包括事故的发生概率和事故的危害程度。按下式计算：</w:t>
      </w:r>
    </w:p>
    <w:p w14:paraId="659D04CD">
      <w:pPr>
        <w:spacing w:line="360" w:lineRule="auto"/>
        <w:jc w:val="center"/>
        <w:rPr>
          <w:rFonts w:hint="default" w:ascii="Times New Roman" w:hAnsi="Times New Roman" w:cs="Times New Roman"/>
          <w:color w:val="auto"/>
          <w:spacing w:val="10"/>
          <w:sz w:val="24"/>
          <w:szCs w:val="21"/>
        </w:rPr>
      </w:pPr>
      <w:r>
        <w:rPr>
          <w:rFonts w:hint="default" w:ascii="Times New Roman" w:hAnsi="Times New Roman" w:cs="Times New Roman"/>
          <w:color w:val="auto"/>
          <w:spacing w:val="10"/>
          <w:sz w:val="24"/>
          <w:szCs w:val="21"/>
        </w:rPr>
        <w:object>
          <v:shape id="_x0000_i1058" o:spt="75" type="#_x0000_t75" style="height:18.75pt;width:77.8pt;" o:ole="t" fillcolor="#6D6D6D" filled="f" o:preferrelative="t" stroked="f" coordsize="21600,21600">
            <v:path/>
            <v:fill on="f" focussize="0,0"/>
            <v:stroke on="f"/>
            <v:imagedata r:id="rId94" o:title=""/>
            <o:lock v:ext="edit" aspectratio="t"/>
            <w10:wrap type="none"/>
            <w10:anchorlock/>
          </v:shape>
          <o:OLEObject Type="Embed" ProgID="Visio.Drawing.11" ShapeID="_x0000_i1058" DrawAspect="Content" ObjectID="_1468075759" r:id="rId93">
            <o:LockedField>false</o:LockedField>
          </o:OLEObject>
        </w:object>
      </w:r>
    </w:p>
    <w:p w14:paraId="1913BBC8">
      <w:pPr>
        <w:spacing w:line="360" w:lineRule="auto"/>
        <w:ind w:firstLine="486" w:firstLineChars="200"/>
        <w:rPr>
          <w:rFonts w:hint="default" w:ascii="Times New Roman" w:hAnsi="Times New Roman" w:cs="Times New Roman"/>
          <w:color w:val="auto"/>
          <w:sz w:val="24"/>
          <w:szCs w:val="21"/>
        </w:rPr>
      </w:pPr>
      <w:r>
        <w:rPr>
          <w:rFonts w:hint="default" w:ascii="Times New Roman" w:hAnsi="Times New Roman" w:cs="Times New Roman"/>
          <w:color w:val="auto"/>
          <w:sz w:val="24"/>
          <w:szCs w:val="21"/>
        </w:rPr>
        <w:t>式中：</w:t>
      </w:r>
    </w:p>
    <w:p w14:paraId="6A488F4F">
      <w:pPr>
        <w:spacing w:line="360" w:lineRule="auto"/>
        <w:ind w:firstLine="486" w:firstLineChars="200"/>
        <w:rPr>
          <w:rFonts w:hint="default" w:ascii="Times New Roman" w:hAnsi="Times New Roman" w:cs="Times New Roman"/>
          <w:color w:val="auto"/>
          <w:sz w:val="24"/>
          <w:szCs w:val="21"/>
        </w:rPr>
      </w:pPr>
      <w:r>
        <w:rPr>
          <w:rFonts w:hint="default" w:ascii="Times New Roman" w:hAnsi="Times New Roman" w:cs="Times New Roman"/>
          <w:color w:val="auto"/>
          <w:sz w:val="24"/>
          <w:szCs w:val="21"/>
        </w:rPr>
        <w:t>R－风险值；</w:t>
      </w:r>
    </w:p>
    <w:p w14:paraId="129CB496">
      <w:pPr>
        <w:spacing w:line="360" w:lineRule="auto"/>
        <w:ind w:firstLine="486" w:firstLineChars="200"/>
        <w:rPr>
          <w:rFonts w:hint="default" w:ascii="Times New Roman" w:hAnsi="Times New Roman" w:cs="Times New Roman"/>
          <w:color w:val="auto"/>
          <w:sz w:val="24"/>
          <w:szCs w:val="21"/>
        </w:rPr>
      </w:pPr>
      <w:r>
        <w:rPr>
          <w:rFonts w:hint="default" w:ascii="Times New Roman" w:hAnsi="Times New Roman" w:cs="Times New Roman"/>
          <w:color w:val="auto"/>
          <w:sz w:val="24"/>
          <w:szCs w:val="21"/>
        </w:rPr>
        <w:t>P－最大可信事故概率（时间数/单位时间）；</w:t>
      </w:r>
    </w:p>
    <w:p w14:paraId="46C35E5B">
      <w:pPr>
        <w:spacing w:line="360" w:lineRule="auto"/>
        <w:ind w:firstLine="486" w:firstLineChars="200"/>
        <w:rPr>
          <w:rFonts w:hint="default" w:ascii="Times New Roman" w:hAnsi="Times New Roman" w:cs="Times New Roman"/>
          <w:color w:val="auto"/>
          <w:sz w:val="24"/>
          <w:szCs w:val="21"/>
        </w:rPr>
      </w:pPr>
      <w:r>
        <w:rPr>
          <w:rFonts w:hint="default" w:ascii="Times New Roman" w:hAnsi="Times New Roman" w:cs="Times New Roman"/>
          <w:color w:val="auto"/>
          <w:sz w:val="24"/>
          <w:szCs w:val="21"/>
        </w:rPr>
        <w:t>C－最大可信事故造成的危害（损害/单位时间）。</w:t>
      </w:r>
    </w:p>
    <w:p w14:paraId="4373DC56">
      <w:pPr>
        <w:spacing w:line="360" w:lineRule="auto"/>
        <w:ind w:firstLine="486" w:firstLineChars="200"/>
        <w:rPr>
          <w:rFonts w:hint="default" w:ascii="Times New Roman" w:hAnsi="Times New Roman" w:cs="Times New Roman"/>
          <w:color w:val="auto"/>
          <w:sz w:val="24"/>
          <w:szCs w:val="21"/>
        </w:rPr>
      </w:pPr>
      <w:r>
        <w:rPr>
          <w:rFonts w:hint="default" w:ascii="Times New Roman" w:hAnsi="Times New Roman" w:cs="Times New Roman"/>
          <w:color w:val="auto"/>
          <w:sz w:val="24"/>
          <w:szCs w:val="21"/>
        </w:rPr>
        <w:t>在实际应用中，若事故发生后下风向某处，化学污染物i的浓度最大值D</w:t>
      </w:r>
      <w:r>
        <w:rPr>
          <w:rFonts w:hint="default" w:ascii="Times New Roman" w:hAnsi="Times New Roman" w:cs="Times New Roman"/>
          <w:color w:val="auto"/>
          <w:sz w:val="24"/>
          <w:szCs w:val="21"/>
          <w:vertAlign w:val="subscript"/>
        </w:rPr>
        <w:t>imax</w:t>
      </w:r>
      <w:r>
        <w:rPr>
          <w:rFonts w:hint="default" w:ascii="Times New Roman" w:hAnsi="Times New Roman" w:cs="Times New Roman"/>
          <w:color w:val="auto"/>
          <w:sz w:val="24"/>
          <w:szCs w:val="21"/>
        </w:rPr>
        <w:t>大于或等于化学污染物i的半致死浓度LC</w:t>
      </w:r>
      <w:r>
        <w:rPr>
          <w:rFonts w:hint="default" w:ascii="Times New Roman" w:hAnsi="Times New Roman" w:cs="Times New Roman"/>
          <w:color w:val="auto"/>
          <w:sz w:val="24"/>
          <w:szCs w:val="21"/>
          <w:vertAlign w:val="subscript"/>
        </w:rPr>
        <w:t>i50</w:t>
      </w:r>
      <w:r>
        <w:rPr>
          <w:rFonts w:hint="default" w:ascii="Times New Roman" w:hAnsi="Times New Roman" w:cs="Times New Roman"/>
          <w:color w:val="auto"/>
          <w:sz w:val="24"/>
          <w:szCs w:val="21"/>
        </w:rPr>
        <w:t>，则事故导致评价区内因发生污染物致死确定性效应而致死的人数即为C</w:t>
      </w:r>
      <w:r>
        <w:rPr>
          <w:rFonts w:hint="default" w:ascii="Times New Roman" w:hAnsi="Times New Roman" w:cs="Times New Roman"/>
          <w:color w:val="auto"/>
          <w:sz w:val="24"/>
          <w:szCs w:val="21"/>
          <w:vertAlign w:val="subscript"/>
        </w:rPr>
        <w:t>i</w:t>
      </w:r>
      <w:r>
        <w:rPr>
          <w:rFonts w:hint="default" w:ascii="Times New Roman" w:hAnsi="Times New Roman" w:cs="Times New Roman"/>
          <w:color w:val="auto"/>
          <w:sz w:val="24"/>
          <w:szCs w:val="21"/>
        </w:rPr>
        <w:t>。</w:t>
      </w:r>
    </w:p>
    <w:p w14:paraId="721DDB65">
      <w:pPr>
        <w:spacing w:line="360" w:lineRule="auto"/>
        <w:ind w:firstLine="486" w:firstLineChars="200"/>
        <w:rPr>
          <w:rFonts w:hint="default" w:ascii="Times New Roman" w:hAnsi="Times New Roman" w:cs="Times New Roman"/>
          <w:color w:val="auto"/>
          <w:sz w:val="24"/>
          <w:szCs w:val="21"/>
        </w:rPr>
      </w:pPr>
      <w:r>
        <w:rPr>
          <w:rFonts w:hint="default" w:ascii="Times New Roman" w:hAnsi="Times New Roman" w:cs="Times New Roman"/>
          <w:color w:val="auto"/>
          <w:sz w:val="24"/>
          <w:szCs w:val="21"/>
        </w:rPr>
        <w:t>风险评价需从最大可信事故风险R中，选出危害最大的作为最大可信灾害事故，并以此作为风险可接受水平的分析基础，即：</w:t>
      </w:r>
    </w:p>
    <w:p w14:paraId="0C2E0299">
      <w:pPr>
        <w:spacing w:line="360" w:lineRule="auto"/>
        <w:ind w:left="480"/>
        <w:rPr>
          <w:rFonts w:hint="default" w:ascii="Times New Roman" w:hAnsi="Times New Roman" w:cs="Times New Roman"/>
          <w:color w:val="auto"/>
          <w:sz w:val="24"/>
          <w:szCs w:val="21"/>
        </w:rPr>
      </w:pPr>
      <w:r>
        <w:rPr>
          <w:rFonts w:hint="default" w:ascii="Times New Roman" w:hAnsi="Times New Roman" w:cs="Times New Roman"/>
          <w:color w:val="auto"/>
          <w:sz w:val="24"/>
          <w:szCs w:val="21"/>
        </w:rPr>
        <w:t>R</w:t>
      </w:r>
      <w:r>
        <w:rPr>
          <w:rFonts w:hint="default" w:ascii="Times New Roman" w:hAnsi="Times New Roman" w:cs="Times New Roman"/>
          <w:color w:val="auto"/>
          <w:sz w:val="24"/>
          <w:szCs w:val="21"/>
          <w:vertAlign w:val="subscript"/>
        </w:rPr>
        <w:t>max</w:t>
      </w:r>
      <w:r>
        <w:rPr>
          <w:rFonts w:hint="default" w:ascii="Times New Roman" w:hAnsi="Times New Roman" w:cs="Times New Roman"/>
          <w:color w:val="auto"/>
          <w:sz w:val="24"/>
          <w:szCs w:val="21"/>
        </w:rPr>
        <w:t>=f（R</w:t>
      </w:r>
      <w:r>
        <w:rPr>
          <w:rFonts w:hint="default" w:ascii="Times New Roman" w:hAnsi="Times New Roman" w:cs="Times New Roman"/>
          <w:color w:val="auto"/>
          <w:sz w:val="24"/>
          <w:szCs w:val="21"/>
          <w:vertAlign w:val="subscript"/>
        </w:rPr>
        <w:t>j</w:t>
      </w:r>
      <w:r>
        <w:rPr>
          <w:rFonts w:hint="default" w:ascii="Times New Roman" w:hAnsi="Times New Roman" w:cs="Times New Roman"/>
          <w:color w:val="auto"/>
          <w:sz w:val="24"/>
          <w:szCs w:val="21"/>
        </w:rPr>
        <w:t>）</w:t>
      </w:r>
    </w:p>
    <w:p w14:paraId="1EB913FD">
      <w:pPr>
        <w:spacing w:line="360" w:lineRule="auto"/>
        <w:ind w:firstLine="486" w:firstLineChars="200"/>
        <w:rPr>
          <w:rFonts w:hint="default" w:ascii="Times New Roman" w:hAnsi="Times New Roman" w:cs="Times New Roman"/>
          <w:color w:val="auto"/>
          <w:sz w:val="24"/>
          <w:szCs w:val="21"/>
        </w:rPr>
      </w:pPr>
      <w:r>
        <w:rPr>
          <w:rFonts w:hint="default" w:ascii="Times New Roman" w:hAnsi="Times New Roman" w:cs="Times New Roman"/>
          <w:color w:val="auto"/>
          <w:sz w:val="24"/>
          <w:szCs w:val="21"/>
        </w:rPr>
        <w:t>当发生泄漏事故时，在风险值计算过程中，按照下式计算事故风险值（死亡/年）：</w:t>
      </w:r>
    </w:p>
    <w:p w14:paraId="0F2569C9">
      <w:pPr>
        <w:spacing w:line="360" w:lineRule="auto"/>
        <w:ind w:firstLine="486" w:firstLineChars="200"/>
        <w:rPr>
          <w:rFonts w:hint="default" w:ascii="Times New Roman" w:hAnsi="Times New Roman" w:cs="Times New Roman"/>
          <w:color w:val="auto"/>
          <w:sz w:val="24"/>
          <w:szCs w:val="21"/>
        </w:rPr>
      </w:pPr>
      <w:r>
        <w:rPr>
          <w:rFonts w:hint="default" w:ascii="Times New Roman" w:hAnsi="Times New Roman" w:cs="Times New Roman"/>
          <w:color w:val="auto"/>
          <w:sz w:val="24"/>
          <w:szCs w:val="21"/>
        </w:rPr>
        <w:t>风险值（死亡/年）=半致死百分率区人口数×50%×事故发生概率×出现不利天气概率。</w:t>
      </w:r>
    </w:p>
    <w:p w14:paraId="3C3948C3">
      <w:pPr>
        <w:spacing w:line="360" w:lineRule="auto"/>
        <w:ind w:firstLine="486" w:firstLineChars="200"/>
        <w:rPr>
          <w:rFonts w:hint="default" w:ascii="Times New Roman" w:hAnsi="Times New Roman" w:cs="Times New Roman"/>
          <w:color w:val="auto"/>
          <w:sz w:val="24"/>
          <w:szCs w:val="21"/>
        </w:rPr>
      </w:pPr>
      <w:r>
        <w:rPr>
          <w:rFonts w:hint="default" w:ascii="Times New Roman" w:hAnsi="Times New Roman" w:cs="Times New Roman"/>
          <w:color w:val="auto"/>
          <w:sz w:val="24"/>
          <w:szCs w:val="21"/>
        </w:rPr>
        <w:t>在上式中，人口数和出现不利天气的概率均发生变化，因此，考虑人口数乘以不利天气概率最大为最不利情况。</w:t>
      </w:r>
    </w:p>
    <w:p w14:paraId="7FF2489A">
      <w:pPr>
        <w:spacing w:line="360" w:lineRule="auto"/>
        <w:ind w:firstLine="486" w:firstLineChars="200"/>
        <w:rPr>
          <w:rFonts w:hint="default" w:ascii="Times New Roman" w:hAnsi="Times New Roman" w:cs="Times New Roman"/>
          <w:color w:val="auto"/>
          <w:sz w:val="24"/>
        </w:rPr>
      </w:pPr>
      <w:r>
        <w:rPr>
          <w:rFonts w:hint="default" w:ascii="Times New Roman" w:hAnsi="Times New Roman" w:cs="Times New Roman"/>
          <w:color w:val="auto"/>
          <w:sz w:val="24"/>
        </w:rPr>
        <w:t>经计算，一旦发生泄漏事故，最不利气象条件下，最大致死半径内的人口数为20人（厂内职工），风险值=20×50%×5.0×10</w:t>
      </w:r>
      <w:r>
        <w:rPr>
          <w:rFonts w:hint="default" w:ascii="Times New Roman" w:hAnsi="Times New Roman" w:cs="Times New Roman"/>
          <w:color w:val="auto"/>
          <w:sz w:val="24"/>
          <w:vertAlign w:val="superscript"/>
        </w:rPr>
        <w:t>-6</w:t>
      </w:r>
      <w:r>
        <w:rPr>
          <w:rFonts w:hint="default" w:ascii="Times New Roman" w:hAnsi="Times New Roman" w:cs="Times New Roman"/>
          <w:color w:val="auto"/>
          <w:sz w:val="24"/>
        </w:rPr>
        <w:t>×0.095=4.75×10</w:t>
      </w:r>
      <w:r>
        <w:rPr>
          <w:rFonts w:hint="default" w:ascii="Times New Roman" w:hAnsi="Times New Roman" w:cs="Times New Roman"/>
          <w:color w:val="auto"/>
          <w:sz w:val="24"/>
          <w:vertAlign w:val="superscript"/>
        </w:rPr>
        <w:t>-6</w:t>
      </w:r>
      <w:r>
        <w:rPr>
          <w:rFonts w:hint="default" w:ascii="Times New Roman" w:hAnsi="Times New Roman" w:cs="Times New Roman"/>
          <w:color w:val="auto"/>
          <w:sz w:val="24"/>
        </w:rPr>
        <w:t>死亡/年；发生池火事故，最大致死半径内的人口数为5人（厂内职工），风险值=5×50%×1.0×10</w:t>
      </w:r>
      <w:r>
        <w:rPr>
          <w:rFonts w:hint="default" w:ascii="Times New Roman" w:hAnsi="Times New Roman" w:cs="Times New Roman"/>
          <w:color w:val="auto"/>
          <w:sz w:val="24"/>
          <w:vertAlign w:val="superscript"/>
        </w:rPr>
        <w:t>-6</w:t>
      </w:r>
      <w:r>
        <w:rPr>
          <w:rFonts w:hint="default" w:ascii="Times New Roman" w:hAnsi="Times New Roman" w:cs="Times New Roman"/>
          <w:color w:val="auto"/>
          <w:sz w:val="24"/>
        </w:rPr>
        <w:t>=2.5×10</w:t>
      </w:r>
      <w:r>
        <w:rPr>
          <w:rFonts w:hint="default" w:ascii="Times New Roman" w:hAnsi="Times New Roman" w:cs="Times New Roman"/>
          <w:color w:val="auto"/>
          <w:sz w:val="24"/>
          <w:vertAlign w:val="superscript"/>
        </w:rPr>
        <w:t>-6</w:t>
      </w:r>
      <w:r>
        <w:rPr>
          <w:rFonts w:hint="default" w:ascii="Times New Roman" w:hAnsi="Times New Roman" w:cs="Times New Roman"/>
          <w:color w:val="auto"/>
          <w:sz w:val="24"/>
        </w:rPr>
        <w:t>死亡/年；发生爆炸事故，最大致死半径内的人口数为8人，风险值=11×50%×1.0×10</w:t>
      </w:r>
      <w:r>
        <w:rPr>
          <w:rFonts w:hint="default" w:ascii="Times New Roman" w:hAnsi="Times New Roman" w:cs="Times New Roman"/>
          <w:color w:val="auto"/>
          <w:sz w:val="24"/>
          <w:vertAlign w:val="superscript"/>
        </w:rPr>
        <w:t>-6</w:t>
      </w:r>
      <w:r>
        <w:rPr>
          <w:rFonts w:hint="default" w:ascii="Times New Roman" w:hAnsi="Times New Roman" w:cs="Times New Roman"/>
          <w:color w:val="auto"/>
          <w:sz w:val="24"/>
        </w:rPr>
        <w:t>=4×10均小于目前化工行业的可接受风险水平（8.33×10</w:t>
      </w:r>
      <w:r>
        <w:rPr>
          <w:rFonts w:hint="default" w:ascii="Times New Roman" w:hAnsi="Times New Roman" w:cs="Times New Roman"/>
          <w:color w:val="auto"/>
          <w:sz w:val="24"/>
          <w:vertAlign w:val="superscript"/>
        </w:rPr>
        <w:t>-5</w:t>
      </w:r>
      <w:r>
        <w:rPr>
          <w:rFonts w:hint="default" w:ascii="Times New Roman" w:hAnsi="Times New Roman" w:cs="Times New Roman"/>
          <w:color w:val="auto"/>
          <w:sz w:val="24"/>
        </w:rPr>
        <w:t>死亡/年）。因此，本项目的风险水平是可以接受的。</w:t>
      </w:r>
    </w:p>
    <w:p w14:paraId="49338856">
      <w:pPr>
        <w:spacing w:line="360" w:lineRule="auto"/>
        <w:ind w:firstLine="486" w:firstLineChars="200"/>
        <w:rPr>
          <w:rFonts w:hint="default" w:ascii="Times New Roman" w:hAnsi="Times New Roman" w:cs="Times New Roman"/>
          <w:sz w:val="24"/>
        </w:rPr>
      </w:pPr>
      <w:r>
        <w:rPr>
          <w:rFonts w:hint="eastAsia" w:ascii="Times New Roman" w:hAnsi="Times New Roman" w:cs="Times New Roman"/>
          <w:sz w:val="24"/>
          <w:lang w:eastAsia="zh-CN"/>
        </w:rPr>
        <w:t>二</w:t>
      </w:r>
      <w:r>
        <w:rPr>
          <w:rFonts w:hint="default" w:ascii="Times New Roman" w:hAnsi="Times New Roman" w:cs="Times New Roman"/>
          <w:sz w:val="24"/>
        </w:rPr>
        <w:t>、</w:t>
      </w:r>
      <w:r>
        <w:rPr>
          <w:rFonts w:hint="eastAsia" w:ascii="Times New Roman" w:hAnsi="Times New Roman" w:cs="Times New Roman"/>
          <w:sz w:val="24"/>
          <w:lang w:eastAsia="zh-CN"/>
        </w:rPr>
        <w:t>甲醇</w:t>
      </w:r>
      <w:r>
        <w:rPr>
          <w:rFonts w:hint="default" w:ascii="Times New Roman" w:hAnsi="Times New Roman" w:cs="Times New Roman"/>
          <w:sz w:val="24"/>
          <w:lang w:eastAsia="zh-CN"/>
        </w:rPr>
        <w:t>酚</w:t>
      </w:r>
      <w:r>
        <w:rPr>
          <w:rFonts w:hint="default" w:ascii="Times New Roman" w:hAnsi="Times New Roman" w:cs="Times New Roman"/>
          <w:sz w:val="24"/>
        </w:rPr>
        <w:t>泄漏火灾事故源强计算</w:t>
      </w:r>
    </w:p>
    <w:p w14:paraId="7E4D9CD2">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（1）泄漏火灾源强</w:t>
      </w:r>
      <w:r>
        <w:rPr>
          <w:rFonts w:hint="default" w:ascii="Times New Roman" w:hAnsi="Times New Roman" w:cs="Times New Roman"/>
          <w:sz w:val="24"/>
          <w:lang w:eastAsia="zh-CN"/>
        </w:rPr>
        <w:t>苯酚</w:t>
      </w:r>
      <w:r>
        <w:rPr>
          <w:rFonts w:hint="default" w:ascii="Times New Roman" w:hAnsi="Times New Roman" w:cs="Times New Roman"/>
          <w:sz w:val="24"/>
        </w:rPr>
        <w:t>为液态，</w:t>
      </w:r>
    </w:p>
    <w:p w14:paraId="229E2256">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A、</w:t>
      </w:r>
      <w:r>
        <w:rPr>
          <w:rFonts w:hint="eastAsia" w:ascii="Times New Roman" w:hAnsi="Times New Roman" w:cs="Times New Roman"/>
          <w:sz w:val="24"/>
          <w:lang w:eastAsia="zh-CN"/>
        </w:rPr>
        <w:t>甲醇</w:t>
      </w:r>
      <w:r>
        <w:rPr>
          <w:rFonts w:hint="default" w:ascii="Times New Roman" w:hAnsi="Times New Roman" w:cs="Times New Roman"/>
          <w:sz w:val="24"/>
        </w:rPr>
        <w:t>燃烧</w:t>
      </w:r>
    </w:p>
    <w:p w14:paraId="236B2220">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pict>
          <v:shape id="_x0000_s2052" o:spid="_x0000_s2052" o:spt="75" type="#_x0000_t75" style="position:absolute;left:0pt;margin-left:30pt;margin-top:57.3pt;height:45.95pt;width:180pt;mso-wrap-distance-bottom:0pt;mso-wrap-distance-top:0pt;z-index:-251641856;mso-width-relative:page;mso-height-relative:page;" o:ole="t" filled="f" stroked="f" coordsize="21600,21600">
            <v:path/>
            <v:fill on="f" focussize="0,0"/>
            <v:stroke on="f"/>
            <v:imagedata r:id="rId52" o:title=""/>
            <o:lock v:ext="edit" aspectratio="t"/>
            <w10:wrap type="topAndBottom"/>
          </v:shape>
          <o:OLEObject Type="Embed" ProgID="" ShapeID="_x0000_s2052" DrawAspect="Content" ObjectID="_1468075760" r:id="rId95">
            <o:LockedField>false</o:LockedField>
          </o:OLEObject>
        </w:pict>
      </w:r>
      <w:r>
        <w:rPr>
          <w:rFonts w:hint="default" w:ascii="Times New Roman" w:hAnsi="Times New Roman" w:cs="Times New Roman"/>
          <w:sz w:val="24"/>
        </w:rPr>
        <w:t>以</w:t>
      </w:r>
      <w:r>
        <w:rPr>
          <w:rFonts w:hint="eastAsia" w:ascii="Times New Roman" w:hAnsi="Times New Roman" w:cs="Times New Roman"/>
          <w:sz w:val="24"/>
          <w:lang w:eastAsia="zh-CN"/>
        </w:rPr>
        <w:t>甲醇</w:t>
      </w:r>
      <w:r>
        <w:rPr>
          <w:rFonts w:hint="default" w:ascii="Times New Roman" w:hAnsi="Times New Roman" w:cs="Times New Roman"/>
          <w:sz w:val="24"/>
        </w:rPr>
        <w:t xml:space="preserve">储罐发生泄漏遇火种发生燃烧，假定泄漏时间为30min。泄漏速度QL用柏努利方程计算：                                                            </w:t>
      </w:r>
    </w:p>
    <w:p w14:paraId="6E75A8AD">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式中： </w:t>
      </w:r>
    </w:p>
    <w:p w14:paraId="5C3A4594">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QL——液体泄漏速度，kg/s； </w:t>
      </w:r>
    </w:p>
    <w:p w14:paraId="321B1E00">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Cd——液体泄漏系数，此值常用0.6-0.64；取0.62</w:t>
      </w:r>
    </w:p>
    <w:p w14:paraId="7F042E05">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A——裂口面积，0.00025m2； </w:t>
      </w:r>
    </w:p>
    <w:p w14:paraId="750BECED">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P——容器内介质压力，101325Pa； </w:t>
      </w:r>
    </w:p>
    <w:p w14:paraId="5DC34959">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P0——环境压力，101325Pa； </w:t>
      </w:r>
    </w:p>
    <w:p w14:paraId="355789D2">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g ——重力加速度。9.8m／s2</w:t>
      </w:r>
    </w:p>
    <w:p w14:paraId="24F3B976">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h ——裂口之上液位高度，2.0m。</w:t>
      </w:r>
    </w:p>
    <w:p w14:paraId="3A98F9B8">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经计算可知，</w:t>
      </w:r>
      <w:r>
        <w:rPr>
          <w:rFonts w:hint="default" w:ascii="Times New Roman" w:hAnsi="Times New Roman" w:cs="Times New Roman"/>
          <w:sz w:val="24"/>
          <w:lang w:eastAsia="zh-CN"/>
        </w:rPr>
        <w:t>苯酚</w:t>
      </w:r>
      <w:r>
        <w:rPr>
          <w:rFonts w:hint="default" w:ascii="Times New Roman" w:hAnsi="Times New Roman" w:cs="Times New Roman"/>
          <w:sz w:val="24"/>
        </w:rPr>
        <w:t>泄漏速度为0.74kg／s，泄漏量1332kg／h。</w:t>
      </w:r>
      <w:r>
        <w:rPr>
          <w:rFonts w:hint="default" w:ascii="Times New Roman" w:hAnsi="Times New Roman" w:cs="Times New Roman"/>
          <w:sz w:val="24"/>
          <w:lang w:eastAsia="zh-CN"/>
        </w:rPr>
        <w:t>苯酚</w:t>
      </w:r>
      <w:r>
        <w:rPr>
          <w:rFonts w:hint="default" w:ascii="Times New Roman" w:hAnsi="Times New Roman" w:cs="Times New Roman"/>
          <w:sz w:val="24"/>
        </w:rPr>
        <w:t>泄漏至事故池，池体面积为4m×4m=16m</w:t>
      </w:r>
      <w:r>
        <w:rPr>
          <w:rFonts w:hint="default" w:ascii="Times New Roman" w:hAnsi="Times New Roman" w:cs="Times New Roman"/>
          <w:sz w:val="24"/>
          <w:vertAlign w:val="superscript"/>
        </w:rPr>
        <w:t>2</w:t>
      </w:r>
      <w:r>
        <w:rPr>
          <w:rFonts w:hint="default" w:ascii="Times New Roman" w:hAnsi="Times New Roman" w:cs="Times New Roman"/>
          <w:sz w:val="24"/>
        </w:rPr>
        <w:t>。</w:t>
      </w:r>
    </w:p>
    <w:p w14:paraId="429F7CD2">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预测模式：池火灾模型和热辐射伤害概率模型。</w:t>
      </w:r>
    </w:p>
    <w:p w14:paraId="3FDDD55E">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（1） 池火模型 </w:t>
      </w:r>
    </w:p>
    <w:p w14:paraId="671BD947">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池火是一种常见的火灾形式，是可燃液体面上的自然燃烧。泄漏到地面上、堤坝内液体的火灾、敞开的容器内液体的燃烧等均称为池火。池火模型一般按圆形液面计算，所以其他形状的液池应换算为等面积的圆池。 </w:t>
      </w:r>
    </w:p>
    <w:p w14:paraId="1C710655">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燃烧速率 </w:t>
      </w:r>
    </w:p>
    <w:p w14:paraId="5D611620">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下面是广泛采用的液体单位面积燃烧速率的计算公式。 </w:t>
      </w:r>
    </w:p>
    <w:p w14:paraId="3C797ED1">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当液体沸点高于环境温度时： </w:t>
      </w:r>
    </w:p>
    <w:p w14:paraId="545FD4DB">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059" o:spt="75" type="#_x0000_t75" style="height:39.45pt;width:192.05pt;" o:ole="t" filled="f" o:preferrelative="t" stroked="f" coordsize="21600,21600">
            <v:path/>
            <v:fill on="f" alignshape="1" focussize="0,0"/>
            <v:stroke on="f"/>
            <v:imagedata r:id="rId54" o:title=""/>
            <o:lock v:ext="edit" aspectratio="t"/>
            <w10:wrap type="none"/>
            <w10:anchorlock/>
          </v:shape>
          <o:OLEObject Type="Embed" ProgID="Equation.3" ShapeID="_x0000_i1059" DrawAspect="Content" ObjectID="_1468075761" r:id="rId96">
            <o:LockedField>false</o:LockedField>
          </o:OLEObject>
        </w:object>
      </w:r>
    </w:p>
    <w:p w14:paraId="5D2541FA">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当液体的沸点低于环境温度时，如加压液化气或冷冻液化气，其单位面积的燃烧速度mf为：</w:t>
      </w:r>
    </w:p>
    <w:p w14:paraId="50D6D4AA">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 </w:t>
      </w:r>
      <w:r>
        <w:rPr>
          <w:rFonts w:hint="default" w:ascii="Times New Roman" w:hAnsi="Times New Roman" w:cs="Times New Roman"/>
          <w:sz w:val="24"/>
        </w:rPr>
        <w:object>
          <v:shape id="_x0000_i1060" o:spt="75" type="#_x0000_t75" style="height:34.5pt;width:106.6pt;" o:ole="t" filled="f" o:preferrelative="t" stroked="f" coordsize="21600,21600">
            <v:path/>
            <v:fill on="f" alignshape="1" focussize="0,0"/>
            <v:stroke on="f"/>
            <v:imagedata r:id="rId56" o:title=""/>
            <o:lock v:ext="edit" aspectratio="t"/>
            <w10:wrap type="none"/>
            <w10:anchorlock/>
          </v:shape>
          <o:OLEObject Type="Embed" ProgID="Equation.3" ShapeID="_x0000_i1060" DrawAspect="Content" ObjectID="_1468075762" r:id="rId97">
            <o:LockedField>false</o:LockedField>
          </o:OLEObject>
        </w:object>
      </w:r>
    </w:p>
    <w:p w14:paraId="408CC709">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式中  mf——液体单位表面积燃烧速度，kg／(m2·s)； </w:t>
      </w:r>
    </w:p>
    <w:p w14:paraId="5A48B99F">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Hc——液体燃烧热； J／kg； </w:t>
      </w:r>
    </w:p>
    <w:p w14:paraId="2EF99952">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Cp——液体的比定压热容； J／(kg·K)； </w:t>
      </w:r>
    </w:p>
    <w:p w14:paraId="0E758734">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Tb——液体的沸点， K； </w:t>
      </w:r>
    </w:p>
    <w:p w14:paraId="162F00E2">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Ta——环境温度， K； </w:t>
      </w:r>
    </w:p>
    <w:p w14:paraId="15CF88B9">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HV——液体在常压沸点下的蒸发热（气化热）， J／kg。 </w:t>
      </w:r>
    </w:p>
    <w:p w14:paraId="1607D636">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②燃烧时间 </w:t>
      </w:r>
    </w:p>
    <w:p w14:paraId="7F26CC92">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池火持续时间按下式计算： </w:t>
      </w:r>
    </w:p>
    <w:p w14:paraId="5845F3E3">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061" o:spt="75" type="#_x0000_t75" style="height:43.15pt;width:82.9pt;" o:ole="t" filled="f" o:preferrelative="t" stroked="f" coordsize="21600,21600">
            <v:path/>
            <v:fill on="f" alignshape="1" focussize="0,0"/>
            <v:stroke on="f"/>
            <v:imagedata r:id="rId58" o:title=""/>
            <o:lock v:ext="edit" aspectratio="t"/>
            <w10:wrap type="none"/>
            <w10:anchorlock/>
          </v:shape>
          <o:OLEObject Type="Embed" ProgID="Equation.3" ShapeID="_x0000_i1061" DrawAspect="Content" ObjectID="_1468075763" r:id="rId98">
            <o:LockedField>false</o:LockedField>
          </o:OLEObject>
        </w:object>
      </w:r>
    </w:p>
    <w:p w14:paraId="4BBD3FC2">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式中：t——池火持续时间，s； </w:t>
      </w:r>
    </w:p>
    <w:p w14:paraId="6CD3E850">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W——液池液体的总质量，kg； </w:t>
      </w:r>
    </w:p>
    <w:p w14:paraId="03224AE5">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S——液池的面积，m2； </w:t>
      </w:r>
    </w:p>
    <w:p w14:paraId="5D28F1DB">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mf——液体单位面积燃烧速率，kg/m2•s； </w:t>
      </w:r>
    </w:p>
    <w:p w14:paraId="68701AE8">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③确定火焰高度 </w:t>
      </w:r>
    </w:p>
    <w:p w14:paraId="61FA77BF">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Thomas给出的计算池火焰高度的经验公式在文献中被广泛使用。 </w:t>
      </w:r>
    </w:p>
    <w:p w14:paraId="6C172FFA">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为简化计算，仅考虑无风时的情况： </w:t>
      </w:r>
    </w:p>
    <w:p w14:paraId="70C2586D">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062" o:spt="75" type="#_x0000_t75" style="height:34.5pt;width:149.85pt;" o:ole="t" filled="f" o:preferrelative="t" stroked="f" coordsize="21600,21600">
            <v:path/>
            <v:fill on="f" alignshape="1" focussize="0,0"/>
            <v:stroke on="f"/>
            <v:imagedata r:id="rId60" o:title=""/>
            <o:lock v:ext="edit" aspectratio="t"/>
            <w10:wrap type="none"/>
            <w10:anchorlock/>
          </v:shape>
          <o:OLEObject Type="Embed" ProgID="Equation.3" ShapeID="_x0000_i1062" DrawAspect="Content" ObjectID="_1468075764" r:id="rId99">
            <o:LockedField>false</o:LockedField>
          </o:OLEObject>
        </w:object>
      </w:r>
    </w:p>
    <w:p w14:paraId="5A96C790">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式中：L——火焰高度，m； </w:t>
      </w:r>
    </w:p>
    <w:p w14:paraId="3C1A5DEE">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D——液池直径，m； </w:t>
      </w:r>
    </w:p>
    <w:p w14:paraId="15163FB2">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mf——液体单位面积燃烧速率，kg/m2•s； </w:t>
      </w:r>
    </w:p>
    <w:p w14:paraId="0063B1A7">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ρa——空气密度，kg/m3； </w:t>
      </w:r>
    </w:p>
    <w:p w14:paraId="568D288F">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g——重力加速度，9.8m/s； </w:t>
      </w:r>
    </w:p>
    <w:p w14:paraId="1488B558">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④火焰表面热通量的计算 </w:t>
      </w:r>
    </w:p>
    <w:p w14:paraId="7D8DC262">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假定能量由圆柱形火焰侧面和顶部向周围均匀辐射，则可以用下式计算火焰表面的热通量： </w:t>
      </w:r>
    </w:p>
    <w:p w14:paraId="18DEB08A">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063" o:spt="75" type="#_x0000_t75" style="height:34.5pt;width:165.05pt;" o:ole="t" filled="f" o:preferrelative="t" stroked="f" coordsize="21600,21600">
            <v:path/>
            <v:fill on="f" alignshape="1" focussize="0,0"/>
            <v:stroke on="f"/>
            <v:imagedata r:id="rId62" o:title=""/>
            <o:lock v:ext="edit" aspectratio="t"/>
            <w10:wrap type="none"/>
            <w10:anchorlock/>
          </v:shape>
          <o:OLEObject Type="Embed" ProgID="Equation.3" ShapeID="_x0000_i1063" DrawAspect="Content" ObjectID="_1468075765" r:id="rId100">
            <o:LockedField>false</o:LockedField>
          </o:OLEObject>
        </w:object>
      </w:r>
    </w:p>
    <w:p w14:paraId="5FACD09F">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式中：E——池火表面的热通量， W/m2； </w:t>
      </w:r>
    </w:p>
    <w:p w14:paraId="0933EBA0">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HC——液体燃烧热，J/kg； </w:t>
      </w:r>
    </w:p>
    <w:p w14:paraId="252C3ED5">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π——圆周率，3.14； </w:t>
      </w:r>
    </w:p>
    <w:p w14:paraId="2688C56D">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f——热辐射系数，范围为0.13~0.35，保守值为0.35； </w:t>
      </w:r>
    </w:p>
    <w:p w14:paraId="19633D1C">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mf——燃烧速率，kg/m2•s； </w:t>
      </w:r>
    </w:p>
    <w:p w14:paraId="48CD9CF4">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其它符号同前。 </w:t>
      </w:r>
    </w:p>
    <w:p w14:paraId="28808E8E">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⑤目标接收到的热通量的计算 </w:t>
      </w:r>
    </w:p>
    <w:p w14:paraId="115A116F">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目标接收到的热通量q的计算公式为： </w:t>
      </w:r>
    </w:p>
    <w:p w14:paraId="54C4AB22">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064" o:spt="75" type="#_x0000_t75" style="height:17.45pt;width:179.75pt;" o:ole="t" filled="f" o:preferrelative="t" stroked="f" coordsize="21600,21600">
            <v:path/>
            <v:fill on="f" alignshape="1" focussize="0,0"/>
            <v:stroke on="f"/>
            <v:imagedata r:id="rId64" o:title=""/>
            <o:lock v:ext="edit" aspectratio="t"/>
            <w10:wrap type="none"/>
            <w10:anchorlock/>
          </v:shape>
          <o:OLEObject Type="Embed" ProgID="Equation.3" ShapeID="_x0000_i1064" DrawAspect="Content" ObjectID="_1468075766" r:id="rId101">
            <o:LockedField>false</o:LockedField>
          </o:OLEObject>
        </w:object>
      </w:r>
    </w:p>
    <w:p w14:paraId="527257B4">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式中：q——目标接收到的热通量，w/m2； </w:t>
      </w:r>
    </w:p>
    <w:p w14:paraId="68D2D569">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E——池火表面的热通量，w/m2； </w:t>
      </w:r>
    </w:p>
    <w:p w14:paraId="37FE8209">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x——目标到池火中心的水平距离，m； </w:t>
      </w:r>
    </w:p>
    <w:p w14:paraId="013F1F10">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V——视角系数，按Rai&amp;Kalelkar(1974)提供的方法计算。 </w:t>
      </w:r>
    </w:p>
    <w:p w14:paraId="36CECB0B">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⑥视角系数的计算 </w:t>
      </w:r>
      <w:r>
        <w:rPr>
          <w:rFonts w:hint="default" w:ascii="Times New Roman" w:hAnsi="Times New Roman" w:cs="Times New Roman"/>
          <w:sz w:val="24"/>
        </w:rPr>
        <w:fldChar w:fldCharType="begin"/>
      </w:r>
      <w:r>
        <w:instrText xml:space="preserve"> INCLUDEPICTURE "F:\\WeChat Files\\wxid_d7zyx1an0kqf22\\FileStorage\\File\\2022-12\\mk:@MSITStore:C:\\Program%20Files\\环境风险评价系统\\RiskSystem%201.0\\HELP.chm::\\1%20火灾、爆炸、中毒事故后果及其数学模型\\1.2%20汲2.gif" \* MERGEFORMAT </w:instrText>
      </w:r>
      <w:r>
        <w:rPr>
          <w:rFonts w:hint="default" w:ascii="Times New Roman" w:hAnsi="Times New Roman" w:cs="Times New Roman"/>
          <w:sz w:val="24"/>
        </w:rPr>
        <w:fldChar w:fldCharType="separate"/>
      </w:r>
      <w:r>
        <w:rPr>
          <w:rFonts w:hint="default" w:ascii="Times New Roman" w:hAnsi="Times New Roman" w:cs="Times New Roman"/>
          <w:sz w:val="24"/>
        </w:rPr>
        <mc:AlternateContent>
          <mc:Choice Requires="wps">
            <w:drawing>
              <wp:inline distT="0" distB="0" distL="114300" distR="114300">
                <wp:extent cx="114935" cy="219710"/>
                <wp:effectExtent l="0" t="0" r="0" b="0"/>
                <wp:docPr id="3" name="矩形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14935" cy="219710"/>
                        </a:xfrm>
                        <a:prstGeom prst="rect">
                          <a:avLst/>
                        </a:prstGeom>
                        <a:noFill/>
                        <a:ln>
                          <a:noFill/>
                        </a:ln>
                      </wps:spPr>
                      <wps:bodyPr upright="1"/>
                    </wps:wsp>
                  </a:graphicData>
                </a:graphic>
              </wp:inline>
            </w:drawing>
          </mc:Choice>
          <mc:Fallback>
            <w:pict>
              <v:rect id="_x0000_s1026" o:spid="_x0000_s1026" o:spt="1" style="height:17.3pt;width:9.05pt;" filled="f" stroked="f" coordsize="21600,21600" o:gfxdata="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BPcfgnU&#10;AAAAAwEAAA8AAAAAAAAAAQAgAAAAIgAAAGRycy9kb3ducmV2LnhtbFBLAQIUABQAAAAIAIdO4kAC&#10;IDz4sgEAAGEDAAAOAAAAAAAAAAEAIAAAACMBAABkcnMvZTJvRG9jLnhtbFBLBQYAAAAABgAGAFkB&#10;AABHBQAAAAA=&#10;">
                <v:fill on="f" focussize="0,0"/>
                <v:stroke on="f"/>
                <v:imagedata o:title=""/>
                <o:lock v:ext="edit" aspectratio="t"/>
                <w10:wrap type="none"/>
                <w10:anchorlock/>
              </v:rect>
            </w:pict>
          </mc:Fallback>
        </mc:AlternateContent>
      </w:r>
      <w:r>
        <w:rPr>
          <w:rFonts w:hint="default" w:ascii="Times New Roman" w:hAnsi="Times New Roman" w:cs="Times New Roman"/>
          <w:sz w:val="24"/>
        </w:rPr>
        <w:fldChar w:fldCharType="end"/>
      </w:r>
    </w:p>
    <w:p w14:paraId="29425A39">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视角系数V可由下式确定： </w:t>
      </w:r>
    </w:p>
    <w:p w14:paraId="662D5094">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065" o:spt="75" type="#_x0000_t75" style="height:23.85pt;width:120pt;" o:ole="t" filled="f" o:preferrelative="t" stroked="f" coordsize="21600,21600">
            <v:path/>
            <v:fill on="f" alignshape="1" focussize="0,0"/>
            <v:stroke on="f"/>
            <v:imagedata r:id="rId66" o:title=""/>
            <o:lock v:ext="edit" aspectratio="t"/>
            <w10:wrap type="none"/>
            <w10:anchorlock/>
          </v:shape>
          <o:OLEObject Type="Embed" ProgID="Equation.3" ShapeID="_x0000_i1065" DrawAspect="Content" ObjectID="_1468075767" r:id="rId102">
            <o:LockedField>false</o:LockedField>
          </o:OLEObject>
        </w:object>
      </w:r>
    </w:p>
    <w:p w14:paraId="6C105E14">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066" o:spt="75" type="#_x0000_t75" style="height:15.9pt;width:91.6pt;" o:ole="t" filled="f" o:preferrelative="t" stroked="f" coordsize="21600,21600">
            <v:path/>
            <v:fill on="f" alignshape="1" focussize="0,0"/>
            <v:stroke on="f"/>
            <v:imagedata r:id="rId68" o:title=""/>
            <o:lock v:ext="edit" aspectratio="t"/>
            <w10:wrap type="none"/>
            <w10:anchorlock/>
          </v:shape>
          <o:OLEObject Type="Embed" ProgID="Equation.3" ShapeID="_x0000_i1066" DrawAspect="Content" ObjectID="_1468075768" r:id="rId103">
            <o:LockedField>false</o:LockedField>
          </o:OLEObject>
        </w:object>
      </w:r>
    </w:p>
    <w:p w14:paraId="34412343">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067" o:spt="75" type="#_x0000_t75" style="height:27.15pt;width:238.45pt;" o:ole="t" filled="f" o:preferrelative="t" stroked="f" coordsize="21600,21600">
            <v:path/>
            <v:fill on="f" alignshape="1" focussize="0,0"/>
            <v:stroke on="f"/>
            <v:imagedata r:id="rId70" o:title=""/>
            <o:lock v:ext="edit" aspectratio="t"/>
            <w10:wrap type="none"/>
            <w10:anchorlock/>
          </v:shape>
          <o:OLEObject Type="Embed" ProgID="Equation.3" ShapeID="_x0000_i1067" DrawAspect="Content" ObjectID="_1468075769" r:id="rId104">
            <o:LockedField>false</o:LockedField>
          </o:OLEObject>
        </w:object>
      </w:r>
    </w:p>
    <w:p w14:paraId="7E189B2D">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068" o:spt="75" type="#_x0000_t75" style="height:34.65pt;width:240.05pt;" o:ole="t" filled="f" o:preferrelative="t" stroked="f" coordsize="21600,21600">
            <v:path/>
            <v:fill on="f" alignshape="1" focussize="0,0"/>
            <v:stroke on="f"/>
            <v:imagedata r:id="rId72" o:title=""/>
            <o:lock v:ext="edit" aspectratio="t"/>
            <w10:wrap type="none"/>
            <w10:anchorlock/>
          </v:shape>
          <o:OLEObject Type="Embed" ProgID="Equation.3" ShapeID="_x0000_i1068" DrawAspect="Content" ObjectID="_1468075770" r:id="rId105">
            <o:LockedField>false</o:LockedField>
          </o:OLEObject>
        </w:object>
      </w:r>
    </w:p>
    <w:p w14:paraId="3C579D34">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069" o:spt="75" type="#_x0000_t75" style="height:28.65pt;width:186pt;" o:ole="t" filled="f" o:preferrelative="t" stroked="f" coordsize="21600,21600">
            <v:path/>
            <v:fill on="f" alignshape="1" focussize="0,0"/>
            <v:stroke on="f"/>
            <v:imagedata r:id="rId74" o:title=""/>
            <o:lock v:ext="edit" aspectratio="t"/>
            <w10:wrap type="none"/>
            <w10:anchorlock/>
          </v:shape>
          <o:OLEObject Type="Embed" ProgID="Equation.3" ShapeID="_x0000_i1069" DrawAspect="Content" ObjectID="_1468075771" r:id="rId106">
            <o:LockedField>false</o:LockedField>
          </o:OLEObject>
        </w:object>
      </w:r>
    </w:p>
    <w:p w14:paraId="42A0F0F9">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070" o:spt="75" type="#_x0000_t75" style="height:28.35pt;width:182.2pt;" o:ole="t" filled="f" o:preferrelative="t" stroked="f" coordsize="21600,21600">
            <v:path/>
            <v:fill on="f" alignshape="1" focussize="0,0"/>
            <v:stroke on="f"/>
            <v:imagedata r:id="rId76" o:title=""/>
            <o:lock v:ext="edit" aspectratio="t"/>
            <w10:wrap type="none"/>
            <w10:anchorlock/>
          </v:shape>
          <o:OLEObject Type="Embed" ProgID="Equation.3" ShapeID="_x0000_i1070" DrawAspect="Content" ObjectID="_1468075772" r:id="rId107">
            <o:LockedField>false</o:LockedField>
          </o:OLEObject>
        </w:object>
      </w:r>
    </w:p>
    <w:p w14:paraId="400AFAE2">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071" o:spt="75" type="#_x0000_t75" style="height:24.3pt;width:93pt;" o:ole="t" filled="f" o:preferrelative="t" stroked="f" coordsize="21600,21600">
            <v:path/>
            <v:fill on="f" alignshape="1" focussize="0,0"/>
            <v:stroke on="f"/>
            <v:imagedata r:id="rId78" o:title=""/>
            <o:lock v:ext="edit" aspectratio="t"/>
            <w10:wrap type="none"/>
            <w10:anchorlock/>
          </v:shape>
          <o:OLEObject Type="Embed" ProgID="Equation.3" ShapeID="_x0000_i1071" DrawAspect="Content" ObjectID="_1468075773" r:id="rId108">
            <o:LockedField>false</o:LockedField>
          </o:OLEObject>
        </w:object>
      </w:r>
    </w:p>
    <w:p w14:paraId="0D54C418">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a=(h</w:t>
      </w:r>
      <w:r>
        <w:rPr>
          <w:rFonts w:hint="default" w:ascii="Times New Roman" w:hAnsi="Times New Roman" w:cs="Times New Roman"/>
          <w:sz w:val="24"/>
        </w:rPr>
        <w:softHyphen/>
      </w:r>
      <w:r>
        <w:rPr>
          <w:rFonts w:hint="default" w:ascii="Times New Roman" w:hAnsi="Times New Roman" w:cs="Times New Roman"/>
          <w:sz w:val="24"/>
        </w:rPr>
        <w:t xml:space="preserve">2+s2+1)/2s </w:t>
      </w:r>
    </w:p>
    <w:p w14:paraId="2923429C">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b=(1+s2)/2s </w:t>
      </w:r>
    </w:p>
    <w:p w14:paraId="3DD3A250">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s=2R/D </w:t>
      </w:r>
    </w:p>
    <w:p w14:paraId="0F6F4631">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h=L/D </w:t>
      </w:r>
    </w:p>
    <w:p w14:paraId="3FF8EEA1">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（2） 热辐射伤害概率模型 </w:t>
      </w:r>
    </w:p>
    <w:p w14:paraId="1B571DA7">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热辐射伤害常用概率模型描述。概率与伤害百分率的关系为 </w:t>
      </w:r>
    </w:p>
    <w:p w14:paraId="01D617F5">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072" o:spt="75" type="#_x0000_t75" style="height:32.7pt;width:150.05pt;" o:ole="t" filled="f" o:preferrelative="t" stroked="f" coordsize="21600,21600">
            <v:path/>
            <v:fill on="f" alignshape="1" focussize="0,0"/>
            <v:stroke on="f"/>
            <v:imagedata r:id="rId80" o:title=""/>
            <o:lock v:ext="edit" aspectratio="t"/>
            <w10:wrap type="none"/>
            <w10:anchorlock/>
          </v:shape>
          <o:OLEObject Type="Embed" ProgID="Equation.3" ShapeID="_x0000_i1072" DrawAspect="Content" ObjectID="_1468075774" r:id="rId109">
            <o:LockedField>false</o:LockedField>
          </o:OLEObject>
        </w:object>
      </w:r>
    </w:p>
    <w:p w14:paraId="4F522DBC">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当Pr＝5时，伤害百分率为50%。 </w:t>
      </w:r>
    </w:p>
    <w:p w14:paraId="7F814E10">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皮肤裸露时的死亡概率： </w:t>
      </w:r>
    </w:p>
    <w:p w14:paraId="0379AEC3">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Pr = -36.38 + 2.56ln(tq4/3) </w:t>
      </w:r>
    </w:p>
    <w:p w14:paraId="393ABB80">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有衣服保护时（20%皮肤裸露）的死亡概率： </w:t>
      </w:r>
    </w:p>
    <w:p w14:paraId="4D767974">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Pr = -37.23 + 2.56ln(tq4/3) </w:t>
      </w:r>
    </w:p>
    <w:p w14:paraId="50AAC2C4">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有衣服保护时（20%皮肤裸露）的二度烧伤概率： </w:t>
      </w:r>
    </w:p>
    <w:p w14:paraId="4B1BAB07">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Pr = -43.14 + 3.0188ln(tq4/3) </w:t>
      </w:r>
    </w:p>
    <w:p w14:paraId="7F229ED0">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有衣服保护时（20%皮肤裸露）的一度烧伤概率： </w:t>
      </w:r>
    </w:p>
    <w:p w14:paraId="62DD1215">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Pr = -39.83 + 3.0188ln(tq4/3) </w:t>
      </w:r>
    </w:p>
    <w:p w14:paraId="553C2CB8">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关于人暴露时间，对于火球，采用火球持续时间；对于池火和喷射火，可取30s或40s，此时间范围内，在较低热辐射能量下人可以逃生。</w:t>
      </w:r>
    </w:p>
    <w:p w14:paraId="47644146">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根据人体接收的热辐射通量和暴露时间，按上面的公式计算伤害概率，确定暴露时间，根据上面的式子计算热辐射通量，根据热辐射通量和距离的关系算出距火源的距离，此距离即为相应的伤害距离。 </w:t>
      </w:r>
    </w:p>
    <w:p w14:paraId="6B73E26F">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分析过程中通常都按50%伤害率计算，例如按50%死亡率划定出死亡范围，该范围表明范围内、外死亡人数各占一半，也可以认为死亡范围内人员全部死亡，范围外无一人死亡，这样可以使问题简化。 </w:t>
      </w:r>
    </w:p>
    <w:p w14:paraId="7105D335">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对于财产损失，可以按引燃木材所需热通量计算。 </w:t>
      </w:r>
    </w:p>
    <w:p w14:paraId="1A24A050">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Q=6730t-4/5 + 25400 </w:t>
      </w:r>
    </w:p>
    <w:p w14:paraId="69CA7E27">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暴露时间一般取燃烧持续时间。</w:t>
      </w:r>
    </w:p>
    <w:p w14:paraId="5C119237">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通过计算，公司</w:t>
      </w:r>
      <w:r>
        <w:rPr>
          <w:rFonts w:hint="default" w:ascii="Times New Roman" w:hAnsi="Times New Roman" w:cs="Times New Roman"/>
          <w:sz w:val="24"/>
          <w:lang w:eastAsia="zh-CN"/>
        </w:rPr>
        <w:t>苯酚</w:t>
      </w:r>
      <w:r>
        <w:rPr>
          <w:rFonts w:hint="default" w:ascii="Times New Roman" w:hAnsi="Times New Roman" w:cs="Times New Roman"/>
          <w:sz w:val="24"/>
        </w:rPr>
        <w:t>发生火灾情况下，一度烧伤半径为1.4m，财产损失半径4m。项目一旦发生火灾对厂区内设施产生一定的影响。但是对周围环境保护目标影响较小。</w:t>
      </w:r>
    </w:p>
    <w:p w14:paraId="7BEF596B">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B、</w:t>
      </w:r>
      <w:r>
        <w:rPr>
          <w:rFonts w:hint="eastAsia" w:ascii="Times New Roman" w:hAnsi="Times New Roman" w:cs="Times New Roman"/>
          <w:sz w:val="24"/>
          <w:lang w:eastAsia="zh-CN"/>
        </w:rPr>
        <w:t>甲醇</w:t>
      </w:r>
      <w:r>
        <w:rPr>
          <w:rFonts w:hint="default" w:ascii="Times New Roman" w:hAnsi="Times New Roman" w:cs="Times New Roman"/>
          <w:sz w:val="24"/>
        </w:rPr>
        <w:t>爆炸</w:t>
      </w:r>
    </w:p>
    <w:p w14:paraId="454E5F16">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存储的可燃液体瞬态泄漏，并在环境温度高于其沸点时急剧气化，如果遇到火源就会发生剧烈的燃烧，产生巨大的火球，形成强烈的热辐射，造成人员的伤亡和财产损失，此种现象称为沸腾液体扩展为蒸气爆炸，简称BLEVE（Boiling Liquid Expanding Vapor Explosions）。沸腾液体扩展为蒸气爆炸是石油、化工和交通运输行业常见的重要事故类型。 </w:t>
      </w:r>
    </w:p>
    <w:p w14:paraId="24B535E9">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BLEVE可以产生三种危害后果：冲击波超压、火球热辐射和抛射碎片，有时也可能伴随延迟发生的蒸气云爆炸或闪火等事故灾害。BLEVE过程虽然有破片和冲击波产生，但近场以外的冲击波压力效应不重要，爆炸也通常只产生几块较大的抛射碎片，故爆炸火球的热辐射是最主要的伤害因素。 </w:t>
      </w:r>
    </w:p>
    <w:p w14:paraId="14F8E560">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（1）火球半径的计算 </w:t>
      </w:r>
    </w:p>
    <w:p w14:paraId="4DF52D65">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实验证明，火球的半径与可燃物质量的立方根成正比，火球半径的计算公式为：</w:t>
      </w:r>
    </w:p>
    <w:p w14:paraId="3810D88A">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073" o:spt="75" type="#_x0000_t75" style="height:17.4pt;width:95.95pt;" o:ole="t" filled="f" o:preferrelative="t" stroked="f" coordsize="21600,21600">
            <v:path/>
            <v:fill on="f" alignshape="1" focussize="0,0"/>
            <v:stroke on="f"/>
            <v:imagedata r:id="rId82" o:title=""/>
            <o:lock v:ext="edit" aspectratio="t"/>
            <w10:wrap type="none"/>
            <w10:anchorlock/>
          </v:shape>
          <o:OLEObject Type="Embed" ProgID="Equation.3" ShapeID="_x0000_i1073" DrawAspect="Content" ObjectID="_1468075775" r:id="rId110">
            <o:LockedField>false</o:LockedField>
          </o:OLEObject>
        </w:object>
      </w:r>
    </w:p>
    <w:p w14:paraId="6D17358F">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其中，D——火球直径，m； </w:t>
      </w:r>
    </w:p>
    <w:p w14:paraId="7A459731">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W——火球中消耗的可燃物质量，kg。对单罐储存，W取罐容量的50%；对双罐储存，W取罐容的70%；对多罐储存，W取罐容的90%。 </w:t>
      </w:r>
    </w:p>
    <w:p w14:paraId="6B54F1D3">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（2）火球持续时间的计算 </w:t>
      </w:r>
    </w:p>
    <w:p w14:paraId="221FF81E">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实验证明，火球的持续时间也与可燃物质量W的立方根成正比，可按下式计算： </w:t>
      </w:r>
    </w:p>
    <w:p w14:paraId="1653AC3B">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074" o:spt="75" type="#_x0000_t75" style="height:16pt;width:42pt;" o:ole="t" filled="f" o:preferrelative="t" stroked="f" coordsize="21600,21600">
            <v:path/>
            <v:fill on="f" alignshape="1" focussize="0,0"/>
            <v:stroke on="f"/>
            <v:imagedata r:id="rId84" o:title=""/>
            <o:lock v:ext="edit" aspectratio="t"/>
            <w10:wrap type="none"/>
            <w10:anchorlock/>
          </v:shape>
          <o:OLEObject Type="Embed" ProgID="Equation.3" ShapeID="_x0000_i1074" DrawAspect="Content" ObjectID="_1468075776" r:id="rId111">
            <o:LockedField>false</o:LockedField>
          </o:OLEObject>
        </w:object>
      </w:r>
    </w:p>
    <w:p w14:paraId="1C558BC8">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其中，t——火球持续时间，s； </w:t>
      </w:r>
    </w:p>
    <w:p w14:paraId="3A07F0E6">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W——火球内燃料质量，kg。对单罐储存，W取罐容量的50%；对双罐储存，W取罐容的70%；对多罐储存，W取罐容的90%。 </w:t>
      </w:r>
    </w:p>
    <w:p w14:paraId="0EDC8424">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式中系数a、b、c、d在不同的模型中取值不同，典型的计算模型见下表：</w:t>
      </w:r>
    </w:p>
    <w:p w14:paraId="2F1BBE5D">
      <w:pPr>
        <w:widowControl/>
        <w:adjustRightInd w:val="0"/>
        <w:snapToGrid w:val="0"/>
        <w:ind w:firstLine="420"/>
        <w:jc w:val="center"/>
        <w:rPr>
          <w:rFonts w:hint="default" w:ascii="Times New Roman" w:hAnsi="Times New Roman" w:cs="Times New Roman"/>
          <w:bCs/>
          <w:kern w:val="0"/>
          <w:sz w:val="28"/>
          <w:szCs w:val="28"/>
        </w:rPr>
      </w:pPr>
      <w:r>
        <w:rPr>
          <w:rFonts w:hint="default" w:ascii="Times New Roman" w:hAnsi="Times New Roman" w:cs="Times New Roman"/>
          <w:b/>
          <w:bCs/>
          <w:sz w:val="24"/>
          <w:lang w:val="en-US" w:eastAsia="zh-CN"/>
        </w:rPr>
        <w:t>表4.2-1</w:t>
      </w:r>
      <w:r>
        <w:rPr>
          <w:rFonts w:hint="default" w:ascii="Times New Roman" w:hAnsi="Times New Roman" w:cs="Times New Roman"/>
          <w:b/>
          <w:bCs/>
          <w:sz w:val="24"/>
        </w:rPr>
        <w:t>不同模型中系数值</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96"/>
        <w:gridCol w:w="1196"/>
        <w:gridCol w:w="1336"/>
        <w:gridCol w:w="1336"/>
        <w:gridCol w:w="1336"/>
      </w:tblGrid>
      <w:tr w14:paraId="028F2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996" w:type="dxa"/>
            <w:vMerge w:val="restart"/>
            <w:noWrap w:val="0"/>
            <w:vAlign w:val="center"/>
          </w:tcPr>
          <w:p w14:paraId="6767FAE2">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模　　型 </w:t>
            </w:r>
          </w:p>
        </w:tc>
        <w:tc>
          <w:tcPr>
            <w:tcW w:w="2532" w:type="dxa"/>
            <w:gridSpan w:val="2"/>
            <w:noWrap w:val="0"/>
            <w:vAlign w:val="center"/>
          </w:tcPr>
          <w:p w14:paraId="742FCBEE">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D＝aW</w:t>
            </w:r>
            <w:r>
              <w:rPr>
                <w:rFonts w:hint="default" w:ascii="Times New Roman" w:hAnsi="Times New Roman" w:cs="Times New Roman"/>
                <w:kern w:val="0"/>
                <w:szCs w:val="21"/>
                <w:vertAlign w:val="superscript"/>
              </w:rPr>
              <w:t xml:space="preserve">b </w:t>
            </w:r>
          </w:p>
        </w:tc>
        <w:tc>
          <w:tcPr>
            <w:tcW w:w="2672" w:type="dxa"/>
            <w:gridSpan w:val="2"/>
            <w:noWrap w:val="0"/>
            <w:vAlign w:val="center"/>
          </w:tcPr>
          <w:p w14:paraId="469DDCCD">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T=cW</w:t>
            </w:r>
            <w:r>
              <w:rPr>
                <w:rFonts w:hint="default" w:ascii="Times New Roman" w:hAnsi="Times New Roman" w:cs="Times New Roman"/>
                <w:kern w:val="0"/>
                <w:szCs w:val="21"/>
                <w:vertAlign w:val="superscript"/>
              </w:rPr>
              <w:t xml:space="preserve">d </w:t>
            </w:r>
          </w:p>
        </w:tc>
      </w:tr>
      <w:tr w14:paraId="7B78C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996" w:type="dxa"/>
            <w:vMerge w:val="continue"/>
            <w:noWrap w:val="0"/>
            <w:vAlign w:val="center"/>
          </w:tcPr>
          <w:p w14:paraId="45AF3C47">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cs="Times New Roman"/>
                <w:kern w:val="0"/>
                <w:szCs w:val="21"/>
              </w:rPr>
            </w:pPr>
          </w:p>
        </w:tc>
        <w:tc>
          <w:tcPr>
            <w:tcW w:w="1196" w:type="dxa"/>
            <w:noWrap w:val="0"/>
            <w:vAlign w:val="center"/>
          </w:tcPr>
          <w:p w14:paraId="2BE40EA6">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a </w:t>
            </w:r>
          </w:p>
        </w:tc>
        <w:tc>
          <w:tcPr>
            <w:tcW w:w="1336" w:type="dxa"/>
            <w:noWrap w:val="0"/>
            <w:vAlign w:val="center"/>
          </w:tcPr>
          <w:p w14:paraId="36238AC5">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b </w:t>
            </w:r>
          </w:p>
        </w:tc>
        <w:tc>
          <w:tcPr>
            <w:tcW w:w="1336" w:type="dxa"/>
            <w:noWrap w:val="0"/>
            <w:vAlign w:val="center"/>
          </w:tcPr>
          <w:p w14:paraId="248334ED">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c </w:t>
            </w:r>
          </w:p>
        </w:tc>
        <w:tc>
          <w:tcPr>
            <w:tcW w:w="1336" w:type="dxa"/>
            <w:noWrap w:val="0"/>
            <w:vAlign w:val="center"/>
          </w:tcPr>
          <w:p w14:paraId="03CABCD0">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d </w:t>
            </w:r>
          </w:p>
        </w:tc>
      </w:tr>
      <w:tr w14:paraId="4A909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6" w:type="dxa"/>
            <w:noWrap w:val="0"/>
            <w:vAlign w:val="top"/>
          </w:tcPr>
          <w:p w14:paraId="523BEFA2">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Lihou&amp;Maund </w:t>
            </w:r>
          </w:p>
          <w:p w14:paraId="423BE988">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CCPS </w:t>
            </w:r>
          </w:p>
          <w:p w14:paraId="3EC0F948">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Williamson,TNO </w:t>
            </w:r>
          </w:p>
          <w:p w14:paraId="0A6FCDBA">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Roberts </w:t>
            </w:r>
          </w:p>
          <w:p w14:paraId="52090C1E">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Moorhouse,Pirtchard </w:t>
            </w:r>
          </w:p>
          <w:p w14:paraId="4C6A5BBF">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Hasegawa&amp;Sato </w:t>
            </w:r>
          </w:p>
          <w:p w14:paraId="65C1AFE9">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Fay&amp;Lewis </w:t>
            </w:r>
          </w:p>
          <w:p w14:paraId="7F9A701C">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ILO </w:t>
            </w:r>
          </w:p>
          <w:p w14:paraId="48DBFD66">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H.R.Greengerg&amp;J.J.Cramer </w:t>
            </w:r>
          </w:p>
          <w:p w14:paraId="6D833F05">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修正模型 </w:t>
            </w:r>
          </w:p>
        </w:tc>
        <w:tc>
          <w:tcPr>
            <w:tcW w:w="1196" w:type="dxa"/>
            <w:noWrap w:val="0"/>
            <w:vAlign w:val="top"/>
          </w:tcPr>
          <w:p w14:paraId="4A95F394">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3.51 </w:t>
            </w:r>
          </w:p>
          <w:p w14:paraId="4B27290F">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6.48 </w:t>
            </w:r>
          </w:p>
          <w:p w14:paraId="0DB28214">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5.88 </w:t>
            </w:r>
          </w:p>
          <w:p w14:paraId="44F5F1D4">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5.80 </w:t>
            </w:r>
          </w:p>
          <w:p w14:paraId="65DB89B9">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5.33 </w:t>
            </w:r>
          </w:p>
          <w:p w14:paraId="690DEEE1">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5.28 </w:t>
            </w:r>
          </w:p>
          <w:p w14:paraId="5BA40731">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6.28 </w:t>
            </w:r>
          </w:p>
          <w:p w14:paraId="0CAE2CBD">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5.80 </w:t>
            </w:r>
          </w:p>
          <w:p w14:paraId="6E5D5EFA">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5.33 </w:t>
            </w:r>
          </w:p>
          <w:p w14:paraId="69D7878E">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5.6 </w:t>
            </w:r>
          </w:p>
        </w:tc>
        <w:tc>
          <w:tcPr>
            <w:tcW w:w="1336" w:type="dxa"/>
            <w:noWrap w:val="0"/>
            <w:vAlign w:val="top"/>
          </w:tcPr>
          <w:p w14:paraId="445887B1">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0.333 </w:t>
            </w:r>
          </w:p>
          <w:p w14:paraId="37AB58C2">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0.325 </w:t>
            </w:r>
          </w:p>
          <w:p w14:paraId="62B4BA35">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0.33 </w:t>
            </w:r>
          </w:p>
          <w:p w14:paraId="225FC1C7">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1/3 </w:t>
            </w:r>
          </w:p>
          <w:p w14:paraId="394101C5">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0.327 </w:t>
            </w:r>
          </w:p>
          <w:p w14:paraId="1480EA15">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0.277 </w:t>
            </w:r>
          </w:p>
          <w:p w14:paraId="78A67485">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0.330 </w:t>
            </w:r>
          </w:p>
          <w:p w14:paraId="35B84BA7">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1/3 </w:t>
            </w:r>
          </w:p>
          <w:p w14:paraId="525674D7">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0.327 </w:t>
            </w:r>
          </w:p>
          <w:p w14:paraId="2ABBCCCA">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0.323 </w:t>
            </w:r>
          </w:p>
        </w:tc>
        <w:tc>
          <w:tcPr>
            <w:tcW w:w="1336" w:type="dxa"/>
            <w:noWrap w:val="0"/>
            <w:vAlign w:val="top"/>
          </w:tcPr>
          <w:p w14:paraId="313274AA">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0.32 </w:t>
            </w:r>
          </w:p>
          <w:p w14:paraId="18552756">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0.825 </w:t>
            </w:r>
          </w:p>
          <w:p w14:paraId="43C3D215">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1.09 </w:t>
            </w:r>
          </w:p>
          <w:p w14:paraId="1EFE2BA5">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0.450 </w:t>
            </w:r>
          </w:p>
          <w:p w14:paraId="7900C9D0">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1.09 </w:t>
            </w:r>
          </w:p>
          <w:p w14:paraId="42C9E7DC">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1.100 </w:t>
            </w:r>
          </w:p>
          <w:p w14:paraId="00C7FF71">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2.530 </w:t>
            </w:r>
          </w:p>
          <w:p w14:paraId="0A8C367B">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0.450 </w:t>
            </w:r>
          </w:p>
          <w:p w14:paraId="04323E1D">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1.089 </w:t>
            </w:r>
          </w:p>
          <w:p w14:paraId="62796309">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1.26 </w:t>
            </w:r>
          </w:p>
        </w:tc>
        <w:tc>
          <w:tcPr>
            <w:tcW w:w="1336" w:type="dxa"/>
            <w:noWrap w:val="0"/>
            <w:vAlign w:val="top"/>
          </w:tcPr>
          <w:p w14:paraId="104B6927">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0.330 </w:t>
            </w:r>
          </w:p>
          <w:p w14:paraId="43E95893">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0.260 </w:t>
            </w:r>
          </w:p>
          <w:p w14:paraId="75E91FE7">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0.617 </w:t>
            </w:r>
          </w:p>
          <w:p w14:paraId="2B377239">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1/3 </w:t>
            </w:r>
          </w:p>
          <w:p w14:paraId="2B6B7509">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0.327 </w:t>
            </w:r>
          </w:p>
          <w:p w14:paraId="299EC2ED">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0.097 </w:t>
            </w:r>
          </w:p>
          <w:p w14:paraId="71496CD1">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0.170 </w:t>
            </w:r>
          </w:p>
          <w:p w14:paraId="1BF7AB9C">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1/3 </w:t>
            </w:r>
          </w:p>
          <w:p w14:paraId="78EC083B">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0.327 </w:t>
            </w:r>
          </w:p>
          <w:p w14:paraId="07DAF4E6">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0.224 </w:t>
            </w:r>
          </w:p>
        </w:tc>
      </w:tr>
    </w:tbl>
    <w:p w14:paraId="67DA6FF1">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（3）热辐射通量 </w:t>
      </w:r>
    </w:p>
    <w:p w14:paraId="149C33DD">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火球表面热辐射通量按下式计算： </w:t>
      </w:r>
    </w:p>
    <w:p w14:paraId="32A88BAF">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075" o:spt="75" type="#_x0000_t75" style="height:36.55pt;width:84.05pt;" o:ole="t" filled="f" o:preferrelative="t" stroked="f" coordsize="21600,21600">
            <v:path/>
            <v:fill on="f" alignshape="1" focussize="0,0"/>
            <v:stroke on="f"/>
            <v:imagedata r:id="rId86" o:title=""/>
            <o:lock v:ext="edit" aspectratio="t"/>
            <w10:wrap type="none"/>
            <w10:anchorlock/>
          </v:shape>
          <o:OLEObject Type="Embed" ProgID="Equation.3" ShapeID="_x0000_i1075" DrawAspect="Content" ObjectID="_1468075777" r:id="rId112">
            <o:LockedField>false</o:LockedField>
          </o:OLEObject>
        </w:object>
      </w:r>
    </w:p>
    <w:p w14:paraId="75AB0918">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上式实际上假定火球在持续时间内辐射热量是恒定不变的。 </w:t>
      </w:r>
    </w:p>
    <w:p w14:paraId="4161DBB0">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Hc——液体燃烧热； </w:t>
      </w:r>
    </w:p>
    <w:p w14:paraId="492A9D28">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设f是燃烧辐射分数，是容器压力的函数： </w:t>
      </w:r>
    </w:p>
    <w:p w14:paraId="2C3AE5EB">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076" o:spt="75" type="#_x0000_t75" style="height:21pt;width:68.75pt;" o:ole="t" filled="f" o:preferrelative="t" stroked="f" coordsize="21600,21600">
            <v:path/>
            <v:fill on="f" alignshape="1" focussize="0,0"/>
            <v:stroke on="f"/>
            <v:imagedata r:id="rId88" o:title=""/>
            <o:lock v:ext="edit" aspectratio="t"/>
            <w10:wrap type="none"/>
            <w10:anchorlock/>
          </v:shape>
          <o:OLEObject Type="Embed" ProgID="Equation.3" ShapeID="_x0000_i1076" DrawAspect="Content" ObjectID="_1468075778" r:id="rId113">
            <o:LockedField>false</o:LockedField>
          </o:OLEObject>
        </w:object>
      </w:r>
    </w:p>
    <w:p w14:paraId="41DBDA75">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常数f1=0.27，f2=0.32；p为容器内压力，单位是MPa。在没有可靠数据时，f可取0.3。 </w:t>
      </w:r>
    </w:p>
    <w:p w14:paraId="1ADCAB91">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距火球在地面投影处x的热辐射通量为： </w:t>
      </w:r>
    </w:p>
    <w:p w14:paraId="3BD334EE">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077" o:spt="75" type="#_x0000_t75" style="height:16.65pt;width:159.25pt;" o:ole="t" filled="f" o:preferrelative="t" stroked="f" coordsize="21600,21600">
            <v:path/>
            <v:fill on="f" alignshape="1" focussize="0,0"/>
            <v:stroke on="f"/>
            <v:imagedata r:id="rId90" o:title=""/>
            <o:lock v:ext="edit" aspectratio="t"/>
            <w10:wrap type="none"/>
            <w10:anchorlock/>
          </v:shape>
          <o:OLEObject Type="Embed" ProgID="Equation.3" ShapeID="_x0000_i1077" DrawAspect="Content" ObjectID="_1468075779" r:id="rId114">
            <o:LockedField>false</o:LockedField>
          </o:OLEObject>
        </w:object>
      </w:r>
    </w:p>
    <w:p w14:paraId="02F82B12">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式中：q——目标接收到的热通量，w/m2； </w:t>
      </w:r>
    </w:p>
    <w:p w14:paraId="61FC1299">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E——池火表面的热通量，w/m2； </w:t>
      </w:r>
    </w:p>
    <w:p w14:paraId="5E15735F">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x——目标到池火中心的水平距离，m； </w:t>
      </w:r>
    </w:p>
    <w:p w14:paraId="1DAF86C6">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V——视角系数。 </w:t>
      </w:r>
    </w:p>
    <w:p w14:paraId="1B362FEC">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（4）目标接收到热辐射通量计算 </w:t>
      </w:r>
    </w:p>
    <w:p w14:paraId="36940A99">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除了采用上述的方法计算目标接收到热辐射能量外，还常采用以下公式计算。当r&gt;R时，目标接收到的热辐射通量按下式计算： </w:t>
      </w:r>
    </w:p>
    <w:p w14:paraId="35291C8D">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078" o:spt="75" type="#_x0000_t75" style="height:25.95pt;width:263.95pt;" o:ole="t" filled="f" o:preferrelative="t" stroked="f" coordsize="21600,21600">
            <v:path/>
            <v:fill on="f" alignshape="1" focussize="0,0"/>
            <v:stroke on="f"/>
            <v:imagedata r:id="rId92" o:title=""/>
            <o:lock v:ext="edit" aspectratio="t"/>
            <w10:wrap type="none"/>
            <w10:anchorlock/>
          </v:shape>
          <o:OLEObject Type="Embed" ProgID="Equation.3" ShapeID="_x0000_i1078" DrawAspect="Content" ObjectID="_1468075780" r:id="rId115">
            <o:LockedField>false</o:LockedField>
          </o:OLEObject>
        </w:object>
      </w:r>
    </w:p>
    <w:p w14:paraId="32E2D9A9">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式中：q0——火球表面的辐射通量，W/m2。对柱形罐取270000W/m2，对于球形罐取200000W/m2。 </w:t>
      </w:r>
    </w:p>
    <w:p w14:paraId="625A7964">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r——目标到火球中心的水平距离，m； </w:t>
      </w:r>
    </w:p>
    <w:p w14:paraId="79B72A6F">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R——火球半径，m； </w:t>
      </w:r>
    </w:p>
    <w:p w14:paraId="6C0D3336">
      <w:pPr>
        <w:spacing w:line="360" w:lineRule="auto"/>
        <w:ind w:firstLine="486" w:firstLineChars="200"/>
        <w:rPr>
          <w:rFonts w:hint="default" w:ascii="Times New Roman" w:hAnsi="Times New Roman" w:cs="Times New Roman"/>
          <w:color w:val="auto"/>
          <w:sz w:val="24"/>
        </w:rPr>
      </w:pPr>
      <w:r>
        <w:rPr>
          <w:rFonts w:hint="default" w:ascii="Times New Roman" w:hAnsi="Times New Roman" w:cs="Times New Roman"/>
          <w:sz w:val="24"/>
        </w:rPr>
        <w:t>通过计算，公司</w:t>
      </w:r>
      <w:r>
        <w:rPr>
          <w:rFonts w:hint="eastAsia" w:ascii="Times New Roman" w:hAnsi="Times New Roman" w:cs="Times New Roman"/>
          <w:sz w:val="24"/>
          <w:lang w:eastAsia="zh-CN"/>
        </w:rPr>
        <w:t>甲醇</w:t>
      </w:r>
      <w:r>
        <w:rPr>
          <w:rFonts w:hint="default" w:ascii="Times New Roman" w:hAnsi="Times New Roman" w:cs="Times New Roman"/>
          <w:sz w:val="24"/>
        </w:rPr>
        <w:t>发生爆炸情况下，死亡半径：19.9 m，重伤半径：55.6 m，轻伤半径：99.8 m，财产损失半径：56.4 m。项目一旦发生火灾和爆炸对厂区及附近设施产生一定的破坏影响，但是对保护目标影响较小。</w:t>
      </w:r>
    </w:p>
    <w:p w14:paraId="636DEC58">
      <w:pPr>
        <w:spacing w:line="360" w:lineRule="auto"/>
        <w:ind w:firstLine="486" w:firstLineChars="200"/>
        <w:rPr>
          <w:rFonts w:hint="default" w:ascii="Times New Roman" w:hAnsi="Times New Roman" w:cs="Times New Roman"/>
          <w:b w:val="0"/>
          <w:bCs/>
          <w:color w:val="auto"/>
          <w:sz w:val="24"/>
          <w:szCs w:val="21"/>
        </w:rPr>
      </w:pPr>
      <w:r>
        <w:rPr>
          <w:rFonts w:hint="default" w:ascii="Times New Roman" w:hAnsi="Times New Roman" w:cs="Times New Roman"/>
          <w:b w:val="0"/>
          <w:bCs/>
          <w:color w:val="auto"/>
          <w:sz w:val="24"/>
          <w:szCs w:val="21"/>
          <w:lang w:val="en-US" w:eastAsia="zh-CN"/>
        </w:rPr>
        <w:t>二、</w:t>
      </w:r>
      <w:r>
        <w:rPr>
          <w:rFonts w:hint="default" w:ascii="Times New Roman" w:hAnsi="Times New Roman" w:cs="Times New Roman"/>
          <w:b w:val="0"/>
          <w:bCs/>
          <w:color w:val="auto"/>
          <w:sz w:val="24"/>
          <w:szCs w:val="21"/>
        </w:rPr>
        <w:t>风险值评价</w:t>
      </w:r>
    </w:p>
    <w:p w14:paraId="6C740785">
      <w:pPr>
        <w:spacing w:line="360" w:lineRule="auto"/>
        <w:ind w:firstLine="486" w:firstLineChars="200"/>
        <w:rPr>
          <w:rFonts w:hint="default" w:ascii="Times New Roman" w:hAnsi="Times New Roman" w:cs="Times New Roman"/>
          <w:color w:val="auto"/>
          <w:sz w:val="24"/>
          <w:szCs w:val="21"/>
        </w:rPr>
      </w:pPr>
      <w:r>
        <w:rPr>
          <w:rFonts w:hint="default" w:ascii="Times New Roman" w:hAnsi="Times New Roman" w:cs="Times New Roman"/>
          <w:color w:val="auto"/>
          <w:sz w:val="24"/>
          <w:szCs w:val="21"/>
        </w:rPr>
        <w:t>功能单元的风险值（R）为最大可信灾害事故对环境造成的危害，是风险评价的表征量，包括事故的发生概率和事故的危害程度。按下式计算：</w:t>
      </w:r>
    </w:p>
    <w:p w14:paraId="7D4B50F3">
      <w:pPr>
        <w:spacing w:line="360" w:lineRule="auto"/>
        <w:jc w:val="center"/>
        <w:rPr>
          <w:rFonts w:hint="default" w:ascii="Times New Roman" w:hAnsi="Times New Roman" w:cs="Times New Roman"/>
          <w:color w:val="auto"/>
          <w:spacing w:val="10"/>
          <w:sz w:val="24"/>
          <w:szCs w:val="21"/>
        </w:rPr>
      </w:pPr>
      <w:r>
        <w:rPr>
          <w:rFonts w:hint="default" w:ascii="Times New Roman" w:hAnsi="Times New Roman" w:cs="Times New Roman"/>
          <w:color w:val="auto"/>
          <w:spacing w:val="10"/>
          <w:sz w:val="24"/>
          <w:szCs w:val="21"/>
        </w:rPr>
        <w:object>
          <v:shape id="_x0000_i1079" o:spt="75" type="#_x0000_t75" style="height:18.75pt;width:77.8pt;" o:ole="t" fillcolor="#6D6D6D" filled="f" o:preferrelative="t" stroked="f" coordsize="21600,21600">
            <v:path/>
            <v:fill on="f" focussize="0,0"/>
            <v:stroke on="f"/>
            <v:imagedata r:id="rId94" o:title=""/>
            <o:lock v:ext="edit" aspectratio="t"/>
            <w10:wrap type="none"/>
            <w10:anchorlock/>
          </v:shape>
          <o:OLEObject Type="Embed" ProgID="Visio.Drawing.11" ShapeID="_x0000_i1079" DrawAspect="Content" ObjectID="_1468075781" r:id="rId116">
            <o:LockedField>false</o:LockedField>
          </o:OLEObject>
        </w:object>
      </w:r>
    </w:p>
    <w:p w14:paraId="1420238F">
      <w:pPr>
        <w:spacing w:line="360" w:lineRule="auto"/>
        <w:ind w:firstLine="486" w:firstLineChars="200"/>
        <w:rPr>
          <w:rFonts w:hint="default" w:ascii="Times New Roman" w:hAnsi="Times New Roman" w:cs="Times New Roman"/>
          <w:color w:val="auto"/>
          <w:sz w:val="24"/>
          <w:szCs w:val="21"/>
        </w:rPr>
      </w:pPr>
      <w:r>
        <w:rPr>
          <w:rFonts w:hint="default" w:ascii="Times New Roman" w:hAnsi="Times New Roman" w:cs="Times New Roman"/>
          <w:color w:val="auto"/>
          <w:sz w:val="24"/>
          <w:szCs w:val="21"/>
        </w:rPr>
        <w:t>式中：</w:t>
      </w:r>
    </w:p>
    <w:p w14:paraId="5214605A">
      <w:pPr>
        <w:spacing w:line="360" w:lineRule="auto"/>
        <w:ind w:firstLine="486" w:firstLineChars="200"/>
        <w:rPr>
          <w:rFonts w:hint="default" w:ascii="Times New Roman" w:hAnsi="Times New Roman" w:cs="Times New Roman"/>
          <w:color w:val="auto"/>
          <w:sz w:val="24"/>
          <w:szCs w:val="21"/>
        </w:rPr>
      </w:pPr>
      <w:r>
        <w:rPr>
          <w:rFonts w:hint="default" w:ascii="Times New Roman" w:hAnsi="Times New Roman" w:cs="Times New Roman"/>
          <w:color w:val="auto"/>
          <w:sz w:val="24"/>
          <w:szCs w:val="21"/>
        </w:rPr>
        <w:t>R－风险值；</w:t>
      </w:r>
    </w:p>
    <w:p w14:paraId="0A90520C">
      <w:pPr>
        <w:spacing w:line="360" w:lineRule="auto"/>
        <w:ind w:firstLine="486" w:firstLineChars="200"/>
        <w:rPr>
          <w:rFonts w:hint="default" w:ascii="Times New Roman" w:hAnsi="Times New Roman" w:cs="Times New Roman"/>
          <w:color w:val="auto"/>
          <w:sz w:val="24"/>
          <w:szCs w:val="21"/>
        </w:rPr>
      </w:pPr>
      <w:r>
        <w:rPr>
          <w:rFonts w:hint="default" w:ascii="Times New Roman" w:hAnsi="Times New Roman" w:cs="Times New Roman"/>
          <w:color w:val="auto"/>
          <w:sz w:val="24"/>
          <w:szCs w:val="21"/>
        </w:rPr>
        <w:t>P－最大可信事故概率（时间数/单位时间）；</w:t>
      </w:r>
    </w:p>
    <w:p w14:paraId="30E2FE1B">
      <w:pPr>
        <w:spacing w:line="360" w:lineRule="auto"/>
        <w:ind w:firstLine="486" w:firstLineChars="200"/>
        <w:rPr>
          <w:rFonts w:hint="default" w:ascii="Times New Roman" w:hAnsi="Times New Roman" w:cs="Times New Roman"/>
          <w:color w:val="auto"/>
          <w:sz w:val="24"/>
          <w:szCs w:val="21"/>
        </w:rPr>
      </w:pPr>
      <w:r>
        <w:rPr>
          <w:rFonts w:hint="default" w:ascii="Times New Roman" w:hAnsi="Times New Roman" w:cs="Times New Roman"/>
          <w:color w:val="auto"/>
          <w:sz w:val="24"/>
          <w:szCs w:val="21"/>
        </w:rPr>
        <w:t>C－最大可信事故造成的危害（损害/单位时间）。</w:t>
      </w:r>
    </w:p>
    <w:p w14:paraId="6B11C97B">
      <w:pPr>
        <w:spacing w:line="360" w:lineRule="auto"/>
        <w:ind w:firstLine="486" w:firstLineChars="200"/>
        <w:rPr>
          <w:rFonts w:hint="default" w:ascii="Times New Roman" w:hAnsi="Times New Roman" w:cs="Times New Roman"/>
          <w:color w:val="auto"/>
          <w:sz w:val="24"/>
          <w:szCs w:val="21"/>
        </w:rPr>
      </w:pPr>
      <w:r>
        <w:rPr>
          <w:rFonts w:hint="default" w:ascii="Times New Roman" w:hAnsi="Times New Roman" w:cs="Times New Roman"/>
          <w:color w:val="auto"/>
          <w:sz w:val="24"/>
          <w:szCs w:val="21"/>
        </w:rPr>
        <w:t>在实际应用中，若事故发生后下风向某处，化学污染物i的浓度最大值D</w:t>
      </w:r>
      <w:r>
        <w:rPr>
          <w:rFonts w:hint="default" w:ascii="Times New Roman" w:hAnsi="Times New Roman" w:cs="Times New Roman"/>
          <w:color w:val="auto"/>
          <w:sz w:val="24"/>
          <w:szCs w:val="21"/>
          <w:vertAlign w:val="subscript"/>
        </w:rPr>
        <w:t>imax</w:t>
      </w:r>
      <w:r>
        <w:rPr>
          <w:rFonts w:hint="default" w:ascii="Times New Roman" w:hAnsi="Times New Roman" w:cs="Times New Roman"/>
          <w:color w:val="auto"/>
          <w:sz w:val="24"/>
          <w:szCs w:val="21"/>
        </w:rPr>
        <w:t>大于或等于化学污染物i的半致死浓度LC</w:t>
      </w:r>
      <w:r>
        <w:rPr>
          <w:rFonts w:hint="default" w:ascii="Times New Roman" w:hAnsi="Times New Roman" w:cs="Times New Roman"/>
          <w:color w:val="auto"/>
          <w:sz w:val="24"/>
          <w:szCs w:val="21"/>
          <w:vertAlign w:val="subscript"/>
        </w:rPr>
        <w:t>i50</w:t>
      </w:r>
      <w:r>
        <w:rPr>
          <w:rFonts w:hint="default" w:ascii="Times New Roman" w:hAnsi="Times New Roman" w:cs="Times New Roman"/>
          <w:color w:val="auto"/>
          <w:sz w:val="24"/>
          <w:szCs w:val="21"/>
        </w:rPr>
        <w:t>，则事故导致评价区内因发生污染物致死确定性效应而致死的人数即为C</w:t>
      </w:r>
      <w:r>
        <w:rPr>
          <w:rFonts w:hint="default" w:ascii="Times New Roman" w:hAnsi="Times New Roman" w:cs="Times New Roman"/>
          <w:color w:val="auto"/>
          <w:sz w:val="24"/>
          <w:szCs w:val="21"/>
          <w:vertAlign w:val="subscript"/>
        </w:rPr>
        <w:t>i</w:t>
      </w:r>
      <w:r>
        <w:rPr>
          <w:rFonts w:hint="default" w:ascii="Times New Roman" w:hAnsi="Times New Roman" w:cs="Times New Roman"/>
          <w:color w:val="auto"/>
          <w:sz w:val="24"/>
          <w:szCs w:val="21"/>
        </w:rPr>
        <w:t>。</w:t>
      </w:r>
    </w:p>
    <w:p w14:paraId="65550050">
      <w:pPr>
        <w:spacing w:line="360" w:lineRule="auto"/>
        <w:ind w:firstLine="486" w:firstLineChars="200"/>
        <w:rPr>
          <w:rFonts w:hint="default" w:ascii="Times New Roman" w:hAnsi="Times New Roman" w:cs="Times New Roman"/>
          <w:color w:val="auto"/>
          <w:sz w:val="24"/>
          <w:szCs w:val="21"/>
        </w:rPr>
      </w:pPr>
      <w:r>
        <w:rPr>
          <w:rFonts w:hint="default" w:ascii="Times New Roman" w:hAnsi="Times New Roman" w:cs="Times New Roman"/>
          <w:color w:val="auto"/>
          <w:sz w:val="24"/>
          <w:szCs w:val="21"/>
        </w:rPr>
        <w:t>风险评价需从最大可信事故风险R中，选出危害最大的作为最大可信灾害事故，并以此作为风险可接受水平的分析基础，即：</w:t>
      </w:r>
    </w:p>
    <w:p w14:paraId="38789CAF">
      <w:pPr>
        <w:spacing w:line="360" w:lineRule="auto"/>
        <w:ind w:left="480"/>
        <w:rPr>
          <w:rFonts w:hint="default" w:ascii="Times New Roman" w:hAnsi="Times New Roman" w:cs="Times New Roman"/>
          <w:color w:val="auto"/>
          <w:sz w:val="24"/>
          <w:szCs w:val="21"/>
        </w:rPr>
      </w:pPr>
      <w:r>
        <w:rPr>
          <w:rFonts w:hint="default" w:ascii="Times New Roman" w:hAnsi="Times New Roman" w:cs="Times New Roman"/>
          <w:color w:val="auto"/>
          <w:sz w:val="24"/>
          <w:szCs w:val="21"/>
        </w:rPr>
        <w:t>R</w:t>
      </w:r>
      <w:r>
        <w:rPr>
          <w:rFonts w:hint="default" w:ascii="Times New Roman" w:hAnsi="Times New Roman" w:cs="Times New Roman"/>
          <w:color w:val="auto"/>
          <w:sz w:val="24"/>
          <w:szCs w:val="21"/>
          <w:vertAlign w:val="subscript"/>
        </w:rPr>
        <w:t>max</w:t>
      </w:r>
      <w:r>
        <w:rPr>
          <w:rFonts w:hint="default" w:ascii="Times New Roman" w:hAnsi="Times New Roman" w:cs="Times New Roman"/>
          <w:color w:val="auto"/>
          <w:sz w:val="24"/>
          <w:szCs w:val="21"/>
        </w:rPr>
        <w:t>=f（R</w:t>
      </w:r>
      <w:r>
        <w:rPr>
          <w:rFonts w:hint="default" w:ascii="Times New Roman" w:hAnsi="Times New Roman" w:cs="Times New Roman"/>
          <w:color w:val="auto"/>
          <w:sz w:val="24"/>
          <w:szCs w:val="21"/>
          <w:vertAlign w:val="subscript"/>
        </w:rPr>
        <w:t>j</w:t>
      </w:r>
      <w:r>
        <w:rPr>
          <w:rFonts w:hint="default" w:ascii="Times New Roman" w:hAnsi="Times New Roman" w:cs="Times New Roman"/>
          <w:color w:val="auto"/>
          <w:sz w:val="24"/>
          <w:szCs w:val="21"/>
        </w:rPr>
        <w:t>）</w:t>
      </w:r>
    </w:p>
    <w:p w14:paraId="0DDCA06B">
      <w:pPr>
        <w:spacing w:line="360" w:lineRule="auto"/>
        <w:ind w:firstLine="486" w:firstLineChars="200"/>
        <w:rPr>
          <w:rFonts w:hint="default" w:ascii="Times New Roman" w:hAnsi="Times New Roman" w:eastAsia="宋体" w:cs="Times New Roman"/>
          <w:color w:val="auto"/>
          <w:sz w:val="24"/>
          <w:szCs w:val="21"/>
        </w:rPr>
      </w:pPr>
      <w:r>
        <w:rPr>
          <w:rFonts w:hint="default" w:ascii="Times New Roman" w:hAnsi="Times New Roman" w:eastAsia="宋体" w:cs="Times New Roman"/>
          <w:color w:val="auto"/>
          <w:sz w:val="24"/>
          <w:szCs w:val="21"/>
        </w:rPr>
        <w:t>当发生泄漏事故时，在风险值计算过程中，按照下式计算事故风险值（死亡/年）：</w:t>
      </w:r>
    </w:p>
    <w:p w14:paraId="4CFBEB4B">
      <w:pPr>
        <w:spacing w:line="360" w:lineRule="auto"/>
        <w:ind w:firstLine="486" w:firstLineChars="200"/>
        <w:rPr>
          <w:rFonts w:hint="default" w:ascii="Times New Roman" w:hAnsi="Times New Roman" w:eastAsia="宋体" w:cs="Times New Roman"/>
          <w:color w:val="auto"/>
          <w:sz w:val="24"/>
          <w:szCs w:val="21"/>
        </w:rPr>
      </w:pPr>
      <w:r>
        <w:rPr>
          <w:rFonts w:hint="default" w:ascii="Times New Roman" w:hAnsi="Times New Roman" w:eastAsia="宋体" w:cs="Times New Roman"/>
          <w:color w:val="auto"/>
          <w:sz w:val="24"/>
          <w:szCs w:val="21"/>
        </w:rPr>
        <w:t>风险值（死亡/年）=半致死百分率区人口数×50%×事故发生概率×出现不利天气概率。</w:t>
      </w:r>
    </w:p>
    <w:p w14:paraId="3AF26089">
      <w:pPr>
        <w:spacing w:line="360" w:lineRule="auto"/>
        <w:ind w:firstLine="486" w:firstLineChars="200"/>
        <w:rPr>
          <w:rFonts w:hint="default" w:ascii="Times New Roman" w:hAnsi="Times New Roman" w:eastAsia="宋体" w:cs="Times New Roman"/>
          <w:color w:val="auto"/>
          <w:sz w:val="24"/>
          <w:szCs w:val="21"/>
        </w:rPr>
      </w:pPr>
      <w:r>
        <w:rPr>
          <w:rFonts w:hint="default" w:ascii="Times New Roman" w:hAnsi="Times New Roman" w:eastAsia="宋体" w:cs="Times New Roman"/>
          <w:color w:val="auto"/>
          <w:sz w:val="24"/>
          <w:szCs w:val="21"/>
        </w:rPr>
        <w:t>在上式中，人口数和出现不利天气的概率均发生变化，因此，考虑人口数乘以不利天气概率最大为最不利情况。</w:t>
      </w:r>
    </w:p>
    <w:p w14:paraId="6D4824AD">
      <w:pPr>
        <w:spacing w:line="360" w:lineRule="auto"/>
        <w:ind w:firstLine="486" w:firstLineChars="200"/>
        <w:rPr>
          <w:rFonts w:hint="eastAsia"/>
          <w:lang w:eastAsia="zh-CN"/>
        </w:rPr>
      </w:pPr>
      <w:r>
        <w:rPr>
          <w:rFonts w:hint="default" w:ascii="Times New Roman" w:hAnsi="Times New Roman" w:eastAsia="宋体" w:cs="Times New Roman"/>
          <w:color w:val="auto"/>
          <w:sz w:val="24"/>
          <w:szCs w:val="21"/>
        </w:rPr>
        <w:t>经计算，一旦发生泄漏事故，最不利气象条件下，最大致死半径内的人口数为20人（厂内职工），风险值=20×50%×5.0×10-6×0.095=4.75×10-6死亡/年；发生池火事故，最大致死半径内的人口数为5人（厂内职工），风险值=5×50%×1.0×10-6=2.5×10-6死亡/年；发生爆炸事故，最大致死半径内的人口数为8人风险值=11×50%×1.0×10-6=4×10</w:t>
      </w:r>
      <w:r>
        <w:rPr>
          <w:rFonts w:hint="eastAsia" w:ascii="Times New Roman" w:hAnsi="Times New Roman" w:eastAsia="宋体" w:cs="Times New Roman"/>
          <w:color w:val="auto"/>
          <w:sz w:val="24"/>
          <w:szCs w:val="21"/>
          <w:lang w:eastAsia="zh-CN"/>
        </w:rPr>
        <w:t>。</w:t>
      </w:r>
      <w:r>
        <w:rPr>
          <w:rFonts w:hint="default" w:ascii="Times New Roman" w:hAnsi="Times New Roman" w:cs="Times New Roman"/>
          <w:color w:val="auto"/>
          <w:sz w:val="24"/>
        </w:rPr>
        <w:t>均小于目前化工行业的可接受风险水平（</w:t>
      </w:r>
      <w:r>
        <w:rPr>
          <w:rFonts w:hint="eastAsia" w:ascii="Times New Roman" w:hAnsi="Times New Roman" w:cs="Times New Roman"/>
          <w:color w:val="auto"/>
          <w:sz w:val="24"/>
          <w:lang w:val="en-US" w:eastAsia="zh-CN"/>
        </w:rPr>
        <w:t>7</w:t>
      </w:r>
      <w:r>
        <w:rPr>
          <w:rFonts w:hint="default" w:ascii="Times New Roman" w:hAnsi="Times New Roman" w:cs="Times New Roman"/>
          <w:color w:val="auto"/>
          <w:sz w:val="24"/>
        </w:rPr>
        <w:t>.</w:t>
      </w:r>
      <w:r>
        <w:rPr>
          <w:rFonts w:hint="eastAsia" w:ascii="Times New Roman" w:hAnsi="Times New Roman" w:cs="Times New Roman"/>
          <w:color w:val="auto"/>
          <w:sz w:val="24"/>
          <w:lang w:val="en-US" w:eastAsia="zh-CN"/>
        </w:rPr>
        <w:t>2</w:t>
      </w:r>
      <w:r>
        <w:rPr>
          <w:rFonts w:hint="default" w:ascii="Times New Roman" w:hAnsi="Times New Roman" w:cs="Times New Roman"/>
          <w:color w:val="auto"/>
          <w:sz w:val="24"/>
        </w:rPr>
        <w:t>3×10</w:t>
      </w:r>
      <w:r>
        <w:rPr>
          <w:rFonts w:hint="default" w:ascii="Times New Roman" w:hAnsi="Times New Roman" w:cs="Times New Roman"/>
          <w:color w:val="auto"/>
          <w:sz w:val="24"/>
          <w:vertAlign w:val="superscript"/>
        </w:rPr>
        <w:t>-5</w:t>
      </w:r>
      <w:r>
        <w:rPr>
          <w:rFonts w:hint="default" w:ascii="Times New Roman" w:hAnsi="Times New Roman" w:cs="Times New Roman"/>
          <w:color w:val="auto"/>
          <w:sz w:val="24"/>
        </w:rPr>
        <w:t>死亡/年）。因此，本项目的风险水平是可以接受的。</w:t>
      </w:r>
    </w:p>
    <w:p w14:paraId="78E50C66">
      <w:pPr>
        <w:spacing w:line="360" w:lineRule="auto"/>
        <w:ind w:firstLine="486" w:firstLineChars="200"/>
        <w:rPr>
          <w:rFonts w:hint="default" w:ascii="Times New Roman" w:hAnsi="Times New Roman" w:cs="Times New Roman"/>
          <w:sz w:val="24"/>
        </w:rPr>
      </w:pPr>
      <w:r>
        <w:rPr>
          <w:rFonts w:hint="eastAsia" w:ascii="Times New Roman" w:hAnsi="Times New Roman" w:cs="Times New Roman"/>
          <w:sz w:val="24"/>
          <w:lang w:eastAsia="zh-CN"/>
        </w:rPr>
        <w:t>三</w:t>
      </w:r>
      <w:r>
        <w:rPr>
          <w:rFonts w:hint="default" w:ascii="Times New Roman" w:hAnsi="Times New Roman" w:cs="Times New Roman"/>
          <w:sz w:val="24"/>
        </w:rPr>
        <w:t>、</w:t>
      </w:r>
      <w:r>
        <w:rPr>
          <w:rFonts w:hint="eastAsia" w:ascii="Times New Roman" w:hAnsi="Times New Roman" w:cs="Times New Roman"/>
          <w:sz w:val="24"/>
          <w:lang w:eastAsia="zh-CN"/>
        </w:rPr>
        <w:t>氯气</w:t>
      </w:r>
      <w:r>
        <w:rPr>
          <w:rFonts w:hint="default" w:ascii="Times New Roman" w:hAnsi="Times New Roman" w:cs="Times New Roman"/>
          <w:sz w:val="24"/>
        </w:rPr>
        <w:t>泄漏火灾事故源强计算</w:t>
      </w:r>
    </w:p>
    <w:p w14:paraId="58C7BF6C">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（1）泄漏火灾源强</w:t>
      </w:r>
      <w:r>
        <w:rPr>
          <w:rFonts w:hint="default" w:ascii="Times New Roman" w:hAnsi="Times New Roman" w:cs="Times New Roman"/>
          <w:sz w:val="24"/>
          <w:lang w:eastAsia="zh-CN"/>
        </w:rPr>
        <w:t>苯酚</w:t>
      </w:r>
      <w:r>
        <w:rPr>
          <w:rFonts w:hint="default" w:ascii="Times New Roman" w:hAnsi="Times New Roman" w:cs="Times New Roman"/>
          <w:sz w:val="24"/>
        </w:rPr>
        <w:t>为液态，</w:t>
      </w:r>
    </w:p>
    <w:p w14:paraId="27D82F4B">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A、</w:t>
      </w:r>
      <w:r>
        <w:rPr>
          <w:rFonts w:hint="eastAsia" w:ascii="Times New Roman" w:hAnsi="Times New Roman" w:cs="Times New Roman"/>
          <w:sz w:val="24"/>
          <w:lang w:eastAsia="zh-CN"/>
        </w:rPr>
        <w:t>氯气</w:t>
      </w:r>
      <w:r>
        <w:rPr>
          <w:rFonts w:hint="default" w:ascii="Times New Roman" w:hAnsi="Times New Roman" w:cs="Times New Roman"/>
          <w:sz w:val="24"/>
        </w:rPr>
        <w:t>燃烧</w:t>
      </w:r>
    </w:p>
    <w:p w14:paraId="24A3AF24">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pict>
          <v:shape id="_x0000_s2053" o:spid="_x0000_s2053" o:spt="75" type="#_x0000_t75" style="position:absolute;left:0pt;margin-left:30pt;margin-top:57.3pt;height:45.95pt;width:180pt;mso-wrap-distance-bottom:0pt;mso-wrap-distance-top:0pt;z-index:-251640832;mso-width-relative:page;mso-height-relative:page;" o:ole="t" filled="f" stroked="f" coordsize="21600,21600">
            <v:path/>
            <v:fill on="f" focussize="0,0"/>
            <v:stroke on="f"/>
            <v:imagedata r:id="rId52" o:title=""/>
            <o:lock v:ext="edit" aspectratio="t"/>
            <w10:wrap type="topAndBottom"/>
          </v:shape>
          <o:OLEObject Type="Embed" ProgID="" ShapeID="_x0000_s2053" DrawAspect="Content" ObjectID="_1468075782" r:id="rId117">
            <o:LockedField>false</o:LockedField>
          </o:OLEObject>
        </w:pict>
      </w:r>
      <w:r>
        <w:rPr>
          <w:rFonts w:hint="default" w:ascii="Times New Roman" w:hAnsi="Times New Roman" w:cs="Times New Roman"/>
          <w:sz w:val="24"/>
        </w:rPr>
        <w:t>以</w:t>
      </w:r>
      <w:r>
        <w:rPr>
          <w:rFonts w:hint="default" w:ascii="Times New Roman" w:hAnsi="Times New Roman" w:cs="Times New Roman"/>
          <w:sz w:val="24"/>
          <w:lang w:eastAsia="zh-CN"/>
        </w:rPr>
        <w:t>苯</w:t>
      </w:r>
      <w:r>
        <w:rPr>
          <w:rFonts w:hint="eastAsia" w:ascii="Times New Roman" w:hAnsi="Times New Roman" w:cs="Times New Roman"/>
          <w:sz w:val="24"/>
          <w:lang w:eastAsia="zh-CN"/>
        </w:rPr>
        <w:t>氯气</w:t>
      </w:r>
      <w:r>
        <w:rPr>
          <w:rFonts w:hint="default" w:ascii="Times New Roman" w:hAnsi="Times New Roman" w:cs="Times New Roman"/>
          <w:sz w:val="24"/>
        </w:rPr>
        <w:t xml:space="preserve">罐发生泄漏遇火种发生燃烧，假定泄漏时间为30min。泄漏速度QL用柏努利方程计算：                                                            </w:t>
      </w:r>
    </w:p>
    <w:p w14:paraId="2A6DDF4B">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式中： </w:t>
      </w:r>
    </w:p>
    <w:p w14:paraId="61F059A6">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QL——液体泄漏速度，kg/s； </w:t>
      </w:r>
    </w:p>
    <w:p w14:paraId="1A3C0937">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Cd——液体泄漏系数，此值常用0.6-0.64；取0.62</w:t>
      </w:r>
    </w:p>
    <w:p w14:paraId="5462B023">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A——裂口面积，0.00025m2； </w:t>
      </w:r>
    </w:p>
    <w:p w14:paraId="3CC19DB4">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P——容器内介质压力，101325Pa； </w:t>
      </w:r>
    </w:p>
    <w:p w14:paraId="421BBC6F">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P0——环境压力，101325Pa； </w:t>
      </w:r>
    </w:p>
    <w:p w14:paraId="41D3537F">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g ——重力加速度。9.8m／s2</w:t>
      </w:r>
    </w:p>
    <w:p w14:paraId="2C4E0379">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h ——裂口之上液位高度，2.0m。</w:t>
      </w:r>
    </w:p>
    <w:p w14:paraId="2F9FE028">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经计算可知，</w:t>
      </w:r>
      <w:r>
        <w:rPr>
          <w:rFonts w:hint="eastAsia" w:ascii="Times New Roman" w:hAnsi="Times New Roman" w:cs="Times New Roman"/>
          <w:sz w:val="24"/>
          <w:lang w:eastAsia="zh-CN"/>
        </w:rPr>
        <w:t>氯气</w:t>
      </w:r>
      <w:r>
        <w:rPr>
          <w:rFonts w:hint="default" w:ascii="Times New Roman" w:hAnsi="Times New Roman" w:cs="Times New Roman"/>
          <w:sz w:val="24"/>
        </w:rPr>
        <w:t>泄漏速度为0.74kg／s，泄漏量1332kg／h。</w:t>
      </w:r>
      <w:r>
        <w:rPr>
          <w:rFonts w:hint="eastAsia" w:ascii="Times New Roman" w:hAnsi="Times New Roman" w:cs="Times New Roman"/>
          <w:sz w:val="24"/>
          <w:lang w:eastAsia="zh-CN"/>
        </w:rPr>
        <w:t>氯气</w:t>
      </w:r>
      <w:r>
        <w:rPr>
          <w:rFonts w:hint="default" w:ascii="Times New Roman" w:hAnsi="Times New Roman" w:cs="Times New Roman"/>
          <w:sz w:val="24"/>
        </w:rPr>
        <w:t>泄漏至事故池，池体面积为</w:t>
      </w:r>
      <w:r>
        <w:rPr>
          <w:rFonts w:hint="eastAsia" w:ascii="Times New Roman" w:hAnsi="Times New Roman" w:cs="Times New Roman"/>
          <w:sz w:val="24"/>
          <w:lang w:val="en-US" w:eastAsia="zh-CN"/>
        </w:rPr>
        <w:t>3</w:t>
      </w:r>
      <w:r>
        <w:rPr>
          <w:rFonts w:hint="default" w:ascii="Times New Roman" w:hAnsi="Times New Roman" w:cs="Times New Roman"/>
          <w:sz w:val="24"/>
        </w:rPr>
        <w:t>m×</w:t>
      </w:r>
      <w:r>
        <w:rPr>
          <w:rFonts w:hint="eastAsia" w:ascii="Times New Roman" w:hAnsi="Times New Roman" w:cs="Times New Roman"/>
          <w:sz w:val="24"/>
          <w:lang w:val="en-US" w:eastAsia="zh-CN"/>
        </w:rPr>
        <w:t>3</w:t>
      </w:r>
      <w:r>
        <w:rPr>
          <w:rFonts w:hint="default" w:ascii="Times New Roman" w:hAnsi="Times New Roman" w:cs="Times New Roman"/>
          <w:sz w:val="24"/>
        </w:rPr>
        <w:t>m=</w:t>
      </w:r>
      <w:r>
        <w:rPr>
          <w:rFonts w:hint="eastAsia" w:ascii="Times New Roman" w:hAnsi="Times New Roman" w:cs="Times New Roman"/>
          <w:sz w:val="24"/>
          <w:lang w:val="en-US" w:eastAsia="zh-CN"/>
        </w:rPr>
        <w:t>9</w:t>
      </w:r>
      <w:r>
        <w:rPr>
          <w:rFonts w:hint="default" w:ascii="Times New Roman" w:hAnsi="Times New Roman" w:cs="Times New Roman"/>
          <w:sz w:val="24"/>
        </w:rPr>
        <w:t>m</w:t>
      </w:r>
      <w:r>
        <w:rPr>
          <w:rFonts w:hint="default" w:ascii="Times New Roman" w:hAnsi="Times New Roman" w:cs="Times New Roman"/>
          <w:sz w:val="24"/>
          <w:vertAlign w:val="superscript"/>
        </w:rPr>
        <w:t>2</w:t>
      </w:r>
      <w:r>
        <w:rPr>
          <w:rFonts w:hint="default" w:ascii="Times New Roman" w:hAnsi="Times New Roman" w:cs="Times New Roman"/>
          <w:sz w:val="24"/>
        </w:rPr>
        <w:t>。</w:t>
      </w:r>
    </w:p>
    <w:p w14:paraId="27FB6ED2">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预测模式：池火灾模型和热辐射伤害概率模型。</w:t>
      </w:r>
    </w:p>
    <w:p w14:paraId="2A9F92FB">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（1） 池火模型 </w:t>
      </w:r>
    </w:p>
    <w:p w14:paraId="6CDFBCAD">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池火是一种常见的火灾形式，是可燃液体面上的自然燃烧。泄漏到地面上、堤坝内液体的火灾、敞开的容器内液体的燃烧等均称为池火。池火模型一般按圆形液面计算，所以其他形状的液池应换算为等面积的圆池。 </w:t>
      </w:r>
    </w:p>
    <w:p w14:paraId="45426AB7">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燃烧速率 </w:t>
      </w:r>
    </w:p>
    <w:p w14:paraId="32B203E1">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下面是广泛采用的液体单位面积燃烧速率的计算公式。 </w:t>
      </w:r>
    </w:p>
    <w:p w14:paraId="45607488">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当液体沸点高于环境温度时： </w:t>
      </w:r>
    </w:p>
    <w:p w14:paraId="11F3DA82">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080" o:spt="75" type="#_x0000_t75" style="height:39.45pt;width:192.05pt;" o:ole="t" filled="f" o:preferrelative="t" stroked="f" coordsize="21600,21600">
            <v:path/>
            <v:fill on="f" alignshape="1" focussize="0,0"/>
            <v:stroke on="f"/>
            <v:imagedata r:id="rId54" o:title=""/>
            <o:lock v:ext="edit" aspectratio="t"/>
            <w10:wrap type="none"/>
            <w10:anchorlock/>
          </v:shape>
          <o:OLEObject Type="Embed" ProgID="Equation.3" ShapeID="_x0000_i1080" DrawAspect="Content" ObjectID="_1468075783" r:id="rId118">
            <o:LockedField>false</o:LockedField>
          </o:OLEObject>
        </w:object>
      </w:r>
    </w:p>
    <w:p w14:paraId="64034099">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当液体的沸点低于环境温度时，如加压液化气或冷冻液化气，其单位面积的燃烧速度mf为：</w:t>
      </w:r>
    </w:p>
    <w:p w14:paraId="51213909">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 </w:t>
      </w:r>
      <w:r>
        <w:rPr>
          <w:rFonts w:hint="default" w:ascii="Times New Roman" w:hAnsi="Times New Roman" w:cs="Times New Roman"/>
          <w:sz w:val="24"/>
        </w:rPr>
        <w:object>
          <v:shape id="_x0000_i1081" o:spt="75" type="#_x0000_t75" style="height:34.5pt;width:106.6pt;" o:ole="t" filled="f" o:preferrelative="t" stroked="f" coordsize="21600,21600">
            <v:path/>
            <v:fill on="f" alignshape="1" focussize="0,0"/>
            <v:stroke on="f"/>
            <v:imagedata r:id="rId56" o:title=""/>
            <o:lock v:ext="edit" aspectratio="t"/>
            <w10:wrap type="none"/>
            <w10:anchorlock/>
          </v:shape>
          <o:OLEObject Type="Embed" ProgID="Equation.3" ShapeID="_x0000_i1081" DrawAspect="Content" ObjectID="_1468075784" r:id="rId119">
            <o:LockedField>false</o:LockedField>
          </o:OLEObject>
        </w:object>
      </w:r>
    </w:p>
    <w:p w14:paraId="50496A34">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式中  mf——液体单位表面积燃烧速度，kg／(m2·s)； </w:t>
      </w:r>
    </w:p>
    <w:p w14:paraId="04613115">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Hc——液体燃烧热； J／kg； </w:t>
      </w:r>
    </w:p>
    <w:p w14:paraId="6FF5E640">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Cp——液体的比定压热容； J／(kg·K)； </w:t>
      </w:r>
    </w:p>
    <w:p w14:paraId="09AFC13B">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Tb——液体的沸点， K； </w:t>
      </w:r>
    </w:p>
    <w:p w14:paraId="51CB994F">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Ta——环境温度， K； </w:t>
      </w:r>
    </w:p>
    <w:p w14:paraId="250496C2">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HV——液体在常压沸点下的蒸发热（气化热）， J／kg。 </w:t>
      </w:r>
    </w:p>
    <w:p w14:paraId="06FF3126">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②燃烧时间 </w:t>
      </w:r>
    </w:p>
    <w:p w14:paraId="6D68AEAE">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池火持续时间按下式计算： </w:t>
      </w:r>
    </w:p>
    <w:p w14:paraId="5B8D64EA">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082" o:spt="75" type="#_x0000_t75" style="height:43.15pt;width:82.9pt;" o:ole="t" filled="f" o:preferrelative="t" stroked="f" coordsize="21600,21600">
            <v:path/>
            <v:fill on="f" alignshape="1" focussize="0,0"/>
            <v:stroke on="f"/>
            <v:imagedata r:id="rId58" o:title=""/>
            <o:lock v:ext="edit" aspectratio="t"/>
            <w10:wrap type="none"/>
            <w10:anchorlock/>
          </v:shape>
          <o:OLEObject Type="Embed" ProgID="Equation.3" ShapeID="_x0000_i1082" DrawAspect="Content" ObjectID="_1468075785" r:id="rId120">
            <o:LockedField>false</o:LockedField>
          </o:OLEObject>
        </w:object>
      </w:r>
    </w:p>
    <w:p w14:paraId="68A8E188">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式中：t——池火持续时间，s； </w:t>
      </w:r>
    </w:p>
    <w:p w14:paraId="5F7B66F9">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W——液池液体的总质量，kg； </w:t>
      </w:r>
    </w:p>
    <w:p w14:paraId="4E6F01E6">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S——液池的面积，m2； </w:t>
      </w:r>
    </w:p>
    <w:p w14:paraId="200E51A4">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mf——液体单位面积燃烧速率，kg/m2•s； </w:t>
      </w:r>
    </w:p>
    <w:p w14:paraId="3812750B">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③确定火焰高度 </w:t>
      </w:r>
    </w:p>
    <w:p w14:paraId="44DF423D">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Thomas给出的计算池火焰高度的经验公式在文献中被广泛使用。 </w:t>
      </w:r>
    </w:p>
    <w:p w14:paraId="4A1DDBDC">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为简化计算，仅考虑无风时的情况： </w:t>
      </w:r>
    </w:p>
    <w:p w14:paraId="5C275744">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083" o:spt="75" type="#_x0000_t75" style="height:34.5pt;width:149.85pt;" o:ole="t" filled="f" o:preferrelative="t" stroked="f" coordsize="21600,21600">
            <v:path/>
            <v:fill on="f" alignshape="1" focussize="0,0"/>
            <v:stroke on="f"/>
            <v:imagedata r:id="rId60" o:title=""/>
            <o:lock v:ext="edit" aspectratio="t"/>
            <w10:wrap type="none"/>
            <w10:anchorlock/>
          </v:shape>
          <o:OLEObject Type="Embed" ProgID="Equation.3" ShapeID="_x0000_i1083" DrawAspect="Content" ObjectID="_1468075786" r:id="rId121">
            <o:LockedField>false</o:LockedField>
          </o:OLEObject>
        </w:object>
      </w:r>
    </w:p>
    <w:p w14:paraId="54819FBB">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式中：L——火焰高度，m； </w:t>
      </w:r>
    </w:p>
    <w:p w14:paraId="718ED619">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D——液池直径，m； </w:t>
      </w:r>
    </w:p>
    <w:p w14:paraId="7845AE91">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mf——液体单位面积燃烧速率，kg/m2•s； </w:t>
      </w:r>
    </w:p>
    <w:p w14:paraId="03E2DE5C">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ρa——空气密度，kg/m3； </w:t>
      </w:r>
    </w:p>
    <w:p w14:paraId="1C004EB1">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g——重力加速度，9.8m/s； </w:t>
      </w:r>
    </w:p>
    <w:p w14:paraId="027B0149">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④火焰表面热通量的计算 </w:t>
      </w:r>
    </w:p>
    <w:p w14:paraId="66AD9F23">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假定能量由圆柱形火焰侧面和顶部向周围均匀辐射，则可以用下式计算火焰表面的热通量： </w:t>
      </w:r>
    </w:p>
    <w:p w14:paraId="0D8D2646">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084" o:spt="75" type="#_x0000_t75" style="height:34.5pt;width:165.05pt;" o:ole="t" filled="f" o:preferrelative="t" stroked="f" coordsize="21600,21600">
            <v:path/>
            <v:fill on="f" alignshape="1" focussize="0,0"/>
            <v:stroke on="f"/>
            <v:imagedata r:id="rId62" o:title=""/>
            <o:lock v:ext="edit" aspectratio="t"/>
            <w10:wrap type="none"/>
            <w10:anchorlock/>
          </v:shape>
          <o:OLEObject Type="Embed" ProgID="Equation.3" ShapeID="_x0000_i1084" DrawAspect="Content" ObjectID="_1468075787" r:id="rId122">
            <o:LockedField>false</o:LockedField>
          </o:OLEObject>
        </w:object>
      </w:r>
    </w:p>
    <w:p w14:paraId="7D88E954">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式中：E——池火表面的热通量， W/m2； </w:t>
      </w:r>
    </w:p>
    <w:p w14:paraId="6B50A3E4">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HC——液体燃烧热，J/kg； </w:t>
      </w:r>
    </w:p>
    <w:p w14:paraId="6687D382">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π——圆周率，3.14； </w:t>
      </w:r>
    </w:p>
    <w:p w14:paraId="768F4D63">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f——热辐射系数，范围为0.13~0.35，保守值为0.35； </w:t>
      </w:r>
    </w:p>
    <w:p w14:paraId="2F75EAB9">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mf——燃烧速率，kg/m2•s； </w:t>
      </w:r>
    </w:p>
    <w:p w14:paraId="76E13E96">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其它符号同前。 </w:t>
      </w:r>
    </w:p>
    <w:p w14:paraId="4C0919BE">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⑤目标接收到的热通量的计算 </w:t>
      </w:r>
    </w:p>
    <w:p w14:paraId="3BDDDCEF">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目标接收到的热通量q的计算公式为： </w:t>
      </w:r>
    </w:p>
    <w:p w14:paraId="6C898C80">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085" o:spt="75" type="#_x0000_t75" style="height:17.45pt;width:179.75pt;" o:ole="t" filled="f" o:preferrelative="t" stroked="f" coordsize="21600,21600">
            <v:path/>
            <v:fill on="f" alignshape="1" focussize="0,0"/>
            <v:stroke on="f"/>
            <v:imagedata r:id="rId64" o:title=""/>
            <o:lock v:ext="edit" aspectratio="t"/>
            <w10:wrap type="none"/>
            <w10:anchorlock/>
          </v:shape>
          <o:OLEObject Type="Embed" ProgID="Equation.3" ShapeID="_x0000_i1085" DrawAspect="Content" ObjectID="_1468075788" r:id="rId123">
            <o:LockedField>false</o:LockedField>
          </o:OLEObject>
        </w:object>
      </w:r>
    </w:p>
    <w:p w14:paraId="3165B634">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式中：q——目标接收到的热通量，w/m2； </w:t>
      </w:r>
    </w:p>
    <w:p w14:paraId="744D8C52">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E——池火表面的热通量，w/m2； </w:t>
      </w:r>
    </w:p>
    <w:p w14:paraId="19817B8E">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x——目标到池火中心的水平距离，m； </w:t>
      </w:r>
    </w:p>
    <w:p w14:paraId="741285E4">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V——视角系数，按Rai&amp;Kalelkar(1974)提供的方法计算。 </w:t>
      </w:r>
    </w:p>
    <w:p w14:paraId="4E72307A">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⑥视角系数的计算 </w:t>
      </w:r>
      <w:r>
        <w:rPr>
          <w:rFonts w:hint="default" w:ascii="Times New Roman" w:hAnsi="Times New Roman" w:cs="Times New Roman"/>
          <w:sz w:val="24"/>
        </w:rPr>
        <w:fldChar w:fldCharType="begin"/>
      </w:r>
      <w:r>
        <w:instrText xml:space="preserve"> INCLUDEPICTURE "F:\\WeChat Files\\wxid_d7zyx1an0kqf22\\FileStorage\\File\\2022-12\\mk:@MSITStore:C:\\Program%20Files\\环境风险评价系统\\RiskSystem%201.0\\HELP.chm::\\1%20火灾、爆炸、中毒事故后果及其数学模型\\1.2%20汲2.gif" \* MERGEFORMAT </w:instrText>
      </w:r>
      <w:r>
        <w:rPr>
          <w:rFonts w:hint="default" w:ascii="Times New Roman" w:hAnsi="Times New Roman" w:cs="Times New Roman"/>
          <w:sz w:val="24"/>
        </w:rPr>
        <w:fldChar w:fldCharType="separate"/>
      </w:r>
      <w:r>
        <w:rPr>
          <w:rFonts w:hint="default" w:ascii="Times New Roman" w:hAnsi="Times New Roman" w:cs="Times New Roman"/>
          <w:sz w:val="24"/>
        </w:rPr>
        <mc:AlternateContent>
          <mc:Choice Requires="wps">
            <w:drawing>
              <wp:inline distT="0" distB="0" distL="114300" distR="114300">
                <wp:extent cx="114935" cy="219710"/>
                <wp:effectExtent l="0" t="0" r="0" b="0"/>
                <wp:docPr id="4" name="矩形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14935" cy="219710"/>
                        </a:xfrm>
                        <a:prstGeom prst="rect">
                          <a:avLst/>
                        </a:prstGeom>
                        <a:noFill/>
                        <a:ln>
                          <a:noFill/>
                        </a:ln>
                      </wps:spPr>
                      <wps:bodyPr upright="1"/>
                    </wps:wsp>
                  </a:graphicData>
                </a:graphic>
              </wp:inline>
            </w:drawing>
          </mc:Choice>
          <mc:Fallback>
            <w:pict>
              <v:rect id="_x0000_s1026" o:spid="_x0000_s1026" o:spt="1" style="height:17.3pt;width:9.05pt;" filled="f" stroked="f" coordsize="21600,21600" o:gfxdata="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BPcfgnU&#10;AAAAAwEAAA8AAAAAAAAAAQAgAAAAIgAAAGRycy9kb3ducmV2LnhtbFBLAQIUABQAAAAIAIdO4kDF&#10;lfiosgEAAGEDAAAOAAAAAAAAAAEAIAAAACMBAABkcnMvZTJvRG9jLnhtbFBLBQYAAAAABgAGAFkB&#10;AABHBQAAAAA=&#10;">
                <v:fill on="f" focussize="0,0"/>
                <v:stroke on="f"/>
                <v:imagedata o:title=""/>
                <o:lock v:ext="edit" aspectratio="t"/>
                <w10:wrap type="none"/>
                <w10:anchorlock/>
              </v:rect>
            </w:pict>
          </mc:Fallback>
        </mc:AlternateContent>
      </w:r>
      <w:r>
        <w:rPr>
          <w:rFonts w:hint="default" w:ascii="Times New Roman" w:hAnsi="Times New Roman" w:cs="Times New Roman"/>
          <w:sz w:val="24"/>
        </w:rPr>
        <w:fldChar w:fldCharType="end"/>
      </w:r>
    </w:p>
    <w:p w14:paraId="482ADB06">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视角系数V可由下式确定： </w:t>
      </w:r>
    </w:p>
    <w:p w14:paraId="7D3214FC">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086" o:spt="75" type="#_x0000_t75" style="height:23.85pt;width:120pt;" o:ole="t" filled="f" o:preferrelative="t" stroked="f" coordsize="21600,21600">
            <v:path/>
            <v:fill on="f" alignshape="1" focussize="0,0"/>
            <v:stroke on="f"/>
            <v:imagedata r:id="rId66" o:title=""/>
            <o:lock v:ext="edit" aspectratio="t"/>
            <w10:wrap type="none"/>
            <w10:anchorlock/>
          </v:shape>
          <o:OLEObject Type="Embed" ProgID="Equation.3" ShapeID="_x0000_i1086" DrawAspect="Content" ObjectID="_1468075789" r:id="rId124">
            <o:LockedField>false</o:LockedField>
          </o:OLEObject>
        </w:object>
      </w:r>
    </w:p>
    <w:p w14:paraId="060228D5">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087" o:spt="75" type="#_x0000_t75" style="height:15.9pt;width:91.6pt;" o:ole="t" filled="f" o:preferrelative="t" stroked="f" coordsize="21600,21600">
            <v:path/>
            <v:fill on="f" alignshape="1" focussize="0,0"/>
            <v:stroke on="f"/>
            <v:imagedata r:id="rId68" o:title=""/>
            <o:lock v:ext="edit" aspectratio="t"/>
            <w10:wrap type="none"/>
            <w10:anchorlock/>
          </v:shape>
          <o:OLEObject Type="Embed" ProgID="Equation.3" ShapeID="_x0000_i1087" DrawAspect="Content" ObjectID="_1468075790" r:id="rId125">
            <o:LockedField>false</o:LockedField>
          </o:OLEObject>
        </w:object>
      </w:r>
    </w:p>
    <w:p w14:paraId="69F11559">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088" o:spt="75" type="#_x0000_t75" style="height:27.15pt;width:238.45pt;" o:ole="t" filled="f" o:preferrelative="t" stroked="f" coordsize="21600,21600">
            <v:path/>
            <v:fill on="f" alignshape="1" focussize="0,0"/>
            <v:stroke on="f"/>
            <v:imagedata r:id="rId70" o:title=""/>
            <o:lock v:ext="edit" aspectratio="t"/>
            <w10:wrap type="none"/>
            <w10:anchorlock/>
          </v:shape>
          <o:OLEObject Type="Embed" ProgID="Equation.3" ShapeID="_x0000_i1088" DrawAspect="Content" ObjectID="_1468075791" r:id="rId126">
            <o:LockedField>false</o:LockedField>
          </o:OLEObject>
        </w:object>
      </w:r>
    </w:p>
    <w:p w14:paraId="644E4EF4">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089" o:spt="75" type="#_x0000_t75" style="height:34.65pt;width:240.05pt;" o:ole="t" filled="f" o:preferrelative="t" stroked="f" coordsize="21600,21600">
            <v:path/>
            <v:fill on="f" alignshape="1" focussize="0,0"/>
            <v:stroke on="f"/>
            <v:imagedata r:id="rId72" o:title=""/>
            <o:lock v:ext="edit" aspectratio="t"/>
            <w10:wrap type="none"/>
            <w10:anchorlock/>
          </v:shape>
          <o:OLEObject Type="Embed" ProgID="Equation.3" ShapeID="_x0000_i1089" DrawAspect="Content" ObjectID="_1468075792" r:id="rId127">
            <o:LockedField>false</o:LockedField>
          </o:OLEObject>
        </w:object>
      </w:r>
    </w:p>
    <w:p w14:paraId="6D4FE307">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090" o:spt="75" type="#_x0000_t75" style="height:28.65pt;width:186pt;" o:ole="t" filled="f" o:preferrelative="t" stroked="f" coordsize="21600,21600">
            <v:path/>
            <v:fill on="f" alignshape="1" focussize="0,0"/>
            <v:stroke on="f"/>
            <v:imagedata r:id="rId74" o:title=""/>
            <o:lock v:ext="edit" aspectratio="t"/>
            <w10:wrap type="none"/>
            <w10:anchorlock/>
          </v:shape>
          <o:OLEObject Type="Embed" ProgID="Equation.3" ShapeID="_x0000_i1090" DrawAspect="Content" ObjectID="_1468075793" r:id="rId128">
            <o:LockedField>false</o:LockedField>
          </o:OLEObject>
        </w:object>
      </w:r>
    </w:p>
    <w:p w14:paraId="539DB236">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091" o:spt="75" type="#_x0000_t75" style="height:28.35pt;width:182.2pt;" o:ole="t" filled="f" o:preferrelative="t" stroked="f" coordsize="21600,21600">
            <v:path/>
            <v:fill on="f" alignshape="1" focussize="0,0"/>
            <v:stroke on="f"/>
            <v:imagedata r:id="rId76" o:title=""/>
            <o:lock v:ext="edit" aspectratio="t"/>
            <w10:wrap type="none"/>
            <w10:anchorlock/>
          </v:shape>
          <o:OLEObject Type="Embed" ProgID="Equation.3" ShapeID="_x0000_i1091" DrawAspect="Content" ObjectID="_1468075794" r:id="rId129">
            <o:LockedField>false</o:LockedField>
          </o:OLEObject>
        </w:object>
      </w:r>
    </w:p>
    <w:p w14:paraId="2F820BDB">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092" o:spt="75" type="#_x0000_t75" style="height:24.3pt;width:93pt;" o:ole="t" filled="f" o:preferrelative="t" stroked="f" coordsize="21600,21600">
            <v:path/>
            <v:fill on="f" alignshape="1" focussize="0,0"/>
            <v:stroke on="f"/>
            <v:imagedata r:id="rId78" o:title=""/>
            <o:lock v:ext="edit" aspectratio="t"/>
            <w10:wrap type="none"/>
            <w10:anchorlock/>
          </v:shape>
          <o:OLEObject Type="Embed" ProgID="Equation.3" ShapeID="_x0000_i1092" DrawAspect="Content" ObjectID="_1468075795" r:id="rId130">
            <o:LockedField>false</o:LockedField>
          </o:OLEObject>
        </w:object>
      </w:r>
    </w:p>
    <w:p w14:paraId="51DB94C3">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a=(h</w:t>
      </w:r>
      <w:r>
        <w:rPr>
          <w:rFonts w:hint="default" w:ascii="Times New Roman" w:hAnsi="Times New Roman" w:cs="Times New Roman"/>
          <w:sz w:val="24"/>
        </w:rPr>
        <w:softHyphen/>
      </w:r>
      <w:r>
        <w:rPr>
          <w:rFonts w:hint="default" w:ascii="Times New Roman" w:hAnsi="Times New Roman" w:cs="Times New Roman"/>
          <w:sz w:val="24"/>
        </w:rPr>
        <w:t xml:space="preserve">2+s2+1)/2s </w:t>
      </w:r>
    </w:p>
    <w:p w14:paraId="5590055F">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b=(1+s2)/2s </w:t>
      </w:r>
    </w:p>
    <w:p w14:paraId="2D7DC9F0">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s=2R/D </w:t>
      </w:r>
    </w:p>
    <w:p w14:paraId="37290DDA">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h=L/D </w:t>
      </w:r>
    </w:p>
    <w:p w14:paraId="65CF0C0A">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（2） 热辐射伤害概率模型 </w:t>
      </w:r>
    </w:p>
    <w:p w14:paraId="500D5D22">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热辐射伤害常用概率模型描述。概率与伤害百分率的关系为 </w:t>
      </w:r>
    </w:p>
    <w:p w14:paraId="5BF2F1A5">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093" o:spt="75" type="#_x0000_t75" style="height:32.7pt;width:150.05pt;" o:ole="t" filled="f" o:preferrelative="t" stroked="f" coordsize="21600,21600">
            <v:path/>
            <v:fill on="f" alignshape="1" focussize="0,0"/>
            <v:stroke on="f"/>
            <v:imagedata r:id="rId80" o:title=""/>
            <o:lock v:ext="edit" aspectratio="t"/>
            <w10:wrap type="none"/>
            <w10:anchorlock/>
          </v:shape>
          <o:OLEObject Type="Embed" ProgID="Equation.3" ShapeID="_x0000_i1093" DrawAspect="Content" ObjectID="_1468075796" r:id="rId131">
            <o:LockedField>false</o:LockedField>
          </o:OLEObject>
        </w:object>
      </w:r>
    </w:p>
    <w:p w14:paraId="7473FF89">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当Pr＝5时，伤害百分率为50%。 </w:t>
      </w:r>
    </w:p>
    <w:p w14:paraId="43805E69">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皮肤裸露时的死亡概率： </w:t>
      </w:r>
    </w:p>
    <w:p w14:paraId="55B94519">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Pr = -36.38 + 2.56ln(tq4/3) </w:t>
      </w:r>
    </w:p>
    <w:p w14:paraId="133274C9">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有衣服保护时（20%皮肤裸露）的死亡概率： </w:t>
      </w:r>
    </w:p>
    <w:p w14:paraId="01F21833">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Pr = -37.23 + 2.56ln(tq4/3) </w:t>
      </w:r>
    </w:p>
    <w:p w14:paraId="6FB1884F">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有衣服保护时（20%皮肤裸露）的二度烧伤概率： </w:t>
      </w:r>
    </w:p>
    <w:p w14:paraId="24EB022E">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Pr = -43.14 + 3.0188ln(tq4/3) </w:t>
      </w:r>
    </w:p>
    <w:p w14:paraId="6055CCB4">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有衣服保护时（20%皮肤裸露）的一度烧伤概率： </w:t>
      </w:r>
    </w:p>
    <w:p w14:paraId="7124B082">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Pr = -39.83 + 3.0188ln(tq4/3) </w:t>
      </w:r>
    </w:p>
    <w:p w14:paraId="76125FE8">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关于人暴露时间，对于火球，采用火球持续时间；对于池火和喷射火，可取30s或40s，此时间范围内，在较低热辐射能量下人可以逃生。</w:t>
      </w:r>
    </w:p>
    <w:p w14:paraId="2B13D79B">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根据人体接收的热辐射通量和暴露时间，按上面的公式计算伤害概率，确定暴露时间，根据上面的式子计算热辐射通量，根据热辐射通量和距离的关系算出距火源的距离，此距离即为相应的伤害距离。 </w:t>
      </w:r>
    </w:p>
    <w:p w14:paraId="1D23727D">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分析过程中通常都按50%伤害率计算，例如按50%死亡率划定出死亡范围，该范围表明范围内、外死亡人数各占一半，也可以认为死亡范围内人员全部死亡，范围外无一人死亡，这样可以使问题简化。 </w:t>
      </w:r>
    </w:p>
    <w:p w14:paraId="69BEC097">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对于财产损失，可以按引燃木材所需热通量计算。 </w:t>
      </w:r>
    </w:p>
    <w:p w14:paraId="41E356BE">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Q=6730t-4/5 + 25400 </w:t>
      </w:r>
    </w:p>
    <w:p w14:paraId="347A555A">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暴露时间一般取燃烧持续时间。</w:t>
      </w:r>
    </w:p>
    <w:p w14:paraId="0CFCE05A">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通过计算，公司</w:t>
      </w:r>
      <w:r>
        <w:rPr>
          <w:rFonts w:hint="default" w:ascii="Times New Roman" w:hAnsi="Times New Roman" w:cs="Times New Roman"/>
          <w:sz w:val="24"/>
          <w:lang w:eastAsia="zh-CN"/>
        </w:rPr>
        <w:t>苯酚</w:t>
      </w:r>
      <w:r>
        <w:rPr>
          <w:rFonts w:hint="default" w:ascii="Times New Roman" w:hAnsi="Times New Roman" w:cs="Times New Roman"/>
          <w:sz w:val="24"/>
        </w:rPr>
        <w:t>发生火灾情况下，一度烧伤半径为1.4m，财产损失半径4m。项目一旦发生火灾对厂区内设施产生一定的影响。但是对周围环境保护目标影响较小。</w:t>
      </w:r>
    </w:p>
    <w:p w14:paraId="7131C316">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B、</w:t>
      </w:r>
      <w:r>
        <w:rPr>
          <w:rFonts w:hint="eastAsia" w:ascii="Times New Roman" w:hAnsi="Times New Roman" w:cs="Times New Roman"/>
          <w:sz w:val="24"/>
          <w:lang w:eastAsia="zh-CN"/>
        </w:rPr>
        <w:t>氯气</w:t>
      </w:r>
      <w:r>
        <w:rPr>
          <w:rFonts w:hint="default" w:ascii="Times New Roman" w:hAnsi="Times New Roman" w:cs="Times New Roman"/>
          <w:sz w:val="24"/>
        </w:rPr>
        <w:t>爆炸</w:t>
      </w:r>
    </w:p>
    <w:p w14:paraId="5589EE92">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存储的可燃液体瞬态泄漏，并在环境温度高于其沸点时急剧气化，如果遇到火源就会发生剧烈的燃烧，产生巨大的火球，形成强烈的热辐射，造成人员的伤亡和财产损失，此种现象称为沸腾液体扩展为蒸气爆炸，简称BLEVE（Boiling Liquid Expanding Vapor Explosions）。沸腾液体扩展为蒸气爆炸是石油、化工和交通运输行业常见的重要事故类型。 </w:t>
      </w:r>
    </w:p>
    <w:p w14:paraId="496A455B">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BLEVE可以产生三种危害后果：冲击波超压、火球热辐射和抛射碎片，有时也可能伴随延迟发生的蒸气云爆炸或闪火等事故灾害。BLEVE过程虽然有破片和冲击波产生，但近场以外的冲击波压力效应不重要，爆炸也通常只产生几块较大的抛射碎片，故爆炸火球的热辐射是最主要的伤害因素。 </w:t>
      </w:r>
    </w:p>
    <w:p w14:paraId="360B4AFE">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（1）火球半径的计算 </w:t>
      </w:r>
    </w:p>
    <w:p w14:paraId="24CD9C7F">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实验证明，火球的半径与可燃物质量的立方根成正比，火球半径的计算公式为：</w:t>
      </w:r>
    </w:p>
    <w:p w14:paraId="4B75692B">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094" o:spt="75" type="#_x0000_t75" style="height:17.4pt;width:95.95pt;" o:ole="t" filled="f" o:preferrelative="t" stroked="f" coordsize="21600,21600">
            <v:path/>
            <v:fill on="f" alignshape="1" focussize="0,0"/>
            <v:stroke on="f"/>
            <v:imagedata r:id="rId82" o:title=""/>
            <o:lock v:ext="edit" aspectratio="t"/>
            <w10:wrap type="none"/>
            <w10:anchorlock/>
          </v:shape>
          <o:OLEObject Type="Embed" ProgID="Equation.3" ShapeID="_x0000_i1094" DrawAspect="Content" ObjectID="_1468075797" r:id="rId132">
            <o:LockedField>false</o:LockedField>
          </o:OLEObject>
        </w:object>
      </w:r>
    </w:p>
    <w:p w14:paraId="00C42756">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其中，D——火球直径，m； </w:t>
      </w:r>
    </w:p>
    <w:p w14:paraId="1FD9E51B">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W——火球中消耗的可燃物质量，kg。对单罐储存，W取罐容量的50%；对双罐储存，W取罐容的70%；对多罐储存，W取罐容的90%。 </w:t>
      </w:r>
    </w:p>
    <w:p w14:paraId="27B05799">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（2）火球持续时间的计算 </w:t>
      </w:r>
    </w:p>
    <w:p w14:paraId="3B4078F2">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实验证明，火球的持续时间也与可燃物质量W的立方根成正比，可按下式计算： </w:t>
      </w:r>
    </w:p>
    <w:p w14:paraId="1D95537D">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095" o:spt="75" type="#_x0000_t75" style="height:16pt;width:42pt;" o:ole="t" filled="f" o:preferrelative="t" stroked="f" coordsize="21600,21600">
            <v:path/>
            <v:fill on="f" alignshape="1" focussize="0,0"/>
            <v:stroke on="f"/>
            <v:imagedata r:id="rId84" o:title=""/>
            <o:lock v:ext="edit" aspectratio="t"/>
            <w10:wrap type="none"/>
            <w10:anchorlock/>
          </v:shape>
          <o:OLEObject Type="Embed" ProgID="Equation.3" ShapeID="_x0000_i1095" DrawAspect="Content" ObjectID="_1468075798" r:id="rId133">
            <o:LockedField>false</o:LockedField>
          </o:OLEObject>
        </w:object>
      </w:r>
    </w:p>
    <w:p w14:paraId="42960A6F">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其中，t——火球持续时间，s； </w:t>
      </w:r>
    </w:p>
    <w:p w14:paraId="6D5FF020">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W——火球内燃料质量，kg。对单罐储存，W取罐容量的50%；对双罐储存，W取罐容的70%；对多罐储存，W取罐容的90%。 </w:t>
      </w:r>
    </w:p>
    <w:p w14:paraId="73F68D93">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式中系数a、b、c、d在不同的模型中取值不同，典型的计算模型见下表：</w:t>
      </w:r>
    </w:p>
    <w:p w14:paraId="7C0CF797">
      <w:pPr>
        <w:widowControl/>
        <w:adjustRightInd w:val="0"/>
        <w:snapToGrid w:val="0"/>
        <w:ind w:firstLine="420"/>
        <w:jc w:val="center"/>
        <w:rPr>
          <w:rFonts w:hint="default" w:ascii="Times New Roman" w:hAnsi="Times New Roman" w:cs="Times New Roman"/>
          <w:bCs/>
          <w:kern w:val="0"/>
          <w:sz w:val="28"/>
          <w:szCs w:val="28"/>
        </w:rPr>
      </w:pPr>
      <w:r>
        <w:rPr>
          <w:rFonts w:hint="default" w:ascii="Times New Roman" w:hAnsi="Times New Roman" w:cs="Times New Roman"/>
          <w:b/>
          <w:bCs/>
          <w:sz w:val="24"/>
          <w:lang w:val="en-US" w:eastAsia="zh-CN"/>
        </w:rPr>
        <w:t>表4.2-1</w:t>
      </w:r>
      <w:r>
        <w:rPr>
          <w:rFonts w:hint="default" w:ascii="Times New Roman" w:hAnsi="Times New Roman" w:cs="Times New Roman"/>
          <w:b/>
          <w:bCs/>
          <w:sz w:val="24"/>
        </w:rPr>
        <w:t>不同模型中系数值</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96"/>
        <w:gridCol w:w="1196"/>
        <w:gridCol w:w="1336"/>
        <w:gridCol w:w="1336"/>
        <w:gridCol w:w="1336"/>
      </w:tblGrid>
      <w:tr w14:paraId="42525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996" w:type="dxa"/>
            <w:vMerge w:val="restart"/>
            <w:noWrap w:val="0"/>
            <w:vAlign w:val="center"/>
          </w:tcPr>
          <w:p w14:paraId="50F515DE">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模　　型 </w:t>
            </w:r>
          </w:p>
        </w:tc>
        <w:tc>
          <w:tcPr>
            <w:tcW w:w="2532" w:type="dxa"/>
            <w:gridSpan w:val="2"/>
            <w:noWrap w:val="0"/>
            <w:vAlign w:val="center"/>
          </w:tcPr>
          <w:p w14:paraId="22728403">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D＝aW</w:t>
            </w:r>
            <w:r>
              <w:rPr>
                <w:rFonts w:hint="default" w:ascii="Times New Roman" w:hAnsi="Times New Roman" w:cs="Times New Roman"/>
                <w:kern w:val="0"/>
                <w:szCs w:val="21"/>
                <w:vertAlign w:val="superscript"/>
              </w:rPr>
              <w:t xml:space="preserve">b </w:t>
            </w:r>
          </w:p>
        </w:tc>
        <w:tc>
          <w:tcPr>
            <w:tcW w:w="2672" w:type="dxa"/>
            <w:gridSpan w:val="2"/>
            <w:noWrap w:val="0"/>
            <w:vAlign w:val="center"/>
          </w:tcPr>
          <w:p w14:paraId="19A1457A">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T=cW</w:t>
            </w:r>
            <w:r>
              <w:rPr>
                <w:rFonts w:hint="default" w:ascii="Times New Roman" w:hAnsi="Times New Roman" w:cs="Times New Roman"/>
                <w:kern w:val="0"/>
                <w:szCs w:val="21"/>
                <w:vertAlign w:val="superscript"/>
              </w:rPr>
              <w:t xml:space="preserve">d </w:t>
            </w:r>
          </w:p>
        </w:tc>
      </w:tr>
      <w:tr w14:paraId="5BB4D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996" w:type="dxa"/>
            <w:vMerge w:val="continue"/>
            <w:noWrap w:val="0"/>
            <w:vAlign w:val="center"/>
          </w:tcPr>
          <w:p w14:paraId="301E5EB8">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cs="Times New Roman"/>
                <w:kern w:val="0"/>
                <w:szCs w:val="21"/>
              </w:rPr>
            </w:pPr>
          </w:p>
        </w:tc>
        <w:tc>
          <w:tcPr>
            <w:tcW w:w="1196" w:type="dxa"/>
            <w:noWrap w:val="0"/>
            <w:vAlign w:val="center"/>
          </w:tcPr>
          <w:p w14:paraId="4D9F1537">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a </w:t>
            </w:r>
          </w:p>
        </w:tc>
        <w:tc>
          <w:tcPr>
            <w:tcW w:w="1336" w:type="dxa"/>
            <w:noWrap w:val="0"/>
            <w:vAlign w:val="center"/>
          </w:tcPr>
          <w:p w14:paraId="7086A9F4">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b </w:t>
            </w:r>
          </w:p>
        </w:tc>
        <w:tc>
          <w:tcPr>
            <w:tcW w:w="1336" w:type="dxa"/>
            <w:noWrap w:val="0"/>
            <w:vAlign w:val="center"/>
          </w:tcPr>
          <w:p w14:paraId="346AA424">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c </w:t>
            </w:r>
          </w:p>
        </w:tc>
        <w:tc>
          <w:tcPr>
            <w:tcW w:w="1336" w:type="dxa"/>
            <w:noWrap w:val="0"/>
            <w:vAlign w:val="center"/>
          </w:tcPr>
          <w:p w14:paraId="4040F5F2">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d </w:t>
            </w:r>
          </w:p>
        </w:tc>
      </w:tr>
      <w:tr w14:paraId="565F2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6" w:type="dxa"/>
            <w:noWrap w:val="0"/>
            <w:vAlign w:val="top"/>
          </w:tcPr>
          <w:p w14:paraId="670AA970">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Lihou&amp;Maund </w:t>
            </w:r>
          </w:p>
          <w:p w14:paraId="20426D52">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CCPS </w:t>
            </w:r>
          </w:p>
          <w:p w14:paraId="46185489">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Williamson,TNO </w:t>
            </w:r>
          </w:p>
          <w:p w14:paraId="6C94C4CA">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Roberts </w:t>
            </w:r>
          </w:p>
          <w:p w14:paraId="34E6532B">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Moorhouse,Pirtchard </w:t>
            </w:r>
          </w:p>
          <w:p w14:paraId="2A99B01A">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Hasegawa&amp;Sato </w:t>
            </w:r>
          </w:p>
          <w:p w14:paraId="6FE03890">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Fay&amp;Lewis </w:t>
            </w:r>
          </w:p>
          <w:p w14:paraId="2B705693">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ILO </w:t>
            </w:r>
          </w:p>
          <w:p w14:paraId="46C4C4FA">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H.R.Greengerg&amp;J.J.Cramer </w:t>
            </w:r>
          </w:p>
          <w:p w14:paraId="1A86FD72">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修正模型 </w:t>
            </w:r>
          </w:p>
        </w:tc>
        <w:tc>
          <w:tcPr>
            <w:tcW w:w="1196" w:type="dxa"/>
            <w:noWrap w:val="0"/>
            <w:vAlign w:val="top"/>
          </w:tcPr>
          <w:p w14:paraId="62B8372A">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3.51 </w:t>
            </w:r>
          </w:p>
          <w:p w14:paraId="5CACD942">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6.48 </w:t>
            </w:r>
          </w:p>
          <w:p w14:paraId="26CDADCB">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5.88 </w:t>
            </w:r>
          </w:p>
          <w:p w14:paraId="71E315F9">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5.80 </w:t>
            </w:r>
          </w:p>
          <w:p w14:paraId="2F1BAAB4">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5.33 </w:t>
            </w:r>
          </w:p>
          <w:p w14:paraId="072153A9">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5.28 </w:t>
            </w:r>
          </w:p>
          <w:p w14:paraId="26DA180A">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6.28 </w:t>
            </w:r>
          </w:p>
          <w:p w14:paraId="06F55A8C">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5.80 </w:t>
            </w:r>
          </w:p>
          <w:p w14:paraId="090DFEA1">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5.33 </w:t>
            </w:r>
          </w:p>
          <w:p w14:paraId="12B4C857">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5.6 </w:t>
            </w:r>
          </w:p>
        </w:tc>
        <w:tc>
          <w:tcPr>
            <w:tcW w:w="1336" w:type="dxa"/>
            <w:noWrap w:val="0"/>
            <w:vAlign w:val="top"/>
          </w:tcPr>
          <w:p w14:paraId="2F371503">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0.333 </w:t>
            </w:r>
          </w:p>
          <w:p w14:paraId="79987263">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0.325 </w:t>
            </w:r>
          </w:p>
          <w:p w14:paraId="0D5BFE48">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0.33 </w:t>
            </w:r>
          </w:p>
          <w:p w14:paraId="0BA24137">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1/3 </w:t>
            </w:r>
          </w:p>
          <w:p w14:paraId="5D02AA96">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0.327 </w:t>
            </w:r>
          </w:p>
          <w:p w14:paraId="2FD58331">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0.277 </w:t>
            </w:r>
          </w:p>
          <w:p w14:paraId="5FDEA5B5">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0.330 </w:t>
            </w:r>
          </w:p>
          <w:p w14:paraId="54C8B785">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1/3 </w:t>
            </w:r>
          </w:p>
          <w:p w14:paraId="2BEEDB22">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0.327 </w:t>
            </w:r>
          </w:p>
          <w:p w14:paraId="1CF71FF1">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0.323 </w:t>
            </w:r>
          </w:p>
        </w:tc>
        <w:tc>
          <w:tcPr>
            <w:tcW w:w="1336" w:type="dxa"/>
            <w:noWrap w:val="0"/>
            <w:vAlign w:val="top"/>
          </w:tcPr>
          <w:p w14:paraId="3FB94258">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0.32 </w:t>
            </w:r>
          </w:p>
          <w:p w14:paraId="13D6DF62">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0.825 </w:t>
            </w:r>
          </w:p>
          <w:p w14:paraId="0DE40211">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1.09 </w:t>
            </w:r>
          </w:p>
          <w:p w14:paraId="4B677FFB">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0.450 </w:t>
            </w:r>
          </w:p>
          <w:p w14:paraId="1FFB959F">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1.09 </w:t>
            </w:r>
          </w:p>
          <w:p w14:paraId="6FFA1AC3">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1.100 </w:t>
            </w:r>
          </w:p>
          <w:p w14:paraId="446C2571">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2.530 </w:t>
            </w:r>
          </w:p>
          <w:p w14:paraId="64123F97">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0.450 </w:t>
            </w:r>
          </w:p>
          <w:p w14:paraId="74C57D10">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1.089 </w:t>
            </w:r>
          </w:p>
          <w:p w14:paraId="3FED05AC">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1.26 </w:t>
            </w:r>
          </w:p>
        </w:tc>
        <w:tc>
          <w:tcPr>
            <w:tcW w:w="1336" w:type="dxa"/>
            <w:noWrap w:val="0"/>
            <w:vAlign w:val="top"/>
          </w:tcPr>
          <w:p w14:paraId="4F1DF608">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0.330 </w:t>
            </w:r>
          </w:p>
          <w:p w14:paraId="66AAC2A8">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0.260 </w:t>
            </w:r>
          </w:p>
          <w:p w14:paraId="7E51BB36">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0.617 </w:t>
            </w:r>
          </w:p>
          <w:p w14:paraId="4F554148">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1/3 </w:t>
            </w:r>
          </w:p>
          <w:p w14:paraId="7CBFC983">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0.327 </w:t>
            </w:r>
          </w:p>
          <w:p w14:paraId="5B26AC14">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0.097 </w:t>
            </w:r>
          </w:p>
          <w:p w14:paraId="1C8667EE">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0.170 </w:t>
            </w:r>
          </w:p>
          <w:p w14:paraId="6264B344">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1/3 </w:t>
            </w:r>
          </w:p>
          <w:p w14:paraId="65052E86">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0.327 </w:t>
            </w:r>
          </w:p>
          <w:p w14:paraId="4826B8E8">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0.224 </w:t>
            </w:r>
          </w:p>
        </w:tc>
      </w:tr>
    </w:tbl>
    <w:p w14:paraId="6728F103">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（3）热辐射通量 </w:t>
      </w:r>
    </w:p>
    <w:p w14:paraId="48979CCF">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火球表面热辐射通量按下式计算： </w:t>
      </w:r>
    </w:p>
    <w:p w14:paraId="3D394E90">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096" o:spt="75" type="#_x0000_t75" style="height:36.55pt;width:84.05pt;" o:ole="t" filled="f" o:preferrelative="t" stroked="f" coordsize="21600,21600">
            <v:path/>
            <v:fill on="f" alignshape="1" focussize="0,0"/>
            <v:stroke on="f"/>
            <v:imagedata r:id="rId86" o:title=""/>
            <o:lock v:ext="edit" aspectratio="t"/>
            <w10:wrap type="none"/>
            <w10:anchorlock/>
          </v:shape>
          <o:OLEObject Type="Embed" ProgID="Equation.3" ShapeID="_x0000_i1096" DrawAspect="Content" ObjectID="_1468075799" r:id="rId134">
            <o:LockedField>false</o:LockedField>
          </o:OLEObject>
        </w:object>
      </w:r>
    </w:p>
    <w:p w14:paraId="30816B9D">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上式实际上假定火球在持续时间内辐射热量是恒定不变的。 </w:t>
      </w:r>
    </w:p>
    <w:p w14:paraId="3549C77C">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Hc——液体燃烧热； </w:t>
      </w:r>
    </w:p>
    <w:p w14:paraId="17AA34A8">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设f是燃烧辐射分数，是容器压力的函数： </w:t>
      </w:r>
    </w:p>
    <w:p w14:paraId="771D05E0">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097" o:spt="75" type="#_x0000_t75" style="height:21pt;width:68.75pt;" o:ole="t" filled="f" o:preferrelative="t" stroked="f" coordsize="21600,21600">
            <v:path/>
            <v:fill on="f" alignshape="1" focussize="0,0"/>
            <v:stroke on="f"/>
            <v:imagedata r:id="rId88" o:title=""/>
            <o:lock v:ext="edit" aspectratio="t"/>
            <w10:wrap type="none"/>
            <w10:anchorlock/>
          </v:shape>
          <o:OLEObject Type="Embed" ProgID="Equation.3" ShapeID="_x0000_i1097" DrawAspect="Content" ObjectID="_1468075800" r:id="rId135">
            <o:LockedField>false</o:LockedField>
          </o:OLEObject>
        </w:object>
      </w:r>
    </w:p>
    <w:p w14:paraId="7C688D4E">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常数f1=0.27，f2=0.32；p为容器内压力，单位是MPa。在没有可靠数据时，f可取0.3。 </w:t>
      </w:r>
    </w:p>
    <w:p w14:paraId="3D3EBA0A">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距火球在地面投影处x的热辐射通量为： </w:t>
      </w:r>
    </w:p>
    <w:p w14:paraId="6AB24B76">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098" o:spt="75" type="#_x0000_t75" style="height:16.65pt;width:159.25pt;" o:ole="t" filled="f" o:preferrelative="t" stroked="f" coordsize="21600,21600">
            <v:path/>
            <v:fill on="f" alignshape="1" focussize="0,0"/>
            <v:stroke on="f"/>
            <v:imagedata r:id="rId90" o:title=""/>
            <o:lock v:ext="edit" aspectratio="t"/>
            <w10:wrap type="none"/>
            <w10:anchorlock/>
          </v:shape>
          <o:OLEObject Type="Embed" ProgID="Equation.3" ShapeID="_x0000_i1098" DrawAspect="Content" ObjectID="_1468075801" r:id="rId136">
            <o:LockedField>false</o:LockedField>
          </o:OLEObject>
        </w:object>
      </w:r>
    </w:p>
    <w:p w14:paraId="14ECD85A">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式中：q——目标接收到的热通量，w/m2； </w:t>
      </w:r>
    </w:p>
    <w:p w14:paraId="275A0AB7">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E——池火表面的热通量，w/m2； </w:t>
      </w:r>
    </w:p>
    <w:p w14:paraId="45A79FBB">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x——目标到池火中心的水平距离，m； </w:t>
      </w:r>
    </w:p>
    <w:p w14:paraId="55E777A6">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V——视角系数。 </w:t>
      </w:r>
    </w:p>
    <w:p w14:paraId="39823AF6">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（4）目标接收到热辐射通量计算 </w:t>
      </w:r>
    </w:p>
    <w:p w14:paraId="0714C165">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除了采用上述的方法计算目标接收到热辐射能量外，还常采用以下公式计算。当r&gt;R时，目标接收到的热辐射通量按下式计算： </w:t>
      </w:r>
    </w:p>
    <w:p w14:paraId="00C684D4">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099" o:spt="75" type="#_x0000_t75" style="height:25.95pt;width:263.95pt;" o:ole="t" filled="f" o:preferrelative="t" stroked="f" coordsize="21600,21600">
            <v:path/>
            <v:fill on="f" alignshape="1" focussize="0,0"/>
            <v:stroke on="f"/>
            <v:imagedata r:id="rId92" o:title=""/>
            <o:lock v:ext="edit" aspectratio="t"/>
            <w10:wrap type="none"/>
            <w10:anchorlock/>
          </v:shape>
          <o:OLEObject Type="Embed" ProgID="Equation.3" ShapeID="_x0000_i1099" DrawAspect="Content" ObjectID="_1468075802" r:id="rId137">
            <o:LockedField>false</o:LockedField>
          </o:OLEObject>
        </w:object>
      </w:r>
    </w:p>
    <w:p w14:paraId="7E0E9AF1">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式中：q0——火球表面的辐射通量，W/m2。对柱形罐取270000W/m2，对于球形罐取200000W/m2。 </w:t>
      </w:r>
    </w:p>
    <w:p w14:paraId="307157F7">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r——目标到火球中心的水平距离，m； </w:t>
      </w:r>
    </w:p>
    <w:p w14:paraId="7AADFB99">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R——火球半径，m； </w:t>
      </w:r>
    </w:p>
    <w:p w14:paraId="64B82550">
      <w:pPr>
        <w:spacing w:line="360" w:lineRule="auto"/>
        <w:ind w:firstLine="486" w:firstLineChars="200"/>
        <w:rPr>
          <w:rFonts w:hint="default" w:ascii="Times New Roman" w:hAnsi="Times New Roman" w:cs="Times New Roman"/>
          <w:color w:val="auto"/>
          <w:sz w:val="24"/>
        </w:rPr>
      </w:pPr>
      <w:r>
        <w:rPr>
          <w:rFonts w:hint="default" w:ascii="Times New Roman" w:hAnsi="Times New Roman" w:cs="Times New Roman"/>
          <w:sz w:val="24"/>
        </w:rPr>
        <w:t>通过计算，公司</w:t>
      </w:r>
      <w:r>
        <w:rPr>
          <w:rFonts w:hint="eastAsia" w:ascii="Times New Roman" w:hAnsi="Times New Roman" w:cs="Times New Roman"/>
          <w:sz w:val="24"/>
          <w:lang w:eastAsia="zh-CN"/>
        </w:rPr>
        <w:t>氯气</w:t>
      </w:r>
      <w:r>
        <w:rPr>
          <w:rFonts w:hint="default" w:ascii="Times New Roman" w:hAnsi="Times New Roman" w:cs="Times New Roman"/>
          <w:sz w:val="24"/>
        </w:rPr>
        <w:t>发生爆炸情况下，死亡半径19.9 m，重伤半径：55.6 m，轻伤半径：99.8 m，财产损失半径：56.4 m。项目一旦发生火灾和爆炸对厂区及附近设施产生一定的破坏影响，但是对保护目标影响较小。</w:t>
      </w:r>
    </w:p>
    <w:p w14:paraId="3975867B">
      <w:pPr>
        <w:spacing w:line="360" w:lineRule="auto"/>
        <w:ind w:firstLine="486" w:firstLineChars="200"/>
        <w:rPr>
          <w:rFonts w:hint="default" w:ascii="Times New Roman" w:hAnsi="Times New Roman" w:cs="Times New Roman"/>
          <w:b w:val="0"/>
          <w:bCs/>
          <w:color w:val="auto"/>
          <w:sz w:val="24"/>
          <w:szCs w:val="21"/>
        </w:rPr>
      </w:pPr>
      <w:r>
        <w:rPr>
          <w:rFonts w:hint="default" w:ascii="Times New Roman" w:hAnsi="Times New Roman" w:cs="Times New Roman"/>
          <w:b w:val="0"/>
          <w:bCs/>
          <w:color w:val="auto"/>
          <w:sz w:val="24"/>
          <w:szCs w:val="21"/>
          <w:lang w:val="en-US" w:eastAsia="zh-CN"/>
        </w:rPr>
        <w:t>二、</w:t>
      </w:r>
      <w:r>
        <w:rPr>
          <w:rFonts w:hint="default" w:ascii="Times New Roman" w:hAnsi="Times New Roman" w:cs="Times New Roman"/>
          <w:b w:val="0"/>
          <w:bCs/>
          <w:color w:val="auto"/>
          <w:sz w:val="24"/>
          <w:szCs w:val="21"/>
        </w:rPr>
        <w:t>风险值评价</w:t>
      </w:r>
    </w:p>
    <w:p w14:paraId="515E5C1F">
      <w:pPr>
        <w:spacing w:line="360" w:lineRule="auto"/>
        <w:ind w:firstLine="486" w:firstLineChars="200"/>
        <w:rPr>
          <w:rFonts w:hint="default" w:ascii="Times New Roman" w:hAnsi="Times New Roman" w:cs="Times New Roman"/>
          <w:color w:val="auto"/>
          <w:sz w:val="24"/>
          <w:szCs w:val="21"/>
        </w:rPr>
      </w:pPr>
      <w:r>
        <w:rPr>
          <w:rFonts w:hint="default" w:ascii="Times New Roman" w:hAnsi="Times New Roman" w:cs="Times New Roman"/>
          <w:color w:val="auto"/>
          <w:sz w:val="24"/>
          <w:szCs w:val="21"/>
        </w:rPr>
        <w:t>功能单元的风险值（R）为最大可信灾害事故对环境造成的危害，是风险评价的表征量，包括事故的发生概率和事故的危害程度。按下式计算：</w:t>
      </w:r>
    </w:p>
    <w:p w14:paraId="42FDC77A">
      <w:pPr>
        <w:spacing w:line="360" w:lineRule="auto"/>
        <w:jc w:val="center"/>
        <w:rPr>
          <w:rFonts w:hint="default" w:ascii="Times New Roman" w:hAnsi="Times New Roman" w:cs="Times New Roman"/>
          <w:color w:val="auto"/>
          <w:spacing w:val="10"/>
          <w:sz w:val="24"/>
          <w:szCs w:val="21"/>
        </w:rPr>
      </w:pPr>
      <w:r>
        <w:rPr>
          <w:rFonts w:hint="default" w:ascii="Times New Roman" w:hAnsi="Times New Roman" w:cs="Times New Roman"/>
          <w:color w:val="auto"/>
          <w:spacing w:val="10"/>
          <w:sz w:val="24"/>
          <w:szCs w:val="21"/>
        </w:rPr>
        <w:object>
          <v:shape id="_x0000_i1100" o:spt="75" type="#_x0000_t75" style="height:18.75pt;width:77.8pt;" o:ole="t" fillcolor="#6D6D6D" filled="f" o:preferrelative="t" stroked="f" coordsize="21600,21600">
            <v:path/>
            <v:fill on="f" focussize="0,0"/>
            <v:stroke on="f"/>
            <v:imagedata r:id="rId94" o:title=""/>
            <o:lock v:ext="edit" aspectratio="t"/>
            <w10:wrap type="none"/>
            <w10:anchorlock/>
          </v:shape>
          <o:OLEObject Type="Embed" ProgID="Visio.Drawing.11" ShapeID="_x0000_i1100" DrawAspect="Content" ObjectID="_1468075803" r:id="rId138">
            <o:LockedField>false</o:LockedField>
          </o:OLEObject>
        </w:object>
      </w:r>
    </w:p>
    <w:p w14:paraId="7F483E6F">
      <w:pPr>
        <w:spacing w:line="360" w:lineRule="auto"/>
        <w:ind w:firstLine="486" w:firstLineChars="200"/>
        <w:rPr>
          <w:rFonts w:hint="default" w:ascii="Times New Roman" w:hAnsi="Times New Roman" w:cs="Times New Roman"/>
          <w:color w:val="auto"/>
          <w:sz w:val="24"/>
          <w:szCs w:val="21"/>
        </w:rPr>
      </w:pPr>
      <w:r>
        <w:rPr>
          <w:rFonts w:hint="default" w:ascii="Times New Roman" w:hAnsi="Times New Roman" w:cs="Times New Roman"/>
          <w:color w:val="auto"/>
          <w:sz w:val="24"/>
          <w:szCs w:val="21"/>
        </w:rPr>
        <w:t>式中：</w:t>
      </w:r>
    </w:p>
    <w:p w14:paraId="06D87B3B">
      <w:pPr>
        <w:spacing w:line="360" w:lineRule="auto"/>
        <w:ind w:firstLine="486" w:firstLineChars="200"/>
        <w:rPr>
          <w:rFonts w:hint="default" w:ascii="Times New Roman" w:hAnsi="Times New Roman" w:cs="Times New Roman"/>
          <w:color w:val="auto"/>
          <w:sz w:val="24"/>
          <w:szCs w:val="21"/>
        </w:rPr>
      </w:pPr>
      <w:r>
        <w:rPr>
          <w:rFonts w:hint="default" w:ascii="Times New Roman" w:hAnsi="Times New Roman" w:cs="Times New Roman"/>
          <w:color w:val="auto"/>
          <w:sz w:val="24"/>
          <w:szCs w:val="21"/>
        </w:rPr>
        <w:t>R－风险值；</w:t>
      </w:r>
    </w:p>
    <w:p w14:paraId="6D1CB7C0">
      <w:pPr>
        <w:spacing w:line="360" w:lineRule="auto"/>
        <w:ind w:firstLine="486" w:firstLineChars="200"/>
        <w:rPr>
          <w:rFonts w:hint="default" w:ascii="Times New Roman" w:hAnsi="Times New Roman" w:cs="Times New Roman"/>
          <w:color w:val="auto"/>
          <w:sz w:val="24"/>
          <w:szCs w:val="21"/>
        </w:rPr>
      </w:pPr>
      <w:r>
        <w:rPr>
          <w:rFonts w:hint="default" w:ascii="Times New Roman" w:hAnsi="Times New Roman" w:cs="Times New Roman"/>
          <w:color w:val="auto"/>
          <w:sz w:val="24"/>
          <w:szCs w:val="21"/>
        </w:rPr>
        <w:t>P－最大可信事故概率（时间数/单位时间）；</w:t>
      </w:r>
    </w:p>
    <w:p w14:paraId="741B4924">
      <w:pPr>
        <w:spacing w:line="360" w:lineRule="auto"/>
        <w:ind w:firstLine="486" w:firstLineChars="200"/>
        <w:rPr>
          <w:rFonts w:hint="default" w:ascii="Times New Roman" w:hAnsi="Times New Roman" w:cs="Times New Roman"/>
          <w:color w:val="auto"/>
          <w:sz w:val="24"/>
          <w:szCs w:val="21"/>
        </w:rPr>
      </w:pPr>
      <w:r>
        <w:rPr>
          <w:rFonts w:hint="default" w:ascii="Times New Roman" w:hAnsi="Times New Roman" w:cs="Times New Roman"/>
          <w:color w:val="auto"/>
          <w:sz w:val="24"/>
          <w:szCs w:val="21"/>
        </w:rPr>
        <w:t>C－最大可信事故造成的危害（损害/单位时间）。</w:t>
      </w:r>
    </w:p>
    <w:p w14:paraId="6798FAF1">
      <w:pPr>
        <w:spacing w:line="360" w:lineRule="auto"/>
        <w:ind w:firstLine="486" w:firstLineChars="200"/>
        <w:rPr>
          <w:rFonts w:hint="default" w:ascii="Times New Roman" w:hAnsi="Times New Roman" w:cs="Times New Roman"/>
          <w:color w:val="auto"/>
          <w:sz w:val="24"/>
          <w:szCs w:val="21"/>
        </w:rPr>
      </w:pPr>
      <w:r>
        <w:rPr>
          <w:rFonts w:hint="default" w:ascii="Times New Roman" w:hAnsi="Times New Roman" w:cs="Times New Roman"/>
          <w:color w:val="auto"/>
          <w:sz w:val="24"/>
          <w:szCs w:val="21"/>
        </w:rPr>
        <w:t>在实际应用中，若事故发生后下风向某处，化学污染物i的浓度最大值D</w:t>
      </w:r>
      <w:r>
        <w:rPr>
          <w:rFonts w:hint="default" w:ascii="Times New Roman" w:hAnsi="Times New Roman" w:cs="Times New Roman"/>
          <w:color w:val="auto"/>
          <w:sz w:val="24"/>
          <w:szCs w:val="21"/>
          <w:vertAlign w:val="subscript"/>
        </w:rPr>
        <w:t>imax</w:t>
      </w:r>
      <w:r>
        <w:rPr>
          <w:rFonts w:hint="default" w:ascii="Times New Roman" w:hAnsi="Times New Roman" w:cs="Times New Roman"/>
          <w:color w:val="auto"/>
          <w:sz w:val="24"/>
          <w:szCs w:val="21"/>
        </w:rPr>
        <w:t>大于或等于化学污染物i的半致死浓度LC</w:t>
      </w:r>
      <w:r>
        <w:rPr>
          <w:rFonts w:hint="default" w:ascii="Times New Roman" w:hAnsi="Times New Roman" w:cs="Times New Roman"/>
          <w:color w:val="auto"/>
          <w:sz w:val="24"/>
          <w:szCs w:val="21"/>
          <w:vertAlign w:val="subscript"/>
        </w:rPr>
        <w:t>i50</w:t>
      </w:r>
      <w:r>
        <w:rPr>
          <w:rFonts w:hint="default" w:ascii="Times New Roman" w:hAnsi="Times New Roman" w:cs="Times New Roman"/>
          <w:color w:val="auto"/>
          <w:sz w:val="24"/>
          <w:szCs w:val="21"/>
        </w:rPr>
        <w:t>，则事故导致评价区内因发生污染物致死确定性效应而致死的人数即为C</w:t>
      </w:r>
      <w:r>
        <w:rPr>
          <w:rFonts w:hint="default" w:ascii="Times New Roman" w:hAnsi="Times New Roman" w:cs="Times New Roman"/>
          <w:color w:val="auto"/>
          <w:sz w:val="24"/>
          <w:szCs w:val="21"/>
          <w:vertAlign w:val="subscript"/>
        </w:rPr>
        <w:t>i</w:t>
      </w:r>
      <w:r>
        <w:rPr>
          <w:rFonts w:hint="default" w:ascii="Times New Roman" w:hAnsi="Times New Roman" w:cs="Times New Roman"/>
          <w:color w:val="auto"/>
          <w:sz w:val="24"/>
          <w:szCs w:val="21"/>
        </w:rPr>
        <w:t>。</w:t>
      </w:r>
    </w:p>
    <w:p w14:paraId="60A0A0AC">
      <w:pPr>
        <w:spacing w:line="360" w:lineRule="auto"/>
        <w:ind w:firstLine="486" w:firstLineChars="200"/>
        <w:rPr>
          <w:rFonts w:hint="default" w:ascii="Times New Roman" w:hAnsi="Times New Roman" w:cs="Times New Roman"/>
          <w:color w:val="auto"/>
          <w:sz w:val="24"/>
          <w:szCs w:val="21"/>
        </w:rPr>
      </w:pPr>
      <w:r>
        <w:rPr>
          <w:rFonts w:hint="default" w:ascii="Times New Roman" w:hAnsi="Times New Roman" w:cs="Times New Roman"/>
          <w:color w:val="auto"/>
          <w:sz w:val="24"/>
          <w:szCs w:val="21"/>
        </w:rPr>
        <w:t>风险评价需从最大可信事故风险R中，选出危害最大的作为最大可信灾害事故，并以此作为风险可接受水平的分析基础，即：</w:t>
      </w:r>
    </w:p>
    <w:p w14:paraId="1B5D35B0">
      <w:pPr>
        <w:spacing w:line="360" w:lineRule="auto"/>
        <w:ind w:left="480"/>
        <w:rPr>
          <w:rFonts w:hint="default" w:ascii="Times New Roman" w:hAnsi="Times New Roman" w:cs="Times New Roman"/>
          <w:color w:val="auto"/>
          <w:sz w:val="24"/>
          <w:szCs w:val="21"/>
        </w:rPr>
      </w:pPr>
      <w:r>
        <w:rPr>
          <w:rFonts w:hint="default" w:ascii="Times New Roman" w:hAnsi="Times New Roman" w:cs="Times New Roman"/>
          <w:color w:val="auto"/>
          <w:sz w:val="24"/>
          <w:szCs w:val="21"/>
        </w:rPr>
        <w:t>R</w:t>
      </w:r>
      <w:r>
        <w:rPr>
          <w:rFonts w:hint="default" w:ascii="Times New Roman" w:hAnsi="Times New Roman" w:cs="Times New Roman"/>
          <w:color w:val="auto"/>
          <w:sz w:val="24"/>
          <w:szCs w:val="21"/>
          <w:vertAlign w:val="subscript"/>
        </w:rPr>
        <w:t>max</w:t>
      </w:r>
      <w:r>
        <w:rPr>
          <w:rFonts w:hint="default" w:ascii="Times New Roman" w:hAnsi="Times New Roman" w:cs="Times New Roman"/>
          <w:color w:val="auto"/>
          <w:sz w:val="24"/>
          <w:szCs w:val="21"/>
        </w:rPr>
        <w:t>=f（R</w:t>
      </w:r>
      <w:r>
        <w:rPr>
          <w:rFonts w:hint="default" w:ascii="Times New Roman" w:hAnsi="Times New Roman" w:cs="Times New Roman"/>
          <w:color w:val="auto"/>
          <w:sz w:val="24"/>
          <w:szCs w:val="21"/>
          <w:vertAlign w:val="subscript"/>
        </w:rPr>
        <w:t>j</w:t>
      </w:r>
      <w:r>
        <w:rPr>
          <w:rFonts w:hint="default" w:ascii="Times New Roman" w:hAnsi="Times New Roman" w:cs="Times New Roman"/>
          <w:color w:val="auto"/>
          <w:sz w:val="24"/>
          <w:szCs w:val="21"/>
        </w:rPr>
        <w:t>）</w:t>
      </w:r>
    </w:p>
    <w:p w14:paraId="56C581FD">
      <w:pPr>
        <w:spacing w:line="360" w:lineRule="auto"/>
        <w:ind w:firstLine="486" w:firstLineChars="200"/>
        <w:rPr>
          <w:rFonts w:hint="default" w:ascii="Times New Roman" w:hAnsi="Times New Roman" w:cs="Times New Roman"/>
          <w:color w:val="auto"/>
          <w:sz w:val="24"/>
          <w:szCs w:val="21"/>
        </w:rPr>
      </w:pPr>
      <w:r>
        <w:rPr>
          <w:rFonts w:hint="default" w:ascii="Times New Roman" w:hAnsi="Times New Roman" w:cs="Times New Roman"/>
          <w:color w:val="auto"/>
          <w:sz w:val="24"/>
          <w:szCs w:val="21"/>
        </w:rPr>
        <w:t>当发生泄漏事故时，在风险值计算过程中，按照下式计算事故风险值（死亡/年）：</w:t>
      </w:r>
    </w:p>
    <w:p w14:paraId="0D0146F5">
      <w:pPr>
        <w:spacing w:line="360" w:lineRule="auto"/>
        <w:ind w:firstLine="486" w:firstLineChars="200"/>
        <w:rPr>
          <w:rFonts w:hint="default" w:ascii="Times New Roman" w:hAnsi="Times New Roman" w:cs="Times New Roman"/>
          <w:color w:val="auto"/>
          <w:sz w:val="24"/>
          <w:szCs w:val="21"/>
        </w:rPr>
      </w:pPr>
      <w:r>
        <w:rPr>
          <w:rFonts w:hint="default" w:ascii="Times New Roman" w:hAnsi="Times New Roman" w:cs="Times New Roman"/>
          <w:color w:val="auto"/>
          <w:sz w:val="24"/>
          <w:szCs w:val="21"/>
        </w:rPr>
        <w:t>风险值（死亡/年）=半致死百分率区人口数×50%×事故发生概率×出现不利天气概率。</w:t>
      </w:r>
    </w:p>
    <w:p w14:paraId="6299F4D2">
      <w:pPr>
        <w:spacing w:line="360" w:lineRule="auto"/>
        <w:ind w:firstLine="486" w:firstLineChars="200"/>
        <w:rPr>
          <w:rFonts w:hint="default" w:ascii="Times New Roman" w:hAnsi="Times New Roman" w:cs="Times New Roman"/>
          <w:color w:val="auto"/>
          <w:sz w:val="24"/>
          <w:szCs w:val="21"/>
        </w:rPr>
      </w:pPr>
      <w:r>
        <w:rPr>
          <w:rFonts w:hint="default" w:ascii="Times New Roman" w:hAnsi="Times New Roman" w:cs="Times New Roman"/>
          <w:color w:val="auto"/>
          <w:sz w:val="24"/>
          <w:szCs w:val="21"/>
        </w:rPr>
        <w:t>在上式中，人口数和出现不利天气的概率均发生变化，因此，考虑人口数乘以不利天气概率最大为最不利情况。</w:t>
      </w:r>
    </w:p>
    <w:p w14:paraId="7871F245">
      <w:pPr>
        <w:spacing w:line="360" w:lineRule="auto"/>
        <w:ind w:firstLine="486" w:firstLineChars="200"/>
        <w:rPr>
          <w:rFonts w:hint="default" w:ascii="Times New Roman" w:hAnsi="Times New Roman" w:cs="Times New Roman"/>
          <w:color w:val="auto"/>
          <w:sz w:val="24"/>
        </w:rPr>
      </w:pPr>
      <w:r>
        <w:rPr>
          <w:rFonts w:hint="default" w:ascii="Times New Roman" w:hAnsi="Times New Roman" w:cs="Times New Roman"/>
          <w:color w:val="auto"/>
          <w:sz w:val="24"/>
        </w:rPr>
        <w:t>经计算，一旦发生泄漏事故，最不利气象条件下，最大致死半径内的人口数为20人（厂内职工），风险值=20×50%×5.0×10</w:t>
      </w:r>
      <w:r>
        <w:rPr>
          <w:rFonts w:hint="default" w:ascii="Times New Roman" w:hAnsi="Times New Roman" w:cs="Times New Roman"/>
          <w:color w:val="auto"/>
          <w:sz w:val="24"/>
          <w:vertAlign w:val="superscript"/>
        </w:rPr>
        <w:t>-6</w:t>
      </w:r>
      <w:r>
        <w:rPr>
          <w:rFonts w:hint="default" w:ascii="Times New Roman" w:hAnsi="Times New Roman" w:cs="Times New Roman"/>
          <w:color w:val="auto"/>
          <w:sz w:val="24"/>
        </w:rPr>
        <w:t>×0.095=4.75×10</w:t>
      </w:r>
      <w:r>
        <w:rPr>
          <w:rFonts w:hint="default" w:ascii="Times New Roman" w:hAnsi="Times New Roman" w:cs="Times New Roman"/>
          <w:color w:val="auto"/>
          <w:sz w:val="24"/>
          <w:vertAlign w:val="superscript"/>
        </w:rPr>
        <w:t>-6</w:t>
      </w:r>
      <w:r>
        <w:rPr>
          <w:rFonts w:hint="default" w:ascii="Times New Roman" w:hAnsi="Times New Roman" w:cs="Times New Roman"/>
          <w:color w:val="auto"/>
          <w:sz w:val="24"/>
        </w:rPr>
        <w:t>死亡/年；发生池火事故，最大致死半径内的人口数为5人（厂内职工），风险值=5×50%×1.0×10</w:t>
      </w:r>
      <w:r>
        <w:rPr>
          <w:rFonts w:hint="default" w:ascii="Times New Roman" w:hAnsi="Times New Roman" w:cs="Times New Roman"/>
          <w:color w:val="auto"/>
          <w:sz w:val="24"/>
          <w:vertAlign w:val="superscript"/>
        </w:rPr>
        <w:t>-6</w:t>
      </w:r>
      <w:r>
        <w:rPr>
          <w:rFonts w:hint="default" w:ascii="Times New Roman" w:hAnsi="Times New Roman" w:cs="Times New Roman"/>
          <w:color w:val="auto"/>
          <w:sz w:val="24"/>
        </w:rPr>
        <w:t>=2.5×10</w:t>
      </w:r>
      <w:r>
        <w:rPr>
          <w:rFonts w:hint="default" w:ascii="Times New Roman" w:hAnsi="Times New Roman" w:cs="Times New Roman"/>
          <w:color w:val="auto"/>
          <w:sz w:val="24"/>
          <w:vertAlign w:val="superscript"/>
        </w:rPr>
        <w:t>-6</w:t>
      </w:r>
      <w:r>
        <w:rPr>
          <w:rFonts w:hint="default" w:ascii="Times New Roman" w:hAnsi="Times New Roman" w:cs="Times New Roman"/>
          <w:color w:val="auto"/>
          <w:sz w:val="24"/>
        </w:rPr>
        <w:t>死亡/年；发生爆炸事故，最大致死半径内的人口数为8人，风险值=1</w:t>
      </w:r>
      <w:r>
        <w:rPr>
          <w:rFonts w:hint="eastAsia" w:ascii="Times New Roman" w:hAnsi="Times New Roman" w:cs="Times New Roman"/>
          <w:color w:val="auto"/>
          <w:sz w:val="24"/>
          <w:lang w:val="en-US" w:eastAsia="zh-CN"/>
        </w:rPr>
        <w:t>2</w:t>
      </w:r>
      <w:r>
        <w:rPr>
          <w:rFonts w:hint="default" w:ascii="Times New Roman" w:hAnsi="Times New Roman" w:cs="Times New Roman"/>
          <w:color w:val="auto"/>
          <w:sz w:val="24"/>
        </w:rPr>
        <w:t>×50%×1.0×10</w:t>
      </w:r>
      <w:r>
        <w:rPr>
          <w:rFonts w:hint="default" w:ascii="Times New Roman" w:hAnsi="Times New Roman" w:cs="Times New Roman"/>
          <w:color w:val="auto"/>
          <w:sz w:val="24"/>
          <w:vertAlign w:val="superscript"/>
        </w:rPr>
        <w:t>-6</w:t>
      </w:r>
      <w:r>
        <w:rPr>
          <w:rFonts w:hint="default" w:ascii="Times New Roman" w:hAnsi="Times New Roman" w:cs="Times New Roman"/>
          <w:color w:val="auto"/>
          <w:sz w:val="24"/>
        </w:rPr>
        <w:t>=4</w:t>
      </w:r>
      <w:r>
        <w:rPr>
          <w:rFonts w:hint="eastAsia" w:ascii="Times New Roman" w:hAnsi="Times New Roman" w:cs="Times New Roman"/>
          <w:color w:val="auto"/>
          <w:sz w:val="24"/>
          <w:lang w:val="en-US" w:eastAsia="zh-CN"/>
        </w:rPr>
        <w:t>.5</w:t>
      </w:r>
      <w:r>
        <w:rPr>
          <w:rFonts w:hint="default" w:ascii="Times New Roman" w:hAnsi="Times New Roman" w:cs="Times New Roman"/>
          <w:color w:val="auto"/>
          <w:sz w:val="24"/>
        </w:rPr>
        <w:t>×10均小于目前化工行业的可接受风险水平（</w:t>
      </w:r>
      <w:r>
        <w:rPr>
          <w:rFonts w:hint="eastAsia" w:ascii="Times New Roman" w:hAnsi="Times New Roman" w:cs="Times New Roman"/>
          <w:color w:val="auto"/>
          <w:sz w:val="24"/>
          <w:lang w:val="en-US" w:eastAsia="zh-CN"/>
        </w:rPr>
        <w:t>7</w:t>
      </w:r>
      <w:r>
        <w:rPr>
          <w:rFonts w:hint="default" w:ascii="Times New Roman" w:hAnsi="Times New Roman" w:cs="Times New Roman"/>
          <w:color w:val="auto"/>
          <w:sz w:val="24"/>
        </w:rPr>
        <w:t>.</w:t>
      </w:r>
      <w:r>
        <w:rPr>
          <w:rFonts w:hint="eastAsia" w:ascii="Times New Roman" w:hAnsi="Times New Roman" w:cs="Times New Roman"/>
          <w:color w:val="auto"/>
          <w:sz w:val="24"/>
          <w:lang w:val="en-US" w:eastAsia="zh-CN"/>
        </w:rPr>
        <w:t>2</w:t>
      </w:r>
      <w:r>
        <w:rPr>
          <w:rFonts w:hint="default" w:ascii="Times New Roman" w:hAnsi="Times New Roman" w:cs="Times New Roman"/>
          <w:color w:val="auto"/>
          <w:sz w:val="24"/>
        </w:rPr>
        <w:t>3×10</w:t>
      </w:r>
      <w:r>
        <w:rPr>
          <w:rFonts w:hint="default" w:ascii="Times New Roman" w:hAnsi="Times New Roman" w:cs="Times New Roman"/>
          <w:color w:val="auto"/>
          <w:sz w:val="24"/>
          <w:vertAlign w:val="superscript"/>
        </w:rPr>
        <w:t>-5</w:t>
      </w:r>
      <w:r>
        <w:rPr>
          <w:rFonts w:hint="default" w:ascii="Times New Roman" w:hAnsi="Times New Roman" w:cs="Times New Roman"/>
          <w:color w:val="auto"/>
          <w:sz w:val="24"/>
        </w:rPr>
        <w:t>死亡/年）。因此，本项目的风险水平是可以接受的。</w:t>
      </w:r>
    </w:p>
    <w:p w14:paraId="666AD090">
      <w:pPr>
        <w:spacing w:line="360" w:lineRule="auto"/>
        <w:ind w:firstLine="486" w:firstLineChars="200"/>
        <w:rPr>
          <w:rFonts w:hint="default" w:ascii="Times New Roman" w:hAnsi="Times New Roman" w:cs="Times New Roman"/>
          <w:sz w:val="24"/>
        </w:rPr>
      </w:pPr>
      <w:r>
        <w:rPr>
          <w:rFonts w:hint="eastAsia" w:ascii="Times New Roman" w:hAnsi="Times New Roman" w:cs="Times New Roman"/>
          <w:sz w:val="24"/>
          <w:lang w:eastAsia="zh-CN"/>
        </w:rPr>
        <w:t>四</w:t>
      </w:r>
      <w:r>
        <w:rPr>
          <w:rFonts w:hint="default" w:ascii="Times New Roman" w:hAnsi="Times New Roman" w:cs="Times New Roman"/>
          <w:sz w:val="24"/>
        </w:rPr>
        <w:t>、</w:t>
      </w:r>
      <w:r>
        <w:rPr>
          <w:rFonts w:hint="eastAsia" w:ascii="Times New Roman" w:hAnsi="Times New Roman" w:cs="Times New Roman"/>
          <w:sz w:val="24"/>
          <w:lang w:eastAsia="zh-CN"/>
        </w:rPr>
        <w:t>氨气</w:t>
      </w:r>
      <w:r>
        <w:rPr>
          <w:rFonts w:hint="default" w:ascii="Times New Roman" w:hAnsi="Times New Roman" w:cs="Times New Roman"/>
          <w:sz w:val="24"/>
        </w:rPr>
        <w:t>泄漏火灾事故源强计算</w:t>
      </w:r>
    </w:p>
    <w:p w14:paraId="4ABD4EAA">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（1）泄漏火灾源强</w:t>
      </w:r>
      <w:r>
        <w:rPr>
          <w:rFonts w:hint="default" w:ascii="Times New Roman" w:hAnsi="Times New Roman" w:cs="Times New Roman"/>
          <w:sz w:val="24"/>
          <w:lang w:eastAsia="zh-CN"/>
        </w:rPr>
        <w:t>苯酚</w:t>
      </w:r>
      <w:r>
        <w:rPr>
          <w:rFonts w:hint="default" w:ascii="Times New Roman" w:hAnsi="Times New Roman" w:cs="Times New Roman"/>
          <w:sz w:val="24"/>
        </w:rPr>
        <w:t>为液态，</w:t>
      </w:r>
    </w:p>
    <w:p w14:paraId="07F93B73">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A、</w:t>
      </w:r>
      <w:r>
        <w:rPr>
          <w:rFonts w:hint="eastAsia" w:ascii="Times New Roman" w:hAnsi="Times New Roman" w:cs="Times New Roman"/>
          <w:sz w:val="24"/>
          <w:lang w:eastAsia="zh-CN"/>
        </w:rPr>
        <w:t>氨气</w:t>
      </w:r>
      <w:r>
        <w:rPr>
          <w:rFonts w:hint="default" w:ascii="Times New Roman" w:hAnsi="Times New Roman" w:cs="Times New Roman"/>
          <w:sz w:val="24"/>
        </w:rPr>
        <w:t>燃烧</w:t>
      </w:r>
    </w:p>
    <w:p w14:paraId="6ADEF815">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pict>
          <v:shape id="_x0000_s2054" o:spid="_x0000_s2054" o:spt="75" type="#_x0000_t75" style="position:absolute;left:0pt;margin-left:30pt;margin-top:57.3pt;height:45.95pt;width:180pt;mso-wrap-distance-bottom:0pt;mso-wrap-distance-top:0pt;z-index:-251639808;mso-width-relative:page;mso-height-relative:page;" o:ole="t" filled="f" stroked="f" coordsize="21600,21600">
            <v:path/>
            <v:fill on="f" focussize="0,0"/>
            <v:stroke on="f"/>
            <v:imagedata r:id="rId52" o:title=""/>
            <o:lock v:ext="edit" aspectratio="t"/>
            <w10:wrap type="topAndBottom"/>
          </v:shape>
          <o:OLEObject Type="Embed" ProgID="" ShapeID="_x0000_s2054" DrawAspect="Content" ObjectID="_1468075804" r:id="rId139">
            <o:LockedField>false</o:LockedField>
          </o:OLEObject>
        </w:pict>
      </w:r>
      <w:r>
        <w:rPr>
          <w:rFonts w:hint="default" w:ascii="Times New Roman" w:hAnsi="Times New Roman" w:cs="Times New Roman"/>
          <w:sz w:val="24"/>
        </w:rPr>
        <w:t>以</w:t>
      </w:r>
      <w:r>
        <w:rPr>
          <w:rFonts w:hint="default" w:ascii="Times New Roman" w:hAnsi="Times New Roman" w:cs="Times New Roman"/>
          <w:sz w:val="24"/>
          <w:lang w:eastAsia="zh-CN"/>
        </w:rPr>
        <w:t>苯</w:t>
      </w:r>
      <w:r>
        <w:rPr>
          <w:rFonts w:hint="eastAsia" w:ascii="Times New Roman" w:hAnsi="Times New Roman" w:cs="Times New Roman"/>
          <w:sz w:val="24"/>
          <w:lang w:eastAsia="zh-CN"/>
        </w:rPr>
        <w:t>氯气</w:t>
      </w:r>
      <w:r>
        <w:rPr>
          <w:rFonts w:hint="default" w:ascii="Times New Roman" w:hAnsi="Times New Roman" w:cs="Times New Roman"/>
          <w:sz w:val="24"/>
        </w:rPr>
        <w:t xml:space="preserve">罐发生泄漏遇火种发生燃烧，假定泄漏时间为30min。泄漏速度QL用柏努利方程计算：                                                            </w:t>
      </w:r>
    </w:p>
    <w:p w14:paraId="66ED1085">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式中： </w:t>
      </w:r>
    </w:p>
    <w:p w14:paraId="07DB0B61">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QL——液体泄漏速度，kg/s； </w:t>
      </w:r>
    </w:p>
    <w:p w14:paraId="2757A130">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Cd——液体泄漏系数，此值常用0.6-0.64；取0.62</w:t>
      </w:r>
    </w:p>
    <w:p w14:paraId="37F98581">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A——裂口面积，0.00025m2； </w:t>
      </w:r>
    </w:p>
    <w:p w14:paraId="48CEFE02">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P——容器内介质压力，101325Pa； </w:t>
      </w:r>
    </w:p>
    <w:p w14:paraId="63D33CB6">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P0——环境压力，101325Pa； </w:t>
      </w:r>
    </w:p>
    <w:p w14:paraId="64EB1710">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g ——重力加速度。9.8m／s2</w:t>
      </w:r>
    </w:p>
    <w:p w14:paraId="201BA186">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h ——裂口之上液位高度，2.0m。</w:t>
      </w:r>
    </w:p>
    <w:p w14:paraId="5ACE4962">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经计算可知，</w:t>
      </w:r>
      <w:r>
        <w:rPr>
          <w:rFonts w:hint="eastAsia" w:ascii="Times New Roman" w:hAnsi="Times New Roman" w:cs="Times New Roman"/>
          <w:sz w:val="24"/>
          <w:lang w:eastAsia="zh-CN"/>
        </w:rPr>
        <w:t>氯气</w:t>
      </w:r>
      <w:r>
        <w:rPr>
          <w:rFonts w:hint="default" w:ascii="Times New Roman" w:hAnsi="Times New Roman" w:cs="Times New Roman"/>
          <w:sz w:val="24"/>
        </w:rPr>
        <w:t>泄漏速度为0.74kg／s，泄漏量1332kg／h。</w:t>
      </w:r>
      <w:r>
        <w:rPr>
          <w:rFonts w:hint="eastAsia" w:ascii="Times New Roman" w:hAnsi="Times New Roman" w:cs="Times New Roman"/>
          <w:sz w:val="24"/>
          <w:lang w:eastAsia="zh-CN"/>
        </w:rPr>
        <w:t>氯气</w:t>
      </w:r>
      <w:r>
        <w:rPr>
          <w:rFonts w:hint="default" w:ascii="Times New Roman" w:hAnsi="Times New Roman" w:cs="Times New Roman"/>
          <w:sz w:val="24"/>
        </w:rPr>
        <w:t>泄漏至事故池，池体面积为</w:t>
      </w:r>
      <w:r>
        <w:rPr>
          <w:rFonts w:hint="eastAsia" w:ascii="Times New Roman" w:hAnsi="Times New Roman" w:cs="Times New Roman"/>
          <w:sz w:val="24"/>
          <w:lang w:val="en-US" w:eastAsia="zh-CN"/>
        </w:rPr>
        <w:t>3</w:t>
      </w:r>
      <w:r>
        <w:rPr>
          <w:rFonts w:hint="default" w:ascii="Times New Roman" w:hAnsi="Times New Roman" w:cs="Times New Roman"/>
          <w:sz w:val="24"/>
        </w:rPr>
        <w:t>m×</w:t>
      </w:r>
      <w:r>
        <w:rPr>
          <w:rFonts w:hint="eastAsia" w:ascii="Times New Roman" w:hAnsi="Times New Roman" w:cs="Times New Roman"/>
          <w:sz w:val="24"/>
          <w:lang w:val="en-US" w:eastAsia="zh-CN"/>
        </w:rPr>
        <w:t>3</w:t>
      </w:r>
      <w:r>
        <w:rPr>
          <w:rFonts w:hint="default" w:ascii="Times New Roman" w:hAnsi="Times New Roman" w:cs="Times New Roman"/>
          <w:sz w:val="24"/>
        </w:rPr>
        <w:t>m=</w:t>
      </w:r>
      <w:r>
        <w:rPr>
          <w:rFonts w:hint="eastAsia" w:ascii="Times New Roman" w:hAnsi="Times New Roman" w:cs="Times New Roman"/>
          <w:sz w:val="24"/>
          <w:lang w:val="en-US" w:eastAsia="zh-CN"/>
        </w:rPr>
        <w:t>9</w:t>
      </w:r>
      <w:r>
        <w:rPr>
          <w:rFonts w:hint="default" w:ascii="Times New Roman" w:hAnsi="Times New Roman" w:cs="Times New Roman"/>
          <w:sz w:val="24"/>
        </w:rPr>
        <w:t>m</w:t>
      </w:r>
      <w:r>
        <w:rPr>
          <w:rFonts w:hint="default" w:ascii="Times New Roman" w:hAnsi="Times New Roman" w:cs="Times New Roman"/>
          <w:sz w:val="24"/>
          <w:vertAlign w:val="superscript"/>
        </w:rPr>
        <w:t>2</w:t>
      </w:r>
      <w:r>
        <w:rPr>
          <w:rFonts w:hint="default" w:ascii="Times New Roman" w:hAnsi="Times New Roman" w:cs="Times New Roman"/>
          <w:sz w:val="24"/>
        </w:rPr>
        <w:t>。</w:t>
      </w:r>
    </w:p>
    <w:p w14:paraId="1CF1C330">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预测模式：池火灾模型和热辐射伤害概率模型。</w:t>
      </w:r>
    </w:p>
    <w:p w14:paraId="3EBD99A1">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（1） 池火模型 </w:t>
      </w:r>
    </w:p>
    <w:p w14:paraId="48890F6E">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池火是一种常见的火灾形式，是可燃液体面上的自然燃烧。泄漏到地面上、堤坝内液体的火灾、敞开的容器内液体的燃烧等均称为池火。池火模型一般按圆形液面计算，所以其他形状的液池应换算为等面积的圆池。 </w:t>
      </w:r>
    </w:p>
    <w:p w14:paraId="139A5450">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燃烧速率 </w:t>
      </w:r>
    </w:p>
    <w:p w14:paraId="6950B9EC">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下面是广泛采用的液体单位面积燃烧速率的计算公式。 </w:t>
      </w:r>
    </w:p>
    <w:p w14:paraId="080992E6">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当液体沸点高于环境温度时： </w:t>
      </w:r>
    </w:p>
    <w:p w14:paraId="54055F56">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101" o:spt="75" type="#_x0000_t75" style="height:39.45pt;width:192.05pt;" o:ole="t" filled="f" o:preferrelative="t" stroked="f" coordsize="21600,21600">
            <v:path/>
            <v:fill on="f" alignshape="1" focussize="0,0"/>
            <v:stroke on="f"/>
            <v:imagedata r:id="rId54" o:title=""/>
            <o:lock v:ext="edit" aspectratio="t"/>
            <w10:wrap type="none"/>
            <w10:anchorlock/>
          </v:shape>
          <o:OLEObject Type="Embed" ProgID="Equation.3" ShapeID="_x0000_i1101" DrawAspect="Content" ObjectID="_1468075805" r:id="rId140">
            <o:LockedField>false</o:LockedField>
          </o:OLEObject>
        </w:object>
      </w:r>
    </w:p>
    <w:p w14:paraId="132CB5DA">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当液体的沸点低于环境温度时，如加压液化气或冷冻液化气，其单位面积的燃烧速度mf为：</w:t>
      </w:r>
    </w:p>
    <w:p w14:paraId="2FF15DAA">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 </w:t>
      </w:r>
      <w:r>
        <w:rPr>
          <w:rFonts w:hint="default" w:ascii="Times New Roman" w:hAnsi="Times New Roman" w:cs="Times New Roman"/>
          <w:sz w:val="24"/>
        </w:rPr>
        <w:object>
          <v:shape id="_x0000_i1102" o:spt="75" type="#_x0000_t75" style="height:34.5pt;width:106.6pt;" o:ole="t" filled="f" o:preferrelative="t" stroked="f" coordsize="21600,21600">
            <v:path/>
            <v:fill on="f" alignshape="1" focussize="0,0"/>
            <v:stroke on="f"/>
            <v:imagedata r:id="rId56" o:title=""/>
            <o:lock v:ext="edit" aspectratio="t"/>
            <w10:wrap type="none"/>
            <w10:anchorlock/>
          </v:shape>
          <o:OLEObject Type="Embed" ProgID="Equation.3" ShapeID="_x0000_i1102" DrawAspect="Content" ObjectID="_1468075806" r:id="rId141">
            <o:LockedField>false</o:LockedField>
          </o:OLEObject>
        </w:object>
      </w:r>
    </w:p>
    <w:p w14:paraId="1E89F729">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式中  mf——液体单位表面积燃烧速度，kg／(m2·s)； </w:t>
      </w:r>
    </w:p>
    <w:p w14:paraId="716DFAE8">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Hc——液体燃烧热； J／kg； </w:t>
      </w:r>
    </w:p>
    <w:p w14:paraId="44221ED9">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Cp——液体的比定压热容； J／(kg·K)； </w:t>
      </w:r>
    </w:p>
    <w:p w14:paraId="1629F8DF">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Tb——液体的沸点， K； </w:t>
      </w:r>
    </w:p>
    <w:p w14:paraId="65BFBCA7">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Ta——环境温度， K； </w:t>
      </w:r>
    </w:p>
    <w:p w14:paraId="042E6E2F">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HV——液体在常压沸点下的蒸发热（气化热）， J／kg。 </w:t>
      </w:r>
    </w:p>
    <w:p w14:paraId="76DC41CA">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②燃烧时间 </w:t>
      </w:r>
    </w:p>
    <w:p w14:paraId="563A5BAE">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池火持续时间按下式计算： </w:t>
      </w:r>
    </w:p>
    <w:p w14:paraId="724A5CC1">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103" o:spt="75" type="#_x0000_t75" style="height:43.15pt;width:82.9pt;" o:ole="t" filled="f" o:preferrelative="t" stroked="f" coordsize="21600,21600">
            <v:path/>
            <v:fill on="f" alignshape="1" focussize="0,0"/>
            <v:stroke on="f"/>
            <v:imagedata r:id="rId58" o:title=""/>
            <o:lock v:ext="edit" aspectratio="t"/>
            <w10:wrap type="none"/>
            <w10:anchorlock/>
          </v:shape>
          <o:OLEObject Type="Embed" ProgID="Equation.3" ShapeID="_x0000_i1103" DrawAspect="Content" ObjectID="_1468075807" r:id="rId142">
            <o:LockedField>false</o:LockedField>
          </o:OLEObject>
        </w:object>
      </w:r>
    </w:p>
    <w:p w14:paraId="72E190C6">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式中：t——池火持续时间，s； </w:t>
      </w:r>
    </w:p>
    <w:p w14:paraId="36EFC2E9">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W——液池液体的总质量，kg； </w:t>
      </w:r>
    </w:p>
    <w:p w14:paraId="1BCC1293">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S——液池的面积，m2； </w:t>
      </w:r>
    </w:p>
    <w:p w14:paraId="2AD48F28">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mf——液体单位面积燃烧速率，kg/m2•s； </w:t>
      </w:r>
    </w:p>
    <w:p w14:paraId="0645AE70">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③确定火焰高度 </w:t>
      </w:r>
    </w:p>
    <w:p w14:paraId="4264748A">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Thomas给出的计算池火焰高度的经验公式在文献中被广泛使用。 </w:t>
      </w:r>
    </w:p>
    <w:p w14:paraId="7A0A64EA">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为简化计算，仅考虑无风时的情况： </w:t>
      </w:r>
    </w:p>
    <w:p w14:paraId="2525FBCB">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104" o:spt="75" type="#_x0000_t75" style="height:34.5pt;width:149.85pt;" o:ole="t" filled="f" o:preferrelative="t" stroked="f" coordsize="21600,21600">
            <v:path/>
            <v:fill on="f" alignshape="1" focussize="0,0"/>
            <v:stroke on="f"/>
            <v:imagedata r:id="rId60" o:title=""/>
            <o:lock v:ext="edit" aspectratio="t"/>
            <w10:wrap type="none"/>
            <w10:anchorlock/>
          </v:shape>
          <o:OLEObject Type="Embed" ProgID="Equation.3" ShapeID="_x0000_i1104" DrawAspect="Content" ObjectID="_1468075808" r:id="rId143">
            <o:LockedField>false</o:LockedField>
          </o:OLEObject>
        </w:object>
      </w:r>
    </w:p>
    <w:p w14:paraId="2E3AF044">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式中：L——火焰高度，m； </w:t>
      </w:r>
    </w:p>
    <w:p w14:paraId="3CE21E3F">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D——液池直径，m； </w:t>
      </w:r>
    </w:p>
    <w:p w14:paraId="4F8B16F9">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mf——液体单位面积燃烧速率，kg/m2•s； </w:t>
      </w:r>
    </w:p>
    <w:p w14:paraId="3CB995BC">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ρa——空气密度，kg/m3； </w:t>
      </w:r>
    </w:p>
    <w:p w14:paraId="04A33737">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g——重力加速度，9.8m/s； </w:t>
      </w:r>
    </w:p>
    <w:p w14:paraId="76981E78">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④火焰表面热通量的计算 </w:t>
      </w:r>
    </w:p>
    <w:p w14:paraId="7A123101">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假定能量由圆柱形火焰侧面和顶部向周围均匀辐射，则可以用下式计算火焰表面的热通量： </w:t>
      </w:r>
    </w:p>
    <w:p w14:paraId="046CEEFB">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105" o:spt="75" type="#_x0000_t75" style="height:34.5pt;width:165.05pt;" o:ole="t" filled="f" o:preferrelative="t" stroked="f" coordsize="21600,21600">
            <v:path/>
            <v:fill on="f" alignshape="1" focussize="0,0"/>
            <v:stroke on="f"/>
            <v:imagedata r:id="rId62" o:title=""/>
            <o:lock v:ext="edit" aspectratio="t"/>
            <w10:wrap type="none"/>
            <w10:anchorlock/>
          </v:shape>
          <o:OLEObject Type="Embed" ProgID="Equation.3" ShapeID="_x0000_i1105" DrawAspect="Content" ObjectID="_1468075809" r:id="rId144">
            <o:LockedField>false</o:LockedField>
          </o:OLEObject>
        </w:object>
      </w:r>
    </w:p>
    <w:p w14:paraId="3A466BAA">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式中：E——池火表面的热通量， W/m2； </w:t>
      </w:r>
    </w:p>
    <w:p w14:paraId="42CF3EAB">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HC——液体燃烧热，J/kg； </w:t>
      </w:r>
    </w:p>
    <w:p w14:paraId="4624C643">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π——圆周率，3.14； </w:t>
      </w:r>
    </w:p>
    <w:p w14:paraId="272C9FBB">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f——热辐射系数，范围为0.13~0.35，保守值为0.35； </w:t>
      </w:r>
    </w:p>
    <w:p w14:paraId="5FA1CBAA">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mf——燃烧速率，kg/m2•s； </w:t>
      </w:r>
    </w:p>
    <w:p w14:paraId="3B5D285A">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其它符号同前。 </w:t>
      </w:r>
    </w:p>
    <w:p w14:paraId="10B6995D">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⑤目标接收到的热通量的计算 </w:t>
      </w:r>
    </w:p>
    <w:p w14:paraId="768CAFFA">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目标接收到的热通量q的计算公式为： </w:t>
      </w:r>
    </w:p>
    <w:p w14:paraId="364EBD62">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106" o:spt="75" type="#_x0000_t75" style="height:17.45pt;width:179.75pt;" o:ole="t" filled="f" o:preferrelative="t" stroked="f" coordsize="21600,21600">
            <v:path/>
            <v:fill on="f" alignshape="1" focussize="0,0"/>
            <v:stroke on="f"/>
            <v:imagedata r:id="rId64" o:title=""/>
            <o:lock v:ext="edit" aspectratio="t"/>
            <w10:wrap type="none"/>
            <w10:anchorlock/>
          </v:shape>
          <o:OLEObject Type="Embed" ProgID="Equation.3" ShapeID="_x0000_i1106" DrawAspect="Content" ObjectID="_1468075810" r:id="rId145">
            <o:LockedField>false</o:LockedField>
          </o:OLEObject>
        </w:object>
      </w:r>
    </w:p>
    <w:p w14:paraId="4A05FB88">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式中：q——目标接收到的热通量，w/m2； </w:t>
      </w:r>
    </w:p>
    <w:p w14:paraId="3A3416F8">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E——池火表面的热通量，w/m2； </w:t>
      </w:r>
    </w:p>
    <w:p w14:paraId="40487C01">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x——目标到池火中心的水平距离，m； </w:t>
      </w:r>
    </w:p>
    <w:p w14:paraId="01653E08">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V——视角系数，按Rai&amp;Kalelkar(1974)提供的方法计算。 </w:t>
      </w:r>
    </w:p>
    <w:p w14:paraId="7AE8F0FB">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⑥视角系数的计算 </w:t>
      </w:r>
      <w:r>
        <w:rPr>
          <w:rFonts w:hint="default" w:ascii="Times New Roman" w:hAnsi="Times New Roman" w:cs="Times New Roman"/>
          <w:sz w:val="24"/>
        </w:rPr>
        <w:fldChar w:fldCharType="begin"/>
      </w:r>
      <w:r>
        <w:instrText xml:space="preserve"> INCLUDEPICTURE "F:\\WeChat Files\\wxid_d7zyx1an0kqf22\\FileStorage\\File\\2022-12\\mk:@MSITStore:C:\\Program%20Files\\环境风险评价系统\\RiskSystem%201.0\\HELP.chm::\\1%20火灾、爆炸、中毒事故后果及其数学模型\\1.2%20汲2.gif" \* MERGEFORMAT </w:instrText>
      </w:r>
      <w:r>
        <w:rPr>
          <w:rFonts w:hint="default" w:ascii="Times New Roman" w:hAnsi="Times New Roman" w:cs="Times New Roman"/>
          <w:sz w:val="24"/>
        </w:rPr>
        <w:fldChar w:fldCharType="separate"/>
      </w:r>
      <w:r>
        <w:rPr>
          <w:rFonts w:hint="default" w:ascii="Times New Roman" w:hAnsi="Times New Roman" w:cs="Times New Roman"/>
          <w:sz w:val="24"/>
        </w:rPr>
        <mc:AlternateContent>
          <mc:Choice Requires="wps">
            <w:drawing>
              <wp:inline distT="0" distB="0" distL="114300" distR="114300">
                <wp:extent cx="114935" cy="219710"/>
                <wp:effectExtent l="0" t="0" r="0" b="0"/>
                <wp:docPr id="5" name="矩形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14935" cy="219710"/>
                        </a:xfrm>
                        <a:prstGeom prst="rect">
                          <a:avLst/>
                        </a:prstGeom>
                        <a:noFill/>
                        <a:ln>
                          <a:noFill/>
                        </a:ln>
                      </wps:spPr>
                      <wps:bodyPr upright="1"/>
                    </wps:wsp>
                  </a:graphicData>
                </a:graphic>
              </wp:inline>
            </w:drawing>
          </mc:Choice>
          <mc:Fallback>
            <w:pict>
              <v:rect id="_x0000_s1026" o:spid="_x0000_s1026" o:spt="1" style="height:17.3pt;width:9.05pt;" filled="f" stroked="f" coordsize="21600,21600" o:gfxdata="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BPcfgnU&#10;AAAAAwEAAA8AAAAAAAAAAQAgAAAAIgAAAGRycy9kb3ducmV2LnhtbFBLAQIUABQAAAAIAIdO4kCp&#10;x1J6sgEAAGEDAAAOAAAAAAAAAAEAIAAAACMBAABkcnMvZTJvRG9jLnhtbFBLBQYAAAAABgAGAFkB&#10;AABHBQAAAAA=&#10;">
                <v:fill on="f" focussize="0,0"/>
                <v:stroke on="f"/>
                <v:imagedata o:title=""/>
                <o:lock v:ext="edit" aspectratio="t"/>
                <w10:wrap type="none"/>
                <w10:anchorlock/>
              </v:rect>
            </w:pict>
          </mc:Fallback>
        </mc:AlternateContent>
      </w:r>
      <w:r>
        <w:rPr>
          <w:rFonts w:hint="default" w:ascii="Times New Roman" w:hAnsi="Times New Roman" w:cs="Times New Roman"/>
          <w:sz w:val="24"/>
        </w:rPr>
        <w:fldChar w:fldCharType="end"/>
      </w:r>
    </w:p>
    <w:p w14:paraId="544FE099">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视角系数V可由下式确定： </w:t>
      </w:r>
    </w:p>
    <w:p w14:paraId="25886AFC">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107" o:spt="75" type="#_x0000_t75" style="height:23.85pt;width:120pt;" o:ole="t" filled="f" o:preferrelative="t" stroked="f" coordsize="21600,21600">
            <v:path/>
            <v:fill on="f" alignshape="1" focussize="0,0"/>
            <v:stroke on="f"/>
            <v:imagedata r:id="rId66" o:title=""/>
            <o:lock v:ext="edit" aspectratio="t"/>
            <w10:wrap type="none"/>
            <w10:anchorlock/>
          </v:shape>
          <o:OLEObject Type="Embed" ProgID="Equation.3" ShapeID="_x0000_i1107" DrawAspect="Content" ObjectID="_1468075811" r:id="rId146">
            <o:LockedField>false</o:LockedField>
          </o:OLEObject>
        </w:object>
      </w:r>
    </w:p>
    <w:p w14:paraId="5D23FAB5">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108" o:spt="75" type="#_x0000_t75" style="height:15.9pt;width:91.6pt;" o:ole="t" filled="f" o:preferrelative="t" stroked="f" coordsize="21600,21600">
            <v:path/>
            <v:fill on="f" alignshape="1" focussize="0,0"/>
            <v:stroke on="f"/>
            <v:imagedata r:id="rId68" o:title=""/>
            <o:lock v:ext="edit" aspectratio="t"/>
            <w10:wrap type="none"/>
            <w10:anchorlock/>
          </v:shape>
          <o:OLEObject Type="Embed" ProgID="Equation.3" ShapeID="_x0000_i1108" DrawAspect="Content" ObjectID="_1468075812" r:id="rId147">
            <o:LockedField>false</o:LockedField>
          </o:OLEObject>
        </w:object>
      </w:r>
    </w:p>
    <w:p w14:paraId="64F65169">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109" o:spt="75" type="#_x0000_t75" style="height:27.15pt;width:238.45pt;" o:ole="t" filled="f" o:preferrelative="t" stroked="f" coordsize="21600,21600">
            <v:path/>
            <v:fill on="f" alignshape="1" focussize="0,0"/>
            <v:stroke on="f"/>
            <v:imagedata r:id="rId70" o:title=""/>
            <o:lock v:ext="edit" aspectratio="t"/>
            <w10:wrap type="none"/>
            <w10:anchorlock/>
          </v:shape>
          <o:OLEObject Type="Embed" ProgID="Equation.3" ShapeID="_x0000_i1109" DrawAspect="Content" ObjectID="_1468075813" r:id="rId148">
            <o:LockedField>false</o:LockedField>
          </o:OLEObject>
        </w:object>
      </w:r>
    </w:p>
    <w:p w14:paraId="1BE770E2">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110" o:spt="75" type="#_x0000_t75" style="height:34.65pt;width:240.05pt;" o:ole="t" filled="f" o:preferrelative="t" stroked="f" coordsize="21600,21600">
            <v:path/>
            <v:fill on="f" alignshape="1" focussize="0,0"/>
            <v:stroke on="f"/>
            <v:imagedata r:id="rId72" o:title=""/>
            <o:lock v:ext="edit" aspectratio="t"/>
            <w10:wrap type="none"/>
            <w10:anchorlock/>
          </v:shape>
          <o:OLEObject Type="Embed" ProgID="Equation.3" ShapeID="_x0000_i1110" DrawAspect="Content" ObjectID="_1468075814" r:id="rId149">
            <o:LockedField>false</o:LockedField>
          </o:OLEObject>
        </w:object>
      </w:r>
    </w:p>
    <w:p w14:paraId="2568BD91">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111" o:spt="75" type="#_x0000_t75" style="height:28.65pt;width:186pt;" o:ole="t" filled="f" o:preferrelative="t" stroked="f" coordsize="21600,21600">
            <v:path/>
            <v:fill on="f" alignshape="1" focussize="0,0"/>
            <v:stroke on="f"/>
            <v:imagedata r:id="rId74" o:title=""/>
            <o:lock v:ext="edit" aspectratio="t"/>
            <w10:wrap type="none"/>
            <w10:anchorlock/>
          </v:shape>
          <o:OLEObject Type="Embed" ProgID="Equation.3" ShapeID="_x0000_i1111" DrawAspect="Content" ObjectID="_1468075815" r:id="rId150">
            <o:LockedField>false</o:LockedField>
          </o:OLEObject>
        </w:object>
      </w:r>
    </w:p>
    <w:p w14:paraId="2E4416C6">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112" o:spt="75" type="#_x0000_t75" style="height:28.35pt;width:182.2pt;" o:ole="t" filled="f" o:preferrelative="t" stroked="f" coordsize="21600,21600">
            <v:path/>
            <v:fill on="f" alignshape="1" focussize="0,0"/>
            <v:stroke on="f"/>
            <v:imagedata r:id="rId76" o:title=""/>
            <o:lock v:ext="edit" aspectratio="t"/>
            <w10:wrap type="none"/>
            <w10:anchorlock/>
          </v:shape>
          <o:OLEObject Type="Embed" ProgID="Equation.3" ShapeID="_x0000_i1112" DrawAspect="Content" ObjectID="_1468075816" r:id="rId151">
            <o:LockedField>false</o:LockedField>
          </o:OLEObject>
        </w:object>
      </w:r>
    </w:p>
    <w:p w14:paraId="54DD827F">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113" o:spt="75" type="#_x0000_t75" style="height:24.3pt;width:93pt;" o:ole="t" filled="f" o:preferrelative="t" stroked="f" coordsize="21600,21600">
            <v:path/>
            <v:fill on="f" alignshape="1" focussize="0,0"/>
            <v:stroke on="f"/>
            <v:imagedata r:id="rId78" o:title=""/>
            <o:lock v:ext="edit" aspectratio="t"/>
            <w10:wrap type="none"/>
            <w10:anchorlock/>
          </v:shape>
          <o:OLEObject Type="Embed" ProgID="Equation.3" ShapeID="_x0000_i1113" DrawAspect="Content" ObjectID="_1468075817" r:id="rId152">
            <o:LockedField>false</o:LockedField>
          </o:OLEObject>
        </w:object>
      </w:r>
    </w:p>
    <w:p w14:paraId="1CBB4FC5">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a=(h</w:t>
      </w:r>
      <w:r>
        <w:rPr>
          <w:rFonts w:hint="default" w:ascii="Times New Roman" w:hAnsi="Times New Roman" w:cs="Times New Roman"/>
          <w:sz w:val="24"/>
        </w:rPr>
        <w:softHyphen/>
      </w:r>
      <w:r>
        <w:rPr>
          <w:rFonts w:hint="default" w:ascii="Times New Roman" w:hAnsi="Times New Roman" w:cs="Times New Roman"/>
          <w:sz w:val="24"/>
        </w:rPr>
        <w:t xml:space="preserve">2+s2+1)/2s </w:t>
      </w:r>
    </w:p>
    <w:p w14:paraId="17F15C5B">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b=(1+s2)/2s </w:t>
      </w:r>
    </w:p>
    <w:p w14:paraId="02FACFC8">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s=2R/D </w:t>
      </w:r>
    </w:p>
    <w:p w14:paraId="773DDF36">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h=L/D </w:t>
      </w:r>
    </w:p>
    <w:p w14:paraId="27F7F0D7">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（2） 热辐射伤害概率模型 </w:t>
      </w:r>
    </w:p>
    <w:p w14:paraId="6E5235EC">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热辐射伤害常用概率模型描述。概率与伤害百分率的关系为 </w:t>
      </w:r>
    </w:p>
    <w:p w14:paraId="10ADA337">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114" o:spt="75" type="#_x0000_t75" style="height:32.7pt;width:150.05pt;" o:ole="t" filled="f" o:preferrelative="t" stroked="f" coordsize="21600,21600">
            <v:path/>
            <v:fill on="f" alignshape="1" focussize="0,0"/>
            <v:stroke on="f"/>
            <v:imagedata r:id="rId80" o:title=""/>
            <o:lock v:ext="edit" aspectratio="t"/>
            <w10:wrap type="none"/>
            <w10:anchorlock/>
          </v:shape>
          <o:OLEObject Type="Embed" ProgID="Equation.3" ShapeID="_x0000_i1114" DrawAspect="Content" ObjectID="_1468075818" r:id="rId153">
            <o:LockedField>false</o:LockedField>
          </o:OLEObject>
        </w:object>
      </w:r>
    </w:p>
    <w:p w14:paraId="1036E488">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当Pr＝5时，伤害百分率为50%。 </w:t>
      </w:r>
    </w:p>
    <w:p w14:paraId="3F8F6CBB">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皮肤裸露时的死亡概率： </w:t>
      </w:r>
    </w:p>
    <w:p w14:paraId="0E1FEEC9">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Pr = -36.38 + 2.56ln(tq4/3) </w:t>
      </w:r>
    </w:p>
    <w:p w14:paraId="32A399D1">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有衣服保护时（20%皮肤裸露）的死亡概率： </w:t>
      </w:r>
    </w:p>
    <w:p w14:paraId="08700770">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Pr = -37.23 + 2.56ln(tq4/3) </w:t>
      </w:r>
    </w:p>
    <w:p w14:paraId="75A05CB0">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有衣服保护时（20%皮肤裸露）的二度烧伤概率： </w:t>
      </w:r>
    </w:p>
    <w:p w14:paraId="47343B01">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Pr = -43.14 + 3.0188ln(tq4/3) </w:t>
      </w:r>
    </w:p>
    <w:p w14:paraId="37CCB5D0">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有衣服保护时（20%皮肤裸露）的一度烧伤概率： </w:t>
      </w:r>
    </w:p>
    <w:p w14:paraId="3ED03448">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Pr = -39.83 + 3.0188ln(tq4/3) </w:t>
      </w:r>
    </w:p>
    <w:p w14:paraId="2585BFCD">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关于人暴露时间，对于火球，采用火球持续时间；对于池火和喷射火，可取30s或40s，此时间范围内，在较低热辐射能量下人可以逃生。</w:t>
      </w:r>
    </w:p>
    <w:p w14:paraId="1E851F9D">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根据人体接收的热辐射通量和暴露时间，按上面的公式计算伤害概率，确定暴露时间，根据上面的式子计算热辐射通量，根据热辐射通量和距离的关系算出距火源的距离，此距离即为相应的伤害距离。 </w:t>
      </w:r>
    </w:p>
    <w:p w14:paraId="3350A485">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分析过程中通常都按50%伤害率计算，例如按50%死亡率划定出死亡范围，该范围表明范围内、外死亡人数各占一半，也可以认为死亡范围内人员全部死亡，范围外无一人死亡，这样可以使问题简化。 </w:t>
      </w:r>
    </w:p>
    <w:p w14:paraId="550BBDC0">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对于财产损失，可以按引燃木材所需热通量计算。 </w:t>
      </w:r>
    </w:p>
    <w:p w14:paraId="1599D9ED">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Q=6730t-4/5 + 25400 </w:t>
      </w:r>
    </w:p>
    <w:p w14:paraId="1E286D33">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暴露时间一般取燃烧持续时间。</w:t>
      </w:r>
    </w:p>
    <w:p w14:paraId="18701C3D">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通过计算，公司</w:t>
      </w:r>
      <w:r>
        <w:rPr>
          <w:rFonts w:hint="default" w:ascii="Times New Roman" w:hAnsi="Times New Roman" w:cs="Times New Roman"/>
          <w:sz w:val="24"/>
          <w:lang w:eastAsia="zh-CN"/>
        </w:rPr>
        <w:t>苯酚</w:t>
      </w:r>
      <w:r>
        <w:rPr>
          <w:rFonts w:hint="default" w:ascii="Times New Roman" w:hAnsi="Times New Roman" w:cs="Times New Roman"/>
          <w:sz w:val="24"/>
        </w:rPr>
        <w:t>发生火灾情况下，一度烧伤半径为1.4m，财产损失半径4m。项目一旦发生火灾对厂区内设施产生一定的影响。但是对周围环境保护目标影响较小。</w:t>
      </w:r>
    </w:p>
    <w:p w14:paraId="35206DD8">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B、</w:t>
      </w:r>
      <w:r>
        <w:rPr>
          <w:rFonts w:hint="eastAsia" w:ascii="Times New Roman" w:hAnsi="Times New Roman" w:cs="Times New Roman"/>
          <w:sz w:val="24"/>
          <w:lang w:eastAsia="zh-CN"/>
        </w:rPr>
        <w:t>氨气</w:t>
      </w:r>
      <w:r>
        <w:rPr>
          <w:rFonts w:hint="default" w:ascii="Times New Roman" w:hAnsi="Times New Roman" w:cs="Times New Roman"/>
          <w:sz w:val="24"/>
        </w:rPr>
        <w:t>爆炸</w:t>
      </w:r>
    </w:p>
    <w:p w14:paraId="0CBDC5D1">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存储的可燃液体瞬态泄漏，并在环境温度高于其沸点时急剧气化，如果遇到火源就会发生剧烈的燃烧，产生巨大的火球，形成强烈的热辐射，造成人员的伤亡和财产损失，此种现象称为沸腾液体扩展为蒸气爆炸，简称BLEVE（Boiling Liquid Expanding Vapor Explosions）。沸腾液体扩展为蒸气爆炸是石油、化工和交通运输行业常见的重要事故类型。 </w:t>
      </w:r>
    </w:p>
    <w:p w14:paraId="56806DF4">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BLEVE可以产生三种危害后果：冲击波超压、火球热辐射和抛射碎片，有时也可能伴随延迟发生的蒸气云爆炸或闪火等事故灾害。BLEVE过程虽然有破片和冲击波产生，但近场以外的冲击波压力效应不重要，爆炸也通常只产生几块较大的抛射碎片，故爆炸火球的热辐射是最主要的伤害因素。 </w:t>
      </w:r>
    </w:p>
    <w:p w14:paraId="7BA37EFD">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（1）火球半径的计算 </w:t>
      </w:r>
    </w:p>
    <w:p w14:paraId="760B5408">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实验证明，火球的半径与可燃物质量的立方根成正比，火球半径的计算公式为：</w:t>
      </w:r>
    </w:p>
    <w:p w14:paraId="55A3DEB7">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115" o:spt="75" type="#_x0000_t75" style="height:17.4pt;width:95.95pt;" o:ole="t" filled="f" o:preferrelative="t" stroked="f" coordsize="21600,21600">
            <v:path/>
            <v:fill on="f" alignshape="1" focussize="0,0"/>
            <v:stroke on="f"/>
            <v:imagedata r:id="rId82" o:title=""/>
            <o:lock v:ext="edit" aspectratio="t"/>
            <w10:wrap type="none"/>
            <w10:anchorlock/>
          </v:shape>
          <o:OLEObject Type="Embed" ProgID="Equation.3" ShapeID="_x0000_i1115" DrawAspect="Content" ObjectID="_1468075819" r:id="rId154">
            <o:LockedField>false</o:LockedField>
          </o:OLEObject>
        </w:object>
      </w:r>
    </w:p>
    <w:p w14:paraId="3B384622">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其中，D——火球直径，m； </w:t>
      </w:r>
    </w:p>
    <w:p w14:paraId="1BF3373C">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W——火球中消耗的可燃物质量，kg。对单罐储存，W取罐容量的50%；对双罐储存，W取罐容的70%；对多罐储存，W取罐容的90%。 </w:t>
      </w:r>
    </w:p>
    <w:p w14:paraId="26EBB06E">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（2）火球持续时间的计算 </w:t>
      </w:r>
    </w:p>
    <w:p w14:paraId="7B53AEF2">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实验证明，火球的持续时间也与可燃物质量W的立方根成正比，可按下式计算： </w:t>
      </w:r>
    </w:p>
    <w:p w14:paraId="0C5778C0">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116" o:spt="75" type="#_x0000_t75" style="height:16pt;width:42pt;" o:ole="t" filled="f" o:preferrelative="t" stroked="f" coordsize="21600,21600">
            <v:path/>
            <v:fill on="f" alignshape="1" focussize="0,0"/>
            <v:stroke on="f"/>
            <v:imagedata r:id="rId84" o:title=""/>
            <o:lock v:ext="edit" aspectratio="t"/>
            <w10:wrap type="none"/>
            <w10:anchorlock/>
          </v:shape>
          <o:OLEObject Type="Embed" ProgID="Equation.3" ShapeID="_x0000_i1116" DrawAspect="Content" ObjectID="_1468075820" r:id="rId155">
            <o:LockedField>false</o:LockedField>
          </o:OLEObject>
        </w:object>
      </w:r>
    </w:p>
    <w:p w14:paraId="21959409">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其中，t——火球持续时间，s； </w:t>
      </w:r>
    </w:p>
    <w:p w14:paraId="767D3209">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W——火球内燃料质量，kg。对单罐储存，W取罐容量的50%；对双罐储存，W取罐容的70%；对多罐储存，W取罐容的90%。 </w:t>
      </w:r>
    </w:p>
    <w:p w14:paraId="58ABA546">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式中系数a、b、c、d在不同的模型中取值不同，典型的计算模型见下表：</w:t>
      </w:r>
    </w:p>
    <w:p w14:paraId="5066C065">
      <w:pPr>
        <w:widowControl/>
        <w:adjustRightInd w:val="0"/>
        <w:snapToGrid w:val="0"/>
        <w:ind w:firstLine="420"/>
        <w:jc w:val="center"/>
        <w:rPr>
          <w:rFonts w:hint="default" w:ascii="Times New Roman" w:hAnsi="Times New Roman" w:cs="Times New Roman"/>
          <w:bCs/>
          <w:kern w:val="0"/>
          <w:sz w:val="28"/>
          <w:szCs w:val="28"/>
        </w:rPr>
      </w:pPr>
      <w:r>
        <w:rPr>
          <w:rFonts w:hint="default" w:ascii="Times New Roman" w:hAnsi="Times New Roman" w:cs="Times New Roman"/>
          <w:b/>
          <w:bCs/>
          <w:sz w:val="24"/>
          <w:lang w:val="en-US" w:eastAsia="zh-CN"/>
        </w:rPr>
        <w:t>表4.2-1</w:t>
      </w:r>
      <w:r>
        <w:rPr>
          <w:rFonts w:hint="default" w:ascii="Times New Roman" w:hAnsi="Times New Roman" w:cs="Times New Roman"/>
          <w:b/>
          <w:bCs/>
          <w:sz w:val="24"/>
        </w:rPr>
        <w:t>不同模型中系数值</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96"/>
        <w:gridCol w:w="1196"/>
        <w:gridCol w:w="1336"/>
        <w:gridCol w:w="1336"/>
        <w:gridCol w:w="1336"/>
      </w:tblGrid>
      <w:tr w14:paraId="3418B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996" w:type="dxa"/>
            <w:vMerge w:val="restart"/>
            <w:noWrap w:val="0"/>
            <w:vAlign w:val="center"/>
          </w:tcPr>
          <w:p w14:paraId="5A4B8DCC">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模　　型 </w:t>
            </w:r>
          </w:p>
        </w:tc>
        <w:tc>
          <w:tcPr>
            <w:tcW w:w="2532" w:type="dxa"/>
            <w:gridSpan w:val="2"/>
            <w:noWrap w:val="0"/>
            <w:vAlign w:val="center"/>
          </w:tcPr>
          <w:p w14:paraId="6CF0ABF4">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D＝aW</w:t>
            </w:r>
            <w:r>
              <w:rPr>
                <w:rFonts w:hint="default" w:ascii="Times New Roman" w:hAnsi="Times New Roman" w:cs="Times New Roman"/>
                <w:kern w:val="0"/>
                <w:szCs w:val="21"/>
                <w:vertAlign w:val="superscript"/>
              </w:rPr>
              <w:t xml:space="preserve">b </w:t>
            </w:r>
          </w:p>
        </w:tc>
        <w:tc>
          <w:tcPr>
            <w:tcW w:w="2672" w:type="dxa"/>
            <w:gridSpan w:val="2"/>
            <w:noWrap w:val="0"/>
            <w:vAlign w:val="center"/>
          </w:tcPr>
          <w:p w14:paraId="28858C2C">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T=cW</w:t>
            </w:r>
            <w:r>
              <w:rPr>
                <w:rFonts w:hint="default" w:ascii="Times New Roman" w:hAnsi="Times New Roman" w:cs="Times New Roman"/>
                <w:kern w:val="0"/>
                <w:szCs w:val="21"/>
                <w:vertAlign w:val="superscript"/>
              </w:rPr>
              <w:t xml:space="preserve">d </w:t>
            </w:r>
          </w:p>
        </w:tc>
      </w:tr>
      <w:tr w14:paraId="7C49E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996" w:type="dxa"/>
            <w:vMerge w:val="continue"/>
            <w:noWrap w:val="0"/>
            <w:vAlign w:val="center"/>
          </w:tcPr>
          <w:p w14:paraId="42BD7D41">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cs="Times New Roman"/>
                <w:kern w:val="0"/>
                <w:szCs w:val="21"/>
              </w:rPr>
            </w:pPr>
          </w:p>
        </w:tc>
        <w:tc>
          <w:tcPr>
            <w:tcW w:w="1196" w:type="dxa"/>
            <w:noWrap w:val="0"/>
            <w:vAlign w:val="center"/>
          </w:tcPr>
          <w:p w14:paraId="5DA733A6">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a </w:t>
            </w:r>
          </w:p>
        </w:tc>
        <w:tc>
          <w:tcPr>
            <w:tcW w:w="1336" w:type="dxa"/>
            <w:noWrap w:val="0"/>
            <w:vAlign w:val="center"/>
          </w:tcPr>
          <w:p w14:paraId="3E2D93FE">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b </w:t>
            </w:r>
          </w:p>
        </w:tc>
        <w:tc>
          <w:tcPr>
            <w:tcW w:w="1336" w:type="dxa"/>
            <w:noWrap w:val="0"/>
            <w:vAlign w:val="center"/>
          </w:tcPr>
          <w:p w14:paraId="2BC35F70">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c </w:t>
            </w:r>
          </w:p>
        </w:tc>
        <w:tc>
          <w:tcPr>
            <w:tcW w:w="1336" w:type="dxa"/>
            <w:noWrap w:val="0"/>
            <w:vAlign w:val="center"/>
          </w:tcPr>
          <w:p w14:paraId="2A40373E">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d </w:t>
            </w:r>
          </w:p>
        </w:tc>
      </w:tr>
      <w:tr w14:paraId="69484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6" w:type="dxa"/>
            <w:noWrap w:val="0"/>
            <w:vAlign w:val="top"/>
          </w:tcPr>
          <w:p w14:paraId="16F02176">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Lihou&amp;Maund </w:t>
            </w:r>
          </w:p>
          <w:p w14:paraId="2E116A4A">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CCPS </w:t>
            </w:r>
          </w:p>
          <w:p w14:paraId="3AC14431">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Williamson,TNO </w:t>
            </w:r>
          </w:p>
          <w:p w14:paraId="64D356A8">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Roberts </w:t>
            </w:r>
          </w:p>
          <w:p w14:paraId="2E94D8F8">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Moorhouse,Pirtchard </w:t>
            </w:r>
          </w:p>
          <w:p w14:paraId="1C516D13">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Hasegawa&amp;Sato </w:t>
            </w:r>
          </w:p>
          <w:p w14:paraId="77B99FCF">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Fay&amp;Lewis </w:t>
            </w:r>
          </w:p>
          <w:p w14:paraId="6AFEFA49">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ILO </w:t>
            </w:r>
          </w:p>
          <w:p w14:paraId="4079D499">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H.R.Greengerg&amp;J.J.Cramer </w:t>
            </w:r>
          </w:p>
          <w:p w14:paraId="202DC4F0">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修正模型 </w:t>
            </w:r>
          </w:p>
        </w:tc>
        <w:tc>
          <w:tcPr>
            <w:tcW w:w="1196" w:type="dxa"/>
            <w:noWrap w:val="0"/>
            <w:vAlign w:val="top"/>
          </w:tcPr>
          <w:p w14:paraId="7BB4B1A7">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3.51 </w:t>
            </w:r>
          </w:p>
          <w:p w14:paraId="4D793995">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6.48 </w:t>
            </w:r>
          </w:p>
          <w:p w14:paraId="5695BB9A">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5.88 </w:t>
            </w:r>
          </w:p>
          <w:p w14:paraId="3551420F">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5.80 </w:t>
            </w:r>
          </w:p>
          <w:p w14:paraId="0AA7F5A2">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5.33 </w:t>
            </w:r>
          </w:p>
          <w:p w14:paraId="3206D97A">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5.28 </w:t>
            </w:r>
          </w:p>
          <w:p w14:paraId="72F0489B">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6.28 </w:t>
            </w:r>
          </w:p>
          <w:p w14:paraId="36BADD88">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5.80 </w:t>
            </w:r>
          </w:p>
          <w:p w14:paraId="389429CE">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5.33 </w:t>
            </w:r>
          </w:p>
          <w:p w14:paraId="4C7B3112">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5.6 </w:t>
            </w:r>
          </w:p>
        </w:tc>
        <w:tc>
          <w:tcPr>
            <w:tcW w:w="1336" w:type="dxa"/>
            <w:noWrap w:val="0"/>
            <w:vAlign w:val="top"/>
          </w:tcPr>
          <w:p w14:paraId="68043EC4">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0.333 </w:t>
            </w:r>
          </w:p>
          <w:p w14:paraId="485DA893">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0.325 </w:t>
            </w:r>
          </w:p>
          <w:p w14:paraId="7C952740">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0.33 </w:t>
            </w:r>
          </w:p>
          <w:p w14:paraId="477E07B8">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1/3 </w:t>
            </w:r>
          </w:p>
          <w:p w14:paraId="00321896">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0.327 </w:t>
            </w:r>
          </w:p>
          <w:p w14:paraId="601E3260">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0.277 </w:t>
            </w:r>
          </w:p>
          <w:p w14:paraId="3EACA161">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0.330 </w:t>
            </w:r>
          </w:p>
          <w:p w14:paraId="5177000B">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1/3 </w:t>
            </w:r>
          </w:p>
          <w:p w14:paraId="1CD06D44">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0.327 </w:t>
            </w:r>
          </w:p>
          <w:p w14:paraId="2DEAAEBD">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0.323 </w:t>
            </w:r>
          </w:p>
        </w:tc>
        <w:tc>
          <w:tcPr>
            <w:tcW w:w="1336" w:type="dxa"/>
            <w:noWrap w:val="0"/>
            <w:vAlign w:val="top"/>
          </w:tcPr>
          <w:p w14:paraId="40690ABD">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0.32 </w:t>
            </w:r>
          </w:p>
          <w:p w14:paraId="78BEB8D9">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0.825 </w:t>
            </w:r>
          </w:p>
          <w:p w14:paraId="06C27C8C">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1.09 </w:t>
            </w:r>
          </w:p>
          <w:p w14:paraId="55EB5BDA">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0.450 </w:t>
            </w:r>
          </w:p>
          <w:p w14:paraId="26F0BC9D">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1.09 </w:t>
            </w:r>
          </w:p>
          <w:p w14:paraId="43D166A5">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1.100 </w:t>
            </w:r>
          </w:p>
          <w:p w14:paraId="75C48910">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2.530 </w:t>
            </w:r>
          </w:p>
          <w:p w14:paraId="277A0B7A">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0.450 </w:t>
            </w:r>
          </w:p>
          <w:p w14:paraId="22CEB776">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1.089 </w:t>
            </w:r>
          </w:p>
          <w:p w14:paraId="52E750B7">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1.26 </w:t>
            </w:r>
          </w:p>
        </w:tc>
        <w:tc>
          <w:tcPr>
            <w:tcW w:w="1336" w:type="dxa"/>
            <w:noWrap w:val="0"/>
            <w:vAlign w:val="top"/>
          </w:tcPr>
          <w:p w14:paraId="14F38272">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0.330 </w:t>
            </w:r>
          </w:p>
          <w:p w14:paraId="7BF26D98">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0.260 </w:t>
            </w:r>
          </w:p>
          <w:p w14:paraId="0F03E21E">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0.617 </w:t>
            </w:r>
          </w:p>
          <w:p w14:paraId="042BAD4F">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1/3 </w:t>
            </w:r>
          </w:p>
          <w:p w14:paraId="09190FEC">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0.327 </w:t>
            </w:r>
          </w:p>
          <w:p w14:paraId="14E6EAD1">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0.097 </w:t>
            </w:r>
          </w:p>
          <w:p w14:paraId="297E4868">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0.170 </w:t>
            </w:r>
          </w:p>
          <w:p w14:paraId="3D913E73">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1/3 </w:t>
            </w:r>
          </w:p>
          <w:p w14:paraId="1082FBE5">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0.327 </w:t>
            </w:r>
          </w:p>
          <w:p w14:paraId="5AEBD551">
            <w:pPr>
              <w:keepNext w:val="0"/>
              <w:keepLines w:val="0"/>
              <w:widowControl/>
              <w:suppressLineNumbers w:val="0"/>
              <w:adjustRightInd w:val="0"/>
              <w:snapToGrid w:val="0"/>
              <w:spacing w:before="0" w:beforeAutospacing="0" w:after="0" w:afterAutospacing="0"/>
              <w:ind w:left="0" w:right="0" w:firstLine="420"/>
              <w:jc w:val="left"/>
              <w:rPr>
                <w:rFonts w:hint="default" w:ascii="Times New Roman" w:hAnsi="Times New Roman" w:cs="Times New Roman"/>
                <w:kern w:val="0"/>
                <w:szCs w:val="21"/>
              </w:rPr>
            </w:pPr>
            <w:r>
              <w:rPr>
                <w:rFonts w:hint="default" w:ascii="Times New Roman" w:hAnsi="Times New Roman" w:cs="Times New Roman"/>
                <w:kern w:val="0"/>
                <w:szCs w:val="21"/>
              </w:rPr>
              <w:t xml:space="preserve">0.224 </w:t>
            </w:r>
          </w:p>
        </w:tc>
      </w:tr>
    </w:tbl>
    <w:p w14:paraId="26F30ADB">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（3）热辐射通量 </w:t>
      </w:r>
    </w:p>
    <w:p w14:paraId="31EBE72C">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火球表面热辐射通量按下式计算： </w:t>
      </w:r>
    </w:p>
    <w:p w14:paraId="29CFA8C2">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117" o:spt="75" type="#_x0000_t75" style="height:36.55pt;width:84.05pt;" o:ole="t" filled="f" o:preferrelative="t" stroked="f" coordsize="21600,21600">
            <v:path/>
            <v:fill on="f" alignshape="1" focussize="0,0"/>
            <v:stroke on="f"/>
            <v:imagedata r:id="rId86" o:title=""/>
            <o:lock v:ext="edit" aspectratio="t"/>
            <w10:wrap type="none"/>
            <w10:anchorlock/>
          </v:shape>
          <o:OLEObject Type="Embed" ProgID="Equation.3" ShapeID="_x0000_i1117" DrawAspect="Content" ObjectID="_1468075821" r:id="rId156">
            <o:LockedField>false</o:LockedField>
          </o:OLEObject>
        </w:object>
      </w:r>
    </w:p>
    <w:p w14:paraId="010F7FB9">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上式实际上假定火球在持续时间内辐射热量是恒定不变的。 </w:t>
      </w:r>
    </w:p>
    <w:p w14:paraId="45CB52E1">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Hc——液体燃烧热； </w:t>
      </w:r>
    </w:p>
    <w:p w14:paraId="518093B0">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设f是燃烧辐射分数，是容器压力的函数： </w:t>
      </w:r>
    </w:p>
    <w:p w14:paraId="0FCFA6D5">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118" o:spt="75" type="#_x0000_t75" style="height:21pt;width:68.75pt;" o:ole="t" filled="f" o:preferrelative="t" stroked="f" coordsize="21600,21600">
            <v:path/>
            <v:fill on="f" alignshape="1" focussize="0,0"/>
            <v:stroke on="f"/>
            <v:imagedata r:id="rId88" o:title=""/>
            <o:lock v:ext="edit" aspectratio="t"/>
            <w10:wrap type="none"/>
            <w10:anchorlock/>
          </v:shape>
          <o:OLEObject Type="Embed" ProgID="Equation.3" ShapeID="_x0000_i1118" DrawAspect="Content" ObjectID="_1468075822" r:id="rId157">
            <o:LockedField>false</o:LockedField>
          </o:OLEObject>
        </w:object>
      </w:r>
    </w:p>
    <w:p w14:paraId="330B6025">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常数f1=0.27，f2=0.32；p为容器内压力，单位是MPa。在没有可靠数据时，f可取0.3。 </w:t>
      </w:r>
    </w:p>
    <w:p w14:paraId="107505E8">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距火球在地面投影处x的热辐射通量为： </w:t>
      </w:r>
    </w:p>
    <w:p w14:paraId="798E59C8">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119" o:spt="75" type="#_x0000_t75" style="height:16.65pt;width:159.25pt;" o:ole="t" filled="f" o:preferrelative="t" stroked="f" coordsize="21600,21600">
            <v:path/>
            <v:fill on="f" alignshape="1" focussize="0,0"/>
            <v:stroke on="f"/>
            <v:imagedata r:id="rId90" o:title=""/>
            <o:lock v:ext="edit" aspectratio="t"/>
            <w10:wrap type="none"/>
            <w10:anchorlock/>
          </v:shape>
          <o:OLEObject Type="Embed" ProgID="Equation.3" ShapeID="_x0000_i1119" DrawAspect="Content" ObjectID="_1468075823" r:id="rId158">
            <o:LockedField>false</o:LockedField>
          </o:OLEObject>
        </w:object>
      </w:r>
    </w:p>
    <w:p w14:paraId="19B98DE4">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式中：q——目标接收到的热通量，w/m2； </w:t>
      </w:r>
    </w:p>
    <w:p w14:paraId="0F2CBF62">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E——池火表面的热通量，w/m2； </w:t>
      </w:r>
    </w:p>
    <w:p w14:paraId="7E0476D1">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x——目标到池火中心的水平距离，m； </w:t>
      </w:r>
    </w:p>
    <w:p w14:paraId="573CCF46">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V——视角系数。 </w:t>
      </w:r>
    </w:p>
    <w:p w14:paraId="16668A3B">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（4）目标接收到热辐射通量计算 </w:t>
      </w:r>
    </w:p>
    <w:p w14:paraId="756D069B">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除了采用上述的方法计算目标接收到热辐射能量外，还常采用以下公式计算。当r&gt;R时，目标接收到的热辐射通量按下式计算： </w:t>
      </w:r>
    </w:p>
    <w:p w14:paraId="555E1532">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object>
          <v:shape id="_x0000_i1120" o:spt="75" type="#_x0000_t75" style="height:25.95pt;width:263.95pt;" o:ole="t" filled="f" o:preferrelative="t" stroked="f" coordsize="21600,21600">
            <v:path/>
            <v:fill on="f" alignshape="1" focussize="0,0"/>
            <v:stroke on="f"/>
            <v:imagedata r:id="rId92" o:title=""/>
            <o:lock v:ext="edit" aspectratio="t"/>
            <w10:wrap type="none"/>
            <w10:anchorlock/>
          </v:shape>
          <o:OLEObject Type="Embed" ProgID="Equation.3" ShapeID="_x0000_i1120" DrawAspect="Content" ObjectID="_1468075824" r:id="rId159">
            <o:LockedField>false</o:LockedField>
          </o:OLEObject>
        </w:object>
      </w:r>
    </w:p>
    <w:p w14:paraId="30F25B6B">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式中：q0——火球表面的辐射通量，W/m2。对柱形罐取270000W/m2，对于球形罐取200000W/m2。 </w:t>
      </w:r>
    </w:p>
    <w:p w14:paraId="2532C545">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r——目标到火球中心的水平距离，m； </w:t>
      </w:r>
    </w:p>
    <w:p w14:paraId="77F32A79">
      <w:pPr>
        <w:spacing w:line="360" w:lineRule="auto"/>
        <w:ind w:firstLine="486" w:firstLineChars="200"/>
        <w:rPr>
          <w:rFonts w:hint="default" w:ascii="Times New Roman" w:hAnsi="Times New Roman" w:cs="Times New Roman"/>
          <w:sz w:val="24"/>
        </w:rPr>
      </w:pPr>
      <w:r>
        <w:rPr>
          <w:rFonts w:hint="default" w:ascii="Times New Roman" w:hAnsi="Times New Roman" w:cs="Times New Roman"/>
          <w:sz w:val="24"/>
        </w:rPr>
        <w:t xml:space="preserve">R——火球半径，m； </w:t>
      </w:r>
    </w:p>
    <w:p w14:paraId="4B283BAC">
      <w:pPr>
        <w:spacing w:line="360" w:lineRule="auto"/>
        <w:ind w:firstLine="486" w:firstLineChars="200"/>
        <w:rPr>
          <w:rFonts w:hint="default" w:ascii="Times New Roman" w:hAnsi="Times New Roman" w:cs="Times New Roman"/>
          <w:color w:val="auto"/>
          <w:sz w:val="24"/>
        </w:rPr>
      </w:pPr>
      <w:r>
        <w:rPr>
          <w:rFonts w:hint="default" w:ascii="Times New Roman" w:hAnsi="Times New Roman" w:cs="Times New Roman"/>
          <w:sz w:val="24"/>
        </w:rPr>
        <w:t>通过计算，公司</w:t>
      </w:r>
      <w:r>
        <w:rPr>
          <w:rFonts w:hint="eastAsia" w:ascii="Times New Roman" w:hAnsi="Times New Roman" w:cs="Times New Roman"/>
          <w:sz w:val="24"/>
          <w:lang w:eastAsia="zh-CN"/>
        </w:rPr>
        <w:t>氨气</w:t>
      </w:r>
      <w:r>
        <w:rPr>
          <w:rFonts w:hint="default" w:ascii="Times New Roman" w:hAnsi="Times New Roman" w:cs="Times New Roman"/>
          <w:sz w:val="24"/>
        </w:rPr>
        <w:t>发生爆炸情况下，死亡半径19.9 m，重伤半径：55.6 m，轻伤半径：99.8 m，财产损失半径：56.4 m。项目一旦发生火灾和爆炸对厂区及附近设施产生一定的破坏影响，但是对保护目标影响较小。</w:t>
      </w:r>
    </w:p>
    <w:p w14:paraId="000CBD85">
      <w:pPr>
        <w:spacing w:line="360" w:lineRule="auto"/>
        <w:ind w:firstLine="486" w:firstLineChars="200"/>
        <w:rPr>
          <w:rFonts w:hint="default" w:ascii="Times New Roman" w:hAnsi="Times New Roman" w:cs="Times New Roman"/>
          <w:b w:val="0"/>
          <w:bCs/>
          <w:color w:val="auto"/>
          <w:sz w:val="24"/>
          <w:szCs w:val="21"/>
        </w:rPr>
      </w:pPr>
      <w:r>
        <w:rPr>
          <w:rFonts w:hint="default" w:ascii="Times New Roman" w:hAnsi="Times New Roman" w:cs="Times New Roman"/>
          <w:b w:val="0"/>
          <w:bCs/>
          <w:color w:val="auto"/>
          <w:sz w:val="24"/>
          <w:szCs w:val="21"/>
          <w:lang w:val="en-US" w:eastAsia="zh-CN"/>
        </w:rPr>
        <w:t>二、</w:t>
      </w:r>
      <w:r>
        <w:rPr>
          <w:rFonts w:hint="default" w:ascii="Times New Roman" w:hAnsi="Times New Roman" w:cs="Times New Roman"/>
          <w:b w:val="0"/>
          <w:bCs/>
          <w:color w:val="auto"/>
          <w:sz w:val="24"/>
          <w:szCs w:val="21"/>
        </w:rPr>
        <w:t>风险值评价</w:t>
      </w:r>
    </w:p>
    <w:p w14:paraId="04686E5E">
      <w:pPr>
        <w:spacing w:line="360" w:lineRule="auto"/>
        <w:ind w:firstLine="486" w:firstLineChars="200"/>
        <w:rPr>
          <w:rFonts w:hint="default" w:ascii="Times New Roman" w:hAnsi="Times New Roman" w:cs="Times New Roman"/>
          <w:color w:val="auto"/>
          <w:sz w:val="24"/>
          <w:szCs w:val="21"/>
        </w:rPr>
      </w:pPr>
      <w:r>
        <w:rPr>
          <w:rFonts w:hint="default" w:ascii="Times New Roman" w:hAnsi="Times New Roman" w:cs="Times New Roman"/>
          <w:color w:val="auto"/>
          <w:sz w:val="24"/>
          <w:szCs w:val="21"/>
        </w:rPr>
        <w:t>功能单元的风险值（R）为最大可信灾害事故对环境造成的危害，是风险评价的表征量，包括事故的发生概率和事故的危害程度。按下式计算：</w:t>
      </w:r>
    </w:p>
    <w:p w14:paraId="476C551F">
      <w:pPr>
        <w:spacing w:line="360" w:lineRule="auto"/>
        <w:jc w:val="center"/>
        <w:rPr>
          <w:rFonts w:hint="default" w:ascii="Times New Roman" w:hAnsi="Times New Roman" w:cs="Times New Roman"/>
          <w:color w:val="auto"/>
          <w:spacing w:val="10"/>
          <w:sz w:val="24"/>
          <w:szCs w:val="21"/>
        </w:rPr>
      </w:pPr>
      <w:r>
        <w:rPr>
          <w:rFonts w:hint="default" w:ascii="Times New Roman" w:hAnsi="Times New Roman" w:cs="Times New Roman"/>
          <w:color w:val="auto"/>
          <w:spacing w:val="10"/>
          <w:sz w:val="24"/>
          <w:szCs w:val="21"/>
        </w:rPr>
        <w:object>
          <v:shape id="_x0000_i1121" o:spt="75" type="#_x0000_t75" style="height:18.75pt;width:77.8pt;" o:ole="t" fillcolor="#6D6D6D" filled="f" o:preferrelative="t" stroked="f" coordsize="21600,21600">
            <v:path/>
            <v:fill on="f" focussize="0,0"/>
            <v:stroke on="f"/>
            <v:imagedata r:id="rId94" o:title=""/>
            <o:lock v:ext="edit" aspectratio="t"/>
            <w10:wrap type="none"/>
            <w10:anchorlock/>
          </v:shape>
          <o:OLEObject Type="Embed" ProgID="Visio.Drawing.11" ShapeID="_x0000_i1121" DrawAspect="Content" ObjectID="_1468075825" r:id="rId160">
            <o:LockedField>false</o:LockedField>
          </o:OLEObject>
        </w:object>
      </w:r>
    </w:p>
    <w:p w14:paraId="1CB5BA5A">
      <w:pPr>
        <w:spacing w:line="360" w:lineRule="auto"/>
        <w:ind w:firstLine="486" w:firstLineChars="200"/>
        <w:rPr>
          <w:rFonts w:hint="default" w:ascii="Times New Roman" w:hAnsi="Times New Roman" w:cs="Times New Roman"/>
          <w:color w:val="auto"/>
          <w:sz w:val="24"/>
          <w:szCs w:val="21"/>
        </w:rPr>
      </w:pPr>
      <w:r>
        <w:rPr>
          <w:rFonts w:hint="default" w:ascii="Times New Roman" w:hAnsi="Times New Roman" w:cs="Times New Roman"/>
          <w:color w:val="auto"/>
          <w:sz w:val="24"/>
          <w:szCs w:val="21"/>
        </w:rPr>
        <w:t>式中：</w:t>
      </w:r>
    </w:p>
    <w:p w14:paraId="4736CC7C">
      <w:pPr>
        <w:spacing w:line="360" w:lineRule="auto"/>
        <w:ind w:firstLine="486" w:firstLineChars="200"/>
        <w:rPr>
          <w:rFonts w:hint="default" w:ascii="Times New Roman" w:hAnsi="Times New Roman" w:cs="Times New Roman"/>
          <w:color w:val="auto"/>
          <w:sz w:val="24"/>
          <w:szCs w:val="21"/>
        </w:rPr>
      </w:pPr>
      <w:r>
        <w:rPr>
          <w:rFonts w:hint="default" w:ascii="Times New Roman" w:hAnsi="Times New Roman" w:cs="Times New Roman"/>
          <w:color w:val="auto"/>
          <w:sz w:val="24"/>
          <w:szCs w:val="21"/>
        </w:rPr>
        <w:t>R－风险值；</w:t>
      </w:r>
    </w:p>
    <w:p w14:paraId="1D5C61B5">
      <w:pPr>
        <w:spacing w:line="360" w:lineRule="auto"/>
        <w:ind w:firstLine="486" w:firstLineChars="200"/>
        <w:rPr>
          <w:rFonts w:hint="default" w:ascii="Times New Roman" w:hAnsi="Times New Roman" w:cs="Times New Roman"/>
          <w:color w:val="auto"/>
          <w:sz w:val="24"/>
          <w:szCs w:val="21"/>
        </w:rPr>
      </w:pPr>
      <w:r>
        <w:rPr>
          <w:rFonts w:hint="default" w:ascii="Times New Roman" w:hAnsi="Times New Roman" w:cs="Times New Roman"/>
          <w:color w:val="auto"/>
          <w:sz w:val="24"/>
          <w:szCs w:val="21"/>
        </w:rPr>
        <w:t>P－最大可信事故概率（时间数/单位时间）；</w:t>
      </w:r>
    </w:p>
    <w:p w14:paraId="5CF3D9AB">
      <w:pPr>
        <w:spacing w:line="360" w:lineRule="auto"/>
        <w:ind w:firstLine="486" w:firstLineChars="200"/>
        <w:rPr>
          <w:rFonts w:hint="default" w:ascii="Times New Roman" w:hAnsi="Times New Roman" w:cs="Times New Roman"/>
          <w:color w:val="auto"/>
          <w:sz w:val="24"/>
          <w:szCs w:val="21"/>
        </w:rPr>
      </w:pPr>
      <w:r>
        <w:rPr>
          <w:rFonts w:hint="default" w:ascii="Times New Roman" w:hAnsi="Times New Roman" w:cs="Times New Roman"/>
          <w:color w:val="auto"/>
          <w:sz w:val="24"/>
          <w:szCs w:val="21"/>
        </w:rPr>
        <w:t>C－最大可信事故造成的危害（损害/单位时间）。</w:t>
      </w:r>
    </w:p>
    <w:p w14:paraId="439A4F42">
      <w:pPr>
        <w:spacing w:line="360" w:lineRule="auto"/>
        <w:ind w:firstLine="486" w:firstLineChars="200"/>
        <w:rPr>
          <w:rFonts w:hint="default" w:ascii="Times New Roman" w:hAnsi="Times New Roman" w:cs="Times New Roman"/>
          <w:color w:val="auto"/>
          <w:sz w:val="24"/>
          <w:szCs w:val="21"/>
        </w:rPr>
      </w:pPr>
      <w:r>
        <w:rPr>
          <w:rFonts w:hint="default" w:ascii="Times New Roman" w:hAnsi="Times New Roman" w:cs="Times New Roman"/>
          <w:color w:val="auto"/>
          <w:sz w:val="24"/>
          <w:szCs w:val="21"/>
        </w:rPr>
        <w:t>在实际应用中，若事故发生后下风向某处，化学污染物i的浓度最大值D</w:t>
      </w:r>
      <w:r>
        <w:rPr>
          <w:rFonts w:hint="default" w:ascii="Times New Roman" w:hAnsi="Times New Roman" w:cs="Times New Roman"/>
          <w:color w:val="auto"/>
          <w:sz w:val="24"/>
          <w:szCs w:val="21"/>
          <w:vertAlign w:val="subscript"/>
        </w:rPr>
        <w:t>imax</w:t>
      </w:r>
      <w:r>
        <w:rPr>
          <w:rFonts w:hint="default" w:ascii="Times New Roman" w:hAnsi="Times New Roman" w:cs="Times New Roman"/>
          <w:color w:val="auto"/>
          <w:sz w:val="24"/>
          <w:szCs w:val="21"/>
        </w:rPr>
        <w:t>大于或等于化学污染物i的半致死浓度LC</w:t>
      </w:r>
      <w:r>
        <w:rPr>
          <w:rFonts w:hint="default" w:ascii="Times New Roman" w:hAnsi="Times New Roman" w:cs="Times New Roman"/>
          <w:color w:val="auto"/>
          <w:sz w:val="24"/>
          <w:szCs w:val="21"/>
          <w:vertAlign w:val="subscript"/>
        </w:rPr>
        <w:t>i50</w:t>
      </w:r>
      <w:r>
        <w:rPr>
          <w:rFonts w:hint="default" w:ascii="Times New Roman" w:hAnsi="Times New Roman" w:cs="Times New Roman"/>
          <w:color w:val="auto"/>
          <w:sz w:val="24"/>
          <w:szCs w:val="21"/>
        </w:rPr>
        <w:t>，则事故导致评价区内因发生污染物致死确定性效应而致死的人数即为C</w:t>
      </w:r>
      <w:r>
        <w:rPr>
          <w:rFonts w:hint="default" w:ascii="Times New Roman" w:hAnsi="Times New Roman" w:cs="Times New Roman"/>
          <w:color w:val="auto"/>
          <w:sz w:val="24"/>
          <w:szCs w:val="21"/>
          <w:vertAlign w:val="subscript"/>
        </w:rPr>
        <w:t>i</w:t>
      </w:r>
      <w:r>
        <w:rPr>
          <w:rFonts w:hint="default" w:ascii="Times New Roman" w:hAnsi="Times New Roman" w:cs="Times New Roman"/>
          <w:color w:val="auto"/>
          <w:sz w:val="24"/>
          <w:szCs w:val="21"/>
        </w:rPr>
        <w:t>。</w:t>
      </w:r>
    </w:p>
    <w:p w14:paraId="35AD4527">
      <w:pPr>
        <w:spacing w:line="360" w:lineRule="auto"/>
        <w:ind w:firstLine="486" w:firstLineChars="200"/>
        <w:rPr>
          <w:rFonts w:hint="default" w:ascii="Times New Roman" w:hAnsi="Times New Roman" w:cs="Times New Roman"/>
          <w:color w:val="auto"/>
          <w:sz w:val="24"/>
          <w:szCs w:val="21"/>
        </w:rPr>
      </w:pPr>
      <w:r>
        <w:rPr>
          <w:rFonts w:hint="default" w:ascii="Times New Roman" w:hAnsi="Times New Roman" w:cs="Times New Roman"/>
          <w:color w:val="auto"/>
          <w:sz w:val="24"/>
          <w:szCs w:val="21"/>
        </w:rPr>
        <w:t>风险评价需从最大可信事故风险R中，选出危害最大的作为最大可信灾害事故，并以此作为风险可接受水平的分析基础，即：</w:t>
      </w:r>
    </w:p>
    <w:p w14:paraId="2FF3D28E">
      <w:pPr>
        <w:spacing w:line="360" w:lineRule="auto"/>
        <w:ind w:left="480"/>
        <w:rPr>
          <w:rFonts w:hint="default" w:ascii="Times New Roman" w:hAnsi="Times New Roman" w:cs="Times New Roman"/>
          <w:color w:val="auto"/>
          <w:sz w:val="24"/>
          <w:szCs w:val="21"/>
        </w:rPr>
      </w:pPr>
      <w:r>
        <w:rPr>
          <w:rFonts w:hint="default" w:ascii="Times New Roman" w:hAnsi="Times New Roman" w:cs="Times New Roman"/>
          <w:color w:val="auto"/>
          <w:sz w:val="24"/>
          <w:szCs w:val="21"/>
        </w:rPr>
        <w:t>R</w:t>
      </w:r>
      <w:r>
        <w:rPr>
          <w:rFonts w:hint="default" w:ascii="Times New Roman" w:hAnsi="Times New Roman" w:cs="Times New Roman"/>
          <w:color w:val="auto"/>
          <w:sz w:val="24"/>
          <w:szCs w:val="21"/>
          <w:vertAlign w:val="subscript"/>
        </w:rPr>
        <w:t>max</w:t>
      </w:r>
      <w:r>
        <w:rPr>
          <w:rFonts w:hint="default" w:ascii="Times New Roman" w:hAnsi="Times New Roman" w:cs="Times New Roman"/>
          <w:color w:val="auto"/>
          <w:sz w:val="24"/>
          <w:szCs w:val="21"/>
        </w:rPr>
        <w:t>=f（R</w:t>
      </w:r>
      <w:r>
        <w:rPr>
          <w:rFonts w:hint="default" w:ascii="Times New Roman" w:hAnsi="Times New Roman" w:cs="Times New Roman"/>
          <w:color w:val="auto"/>
          <w:sz w:val="24"/>
          <w:szCs w:val="21"/>
          <w:vertAlign w:val="subscript"/>
        </w:rPr>
        <w:t>j</w:t>
      </w:r>
      <w:r>
        <w:rPr>
          <w:rFonts w:hint="default" w:ascii="Times New Roman" w:hAnsi="Times New Roman" w:cs="Times New Roman"/>
          <w:color w:val="auto"/>
          <w:sz w:val="24"/>
          <w:szCs w:val="21"/>
        </w:rPr>
        <w:t>）</w:t>
      </w:r>
    </w:p>
    <w:p w14:paraId="2DB3D113">
      <w:pPr>
        <w:spacing w:line="360" w:lineRule="auto"/>
        <w:ind w:firstLine="486" w:firstLineChars="200"/>
        <w:rPr>
          <w:rFonts w:hint="default" w:ascii="Times New Roman" w:hAnsi="Times New Roman" w:cs="Times New Roman"/>
          <w:color w:val="auto"/>
          <w:sz w:val="24"/>
          <w:szCs w:val="21"/>
        </w:rPr>
      </w:pPr>
      <w:r>
        <w:rPr>
          <w:rFonts w:hint="default" w:ascii="Times New Roman" w:hAnsi="Times New Roman" w:cs="Times New Roman"/>
          <w:color w:val="auto"/>
          <w:sz w:val="24"/>
          <w:szCs w:val="21"/>
        </w:rPr>
        <w:t>当发生泄漏事故时，在风险值计算过程中，按照下式计算事故风险值（死亡/年）：</w:t>
      </w:r>
    </w:p>
    <w:p w14:paraId="44F3780B">
      <w:pPr>
        <w:spacing w:line="360" w:lineRule="auto"/>
        <w:ind w:firstLine="486" w:firstLineChars="200"/>
        <w:rPr>
          <w:rFonts w:hint="default" w:ascii="Times New Roman" w:hAnsi="Times New Roman" w:cs="Times New Roman"/>
          <w:color w:val="auto"/>
          <w:sz w:val="24"/>
          <w:szCs w:val="21"/>
        </w:rPr>
      </w:pPr>
      <w:r>
        <w:rPr>
          <w:rFonts w:hint="default" w:ascii="Times New Roman" w:hAnsi="Times New Roman" w:cs="Times New Roman"/>
          <w:color w:val="auto"/>
          <w:sz w:val="24"/>
          <w:szCs w:val="21"/>
        </w:rPr>
        <w:t>风险值（死亡/年）=半致死百分率区人口数×50%×事故发生概率×出现不利天气概率。</w:t>
      </w:r>
    </w:p>
    <w:p w14:paraId="0EC72189">
      <w:pPr>
        <w:spacing w:line="360" w:lineRule="auto"/>
        <w:ind w:firstLine="486" w:firstLineChars="200"/>
        <w:rPr>
          <w:rFonts w:hint="default" w:ascii="Times New Roman" w:hAnsi="Times New Roman" w:cs="Times New Roman"/>
          <w:color w:val="auto"/>
          <w:sz w:val="24"/>
          <w:szCs w:val="21"/>
        </w:rPr>
      </w:pPr>
      <w:r>
        <w:rPr>
          <w:rFonts w:hint="default" w:ascii="Times New Roman" w:hAnsi="Times New Roman" w:cs="Times New Roman"/>
          <w:color w:val="auto"/>
          <w:sz w:val="24"/>
          <w:szCs w:val="21"/>
        </w:rPr>
        <w:t>在上式中，人口数和出现不利天气的概率均发生变化，因此，考虑人口数乘以不利天气概率最大为最不利情况。</w:t>
      </w:r>
    </w:p>
    <w:p w14:paraId="2DADA215">
      <w:pPr>
        <w:spacing w:line="360" w:lineRule="auto"/>
        <w:ind w:firstLine="486" w:firstLineChars="200"/>
        <w:rPr>
          <w:rFonts w:hint="eastAsia"/>
          <w:lang w:eastAsia="zh-CN"/>
        </w:rPr>
      </w:pPr>
      <w:r>
        <w:rPr>
          <w:rFonts w:hint="default" w:ascii="Times New Roman" w:hAnsi="Times New Roman" w:cs="Times New Roman"/>
          <w:color w:val="auto"/>
          <w:sz w:val="24"/>
        </w:rPr>
        <w:t>经计算，一旦发生泄漏事故，最不利气象条件下，最大致死半径内的人口数为20人（厂内职工），风险值=20×50%×5.0×10</w:t>
      </w:r>
      <w:r>
        <w:rPr>
          <w:rFonts w:hint="default" w:ascii="Times New Roman" w:hAnsi="Times New Roman" w:cs="Times New Roman"/>
          <w:color w:val="auto"/>
          <w:sz w:val="24"/>
          <w:vertAlign w:val="superscript"/>
        </w:rPr>
        <w:t>-6</w:t>
      </w:r>
      <w:r>
        <w:rPr>
          <w:rFonts w:hint="default" w:ascii="Times New Roman" w:hAnsi="Times New Roman" w:cs="Times New Roman"/>
          <w:color w:val="auto"/>
          <w:sz w:val="24"/>
        </w:rPr>
        <w:t>×0.095=4.75×10</w:t>
      </w:r>
      <w:r>
        <w:rPr>
          <w:rFonts w:hint="default" w:ascii="Times New Roman" w:hAnsi="Times New Roman" w:cs="Times New Roman"/>
          <w:color w:val="auto"/>
          <w:sz w:val="24"/>
          <w:vertAlign w:val="superscript"/>
        </w:rPr>
        <w:t>-6</w:t>
      </w:r>
      <w:r>
        <w:rPr>
          <w:rFonts w:hint="default" w:ascii="Times New Roman" w:hAnsi="Times New Roman" w:cs="Times New Roman"/>
          <w:color w:val="auto"/>
          <w:sz w:val="24"/>
        </w:rPr>
        <w:t>死亡/年；发生池火事故，最大致死半径内的人口数为5人（厂内职工），风险值=5×50%×1.0×10</w:t>
      </w:r>
      <w:r>
        <w:rPr>
          <w:rFonts w:hint="default" w:ascii="Times New Roman" w:hAnsi="Times New Roman" w:cs="Times New Roman"/>
          <w:color w:val="auto"/>
          <w:sz w:val="24"/>
          <w:vertAlign w:val="superscript"/>
        </w:rPr>
        <w:t>-6</w:t>
      </w:r>
      <w:r>
        <w:rPr>
          <w:rFonts w:hint="default" w:ascii="Times New Roman" w:hAnsi="Times New Roman" w:cs="Times New Roman"/>
          <w:color w:val="auto"/>
          <w:sz w:val="24"/>
        </w:rPr>
        <w:t>=2.5×10</w:t>
      </w:r>
      <w:r>
        <w:rPr>
          <w:rFonts w:hint="default" w:ascii="Times New Roman" w:hAnsi="Times New Roman" w:cs="Times New Roman"/>
          <w:color w:val="auto"/>
          <w:sz w:val="24"/>
          <w:vertAlign w:val="superscript"/>
        </w:rPr>
        <w:t>-6</w:t>
      </w:r>
      <w:r>
        <w:rPr>
          <w:rFonts w:hint="default" w:ascii="Times New Roman" w:hAnsi="Times New Roman" w:cs="Times New Roman"/>
          <w:color w:val="auto"/>
          <w:sz w:val="24"/>
        </w:rPr>
        <w:t>死亡/年；发生爆炸事故，最大致死半径内的人口数为8人，风险值=1</w:t>
      </w:r>
      <w:r>
        <w:rPr>
          <w:rFonts w:hint="eastAsia" w:ascii="Times New Roman" w:hAnsi="Times New Roman" w:cs="Times New Roman"/>
          <w:color w:val="auto"/>
          <w:sz w:val="24"/>
          <w:lang w:val="en-US" w:eastAsia="zh-CN"/>
        </w:rPr>
        <w:t>2</w:t>
      </w:r>
      <w:r>
        <w:rPr>
          <w:rFonts w:hint="default" w:ascii="Times New Roman" w:hAnsi="Times New Roman" w:cs="Times New Roman"/>
          <w:color w:val="auto"/>
          <w:sz w:val="24"/>
        </w:rPr>
        <w:t>×50%×1.0×10</w:t>
      </w:r>
      <w:r>
        <w:rPr>
          <w:rFonts w:hint="default" w:ascii="Times New Roman" w:hAnsi="Times New Roman" w:cs="Times New Roman"/>
          <w:color w:val="auto"/>
          <w:sz w:val="24"/>
          <w:vertAlign w:val="superscript"/>
        </w:rPr>
        <w:t>-6</w:t>
      </w:r>
      <w:r>
        <w:rPr>
          <w:rFonts w:hint="default" w:ascii="Times New Roman" w:hAnsi="Times New Roman" w:cs="Times New Roman"/>
          <w:color w:val="auto"/>
          <w:sz w:val="24"/>
        </w:rPr>
        <w:t>=</w:t>
      </w:r>
      <w:r>
        <w:rPr>
          <w:rFonts w:hint="eastAsia" w:ascii="Times New Roman" w:hAnsi="Times New Roman" w:cs="Times New Roman"/>
          <w:color w:val="auto"/>
          <w:sz w:val="24"/>
          <w:lang w:val="en-US" w:eastAsia="zh-CN"/>
        </w:rPr>
        <w:t>5</w:t>
      </w:r>
      <w:r>
        <w:rPr>
          <w:rFonts w:hint="default" w:ascii="Times New Roman" w:hAnsi="Times New Roman" w:cs="Times New Roman"/>
          <w:color w:val="auto"/>
          <w:sz w:val="24"/>
        </w:rPr>
        <w:t>×10均小于目前化工行业的可接受风险水平（</w:t>
      </w:r>
      <w:r>
        <w:rPr>
          <w:rFonts w:hint="eastAsia" w:ascii="Times New Roman" w:hAnsi="Times New Roman" w:cs="Times New Roman"/>
          <w:color w:val="auto"/>
          <w:sz w:val="24"/>
          <w:lang w:val="en-US" w:eastAsia="zh-CN"/>
        </w:rPr>
        <w:t>8</w:t>
      </w:r>
      <w:r>
        <w:rPr>
          <w:rFonts w:hint="default" w:ascii="Times New Roman" w:hAnsi="Times New Roman" w:cs="Times New Roman"/>
          <w:color w:val="auto"/>
          <w:sz w:val="24"/>
        </w:rPr>
        <w:t>.</w:t>
      </w:r>
      <w:r>
        <w:rPr>
          <w:rFonts w:hint="eastAsia" w:ascii="Times New Roman" w:hAnsi="Times New Roman" w:cs="Times New Roman"/>
          <w:color w:val="auto"/>
          <w:sz w:val="24"/>
          <w:lang w:val="en-US" w:eastAsia="zh-CN"/>
        </w:rPr>
        <w:t>2</w:t>
      </w:r>
      <w:r>
        <w:rPr>
          <w:rFonts w:hint="default" w:ascii="Times New Roman" w:hAnsi="Times New Roman" w:cs="Times New Roman"/>
          <w:color w:val="auto"/>
          <w:sz w:val="24"/>
        </w:rPr>
        <w:t>3×10</w:t>
      </w:r>
      <w:r>
        <w:rPr>
          <w:rFonts w:hint="default" w:ascii="Times New Roman" w:hAnsi="Times New Roman" w:cs="Times New Roman"/>
          <w:color w:val="auto"/>
          <w:sz w:val="24"/>
          <w:vertAlign w:val="superscript"/>
        </w:rPr>
        <w:t>-5</w:t>
      </w:r>
      <w:r>
        <w:rPr>
          <w:rFonts w:hint="default" w:ascii="Times New Roman" w:hAnsi="Times New Roman" w:cs="Times New Roman"/>
          <w:color w:val="auto"/>
          <w:sz w:val="24"/>
        </w:rPr>
        <w:t>死亡/年）。因此，本项目的风险水平是可以接受的。</w:t>
      </w:r>
    </w:p>
    <w:p w14:paraId="52AB4AE2">
      <w:pPr>
        <w:spacing w:line="360" w:lineRule="auto"/>
        <w:ind w:firstLine="486" w:firstLineChars="200"/>
        <w:rPr>
          <w:rFonts w:hint="default" w:ascii="Times New Roman" w:hAnsi="Times New Roman" w:cs="Times New Roman"/>
          <w:color w:val="auto"/>
          <w:sz w:val="24"/>
        </w:rPr>
      </w:pPr>
      <w:r>
        <w:rPr>
          <w:rFonts w:hint="default" w:ascii="Times New Roman" w:hAnsi="Times New Roman" w:cs="Times New Roman"/>
          <w:color w:val="auto"/>
          <w:sz w:val="24"/>
          <w:szCs w:val="21"/>
        </w:rPr>
        <w:t>综上，项目风险值在可接受范围之内，但在管理上不可掉以轻心，仍需要进一步加强风险防范，力争通过系统地管理、合理采取风险防范应急措施，使得项目风险水平维持在较低水平。</w:t>
      </w:r>
    </w:p>
    <w:p w14:paraId="2C229A89">
      <w:pPr>
        <w:keepNext w:val="0"/>
        <w:keepLines w:val="0"/>
        <w:pageBreakBefore w:val="0"/>
        <w:widowControl w:val="0"/>
        <w:kinsoku/>
        <w:wordWrap/>
        <w:overflowPunct/>
        <w:topLinePunct w:val="0"/>
        <w:bidi w:val="0"/>
        <w:snapToGrid/>
        <w:spacing w:line="360" w:lineRule="auto"/>
        <w:textAlignment w:val="auto"/>
        <w:outlineLvl w:val="9"/>
        <w:rPr>
          <w:rFonts w:hint="default" w:ascii="Times New Roman" w:hAnsi="Times New Roman" w:eastAsia="宋体" w:cs="Times New Roman"/>
          <w:b/>
          <w:bCs/>
          <w:color w:val="auto"/>
          <w:sz w:val="24"/>
          <w:szCs w:val="32"/>
        </w:rPr>
      </w:pPr>
      <w:bookmarkStart w:id="140" w:name="_Toc434493769"/>
      <w:bookmarkStart w:id="141" w:name="_Toc428824265"/>
      <w:r>
        <w:rPr>
          <w:rFonts w:hint="default" w:ascii="Times New Roman" w:hAnsi="Times New Roman" w:eastAsia="宋体" w:cs="Times New Roman"/>
          <w:b/>
          <w:bCs/>
          <w:color w:val="auto"/>
          <w:sz w:val="24"/>
          <w:szCs w:val="32"/>
        </w:rPr>
        <w:t>4.</w:t>
      </w:r>
      <w:r>
        <w:rPr>
          <w:rFonts w:hint="default" w:ascii="Times New Roman" w:hAnsi="Times New Roman" w:eastAsia="宋体" w:cs="Times New Roman"/>
          <w:b/>
          <w:bCs/>
          <w:color w:val="auto"/>
          <w:sz w:val="24"/>
          <w:szCs w:val="32"/>
          <w:lang w:val="en-US" w:eastAsia="zh-CN"/>
        </w:rPr>
        <w:t>2</w:t>
      </w:r>
      <w:r>
        <w:rPr>
          <w:rFonts w:hint="default" w:ascii="Times New Roman" w:hAnsi="Times New Roman" w:eastAsia="宋体" w:cs="Times New Roman"/>
          <w:b/>
          <w:bCs/>
          <w:color w:val="auto"/>
          <w:sz w:val="24"/>
          <w:szCs w:val="32"/>
        </w:rPr>
        <w:t>.3风险防控措施失灵的源强分析</w:t>
      </w:r>
      <w:bookmarkEnd w:id="140"/>
      <w:bookmarkEnd w:id="141"/>
    </w:p>
    <w:p w14:paraId="07D9CC5F">
      <w:pPr>
        <w:keepNext w:val="0"/>
        <w:keepLines w:val="0"/>
        <w:pageBreakBefore w:val="0"/>
        <w:widowControl w:val="0"/>
        <w:kinsoku/>
        <w:wordWrap/>
        <w:overflowPunct/>
        <w:topLinePunct w:val="0"/>
        <w:autoSpaceDE w:val="0"/>
        <w:autoSpaceDN w:val="0"/>
        <w:bidi w:val="0"/>
        <w:adjustRightInd w:val="0"/>
        <w:snapToGrid/>
        <w:spacing w:line="360" w:lineRule="auto"/>
        <w:ind w:firstLine="486" w:firstLineChars="200"/>
        <w:textAlignment w:val="auto"/>
        <w:rPr>
          <w:rFonts w:hint="default" w:ascii="Times New Roman" w:hAnsi="Times New Roman" w:cs="Times New Roman"/>
          <w:color w:val="auto"/>
          <w:kern w:val="0"/>
          <w:sz w:val="24"/>
        </w:rPr>
      </w:pPr>
      <w:r>
        <w:rPr>
          <w:rFonts w:hint="default" w:ascii="Times New Roman" w:hAnsi="Times New Roman" w:cs="Times New Roman"/>
          <w:color w:val="auto"/>
          <w:kern w:val="0"/>
          <w:sz w:val="24"/>
        </w:rPr>
        <w:t>本公司环境风险防控设施包括：水环境风险防控设施（水环境风险防控设施主要包括装置区及储罐区的截流设施、事故排水收集设施、雨排水系统防控设施；</w:t>
      </w:r>
      <w:r>
        <w:rPr>
          <w:rFonts w:hint="default" w:ascii="Times New Roman" w:hAnsi="Times New Roman" w:cs="Times New Roman"/>
          <w:color w:val="auto"/>
          <w:sz w:val="24"/>
        </w:rPr>
        <w:t>设置清污切换系统，并与事故水池相连；各罐区设置引水渠，与事故水池相连</w:t>
      </w:r>
      <w:r>
        <w:rPr>
          <w:rFonts w:hint="default" w:ascii="Times New Roman" w:hAnsi="Times New Roman" w:cs="Times New Roman"/>
          <w:color w:val="auto"/>
          <w:kern w:val="0"/>
          <w:sz w:val="24"/>
        </w:rPr>
        <w:t>、大气环境风险防控设施（瓦斯气体泄漏紧急处置装置）。</w:t>
      </w:r>
    </w:p>
    <w:p w14:paraId="6C47AF6E">
      <w:pPr>
        <w:spacing w:line="360" w:lineRule="auto"/>
        <w:rPr>
          <w:rFonts w:hint="default" w:ascii="Times New Roman" w:hAnsi="Times New Roman" w:cs="Times New Roman"/>
          <w:color w:val="auto"/>
          <w:kern w:val="0"/>
          <w:sz w:val="24"/>
        </w:rPr>
      </w:pPr>
      <w:r>
        <w:rPr>
          <w:rFonts w:hint="default" w:ascii="Times New Roman" w:hAnsi="Times New Roman" w:cs="Times New Roman"/>
          <w:color w:val="auto"/>
          <w:kern w:val="0"/>
          <w:sz w:val="24"/>
          <w:lang w:val="en-US" w:eastAsia="zh-CN"/>
        </w:rPr>
        <w:t xml:space="preserve">   </w:t>
      </w:r>
      <w:r>
        <w:rPr>
          <w:rFonts w:hint="default" w:ascii="Times New Roman" w:hAnsi="Times New Roman" w:cs="Times New Roman"/>
          <w:color w:val="auto"/>
          <w:kern w:val="0"/>
          <w:sz w:val="24"/>
        </w:rPr>
        <w:t>公司现有危险源主要为</w:t>
      </w:r>
      <w:r>
        <w:rPr>
          <w:rFonts w:hint="default" w:ascii="Times New Roman" w:hAnsi="Times New Roman" w:eastAsia="宋体" w:cs="Times New Roman"/>
          <w:bCs w:val="0"/>
          <w:snapToGrid/>
          <w:color w:val="auto"/>
          <w:kern w:val="2"/>
          <w:sz w:val="24"/>
          <w:szCs w:val="24"/>
          <w:lang w:eastAsia="zh-CN"/>
        </w:rPr>
        <w:t>苯酚、甲醇、</w:t>
      </w:r>
      <w:r>
        <w:rPr>
          <w:rFonts w:hint="eastAsia" w:cs="Times New Roman"/>
          <w:bCs w:val="0"/>
          <w:snapToGrid/>
          <w:color w:val="auto"/>
          <w:kern w:val="2"/>
          <w:sz w:val="24"/>
          <w:szCs w:val="24"/>
          <w:lang w:eastAsia="zh-CN"/>
        </w:rPr>
        <w:t>氯</w:t>
      </w:r>
      <w:r>
        <w:rPr>
          <w:rFonts w:hint="default" w:ascii="Times New Roman" w:hAnsi="Times New Roman" w:eastAsia="宋体" w:cs="Times New Roman"/>
          <w:bCs w:val="0"/>
          <w:snapToGrid/>
          <w:color w:val="auto"/>
          <w:kern w:val="2"/>
          <w:sz w:val="24"/>
          <w:szCs w:val="24"/>
          <w:lang w:eastAsia="zh-CN"/>
        </w:rPr>
        <w:t>、</w:t>
      </w:r>
      <w:r>
        <w:rPr>
          <w:rFonts w:hint="eastAsia" w:cs="Times New Roman"/>
          <w:bCs w:val="0"/>
          <w:snapToGrid/>
          <w:color w:val="auto"/>
          <w:kern w:val="2"/>
          <w:sz w:val="24"/>
          <w:szCs w:val="24"/>
          <w:lang w:eastAsia="zh-CN"/>
        </w:rPr>
        <w:t>氨</w:t>
      </w:r>
      <w:r>
        <w:rPr>
          <w:rFonts w:hint="default" w:ascii="Times New Roman" w:hAnsi="Times New Roman" w:cs="Times New Roman"/>
          <w:color w:val="auto"/>
          <w:sz w:val="24"/>
        </w:rPr>
        <w:t>等</w:t>
      </w:r>
      <w:r>
        <w:rPr>
          <w:rFonts w:hint="default" w:ascii="Times New Roman" w:hAnsi="Times New Roman" w:cs="Times New Roman"/>
          <w:color w:val="auto"/>
          <w:kern w:val="0"/>
          <w:sz w:val="24"/>
        </w:rPr>
        <w:t>，水环境风险防控设施失灵的最大污染源是危险化学品泄漏或火灾泄漏后直接进入地表水体，若生产区或罐区截流设施不能正常发挥作用、排出的事故水不能有效收集或雨水口外排阀门不能正常关闭，将导致废水直接排入地表水体——</w:t>
      </w:r>
      <w:r>
        <w:rPr>
          <w:rFonts w:hint="default" w:ascii="Times New Roman" w:hAnsi="Times New Roman" w:cs="Times New Roman"/>
          <w:color w:val="auto"/>
          <w:kern w:val="0"/>
          <w:sz w:val="24"/>
          <w:lang w:eastAsia="zh-CN"/>
        </w:rPr>
        <w:t>淄河、乌河、小清河</w:t>
      </w:r>
      <w:r>
        <w:rPr>
          <w:rFonts w:hint="default" w:ascii="Times New Roman" w:hAnsi="Times New Roman" w:cs="Times New Roman"/>
          <w:color w:val="auto"/>
          <w:kern w:val="0"/>
          <w:sz w:val="24"/>
        </w:rPr>
        <w:t>。</w:t>
      </w:r>
    </w:p>
    <w:p w14:paraId="58F72D83">
      <w:pPr>
        <w:keepNext w:val="0"/>
        <w:keepLines w:val="0"/>
        <w:pageBreakBefore w:val="0"/>
        <w:widowControl w:val="0"/>
        <w:kinsoku/>
        <w:wordWrap/>
        <w:overflowPunct/>
        <w:topLinePunct w:val="0"/>
        <w:bidi w:val="0"/>
        <w:snapToGrid/>
        <w:spacing w:line="360" w:lineRule="auto"/>
        <w:textAlignment w:val="auto"/>
        <w:outlineLvl w:val="9"/>
        <w:rPr>
          <w:rFonts w:hint="default" w:ascii="Times New Roman" w:hAnsi="Times New Roman" w:eastAsia="宋体" w:cs="Times New Roman"/>
          <w:b/>
          <w:bCs/>
          <w:color w:val="auto"/>
          <w:sz w:val="24"/>
          <w:szCs w:val="32"/>
        </w:rPr>
      </w:pPr>
      <w:bookmarkStart w:id="142" w:name="_Toc434493770"/>
      <w:bookmarkStart w:id="143" w:name="_Toc428824266"/>
      <w:r>
        <w:rPr>
          <w:rFonts w:hint="default" w:ascii="Times New Roman" w:hAnsi="Times New Roman" w:eastAsia="宋体" w:cs="Times New Roman"/>
          <w:b/>
          <w:bCs/>
          <w:color w:val="auto"/>
          <w:sz w:val="24"/>
          <w:szCs w:val="32"/>
        </w:rPr>
        <w:t>4.</w:t>
      </w:r>
      <w:r>
        <w:rPr>
          <w:rFonts w:hint="default" w:ascii="Times New Roman" w:hAnsi="Times New Roman" w:eastAsia="宋体" w:cs="Times New Roman"/>
          <w:b/>
          <w:bCs/>
          <w:color w:val="auto"/>
          <w:sz w:val="24"/>
          <w:szCs w:val="32"/>
          <w:lang w:val="en-US" w:eastAsia="zh-CN"/>
        </w:rPr>
        <w:t>2</w:t>
      </w:r>
      <w:r>
        <w:rPr>
          <w:rFonts w:hint="default" w:ascii="Times New Roman" w:hAnsi="Times New Roman" w:eastAsia="宋体" w:cs="Times New Roman"/>
          <w:b/>
          <w:bCs/>
          <w:color w:val="auto"/>
          <w:sz w:val="24"/>
          <w:szCs w:val="32"/>
        </w:rPr>
        <w:t>.4污染治理设施异常的源强分析</w:t>
      </w:r>
      <w:bookmarkEnd w:id="142"/>
      <w:bookmarkEnd w:id="143"/>
    </w:p>
    <w:p w14:paraId="56E49215">
      <w:pPr>
        <w:keepNext w:val="0"/>
        <w:keepLines w:val="0"/>
        <w:pageBreakBefore w:val="0"/>
        <w:widowControl w:val="0"/>
        <w:kinsoku/>
        <w:wordWrap/>
        <w:overflowPunct/>
        <w:topLinePunct w:val="0"/>
        <w:autoSpaceDE w:val="0"/>
        <w:autoSpaceDN w:val="0"/>
        <w:bidi w:val="0"/>
        <w:adjustRightInd w:val="0"/>
        <w:snapToGrid/>
        <w:spacing w:line="360" w:lineRule="auto"/>
        <w:ind w:firstLine="486" w:firstLineChars="200"/>
        <w:textAlignment w:val="auto"/>
        <w:rPr>
          <w:rFonts w:hint="default" w:ascii="Times New Roman" w:hAnsi="Times New Roman" w:cs="Times New Roman"/>
          <w:color w:val="auto"/>
          <w:kern w:val="0"/>
          <w:sz w:val="24"/>
        </w:rPr>
      </w:pPr>
      <w:r>
        <w:rPr>
          <w:rFonts w:hint="default" w:ascii="Times New Roman" w:hAnsi="Times New Roman" w:cs="Times New Roman"/>
          <w:color w:val="auto"/>
          <w:kern w:val="0"/>
          <w:sz w:val="24"/>
        </w:rPr>
        <w:t>本公司现有污染治理设施包括：废气处理设施。</w:t>
      </w:r>
    </w:p>
    <w:p w14:paraId="38718802">
      <w:pPr>
        <w:autoSpaceDE w:val="0"/>
        <w:autoSpaceDN w:val="0"/>
        <w:adjustRightInd w:val="0"/>
        <w:spacing w:line="360" w:lineRule="auto"/>
        <w:ind w:firstLine="486" w:firstLineChars="200"/>
        <w:rPr>
          <w:rFonts w:hint="default" w:ascii="Times New Roman" w:hAnsi="Times New Roman" w:cs="Times New Roman"/>
          <w:color w:val="auto"/>
          <w:sz w:val="24"/>
        </w:rPr>
      </w:pPr>
      <w:r>
        <w:rPr>
          <w:rFonts w:hint="default" w:ascii="Times New Roman" w:hAnsi="Times New Roman" w:cs="Times New Roman"/>
          <w:color w:val="auto"/>
          <w:kern w:val="0"/>
          <w:sz w:val="24"/>
        </w:rPr>
        <w:t>废气治理设施运</w:t>
      </w:r>
      <w:r>
        <w:rPr>
          <w:rFonts w:hint="default" w:ascii="Times New Roman" w:hAnsi="Times New Roman" w:cs="Times New Roman"/>
          <w:color w:val="auto"/>
          <w:sz w:val="24"/>
        </w:rPr>
        <w:t>行异常的最坏情景是</w:t>
      </w:r>
      <w:r>
        <w:rPr>
          <w:rFonts w:hint="default" w:ascii="Times New Roman" w:hAnsi="Times New Roman" w:cs="Times New Roman"/>
          <w:color w:val="auto"/>
          <w:sz w:val="24"/>
          <w:lang w:eastAsia="zh-CN"/>
        </w:rPr>
        <w:t>废气处理</w:t>
      </w:r>
      <w:r>
        <w:rPr>
          <w:rFonts w:hint="default" w:ascii="Times New Roman" w:hAnsi="Times New Roman" w:cs="Times New Roman"/>
          <w:color w:val="auto"/>
          <w:sz w:val="24"/>
        </w:rPr>
        <w:t>设备故障，完全失效的情况造成的非正常工况排放，事故时间设为0.5h，</w:t>
      </w:r>
      <w:r>
        <w:rPr>
          <w:rFonts w:hint="default" w:ascii="Times New Roman" w:hAnsi="Times New Roman" w:cs="Times New Roman"/>
          <w:color w:val="auto"/>
          <w:sz w:val="24"/>
          <w:lang w:eastAsia="zh-CN"/>
        </w:rPr>
        <w:t>苯酚</w:t>
      </w:r>
      <w:r>
        <w:rPr>
          <w:rFonts w:hint="default" w:ascii="Times New Roman" w:hAnsi="Times New Roman" w:cs="Times New Roman"/>
          <w:color w:val="auto"/>
          <w:sz w:val="24"/>
        </w:rPr>
        <w:t>泄漏量5.645kg/min计。</w:t>
      </w:r>
    </w:p>
    <w:p w14:paraId="07B7EB18">
      <w:pPr>
        <w:spacing w:line="360" w:lineRule="auto"/>
        <w:ind w:firstLine="486" w:firstLineChars="200"/>
        <w:rPr>
          <w:rFonts w:hint="default" w:ascii="Times New Roman" w:hAnsi="Times New Roman" w:cs="Times New Roman"/>
          <w:color w:val="auto"/>
          <w:sz w:val="24"/>
        </w:rPr>
      </w:pPr>
      <w:r>
        <w:rPr>
          <w:rFonts w:hint="default" w:ascii="Times New Roman" w:hAnsi="Times New Roman" w:cs="Times New Roman"/>
          <w:kern w:val="0"/>
          <w:sz w:val="24"/>
        </w:rPr>
        <w:t>废水治理设施运行异常的最坏情景是：</w:t>
      </w:r>
      <w:r>
        <w:rPr>
          <w:rFonts w:hint="default" w:ascii="Times New Roman" w:hAnsi="Times New Roman" w:cs="Times New Roman"/>
          <w:bCs/>
          <w:sz w:val="24"/>
        </w:rPr>
        <w:t>污水回用设施各构筑物、管道等因外界原因破损等导致事故水排放，</w:t>
      </w:r>
      <w:r>
        <w:rPr>
          <w:rFonts w:hint="default" w:ascii="Times New Roman" w:hAnsi="Times New Roman" w:cs="Times New Roman"/>
          <w:kern w:val="0"/>
          <w:sz w:val="24"/>
        </w:rPr>
        <w:t>事故源强为一天的废水量205.3m</w:t>
      </w:r>
      <w:r>
        <w:rPr>
          <w:rFonts w:hint="default" w:ascii="Times New Roman" w:hAnsi="Times New Roman" w:cs="Times New Roman"/>
          <w:kern w:val="0"/>
          <w:sz w:val="24"/>
          <w:vertAlign w:val="superscript"/>
        </w:rPr>
        <w:t>3</w:t>
      </w:r>
      <w:r>
        <w:rPr>
          <w:rFonts w:hint="default" w:ascii="Times New Roman" w:hAnsi="Times New Roman" w:cs="Times New Roman"/>
          <w:kern w:val="0"/>
          <w:sz w:val="24"/>
        </w:rPr>
        <w:t>。</w:t>
      </w:r>
    </w:p>
    <w:p w14:paraId="3A25FF8C">
      <w:pPr>
        <w:keepNext w:val="0"/>
        <w:keepLines w:val="0"/>
        <w:pageBreakBefore w:val="0"/>
        <w:widowControl w:val="0"/>
        <w:kinsoku/>
        <w:wordWrap/>
        <w:overflowPunct/>
        <w:topLinePunct w:val="0"/>
        <w:bidi w:val="0"/>
        <w:snapToGrid/>
        <w:spacing w:line="360" w:lineRule="auto"/>
        <w:textAlignment w:val="auto"/>
        <w:outlineLvl w:val="9"/>
        <w:rPr>
          <w:rFonts w:hint="default" w:ascii="Times New Roman" w:hAnsi="Times New Roman" w:eastAsia="宋体" w:cs="Times New Roman"/>
          <w:b/>
          <w:bCs/>
          <w:color w:val="auto"/>
          <w:sz w:val="24"/>
          <w:szCs w:val="32"/>
        </w:rPr>
      </w:pPr>
      <w:bookmarkStart w:id="144" w:name="_Toc434493771"/>
      <w:bookmarkStart w:id="145" w:name="_Toc428824267"/>
      <w:r>
        <w:rPr>
          <w:rFonts w:hint="default" w:ascii="Times New Roman" w:hAnsi="Times New Roman" w:eastAsia="宋体" w:cs="Times New Roman"/>
          <w:b/>
          <w:bCs/>
          <w:color w:val="auto"/>
          <w:sz w:val="24"/>
          <w:szCs w:val="32"/>
        </w:rPr>
        <w:t>4.</w:t>
      </w:r>
      <w:r>
        <w:rPr>
          <w:rFonts w:hint="default" w:ascii="Times New Roman" w:hAnsi="Times New Roman" w:eastAsia="宋体" w:cs="Times New Roman"/>
          <w:b/>
          <w:bCs/>
          <w:color w:val="auto"/>
          <w:sz w:val="24"/>
          <w:szCs w:val="32"/>
          <w:lang w:val="en-US" w:eastAsia="zh-CN"/>
        </w:rPr>
        <w:t>2</w:t>
      </w:r>
      <w:r>
        <w:rPr>
          <w:rFonts w:hint="default" w:ascii="Times New Roman" w:hAnsi="Times New Roman" w:eastAsia="宋体" w:cs="Times New Roman"/>
          <w:b/>
          <w:bCs/>
          <w:color w:val="auto"/>
          <w:sz w:val="24"/>
          <w:szCs w:val="32"/>
        </w:rPr>
        <w:t>.5通讯或运输系统故障事故的污染源强分析</w:t>
      </w:r>
      <w:bookmarkEnd w:id="144"/>
      <w:bookmarkEnd w:id="145"/>
    </w:p>
    <w:p w14:paraId="2069AB44">
      <w:pPr>
        <w:keepNext w:val="0"/>
        <w:keepLines w:val="0"/>
        <w:pageBreakBefore w:val="0"/>
        <w:widowControl w:val="0"/>
        <w:kinsoku/>
        <w:wordWrap/>
        <w:overflowPunct/>
        <w:topLinePunct w:val="0"/>
        <w:bidi w:val="0"/>
        <w:snapToGrid/>
        <w:spacing w:line="360" w:lineRule="auto"/>
        <w:textAlignment w:val="auto"/>
        <w:outlineLvl w:val="9"/>
        <w:rPr>
          <w:rFonts w:hint="default" w:ascii="Times New Roman" w:hAnsi="Times New Roman" w:cs="Times New Roman"/>
          <w:color w:val="auto"/>
          <w:kern w:val="0"/>
          <w:sz w:val="24"/>
        </w:rPr>
      </w:pPr>
      <w:r>
        <w:rPr>
          <w:rFonts w:hint="default" w:ascii="Times New Roman" w:hAnsi="Times New Roman" w:eastAsia="宋体" w:cs="Times New Roman"/>
          <w:b/>
          <w:bCs/>
          <w:color w:val="auto"/>
          <w:sz w:val="24"/>
          <w:szCs w:val="32"/>
          <w:lang w:val="en-US" w:eastAsia="zh-CN"/>
        </w:rPr>
        <w:t xml:space="preserve">    </w:t>
      </w:r>
      <w:r>
        <w:rPr>
          <w:rFonts w:hint="default" w:ascii="Times New Roman" w:hAnsi="Times New Roman" w:eastAsia="宋体" w:cs="Times New Roman"/>
          <w:b w:val="0"/>
          <w:bCs w:val="0"/>
          <w:color w:val="auto"/>
          <w:sz w:val="24"/>
          <w:szCs w:val="32"/>
          <w:lang w:eastAsia="zh-CN"/>
        </w:rPr>
        <w:t>山东隆信药业有限公司</w:t>
      </w:r>
      <w:r>
        <w:rPr>
          <w:rFonts w:hint="default" w:ascii="Times New Roman" w:hAnsi="Times New Roman" w:eastAsia="宋体" w:cs="Times New Roman"/>
          <w:b w:val="0"/>
          <w:bCs w:val="0"/>
          <w:color w:val="auto"/>
          <w:sz w:val="24"/>
          <w:szCs w:val="32"/>
        </w:rPr>
        <w:t>的生产装置部分采用自动化控制，存在通讯信号不畅致生产装置事故的情况。本公司通讯</w:t>
      </w:r>
      <w:r>
        <w:rPr>
          <w:rFonts w:hint="default" w:ascii="Times New Roman" w:hAnsi="Times New Roman" w:cs="Times New Roman"/>
          <w:color w:val="auto"/>
          <w:kern w:val="0"/>
          <w:sz w:val="24"/>
        </w:rPr>
        <w:t>不畅的风险是延误救援时间，公司统一配备对讲机并设有监控，因而通讯故障的影响较小，暂不考虑。《企业突发环境事件风险评估指（试行）》明确：该指南不适用于从事危险化学品运输的车辆或单位。因而本公司输送系统故障的风险，主要集中在厂区内有毒有害液体或气体的输送管路泄漏方面，该类事故的最坏情景是易燃物品</w:t>
      </w:r>
      <w:r>
        <w:rPr>
          <w:rFonts w:hint="default" w:ascii="Times New Roman" w:hAnsi="Times New Roman" w:eastAsia="宋体" w:cs="Times New Roman"/>
          <w:bCs w:val="0"/>
          <w:snapToGrid/>
          <w:color w:val="auto"/>
          <w:kern w:val="2"/>
          <w:sz w:val="24"/>
          <w:szCs w:val="24"/>
          <w:lang w:eastAsia="zh-CN"/>
        </w:rPr>
        <w:t>苯酚、甲醇、</w:t>
      </w:r>
      <w:r>
        <w:rPr>
          <w:rFonts w:hint="eastAsia" w:cs="Times New Roman"/>
          <w:bCs w:val="0"/>
          <w:snapToGrid/>
          <w:color w:val="auto"/>
          <w:kern w:val="2"/>
          <w:sz w:val="24"/>
          <w:szCs w:val="24"/>
          <w:lang w:eastAsia="zh-CN"/>
        </w:rPr>
        <w:t>氯、氨</w:t>
      </w:r>
      <w:r>
        <w:rPr>
          <w:rFonts w:hint="default" w:ascii="Times New Roman" w:hAnsi="Times New Roman" w:cs="Times New Roman"/>
          <w:color w:val="auto"/>
          <w:kern w:val="0"/>
          <w:sz w:val="24"/>
        </w:rPr>
        <w:t>输送系统故障，物料泄漏引发火灾。</w:t>
      </w:r>
    </w:p>
    <w:p w14:paraId="66CCF787">
      <w:pPr>
        <w:keepNext w:val="0"/>
        <w:keepLines w:val="0"/>
        <w:pageBreakBefore w:val="0"/>
        <w:widowControl w:val="0"/>
        <w:kinsoku/>
        <w:wordWrap/>
        <w:overflowPunct/>
        <w:topLinePunct w:val="0"/>
        <w:bidi w:val="0"/>
        <w:snapToGrid/>
        <w:spacing w:line="360" w:lineRule="auto"/>
        <w:textAlignment w:val="auto"/>
        <w:outlineLvl w:val="9"/>
        <w:rPr>
          <w:rFonts w:hint="default" w:ascii="Times New Roman" w:hAnsi="Times New Roman" w:eastAsia="宋体" w:cs="Times New Roman"/>
          <w:b/>
          <w:bCs/>
          <w:color w:val="auto"/>
          <w:sz w:val="24"/>
          <w:szCs w:val="32"/>
        </w:rPr>
      </w:pPr>
      <w:bookmarkStart w:id="146" w:name="_Toc434493772"/>
      <w:bookmarkStart w:id="147" w:name="_Toc428824268"/>
      <w:r>
        <w:rPr>
          <w:rFonts w:hint="default" w:ascii="Times New Roman" w:hAnsi="Times New Roman" w:eastAsia="宋体" w:cs="Times New Roman"/>
          <w:b/>
          <w:bCs/>
          <w:color w:val="auto"/>
          <w:sz w:val="24"/>
          <w:szCs w:val="32"/>
        </w:rPr>
        <w:t>4.</w:t>
      </w:r>
      <w:r>
        <w:rPr>
          <w:rFonts w:hint="default" w:ascii="Times New Roman" w:hAnsi="Times New Roman" w:eastAsia="宋体" w:cs="Times New Roman"/>
          <w:b/>
          <w:bCs/>
          <w:color w:val="auto"/>
          <w:sz w:val="24"/>
          <w:szCs w:val="32"/>
          <w:lang w:val="en-US" w:eastAsia="zh-CN"/>
        </w:rPr>
        <w:t>2</w:t>
      </w:r>
      <w:r>
        <w:rPr>
          <w:rFonts w:hint="default" w:ascii="Times New Roman" w:hAnsi="Times New Roman" w:eastAsia="宋体" w:cs="Times New Roman"/>
          <w:b/>
          <w:bCs/>
          <w:color w:val="auto"/>
          <w:sz w:val="24"/>
          <w:szCs w:val="32"/>
        </w:rPr>
        <w:t>.6各种自然灾害造成的事故源强分析</w:t>
      </w:r>
      <w:bookmarkEnd w:id="146"/>
      <w:bookmarkEnd w:id="147"/>
    </w:p>
    <w:p w14:paraId="4BBE9AD4">
      <w:pPr>
        <w:keepNext w:val="0"/>
        <w:keepLines w:val="0"/>
        <w:pageBreakBefore w:val="0"/>
        <w:widowControl w:val="0"/>
        <w:kinsoku/>
        <w:wordWrap/>
        <w:overflowPunct/>
        <w:topLinePunct w:val="0"/>
        <w:autoSpaceDE w:val="0"/>
        <w:autoSpaceDN w:val="0"/>
        <w:bidi w:val="0"/>
        <w:adjustRightInd w:val="0"/>
        <w:snapToGrid/>
        <w:spacing w:line="360" w:lineRule="auto"/>
        <w:ind w:firstLine="486" w:firstLineChars="200"/>
        <w:textAlignment w:val="auto"/>
        <w:rPr>
          <w:rFonts w:hint="default" w:ascii="Times New Roman" w:hAnsi="Times New Roman" w:cs="Times New Roman"/>
          <w:color w:val="auto"/>
          <w:kern w:val="0"/>
          <w:sz w:val="24"/>
        </w:rPr>
      </w:pPr>
      <w:r>
        <w:rPr>
          <w:rFonts w:hint="default" w:ascii="Times New Roman" w:hAnsi="Times New Roman" w:cs="Times New Roman"/>
          <w:color w:val="auto"/>
          <w:kern w:val="0"/>
          <w:sz w:val="24"/>
        </w:rPr>
        <w:t>根据淄博市多年气象资料分析结果，本地区最有可能出现的自然灾害为暴雨，发生暴雨时室外废水处理池内废水若不及时处理及外排，可能造成溢出事故。上述事故的水污染源强一般不会超过火灾爆炸事故产生的次生水污染源强。</w:t>
      </w:r>
    </w:p>
    <w:bookmarkEnd w:id="137"/>
    <w:bookmarkEnd w:id="138"/>
    <w:p w14:paraId="1F896B43">
      <w:pPr>
        <w:pStyle w:val="7"/>
        <w:keepNext w:val="0"/>
        <w:keepLines w:val="0"/>
        <w:spacing w:before="0" w:after="0"/>
        <w:rPr>
          <w:rFonts w:hint="default" w:ascii="Times New Roman" w:hAnsi="Times New Roman" w:cs="Times New Roman"/>
          <w:color w:val="auto"/>
          <w:highlight w:val="none"/>
        </w:rPr>
      </w:pPr>
      <w:bookmarkStart w:id="148" w:name="_Toc29607"/>
      <w:bookmarkStart w:id="149" w:name="_Toc10903"/>
      <w:bookmarkStart w:id="150" w:name="_Toc423956615"/>
      <w:bookmarkStart w:id="151" w:name="_Toc1125"/>
      <w:bookmarkStart w:id="152" w:name="_Toc27037"/>
      <w:bookmarkStart w:id="153" w:name="_Toc425866208"/>
      <w:r>
        <w:rPr>
          <w:rFonts w:hint="default" w:ascii="Times New Roman" w:hAnsi="Times New Roman" w:cs="Times New Roman"/>
          <w:color w:val="auto"/>
          <w:highlight w:val="none"/>
        </w:rPr>
        <w:t>4.3 释放环境风险物质的扩散途径、涉及环境风险防控与应急措施、应急资源情况分析</w:t>
      </w:r>
      <w:bookmarkEnd w:id="148"/>
      <w:bookmarkEnd w:id="149"/>
      <w:bookmarkEnd w:id="150"/>
      <w:bookmarkEnd w:id="151"/>
      <w:bookmarkEnd w:id="152"/>
      <w:bookmarkEnd w:id="153"/>
    </w:p>
    <w:p w14:paraId="7BC99D06">
      <w:pPr>
        <w:pStyle w:val="126"/>
        <w:pageBreakBefore w:val="0"/>
        <w:kinsoku/>
        <w:wordWrap/>
        <w:overflowPunct/>
        <w:topLinePunct w:val="0"/>
        <w:bidi w:val="0"/>
        <w:spacing w:line="360" w:lineRule="auto"/>
        <w:textAlignment w:val="auto"/>
        <w:rPr>
          <w:sz w:val="24"/>
          <w:szCs w:val="24"/>
          <w:lang w:eastAsia="zh-CN"/>
        </w:rPr>
      </w:pPr>
      <w:r>
        <w:rPr>
          <w:rFonts w:hint="eastAsia"/>
          <w:sz w:val="24"/>
          <w:szCs w:val="24"/>
          <w:lang w:eastAsia="zh-CN"/>
        </w:rPr>
        <w:t>环境风险物质苯酚、甲醇、氯、氨、</w:t>
      </w:r>
      <w:r>
        <w:rPr>
          <w:rFonts w:hint="eastAsia"/>
          <w:sz w:val="24"/>
          <w:szCs w:val="24"/>
          <w:lang w:val="en-US" w:eastAsia="zh-CN"/>
        </w:rPr>
        <w:t>蒸馏残渣</w:t>
      </w:r>
      <w:r>
        <w:rPr>
          <w:sz w:val="24"/>
          <w:szCs w:val="24"/>
          <w:lang w:eastAsia="zh-CN"/>
        </w:rPr>
        <w:t>主要影响大气、地表水、地下水和土壤。</w:t>
      </w:r>
    </w:p>
    <w:p w14:paraId="11E83BFC">
      <w:pPr>
        <w:pStyle w:val="126"/>
        <w:pageBreakBefore w:val="0"/>
        <w:kinsoku/>
        <w:wordWrap/>
        <w:overflowPunct/>
        <w:topLinePunct w:val="0"/>
        <w:bidi w:val="0"/>
        <w:spacing w:line="360" w:lineRule="auto"/>
        <w:textAlignment w:val="auto"/>
        <w:rPr>
          <w:rFonts w:hint="eastAsia"/>
          <w:sz w:val="24"/>
          <w:szCs w:val="24"/>
          <w:lang w:eastAsia="zh-CN"/>
        </w:rPr>
      </w:pPr>
      <w:r>
        <w:rPr>
          <w:rFonts w:hint="eastAsia"/>
          <w:sz w:val="24"/>
          <w:szCs w:val="24"/>
          <w:lang w:eastAsia="zh-CN"/>
        </w:rPr>
        <w:t>苯酚大气污染：</w:t>
      </w:r>
      <w:r>
        <w:rPr>
          <w:rFonts w:hint="eastAsia"/>
          <w:sz w:val="24"/>
          <w:szCs w:val="24"/>
          <w:lang w:val="en-US" w:eastAsia="zh-CN"/>
        </w:rPr>
        <w:t>遇明火、高热可燃高毒，</w:t>
      </w:r>
      <w:r>
        <w:rPr>
          <w:rFonts w:hint="eastAsia"/>
          <w:sz w:val="24"/>
          <w:szCs w:val="24"/>
          <w:lang w:eastAsia="zh-CN"/>
        </w:rPr>
        <w:t>主要</w:t>
      </w:r>
      <w:r>
        <w:rPr>
          <w:rFonts w:hint="eastAsia"/>
          <w:sz w:val="24"/>
          <w:szCs w:val="24"/>
          <w:highlight w:val="none"/>
          <w:lang w:eastAsia="zh-CN"/>
        </w:rPr>
        <w:t>排放</w:t>
      </w:r>
      <w:r>
        <w:rPr>
          <w:rFonts w:hint="eastAsia"/>
          <w:sz w:val="24"/>
          <w:szCs w:val="24"/>
          <w:lang w:eastAsia="zh-CN"/>
        </w:rPr>
        <w:t>途径是高温工艺过程中产生含酚废气。地表水污染：释放条件含酚废水未处理或处理不合格排放，储罐、管道破裂导致泄漏物随雨水径流进入水体，主要</w:t>
      </w:r>
      <w:r>
        <w:rPr>
          <w:rFonts w:hint="eastAsia"/>
          <w:sz w:val="24"/>
          <w:szCs w:val="24"/>
          <w:highlight w:val="none"/>
          <w:lang w:eastAsia="zh-CN"/>
        </w:rPr>
        <w:t>排放</w:t>
      </w:r>
      <w:r>
        <w:rPr>
          <w:rFonts w:hint="eastAsia"/>
          <w:sz w:val="24"/>
          <w:szCs w:val="24"/>
          <w:lang w:eastAsia="zh-CN"/>
        </w:rPr>
        <w:t>途径为事故泄漏，地表径流携带苯酚汇入地表水体，或通过沉降进入地表水。地下水污染：释放条件为泄漏至地表进入包气带，防渗失效；主要</w:t>
      </w:r>
      <w:r>
        <w:rPr>
          <w:rFonts w:hint="eastAsia"/>
          <w:sz w:val="24"/>
          <w:szCs w:val="24"/>
          <w:highlight w:val="none"/>
          <w:lang w:eastAsia="zh-CN"/>
        </w:rPr>
        <w:t>排放</w:t>
      </w:r>
      <w:r>
        <w:rPr>
          <w:rFonts w:hint="eastAsia"/>
          <w:sz w:val="24"/>
          <w:szCs w:val="24"/>
          <w:lang w:eastAsia="zh-CN"/>
        </w:rPr>
        <w:t>途径为泄漏通过土壤空隙向下渗透，浅层地下水受污染后，随地下水流向扩散周边。土壤污染：事故泄露直接接触地表或酚水灌溉农田；主要</w:t>
      </w:r>
      <w:r>
        <w:rPr>
          <w:rFonts w:hint="eastAsia"/>
          <w:sz w:val="24"/>
          <w:szCs w:val="24"/>
          <w:highlight w:val="none"/>
          <w:lang w:eastAsia="zh-CN"/>
        </w:rPr>
        <w:t>排放</w:t>
      </w:r>
      <w:r>
        <w:rPr>
          <w:rFonts w:hint="eastAsia"/>
          <w:sz w:val="24"/>
          <w:szCs w:val="24"/>
          <w:lang w:eastAsia="zh-CN"/>
        </w:rPr>
        <w:t>途径为废水灌溉农田，被土壤颗粒吸附。</w:t>
      </w:r>
    </w:p>
    <w:p w14:paraId="6B27CA84">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486" w:firstLineChars="200"/>
        <w:textAlignment w:val="auto"/>
        <w:rPr>
          <w:rFonts w:hint="eastAsia"/>
          <w:sz w:val="24"/>
          <w:szCs w:val="24"/>
          <w:lang w:eastAsia="zh-CN"/>
        </w:rPr>
      </w:pPr>
      <w:r>
        <w:rPr>
          <w:rFonts w:hint="eastAsia"/>
          <w:sz w:val="24"/>
          <w:szCs w:val="24"/>
          <w:lang w:eastAsia="zh-CN"/>
        </w:rPr>
        <w:t>对环境受体(如鱼类，藻类，土壤无脊椎动物)可致死亡，破环生态；改变土壤酸碱度与结构，抑制植物根系导致农作物死亡或减产。</w:t>
      </w:r>
    </w:p>
    <w:p w14:paraId="4C6C9500">
      <w:pPr>
        <w:pStyle w:val="126"/>
        <w:pageBreakBefore w:val="0"/>
        <w:kinsoku/>
        <w:wordWrap/>
        <w:overflowPunct/>
        <w:topLinePunct w:val="0"/>
        <w:bidi w:val="0"/>
        <w:spacing w:line="360" w:lineRule="auto"/>
        <w:textAlignment w:val="auto"/>
        <w:rPr>
          <w:rFonts w:hint="eastAsia"/>
          <w:sz w:val="24"/>
          <w:szCs w:val="24"/>
          <w:lang w:eastAsia="zh-CN"/>
        </w:rPr>
      </w:pPr>
      <w:r>
        <w:rPr>
          <w:rFonts w:hint="eastAsia" w:ascii="Times New Roman" w:hAnsi="Times New Roman" w:eastAsia="宋体" w:cs="Times New Roman"/>
          <w:kern w:val="0"/>
          <w:sz w:val="24"/>
          <w:szCs w:val="24"/>
          <w:lang w:val="en-US" w:eastAsia="zh-CN" w:bidi="ar-SA"/>
        </w:rPr>
        <w:t>甲醇大气污染：</w:t>
      </w:r>
      <w:r>
        <w:rPr>
          <w:rFonts w:hint="default" w:ascii="Times New Roman" w:hAnsi="Times New Roman" w:eastAsia="宋体" w:cs="Times New Roman"/>
          <w:kern w:val="0"/>
          <w:sz w:val="24"/>
          <w:szCs w:val="24"/>
          <w:lang w:val="en-US" w:eastAsia="zh-CN" w:bidi="ar-SA"/>
        </w:rPr>
        <w:t>易燃液体；有毒</w:t>
      </w:r>
      <w:r>
        <w:rPr>
          <w:rFonts w:hint="eastAsia" w:ascii="Times New Roman" w:hAnsi="Times New Roman" w:eastAsia="宋体" w:cs="Times New Roman"/>
          <w:kern w:val="0"/>
          <w:sz w:val="24"/>
          <w:szCs w:val="24"/>
          <w:lang w:val="en-US" w:eastAsia="zh-CN" w:bidi="ar-SA"/>
        </w:rPr>
        <w:t>，主要排放途径是储罐呼吸阀挥发、装卸车作业逃逸，设备密封失效、无组织管控缺失。</w:t>
      </w:r>
      <w:r>
        <w:rPr>
          <w:rFonts w:hint="eastAsia"/>
          <w:sz w:val="24"/>
          <w:szCs w:val="24"/>
          <w:lang w:eastAsia="zh-CN"/>
        </w:rPr>
        <w:t>地表水污染：释放条件储罐、管道破裂导致泄漏物随雨水径流进入水体，主要</w:t>
      </w:r>
      <w:r>
        <w:rPr>
          <w:rFonts w:hint="eastAsia"/>
          <w:sz w:val="24"/>
          <w:szCs w:val="24"/>
          <w:highlight w:val="none"/>
          <w:lang w:eastAsia="zh-CN"/>
        </w:rPr>
        <w:t>排放</w:t>
      </w:r>
      <w:r>
        <w:rPr>
          <w:rFonts w:hint="eastAsia"/>
          <w:sz w:val="24"/>
          <w:szCs w:val="24"/>
          <w:lang w:eastAsia="zh-CN"/>
        </w:rPr>
        <w:t>途径为事故泄漏，地表径流携带苯酚汇入地表水体，或通过沉降进入地表水。地下水污染：释放条件为泄漏至地表进入包气带，防渗失效；主要</w:t>
      </w:r>
      <w:r>
        <w:rPr>
          <w:rFonts w:hint="eastAsia"/>
          <w:sz w:val="24"/>
          <w:szCs w:val="24"/>
          <w:highlight w:val="none"/>
          <w:lang w:eastAsia="zh-CN"/>
        </w:rPr>
        <w:t>排放</w:t>
      </w:r>
      <w:r>
        <w:rPr>
          <w:rFonts w:hint="eastAsia"/>
          <w:sz w:val="24"/>
          <w:szCs w:val="24"/>
          <w:lang w:eastAsia="zh-CN"/>
        </w:rPr>
        <w:t>途径为泄漏通过土壤空隙向下渗透，浅层地下水受污染后，随地下水流向扩散周边。土壤污染：泄漏漫流；主要</w:t>
      </w:r>
      <w:r>
        <w:rPr>
          <w:rFonts w:hint="eastAsia"/>
          <w:sz w:val="24"/>
          <w:szCs w:val="24"/>
          <w:highlight w:val="none"/>
          <w:lang w:eastAsia="zh-CN"/>
        </w:rPr>
        <w:t>排放</w:t>
      </w:r>
      <w:r>
        <w:rPr>
          <w:rFonts w:hint="eastAsia"/>
          <w:sz w:val="24"/>
          <w:szCs w:val="24"/>
          <w:lang w:eastAsia="zh-CN"/>
        </w:rPr>
        <w:t>途径为事故泄露直接接触土壤空隙，通过吸附、淋溶作用在土层中迁移。</w:t>
      </w:r>
    </w:p>
    <w:p w14:paraId="733B4574">
      <w:pPr>
        <w:pStyle w:val="126"/>
        <w:pageBreakBefore w:val="0"/>
        <w:kinsoku/>
        <w:wordWrap/>
        <w:overflowPunct/>
        <w:topLinePunct w:val="0"/>
        <w:bidi w:val="0"/>
        <w:spacing w:line="360" w:lineRule="auto"/>
        <w:textAlignment w:val="auto"/>
        <w:rPr>
          <w:rFonts w:hint="default"/>
          <w:sz w:val="24"/>
          <w:szCs w:val="24"/>
          <w:lang w:val="en-US" w:eastAsia="zh-CN"/>
        </w:rPr>
      </w:pPr>
      <w:r>
        <w:rPr>
          <w:rFonts w:hint="eastAsia"/>
          <w:sz w:val="24"/>
          <w:szCs w:val="24"/>
          <w:lang w:eastAsia="zh-CN"/>
        </w:rPr>
        <w:t>对环境受体：具有渗透压效应，参与光化学反应加剧雾霾，作为</w:t>
      </w:r>
      <w:r>
        <w:rPr>
          <w:rFonts w:hint="eastAsia"/>
          <w:sz w:val="24"/>
          <w:szCs w:val="24"/>
          <w:lang w:val="en-US" w:eastAsia="zh-CN"/>
        </w:rPr>
        <w:t>VOCS需严格管控。</w:t>
      </w:r>
    </w:p>
    <w:p w14:paraId="03DFB690">
      <w:pPr>
        <w:pStyle w:val="126"/>
        <w:keepNext w:val="0"/>
        <w:keepLines w:val="0"/>
        <w:pageBreakBefore w:val="0"/>
        <w:kinsoku/>
        <w:wordWrap/>
        <w:overflowPunct/>
        <w:topLinePunct w:val="0"/>
        <w:autoSpaceDE/>
        <w:autoSpaceDN/>
        <w:bidi w:val="0"/>
        <w:adjustRightInd/>
        <w:snapToGrid/>
        <w:spacing w:line="360" w:lineRule="auto"/>
        <w:textAlignment w:val="auto"/>
        <w:rPr>
          <w:rFonts w:hint="eastAsia"/>
          <w:sz w:val="24"/>
          <w:szCs w:val="24"/>
          <w:lang w:eastAsia="zh-CN"/>
        </w:rPr>
      </w:pPr>
      <w:r>
        <w:rPr>
          <w:rFonts w:hint="eastAsia"/>
          <w:sz w:val="24"/>
          <w:szCs w:val="24"/>
          <w:lang w:eastAsia="zh-CN"/>
        </w:rPr>
        <w:t>氯气</w:t>
      </w:r>
      <w:r>
        <w:rPr>
          <w:rFonts w:hint="eastAsia" w:ascii="Times New Roman" w:hAnsi="Times New Roman" w:eastAsia="宋体" w:cs="Times New Roman"/>
          <w:kern w:val="0"/>
          <w:sz w:val="24"/>
          <w:szCs w:val="24"/>
          <w:lang w:val="en-US" w:eastAsia="zh-CN" w:bidi="ar-SA"/>
        </w:rPr>
        <w:t>大气污染：</w:t>
      </w:r>
      <w:r>
        <w:rPr>
          <w:rFonts w:hint="default" w:ascii="Times New Roman" w:hAnsi="Times New Roman" w:eastAsia="宋体" w:cs="Times New Roman"/>
          <w:kern w:val="0"/>
          <w:sz w:val="24"/>
          <w:szCs w:val="24"/>
          <w:lang w:val="en-US" w:eastAsia="zh-CN" w:bidi="ar-SA"/>
        </w:rPr>
        <w:t>有毒</w:t>
      </w:r>
      <w:r>
        <w:rPr>
          <w:rFonts w:hint="eastAsia" w:ascii="Times New Roman" w:hAnsi="Times New Roman" w:eastAsia="宋体" w:cs="Times New Roman"/>
          <w:kern w:val="0"/>
          <w:sz w:val="24"/>
          <w:szCs w:val="24"/>
          <w:lang w:val="en-US" w:eastAsia="zh-CN" w:bidi="ar-SA"/>
        </w:rPr>
        <w:t>，主要排放途径是储罐、管道阀门泄漏、装卸车作业逃逸，设备密封失效、无组织管控缺失。</w:t>
      </w:r>
      <w:r>
        <w:rPr>
          <w:rFonts w:hint="eastAsia"/>
          <w:sz w:val="24"/>
          <w:szCs w:val="24"/>
          <w:lang w:eastAsia="zh-CN"/>
        </w:rPr>
        <w:t>地表水污染：释放条件储罐、管道破裂导致氯气随风扩散至水体上方，主要</w:t>
      </w:r>
      <w:r>
        <w:rPr>
          <w:rFonts w:hint="eastAsia"/>
          <w:sz w:val="24"/>
          <w:szCs w:val="24"/>
          <w:highlight w:val="none"/>
          <w:lang w:eastAsia="zh-CN"/>
        </w:rPr>
        <w:t>排放</w:t>
      </w:r>
      <w:r>
        <w:rPr>
          <w:rFonts w:hint="eastAsia"/>
          <w:sz w:val="24"/>
          <w:szCs w:val="24"/>
          <w:lang w:eastAsia="zh-CN"/>
        </w:rPr>
        <w:t>途径为事故泄漏，溶于雨水或雾气，随降雨进入地表水。地下水污染：释放条件地表受氯污染的水体长期下渗；主要</w:t>
      </w:r>
      <w:r>
        <w:rPr>
          <w:rFonts w:hint="eastAsia"/>
          <w:sz w:val="24"/>
          <w:szCs w:val="24"/>
          <w:highlight w:val="none"/>
          <w:lang w:eastAsia="zh-CN"/>
        </w:rPr>
        <w:t>排放</w:t>
      </w:r>
      <w:r>
        <w:rPr>
          <w:rFonts w:hint="eastAsia"/>
          <w:sz w:val="24"/>
          <w:szCs w:val="24"/>
          <w:lang w:eastAsia="zh-CN"/>
        </w:rPr>
        <w:t>途径为泄漏通过土壤空隙向下渗透补给含水层，浅层地下水受污染后，随地下水流向扩散周边。土壤污染：氯气泄漏沉降覆盖地表，酸雨淋溶；主要</w:t>
      </w:r>
      <w:r>
        <w:rPr>
          <w:rFonts w:hint="eastAsia"/>
          <w:sz w:val="24"/>
          <w:szCs w:val="24"/>
          <w:highlight w:val="none"/>
          <w:lang w:eastAsia="zh-CN"/>
        </w:rPr>
        <w:t>排放</w:t>
      </w:r>
      <w:r>
        <w:rPr>
          <w:rFonts w:hint="eastAsia"/>
          <w:sz w:val="24"/>
          <w:szCs w:val="24"/>
          <w:lang w:eastAsia="zh-CN"/>
        </w:rPr>
        <w:t>途径为氯气与反应产物直接附着土壤表面，含氯废水渗入土壤空隙。</w:t>
      </w:r>
    </w:p>
    <w:p w14:paraId="2A1B03C8">
      <w:pPr>
        <w:keepNext w:val="0"/>
        <w:keepLines w:val="0"/>
        <w:pageBreakBefore w:val="0"/>
        <w:kinsoku/>
        <w:wordWrap/>
        <w:overflowPunct/>
        <w:topLinePunct w:val="0"/>
        <w:autoSpaceDE/>
        <w:autoSpaceDN/>
        <w:bidi w:val="0"/>
        <w:adjustRightInd/>
        <w:snapToGrid/>
        <w:spacing w:line="360" w:lineRule="auto"/>
        <w:ind w:firstLine="486" w:firstLineChars="200"/>
        <w:textAlignment w:val="auto"/>
        <w:rPr>
          <w:rFonts w:hint="eastAsia"/>
          <w:sz w:val="24"/>
          <w:szCs w:val="24"/>
          <w:lang w:eastAsia="zh-CN"/>
        </w:rPr>
      </w:pPr>
      <w:r>
        <w:rPr>
          <w:rFonts w:hint="eastAsia"/>
          <w:sz w:val="24"/>
          <w:szCs w:val="24"/>
          <w:lang w:eastAsia="zh-CN"/>
        </w:rPr>
        <w:t>对环境受体：强氧化性破坏动植物细胞膜，生成盐酸导致水体和土壤酸化，可能与有机物反应生成三氯甲烷等致癌副产物。</w:t>
      </w:r>
    </w:p>
    <w:p w14:paraId="3A9CE2B8">
      <w:pPr>
        <w:pStyle w:val="126"/>
        <w:keepNext w:val="0"/>
        <w:keepLines w:val="0"/>
        <w:pageBreakBefore w:val="0"/>
        <w:kinsoku/>
        <w:wordWrap/>
        <w:overflowPunct/>
        <w:topLinePunct w:val="0"/>
        <w:autoSpaceDE/>
        <w:autoSpaceDN/>
        <w:bidi w:val="0"/>
        <w:adjustRightInd/>
        <w:snapToGrid/>
        <w:spacing w:line="360" w:lineRule="auto"/>
        <w:textAlignment w:val="auto"/>
        <w:rPr>
          <w:rFonts w:hint="eastAsia"/>
          <w:sz w:val="24"/>
          <w:szCs w:val="24"/>
          <w:lang w:eastAsia="zh-CN"/>
        </w:rPr>
      </w:pPr>
      <w:r>
        <w:rPr>
          <w:rFonts w:hint="eastAsia"/>
          <w:sz w:val="24"/>
          <w:szCs w:val="24"/>
          <w:lang w:eastAsia="zh-CN"/>
        </w:rPr>
        <w:t>氨气气</w:t>
      </w:r>
      <w:r>
        <w:rPr>
          <w:rFonts w:hint="eastAsia" w:ascii="Times New Roman" w:hAnsi="Times New Roman" w:eastAsia="宋体" w:cs="Times New Roman"/>
          <w:kern w:val="0"/>
          <w:sz w:val="24"/>
          <w:szCs w:val="24"/>
          <w:lang w:val="en-US" w:eastAsia="zh-CN" w:bidi="ar-SA"/>
        </w:rPr>
        <w:t>大气污染：</w:t>
      </w:r>
      <w:r>
        <w:rPr>
          <w:rFonts w:hint="default" w:ascii="Times New Roman" w:hAnsi="Times New Roman" w:eastAsia="宋体" w:cs="Times New Roman"/>
          <w:kern w:val="0"/>
          <w:sz w:val="24"/>
          <w:szCs w:val="24"/>
          <w:lang w:val="en-US" w:eastAsia="zh-CN" w:bidi="ar-SA"/>
        </w:rPr>
        <w:t>有毒</w:t>
      </w:r>
      <w:r>
        <w:rPr>
          <w:rFonts w:hint="eastAsia" w:ascii="Times New Roman" w:hAnsi="Times New Roman" w:eastAsia="宋体" w:cs="Times New Roman"/>
          <w:kern w:val="0"/>
          <w:sz w:val="24"/>
          <w:szCs w:val="24"/>
          <w:lang w:val="en-US" w:eastAsia="zh-CN" w:bidi="ar-SA"/>
        </w:rPr>
        <w:t>，主要排放途径是储罐、管道阀门泄漏、装卸车作业逃逸，设备密封失效、无组织管控缺失。</w:t>
      </w:r>
      <w:r>
        <w:rPr>
          <w:rFonts w:hint="eastAsia"/>
          <w:sz w:val="24"/>
          <w:szCs w:val="24"/>
          <w:lang w:eastAsia="zh-CN"/>
        </w:rPr>
        <w:t>地表水污染：释放条件储罐、管道破裂导致氯气随风扩散至水体上方，主要</w:t>
      </w:r>
      <w:r>
        <w:rPr>
          <w:rFonts w:hint="eastAsia"/>
          <w:sz w:val="24"/>
          <w:szCs w:val="24"/>
          <w:highlight w:val="none"/>
          <w:lang w:eastAsia="zh-CN"/>
        </w:rPr>
        <w:t>排放</w:t>
      </w:r>
      <w:r>
        <w:rPr>
          <w:rFonts w:hint="eastAsia"/>
          <w:sz w:val="24"/>
          <w:szCs w:val="24"/>
          <w:lang w:eastAsia="zh-CN"/>
        </w:rPr>
        <w:t>途径为事故泄漏，溶于雨水或雾气，随降雨进入地表水。地下水污染：释放条件地表受氯污染的水体长期下渗；主要</w:t>
      </w:r>
      <w:r>
        <w:rPr>
          <w:rFonts w:hint="eastAsia"/>
          <w:sz w:val="24"/>
          <w:szCs w:val="24"/>
          <w:highlight w:val="none"/>
          <w:lang w:eastAsia="zh-CN"/>
        </w:rPr>
        <w:t>排放</w:t>
      </w:r>
      <w:r>
        <w:rPr>
          <w:rFonts w:hint="eastAsia"/>
          <w:sz w:val="24"/>
          <w:szCs w:val="24"/>
          <w:lang w:eastAsia="zh-CN"/>
        </w:rPr>
        <w:t>途径为泄漏通过土壤空隙向下渗透补给含水层，浅层地下水受污染后，随地下水流向扩散周边。土壤污染：氯气泄漏沉降覆盖地表，酸雨淋溶；主要</w:t>
      </w:r>
      <w:r>
        <w:rPr>
          <w:rFonts w:hint="eastAsia"/>
          <w:sz w:val="24"/>
          <w:szCs w:val="24"/>
          <w:highlight w:val="none"/>
          <w:lang w:eastAsia="zh-CN"/>
        </w:rPr>
        <w:t>排放</w:t>
      </w:r>
      <w:r>
        <w:rPr>
          <w:rFonts w:hint="eastAsia"/>
          <w:sz w:val="24"/>
          <w:szCs w:val="24"/>
          <w:lang w:eastAsia="zh-CN"/>
        </w:rPr>
        <w:t>途径为氯气与反应产物直接附着土壤表面，含氯废水渗入土壤空隙。</w:t>
      </w:r>
    </w:p>
    <w:p w14:paraId="5CC1C6CF">
      <w:pPr>
        <w:keepNext w:val="0"/>
        <w:keepLines w:val="0"/>
        <w:pageBreakBefore w:val="0"/>
        <w:widowControl w:val="0"/>
        <w:kinsoku/>
        <w:wordWrap/>
        <w:overflowPunct/>
        <w:topLinePunct w:val="0"/>
        <w:autoSpaceDE/>
        <w:autoSpaceDN/>
        <w:bidi w:val="0"/>
        <w:adjustRightInd/>
        <w:snapToGrid/>
        <w:spacing w:line="360" w:lineRule="auto"/>
        <w:ind w:firstLine="486" w:firstLineChars="200"/>
        <w:textAlignment w:val="auto"/>
        <w:rPr>
          <w:rFonts w:hint="eastAsia"/>
          <w:sz w:val="24"/>
          <w:szCs w:val="24"/>
          <w:lang w:eastAsia="zh-CN"/>
        </w:rPr>
      </w:pPr>
      <w:r>
        <w:rPr>
          <w:rFonts w:hint="eastAsia"/>
          <w:sz w:val="24"/>
          <w:szCs w:val="24"/>
          <w:lang w:eastAsia="zh-CN"/>
        </w:rPr>
        <w:t>对环境受体：强氧化性破坏动植物细胞膜，生成盐酸导致水体和土壤酸化，可能与有机物反应生成三氯甲烷等致癌副产物。</w:t>
      </w:r>
    </w:p>
    <w:p w14:paraId="36526D98">
      <w:pPr>
        <w:pStyle w:val="126"/>
        <w:pageBreakBefore w:val="0"/>
        <w:kinsoku/>
        <w:wordWrap/>
        <w:overflowPunct/>
        <w:topLinePunct w:val="0"/>
        <w:bidi w:val="0"/>
        <w:spacing w:line="360" w:lineRule="auto"/>
        <w:textAlignment w:val="auto"/>
        <w:rPr>
          <w:rFonts w:hint="eastAsia"/>
          <w:sz w:val="24"/>
          <w:szCs w:val="24"/>
          <w:lang w:val="en-US" w:eastAsia="zh-CN"/>
        </w:rPr>
      </w:pPr>
      <w:r>
        <w:rPr>
          <w:rFonts w:hint="eastAsia"/>
          <w:sz w:val="24"/>
          <w:szCs w:val="24"/>
          <w:lang w:val="en-US" w:eastAsia="zh-CN"/>
        </w:rPr>
        <w:t>蒸馏残渣大气污染：挥发性组分常温挥发；高温(如露天焚烧，自燃)，颗粒物，酸性气体(HCI,SO2)；风力扬尘携带吸附重金属的细颗粒。释放条件为露天贮存，高温天气，机械扰动(如运输，挖掘)。地表水污染：降雨或地表径流冲刷露天堆放/非法倾倒的残渣，使含多环芳烃，苯系物，重金属等的渗滤液进入河流，湖泊；释放条件包括降雨，坡地堆放，无防渗措施。地下水污染：残渣(尤其液态/半固态)渗漏至土壤后，随重力与地下水流动缓慢下迁；渗滤液穿透包气带进入含水层。释放条件为长期静置，高渗透性土壤，雨季淋溶，填埋场防渗失效。土壤污染：洒漏或渗漏使有机毒物(如苯并[a]芘)接触土壤；酸碱性残渣改变pH，破坏微生物群落。释放条件为裸露堆放，容器破损，运输遗撒，填埋场溃漏。</w:t>
      </w:r>
    </w:p>
    <w:p w14:paraId="2F29A972">
      <w:pPr>
        <w:pStyle w:val="126"/>
        <w:keepNext w:val="0"/>
        <w:keepLines w:val="0"/>
        <w:pageBreakBefore w:val="0"/>
        <w:kinsoku/>
        <w:wordWrap/>
        <w:overflowPunct/>
        <w:topLinePunct w:val="0"/>
        <w:bidi w:val="0"/>
        <w:spacing w:line="360" w:lineRule="auto"/>
        <w:textAlignment w:val="auto"/>
        <w:rPr>
          <w:rFonts w:hint="default"/>
          <w:lang w:val="en-US" w:eastAsia="zh-CN"/>
        </w:rPr>
      </w:pPr>
      <w:r>
        <w:rPr>
          <w:rFonts w:hint="eastAsia"/>
          <w:sz w:val="24"/>
          <w:szCs w:val="24"/>
          <w:lang w:val="en-US" w:eastAsia="zh-CN"/>
        </w:rPr>
        <w:t>环境受体：</w:t>
      </w:r>
      <w:r>
        <w:rPr>
          <w:rFonts w:hint="default"/>
          <w:sz w:val="24"/>
          <w:szCs w:val="24"/>
          <w:lang w:val="en-US" w:eastAsia="zh-CN"/>
        </w:rPr>
        <w:t>污染物具持久性，</w:t>
      </w:r>
      <w:r>
        <w:rPr>
          <w:rFonts w:hint="eastAsia"/>
          <w:sz w:val="24"/>
          <w:szCs w:val="24"/>
          <w:lang w:val="en-US" w:eastAsia="zh-CN"/>
        </w:rPr>
        <w:t>对环境受体</w:t>
      </w:r>
      <w:r>
        <w:rPr>
          <w:rFonts w:hint="default"/>
          <w:sz w:val="24"/>
          <w:szCs w:val="24"/>
          <w:lang w:val="en-US" w:eastAsia="zh-CN"/>
        </w:rPr>
        <w:t>生物累积性与迁移性，易造成跨介质(如土壤地下水地表水)复合污染，修复难度大，周期长。</w:t>
      </w:r>
    </w:p>
    <w:p w14:paraId="350373CB">
      <w:pPr>
        <w:keepNext w:val="0"/>
        <w:keepLines w:val="0"/>
        <w:pageBreakBefore w:val="0"/>
        <w:widowControl w:val="0"/>
        <w:kinsoku/>
        <w:wordWrap/>
        <w:overflowPunct/>
        <w:topLinePunct w:val="0"/>
        <w:autoSpaceDE w:val="0"/>
        <w:autoSpaceDN w:val="0"/>
        <w:bidi w:val="0"/>
        <w:adjustRightInd w:val="0"/>
        <w:snapToGrid w:val="0"/>
        <w:spacing w:line="360" w:lineRule="auto"/>
        <w:ind w:firstLine="486" w:firstLineChars="200"/>
        <w:textAlignment w:val="auto"/>
        <w:rPr>
          <w:rFonts w:hint="default" w:ascii="Times New Roman" w:hAnsi="Times New Roman" w:cs="Times New Roman"/>
          <w:color w:val="auto"/>
          <w:kern w:val="0"/>
          <w:sz w:val="24"/>
        </w:rPr>
      </w:pPr>
      <w:bookmarkStart w:id="154" w:name="_Toc32555"/>
      <w:bookmarkStart w:id="155" w:name="_Toc11047"/>
      <w:bookmarkStart w:id="156" w:name="_Toc426701456"/>
      <w:bookmarkStart w:id="157" w:name="_Toc6810"/>
      <w:bookmarkStart w:id="158" w:name="_Toc425866210"/>
      <w:bookmarkStart w:id="159" w:name="_Toc423956617"/>
      <w:r>
        <w:rPr>
          <w:rFonts w:hint="default" w:ascii="Times New Roman" w:hAnsi="Times New Roman" w:cs="Times New Roman"/>
          <w:color w:val="auto"/>
          <w:kern w:val="0"/>
          <w:sz w:val="24"/>
        </w:rPr>
        <w:t>本公司风险防控设施失灵、企业违法排污、运输系统故障事故及各种自然灾害事故源强与火灾爆炸事故次生污染源强及污染治理设施异常源强相同，因此本次评估重点分析火灾爆炸事故及污染治理设施异常等二类事故。</w:t>
      </w:r>
    </w:p>
    <w:p w14:paraId="11543AA8">
      <w:pPr>
        <w:keepNext w:val="0"/>
        <w:keepLines w:val="0"/>
        <w:pageBreakBefore w:val="0"/>
        <w:widowControl w:val="0"/>
        <w:kinsoku/>
        <w:wordWrap/>
        <w:overflowPunct/>
        <w:topLinePunct w:val="0"/>
        <w:bidi w:val="0"/>
        <w:spacing w:line="360" w:lineRule="auto"/>
        <w:textAlignment w:val="auto"/>
        <w:outlineLvl w:val="9"/>
        <w:rPr>
          <w:rFonts w:hint="default" w:ascii="Times New Roman" w:hAnsi="Times New Roman" w:eastAsia="宋体" w:cs="Times New Roman"/>
          <w:b/>
          <w:bCs/>
          <w:color w:val="auto"/>
          <w:sz w:val="24"/>
          <w:szCs w:val="32"/>
        </w:rPr>
      </w:pPr>
      <w:bookmarkStart w:id="160" w:name="_Toc434493774"/>
      <w:bookmarkStart w:id="161" w:name="_Toc428824270"/>
      <w:r>
        <w:rPr>
          <w:rFonts w:hint="default" w:ascii="Times New Roman" w:hAnsi="Times New Roman" w:eastAsia="宋体" w:cs="Times New Roman"/>
          <w:b/>
          <w:bCs/>
          <w:color w:val="auto"/>
          <w:sz w:val="24"/>
          <w:szCs w:val="32"/>
        </w:rPr>
        <w:t>4.</w:t>
      </w:r>
      <w:r>
        <w:rPr>
          <w:rFonts w:hint="default" w:ascii="Times New Roman" w:hAnsi="Times New Roman" w:eastAsia="宋体" w:cs="Times New Roman"/>
          <w:b/>
          <w:bCs/>
          <w:color w:val="auto"/>
          <w:sz w:val="24"/>
          <w:szCs w:val="32"/>
          <w:lang w:val="en-US" w:eastAsia="zh-CN"/>
        </w:rPr>
        <w:t>3</w:t>
      </w:r>
      <w:r>
        <w:rPr>
          <w:rFonts w:hint="default" w:ascii="Times New Roman" w:hAnsi="Times New Roman" w:eastAsia="宋体" w:cs="Times New Roman"/>
          <w:b/>
          <w:bCs/>
          <w:color w:val="auto"/>
          <w:sz w:val="24"/>
          <w:szCs w:val="32"/>
        </w:rPr>
        <w:t>.1火灾爆炸事故次生污染扩散影响及需要的环境应急能力</w:t>
      </w:r>
      <w:bookmarkEnd w:id="160"/>
      <w:bookmarkEnd w:id="161"/>
    </w:p>
    <w:p w14:paraId="7DCF3DD6">
      <w:pPr>
        <w:keepNext w:val="0"/>
        <w:keepLines w:val="0"/>
        <w:pageBreakBefore w:val="0"/>
        <w:widowControl w:val="0"/>
        <w:kinsoku/>
        <w:wordWrap/>
        <w:overflowPunct/>
        <w:topLinePunct w:val="0"/>
        <w:autoSpaceDE w:val="0"/>
        <w:autoSpaceDN w:val="0"/>
        <w:bidi w:val="0"/>
        <w:adjustRightInd w:val="0"/>
        <w:snapToGrid w:val="0"/>
        <w:spacing w:line="360" w:lineRule="auto"/>
        <w:ind w:firstLine="486" w:firstLineChars="200"/>
        <w:textAlignment w:val="auto"/>
        <w:rPr>
          <w:rFonts w:hint="default" w:ascii="Times New Roman" w:hAnsi="Times New Roman" w:eastAsia="宋体" w:cs="Times New Roman"/>
          <w:color w:val="auto"/>
          <w:kern w:val="0"/>
          <w:sz w:val="24"/>
          <w:szCs w:val="24"/>
        </w:rPr>
      </w:pPr>
      <w:r>
        <w:rPr>
          <w:rFonts w:hint="default" w:ascii="Times New Roman" w:hAnsi="Times New Roman" w:cs="Times New Roman"/>
          <w:color w:val="auto"/>
          <w:kern w:val="0"/>
          <w:sz w:val="24"/>
        </w:rPr>
        <w:t>火灾爆炸事故中热辐射、冲击波和抛射物等直接危害属于安全事故范畴，其对环境的影响范围一般不超出厂界；而未燃烧的危险物质在高温下迅速挥发释放至大气及燃烧物质燃烧过程中产生的伴生/次生物质属于环境风险分析对象，其污染属于环境事故范畴，往往会造</w:t>
      </w:r>
      <w:r>
        <w:rPr>
          <w:rFonts w:hint="default" w:ascii="Times New Roman" w:hAnsi="Times New Roman" w:eastAsia="宋体" w:cs="Times New Roman"/>
          <w:color w:val="auto"/>
          <w:kern w:val="0"/>
          <w:sz w:val="24"/>
          <w:szCs w:val="24"/>
        </w:rPr>
        <w:t>成厂界外的环境影响。</w:t>
      </w:r>
    </w:p>
    <w:p w14:paraId="011BC1DF">
      <w:pPr>
        <w:outlineLvl w:val="9"/>
        <w:rPr>
          <w:rFonts w:hint="default" w:ascii="Times New Roman" w:hAnsi="Times New Roman" w:eastAsia="宋体" w:cs="Times New Roman"/>
          <w:b/>
          <w:bCs/>
          <w:color w:val="auto"/>
          <w:sz w:val="24"/>
          <w:szCs w:val="32"/>
        </w:rPr>
      </w:pPr>
      <w:r>
        <w:rPr>
          <w:rFonts w:hint="default" w:ascii="Times New Roman" w:hAnsi="Times New Roman" w:eastAsia="宋体" w:cs="Times New Roman"/>
          <w:b/>
          <w:bCs/>
          <w:color w:val="auto"/>
          <w:sz w:val="24"/>
          <w:szCs w:val="32"/>
          <w:lang w:val="en-US" w:eastAsia="zh-CN"/>
        </w:rPr>
        <w:t>1、</w:t>
      </w:r>
      <w:r>
        <w:rPr>
          <w:rFonts w:hint="default" w:ascii="Times New Roman" w:hAnsi="Times New Roman" w:eastAsia="宋体" w:cs="Times New Roman"/>
          <w:b/>
          <w:bCs/>
          <w:color w:val="auto"/>
          <w:sz w:val="24"/>
          <w:szCs w:val="32"/>
        </w:rPr>
        <w:t>火灾爆炸事故次生的大气污染扩散影响</w:t>
      </w:r>
    </w:p>
    <w:p w14:paraId="488CBBF2">
      <w:pPr>
        <w:autoSpaceDE w:val="0"/>
        <w:autoSpaceDN w:val="0"/>
        <w:adjustRightInd w:val="0"/>
        <w:spacing w:line="360" w:lineRule="auto"/>
        <w:ind w:firstLine="486" w:firstLineChars="200"/>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危险化学品火灾爆炸事故中产生的烟气是物质在燃烧过程分解产生的气态、液态、固态物质与空气的混合物，烟气对人体的危害主要是燃烧产生的有毒有害气体所引起的窒息和对人体器官造成的毒害作用，可见火灾爆炸事故不可避免地造成大气污染。</w:t>
      </w:r>
    </w:p>
    <w:p w14:paraId="76B070BC">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ascii="Times New Roman" w:hAnsi="Times New Roman" w:eastAsia="宋体" w:cs="Times New Roman"/>
          <w:b/>
          <w:bCs/>
          <w:color w:val="auto"/>
          <w:sz w:val="24"/>
          <w:szCs w:val="32"/>
        </w:rPr>
      </w:pPr>
      <w:r>
        <w:rPr>
          <w:rFonts w:hint="default" w:ascii="Times New Roman" w:hAnsi="Times New Roman" w:eastAsia="宋体" w:cs="Times New Roman"/>
          <w:b/>
          <w:bCs/>
          <w:color w:val="auto"/>
          <w:sz w:val="24"/>
          <w:szCs w:val="32"/>
          <w:lang w:val="en-US" w:eastAsia="zh-CN"/>
        </w:rPr>
        <w:t>2、</w:t>
      </w:r>
      <w:r>
        <w:rPr>
          <w:rFonts w:hint="default" w:ascii="Times New Roman" w:hAnsi="Times New Roman" w:eastAsia="宋体" w:cs="Times New Roman"/>
          <w:b/>
          <w:bCs/>
          <w:color w:val="auto"/>
          <w:sz w:val="24"/>
          <w:szCs w:val="32"/>
        </w:rPr>
        <w:t>火灾爆炸事故衍生的水污染物释放途径</w:t>
      </w:r>
    </w:p>
    <w:p w14:paraId="0C7345B6">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ascii="Times New Roman" w:hAnsi="Times New Roman" w:eastAsia="宋体" w:cs="Times New Roman"/>
          <w:b/>
          <w:bCs/>
          <w:color w:val="auto"/>
          <w:sz w:val="24"/>
          <w:szCs w:val="32"/>
        </w:rPr>
      </w:pPr>
      <w:r>
        <w:rPr>
          <w:rFonts w:hint="default" w:ascii="Times New Roman" w:hAnsi="Times New Roman" w:eastAsia="宋体" w:cs="Times New Roman"/>
          <w:b/>
          <w:bCs/>
          <w:color w:val="auto"/>
          <w:sz w:val="24"/>
          <w:szCs w:val="32"/>
          <w:lang w:eastAsia="zh-CN"/>
        </w:rPr>
        <w:t>（</w:t>
      </w:r>
      <w:r>
        <w:rPr>
          <w:rFonts w:hint="default" w:ascii="Times New Roman" w:hAnsi="Times New Roman" w:eastAsia="宋体" w:cs="Times New Roman"/>
          <w:b/>
          <w:bCs/>
          <w:color w:val="auto"/>
          <w:sz w:val="24"/>
          <w:szCs w:val="32"/>
          <w:lang w:val="en-US" w:eastAsia="zh-CN"/>
        </w:rPr>
        <w:t>1</w:t>
      </w:r>
      <w:r>
        <w:rPr>
          <w:rFonts w:hint="default" w:ascii="Times New Roman" w:hAnsi="Times New Roman" w:eastAsia="宋体" w:cs="Times New Roman"/>
          <w:b/>
          <w:bCs/>
          <w:color w:val="auto"/>
          <w:sz w:val="24"/>
          <w:szCs w:val="32"/>
          <w:lang w:eastAsia="zh-CN"/>
        </w:rPr>
        <w:t>）</w:t>
      </w:r>
      <w:r>
        <w:rPr>
          <w:rFonts w:hint="default" w:ascii="Times New Roman" w:hAnsi="Times New Roman" w:eastAsia="宋体" w:cs="Times New Roman"/>
          <w:b/>
          <w:bCs/>
          <w:color w:val="auto"/>
          <w:sz w:val="24"/>
          <w:szCs w:val="32"/>
        </w:rPr>
        <w:t>此类事故到环境风险受体的可能性、释放条件、排放途径</w:t>
      </w:r>
    </w:p>
    <w:p w14:paraId="432755AF">
      <w:pPr>
        <w:autoSpaceDE w:val="0"/>
        <w:autoSpaceDN w:val="0"/>
        <w:adjustRightInd w:val="0"/>
        <w:spacing w:line="360" w:lineRule="auto"/>
        <w:ind w:firstLine="486" w:firstLineChars="200"/>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发生火灾、爆炸事故时，生产装置爆炸起火，消防人员在进行消防扑救的同时，由于装置破裂，有毒有害化学品和消防水混合产生大量污染废水，即事故状态废水（或消防尾水）。如果不对其加以收集、处置，必然会对企业所在地地表水和地下水造成严重的污染。</w:t>
      </w:r>
    </w:p>
    <w:p w14:paraId="30E0B81C">
      <w:pPr>
        <w:autoSpaceDE w:val="0"/>
        <w:autoSpaceDN w:val="0"/>
        <w:adjustRightInd w:val="0"/>
        <w:spacing w:line="360" w:lineRule="auto"/>
        <w:ind w:firstLine="486" w:firstLineChars="200"/>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本企业厂内消防尾水及事故废水收集系统见图4.3-1。</w:t>
      </w:r>
    </w:p>
    <w:p w14:paraId="0A443460">
      <w:pPr>
        <w:autoSpaceDE w:val="0"/>
        <w:autoSpaceDN w:val="0"/>
        <w:adjustRightInd w:val="0"/>
        <w:spacing w:line="360" w:lineRule="auto"/>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object>
          <v:shape id="_x0000_i1122" o:spt="75" type="#_x0000_t75" style="height:124.6pt;width:415.55pt;" o:ole="t" filled="f" o:preferrelative="t" stroked="f" coordsize="21600,21600">
            <v:path/>
            <v:fill on="f" alignshape="1" focussize="0,0"/>
            <v:stroke on="f"/>
            <v:imagedata r:id="rId162" o:title=""/>
            <o:lock v:ext="edit" aspectratio="t"/>
            <w10:wrap type="none"/>
            <w10:anchorlock/>
          </v:shape>
          <o:OLEObject Type="Embed" ProgID="Visio.Drawing.11" ShapeID="_x0000_i1122" DrawAspect="Content" ObjectID="_1468075826" r:id="rId161">
            <o:LockedField>false</o:LockedField>
          </o:OLEObject>
        </w:object>
      </w:r>
    </w:p>
    <w:p w14:paraId="55464187">
      <w:pPr>
        <w:autoSpaceDE w:val="0"/>
        <w:autoSpaceDN w:val="0"/>
        <w:adjustRightInd w:val="0"/>
        <w:spacing w:line="360" w:lineRule="auto"/>
        <w:jc w:val="center"/>
        <w:rPr>
          <w:rFonts w:hint="default" w:ascii="Times New Roman" w:hAnsi="Times New Roman" w:eastAsia="宋体" w:cs="Times New Roman"/>
          <w:b/>
          <w:bCs/>
          <w:color w:val="auto"/>
          <w:kern w:val="0"/>
          <w:sz w:val="24"/>
          <w:szCs w:val="24"/>
        </w:rPr>
      </w:pPr>
      <w:r>
        <w:rPr>
          <w:rFonts w:hint="default" w:ascii="Times New Roman" w:hAnsi="Times New Roman" w:eastAsia="宋体" w:cs="Times New Roman"/>
          <w:b/>
          <w:bCs/>
          <w:color w:val="auto"/>
          <w:kern w:val="0"/>
          <w:sz w:val="24"/>
          <w:szCs w:val="24"/>
        </w:rPr>
        <w:t>图 4.</w:t>
      </w:r>
      <w:r>
        <w:rPr>
          <w:rFonts w:hint="default" w:ascii="Times New Roman" w:hAnsi="Times New Roman" w:eastAsia="宋体" w:cs="Times New Roman"/>
          <w:b/>
          <w:bCs/>
          <w:color w:val="auto"/>
          <w:kern w:val="0"/>
          <w:sz w:val="24"/>
          <w:szCs w:val="24"/>
          <w:lang w:val="en-US" w:eastAsia="zh-CN"/>
        </w:rPr>
        <w:t>3</w:t>
      </w:r>
      <w:r>
        <w:rPr>
          <w:rFonts w:hint="default" w:ascii="Times New Roman" w:hAnsi="Times New Roman" w:eastAsia="宋体" w:cs="Times New Roman"/>
          <w:b/>
          <w:bCs/>
          <w:color w:val="auto"/>
          <w:kern w:val="0"/>
          <w:sz w:val="24"/>
          <w:szCs w:val="24"/>
        </w:rPr>
        <w:t>-1  厂区事故废水收集管网图</w:t>
      </w:r>
    </w:p>
    <w:p w14:paraId="4D7243AE">
      <w:pPr>
        <w:autoSpaceDE w:val="0"/>
        <w:autoSpaceDN w:val="0"/>
        <w:adjustRightInd w:val="0"/>
        <w:spacing w:line="360" w:lineRule="auto"/>
        <w:ind w:firstLine="486" w:firstLineChars="200"/>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由上图可见，当工艺装置、储罐区发生有毒有害物质泄漏、火灾爆炸等事故时，开启应急消防系统，此时雨水系统泵必须是关闭的，受污染的消防水直接进入雨水收集池后再自流入事故池。</w:t>
      </w:r>
    </w:p>
    <w:p w14:paraId="1661CA91">
      <w:pPr>
        <w:autoSpaceDE w:val="0"/>
        <w:autoSpaceDN w:val="0"/>
        <w:adjustRightInd w:val="0"/>
        <w:spacing w:line="360" w:lineRule="auto"/>
        <w:ind w:firstLine="486" w:firstLineChars="200"/>
        <w:rPr>
          <w:rFonts w:hint="default" w:ascii="Times New Roman" w:hAnsi="Times New Roman" w:cs="Times New Roman"/>
          <w:color w:val="auto"/>
          <w:kern w:val="0"/>
          <w:sz w:val="24"/>
        </w:rPr>
      </w:pPr>
      <w:r>
        <w:rPr>
          <w:rFonts w:hint="default" w:ascii="Times New Roman" w:hAnsi="Times New Roman" w:cs="Times New Roman"/>
          <w:color w:val="auto"/>
          <w:kern w:val="0"/>
          <w:sz w:val="24"/>
        </w:rPr>
        <w:t>本公司设置了</w:t>
      </w:r>
      <w:r>
        <w:rPr>
          <w:rFonts w:hint="default" w:ascii="Times New Roman" w:hAnsi="Times New Roman" w:cs="Times New Roman"/>
          <w:color w:val="auto"/>
          <w:kern w:val="0"/>
          <w:sz w:val="24"/>
          <w:lang w:eastAsia="zh-CN"/>
        </w:rPr>
        <w:t>总容积为</w:t>
      </w:r>
      <w:r>
        <w:rPr>
          <w:rFonts w:hint="default" w:ascii="Times New Roman" w:hAnsi="Times New Roman" w:cs="Times New Roman"/>
          <w:color w:val="auto"/>
          <w:kern w:val="0"/>
          <w:sz w:val="24"/>
          <w:lang w:val="en-US" w:eastAsia="zh-CN"/>
        </w:rPr>
        <w:t>300</w:t>
      </w:r>
      <w:r>
        <w:rPr>
          <w:rFonts w:hint="default" w:ascii="Times New Roman" w:hAnsi="Times New Roman" w:cs="Times New Roman"/>
          <w:color w:val="auto"/>
          <w:kern w:val="0"/>
          <w:sz w:val="24"/>
        </w:rPr>
        <w:t>m³的事故水池</w:t>
      </w:r>
      <w:r>
        <w:rPr>
          <w:rFonts w:hint="default" w:ascii="Times New Roman" w:hAnsi="Times New Roman" w:cs="Times New Roman"/>
          <w:color w:val="auto"/>
          <w:kern w:val="0"/>
          <w:sz w:val="24"/>
          <w:lang w:val="en-US" w:eastAsia="zh-CN"/>
        </w:rPr>
        <w:t>1</w:t>
      </w:r>
      <w:r>
        <w:rPr>
          <w:rFonts w:hint="default" w:ascii="Times New Roman" w:hAnsi="Times New Roman" w:cs="Times New Roman"/>
          <w:color w:val="auto"/>
          <w:kern w:val="0"/>
          <w:sz w:val="24"/>
        </w:rPr>
        <w:t>座，以确保事故状态废水不外排，废水收集到事故水池后，分析检测是否可以达标排放，若废水水质达标，则泵入废水池排入市政污水管网；若废水水质不满足生产水质要求，则委托相应资质单位进行处理。</w:t>
      </w:r>
    </w:p>
    <w:p w14:paraId="0350DDB0">
      <w:pPr>
        <w:autoSpaceDE w:val="0"/>
        <w:autoSpaceDN w:val="0"/>
        <w:adjustRightInd w:val="0"/>
        <w:spacing w:line="360" w:lineRule="auto"/>
        <w:ind w:firstLine="486" w:firstLineChars="200"/>
        <w:rPr>
          <w:rFonts w:hint="default" w:ascii="Times New Roman" w:hAnsi="Times New Roman" w:cs="Times New Roman"/>
          <w:color w:val="auto"/>
          <w:kern w:val="0"/>
          <w:sz w:val="24"/>
        </w:rPr>
      </w:pPr>
      <w:r>
        <w:rPr>
          <w:rFonts w:hint="default" w:ascii="Times New Roman" w:hAnsi="Times New Roman" w:cs="Times New Roman"/>
          <w:color w:val="auto"/>
          <w:kern w:val="0"/>
          <w:sz w:val="24"/>
        </w:rPr>
        <w:t>本公司为了防止事故对厂区及周边地下水造成污染，对装置区、罐区等设施的地基和地表进行了防渗处理。</w:t>
      </w:r>
      <w:r>
        <w:rPr>
          <w:rFonts w:hint="default" w:ascii="Times New Roman" w:hAnsi="Times New Roman" w:cs="Times New Roman"/>
          <w:color w:val="auto"/>
          <w:sz w:val="24"/>
        </w:rPr>
        <w:t>设置清污切换系统，并与事故水池相连；各罐区设置引水渠，与事故水池相连，并且做好</w:t>
      </w:r>
      <w:r>
        <w:rPr>
          <w:rFonts w:hint="default" w:ascii="Times New Roman" w:hAnsi="Times New Roman" w:cs="Times New Roman"/>
          <w:color w:val="auto"/>
          <w:kern w:val="0"/>
          <w:sz w:val="24"/>
        </w:rPr>
        <w:t>防渗措施。因此，企业在设置可靠的消防水收集池和事故池的前提下，可以确保事故状态下有毒有害物质不排入</w:t>
      </w:r>
      <w:r>
        <w:rPr>
          <w:rFonts w:hint="default" w:ascii="Times New Roman" w:hAnsi="Times New Roman" w:cs="Times New Roman"/>
          <w:color w:val="auto"/>
          <w:kern w:val="0"/>
          <w:sz w:val="24"/>
          <w:lang w:eastAsia="zh-CN"/>
        </w:rPr>
        <w:t>淄河、乌河、小清河</w:t>
      </w:r>
      <w:r>
        <w:rPr>
          <w:rFonts w:hint="default" w:ascii="Times New Roman" w:hAnsi="Times New Roman" w:cs="Times New Roman"/>
          <w:color w:val="auto"/>
          <w:kern w:val="0"/>
          <w:sz w:val="24"/>
        </w:rPr>
        <w:t>。</w:t>
      </w:r>
    </w:p>
    <w:p w14:paraId="4AF3ED45">
      <w:pPr>
        <w:autoSpaceDE w:val="0"/>
        <w:autoSpaceDN w:val="0"/>
        <w:adjustRightInd w:val="0"/>
        <w:spacing w:line="360" w:lineRule="auto"/>
        <w:ind w:firstLine="486" w:firstLineChars="200"/>
        <w:rPr>
          <w:rFonts w:hint="default" w:ascii="Times New Roman" w:hAnsi="Times New Roman" w:cs="Times New Roman"/>
          <w:b w:val="0"/>
          <w:bCs/>
          <w:color w:val="auto"/>
          <w:kern w:val="0"/>
          <w:sz w:val="24"/>
        </w:rPr>
      </w:pPr>
      <w:r>
        <w:rPr>
          <w:rFonts w:hint="default" w:ascii="Times New Roman" w:hAnsi="Times New Roman" w:cs="Times New Roman"/>
          <w:b w:val="0"/>
          <w:bCs/>
          <w:color w:val="auto"/>
          <w:kern w:val="0"/>
          <w:sz w:val="24"/>
          <w:lang w:eastAsia="zh-CN"/>
        </w:rPr>
        <w:t>（</w:t>
      </w:r>
      <w:r>
        <w:rPr>
          <w:rFonts w:hint="default" w:ascii="Times New Roman" w:hAnsi="Times New Roman" w:cs="Times New Roman"/>
          <w:b w:val="0"/>
          <w:bCs/>
          <w:color w:val="auto"/>
          <w:kern w:val="0"/>
          <w:sz w:val="24"/>
          <w:lang w:val="en-US" w:eastAsia="zh-CN"/>
        </w:rPr>
        <w:t>2</w:t>
      </w:r>
      <w:r>
        <w:rPr>
          <w:rFonts w:hint="default" w:ascii="Times New Roman" w:hAnsi="Times New Roman" w:cs="Times New Roman"/>
          <w:b w:val="0"/>
          <w:bCs/>
          <w:color w:val="auto"/>
          <w:kern w:val="0"/>
          <w:sz w:val="24"/>
          <w:lang w:eastAsia="zh-CN"/>
        </w:rPr>
        <w:t>）</w:t>
      </w:r>
      <w:r>
        <w:rPr>
          <w:rFonts w:hint="default" w:ascii="Times New Roman" w:hAnsi="Times New Roman" w:cs="Times New Roman"/>
          <w:b w:val="0"/>
          <w:bCs/>
          <w:color w:val="auto"/>
          <w:kern w:val="0"/>
          <w:sz w:val="24"/>
        </w:rPr>
        <w:t>此类事故需要的应急物资、应急装备和应急救援队伍情况</w:t>
      </w:r>
    </w:p>
    <w:p w14:paraId="11EA50B7">
      <w:pPr>
        <w:autoSpaceDE w:val="0"/>
        <w:autoSpaceDN w:val="0"/>
        <w:adjustRightInd w:val="0"/>
        <w:spacing w:line="360" w:lineRule="auto"/>
        <w:ind w:firstLine="486" w:firstLineChars="200"/>
        <w:rPr>
          <w:rFonts w:hint="default" w:ascii="Times New Roman" w:hAnsi="Times New Roman" w:cs="Times New Roman"/>
          <w:color w:val="auto"/>
          <w:kern w:val="0"/>
          <w:sz w:val="24"/>
        </w:rPr>
      </w:pPr>
      <w:r>
        <w:rPr>
          <w:rFonts w:hint="default" w:ascii="Times New Roman" w:hAnsi="Times New Roman" w:cs="Times New Roman"/>
          <w:color w:val="auto"/>
          <w:kern w:val="0"/>
          <w:sz w:val="24"/>
        </w:rPr>
        <w:t>为将突发事故危害降至最低，必须落实环境应急物资、应急装置和应急救援队伍，具体如下：</w:t>
      </w:r>
    </w:p>
    <w:p w14:paraId="4DD19DE3">
      <w:pPr>
        <w:autoSpaceDE w:val="0"/>
        <w:autoSpaceDN w:val="0"/>
        <w:adjustRightInd w:val="0"/>
        <w:spacing w:line="360" w:lineRule="auto"/>
        <w:ind w:firstLine="486" w:firstLineChars="200"/>
        <w:rPr>
          <w:rFonts w:hint="default" w:ascii="Times New Roman" w:hAnsi="Times New Roman" w:cs="Times New Roman"/>
          <w:color w:val="auto"/>
          <w:kern w:val="0"/>
          <w:sz w:val="24"/>
        </w:rPr>
      </w:pPr>
      <w:r>
        <w:rPr>
          <w:rFonts w:hint="default" w:ascii="Times New Roman" w:hAnsi="Times New Roman" w:cs="Times New Roman"/>
          <w:color w:val="auto"/>
          <w:kern w:val="0"/>
          <w:sz w:val="24"/>
        </w:rPr>
        <w:t>a.应急装置要求：厂区雨水通过泵打入市政雨水管网，厂区内调置足够容量的应急池，一旦发生火灾爆炸后，及时关停雨水泵，截留排放的污水并将其导入事故应急池待处理。在生产装置区周围设置围堰、排水沟等倒流措施，用于收集泄漏的危险化学品。</w:t>
      </w:r>
    </w:p>
    <w:p w14:paraId="4044C5C3">
      <w:pPr>
        <w:autoSpaceDE w:val="0"/>
        <w:autoSpaceDN w:val="0"/>
        <w:adjustRightInd w:val="0"/>
        <w:spacing w:line="360" w:lineRule="auto"/>
        <w:ind w:firstLine="486" w:firstLineChars="200"/>
        <w:rPr>
          <w:rFonts w:hint="default" w:ascii="Times New Roman" w:hAnsi="Times New Roman" w:cs="Times New Roman"/>
          <w:color w:val="auto"/>
          <w:kern w:val="0"/>
          <w:sz w:val="24"/>
        </w:rPr>
      </w:pPr>
      <w:r>
        <w:rPr>
          <w:rFonts w:hint="default" w:ascii="Times New Roman" w:hAnsi="Times New Roman" w:cs="Times New Roman"/>
          <w:color w:val="auto"/>
          <w:kern w:val="0"/>
          <w:sz w:val="24"/>
        </w:rPr>
        <w:t>b.应急物资要求：重点做好水消防设备及干粉灭火设备的配备及维保，个人应急防护及应急通信设备的维护。企业还应按照《危险化学品单位应急救援物资配备要求》（GB30077-2013）进行配备，并符合安监、消防、环保等管理部门的要求。</w:t>
      </w:r>
    </w:p>
    <w:p w14:paraId="30F4FBD8">
      <w:pPr>
        <w:autoSpaceDE w:val="0"/>
        <w:autoSpaceDN w:val="0"/>
        <w:adjustRightInd w:val="0"/>
        <w:spacing w:line="360" w:lineRule="auto"/>
        <w:ind w:firstLine="486" w:firstLineChars="200"/>
        <w:rPr>
          <w:rFonts w:hint="default" w:ascii="Times New Roman" w:hAnsi="Times New Roman" w:eastAsia="宋体" w:cs="Times New Roman"/>
          <w:color w:val="auto"/>
          <w:kern w:val="0"/>
          <w:sz w:val="24"/>
          <w:szCs w:val="24"/>
        </w:rPr>
      </w:pPr>
      <w:r>
        <w:rPr>
          <w:rFonts w:hint="default" w:ascii="Times New Roman" w:hAnsi="Times New Roman" w:cs="Times New Roman"/>
          <w:color w:val="auto"/>
          <w:kern w:val="0"/>
          <w:sz w:val="24"/>
        </w:rPr>
        <w:t>c.应急救援队伍：由专职人员及兼职人员组成的厂内应急队伍，人员要定岗定位，各岗位人员还要有备份，出现事故时依次序上岗，保证事故发生后，能有人及时启动应急救援，防止恶性事故发生后无人操作。消防人员在灭火救援的同时，也要考虑消防水及有毒物质</w:t>
      </w:r>
      <w:r>
        <w:rPr>
          <w:rFonts w:hint="default" w:ascii="Times New Roman" w:hAnsi="Times New Roman" w:eastAsia="宋体" w:cs="Times New Roman"/>
          <w:color w:val="auto"/>
          <w:kern w:val="0"/>
          <w:sz w:val="24"/>
          <w:szCs w:val="24"/>
        </w:rPr>
        <w:t>的流向，安排专人对应急装置进行操作。</w:t>
      </w:r>
    </w:p>
    <w:p w14:paraId="444F7AD6">
      <w:pPr>
        <w:keepNext w:val="0"/>
        <w:keepLines w:val="0"/>
        <w:pageBreakBefore w:val="0"/>
        <w:widowControl w:val="0"/>
        <w:kinsoku/>
        <w:wordWrap/>
        <w:overflowPunct/>
        <w:topLinePunct w:val="0"/>
        <w:bidi w:val="0"/>
        <w:snapToGrid/>
        <w:spacing w:line="360" w:lineRule="auto"/>
        <w:textAlignment w:val="auto"/>
        <w:outlineLvl w:val="9"/>
        <w:rPr>
          <w:rFonts w:hint="default" w:ascii="Times New Roman" w:hAnsi="Times New Roman" w:eastAsia="宋体" w:cs="Times New Roman"/>
          <w:b/>
          <w:bCs/>
          <w:color w:val="auto"/>
          <w:sz w:val="24"/>
          <w:szCs w:val="32"/>
        </w:rPr>
      </w:pPr>
      <w:bookmarkStart w:id="162" w:name="_Toc434493775"/>
      <w:bookmarkStart w:id="163" w:name="_Toc428824271"/>
      <w:r>
        <w:rPr>
          <w:rFonts w:hint="default" w:ascii="Times New Roman" w:hAnsi="Times New Roman" w:eastAsia="宋体" w:cs="Times New Roman"/>
          <w:b/>
          <w:bCs/>
          <w:color w:val="auto"/>
          <w:sz w:val="24"/>
          <w:szCs w:val="32"/>
        </w:rPr>
        <w:t>4.</w:t>
      </w:r>
      <w:r>
        <w:rPr>
          <w:rFonts w:hint="default" w:ascii="Times New Roman" w:hAnsi="Times New Roman" w:eastAsia="宋体" w:cs="Times New Roman"/>
          <w:b/>
          <w:bCs/>
          <w:color w:val="auto"/>
          <w:sz w:val="24"/>
          <w:szCs w:val="32"/>
          <w:lang w:val="en-US" w:eastAsia="zh-CN"/>
        </w:rPr>
        <w:t>3</w:t>
      </w:r>
      <w:r>
        <w:rPr>
          <w:rFonts w:hint="default" w:ascii="Times New Roman" w:hAnsi="Times New Roman" w:eastAsia="宋体" w:cs="Times New Roman"/>
          <w:b/>
          <w:bCs/>
          <w:color w:val="auto"/>
          <w:sz w:val="24"/>
          <w:szCs w:val="32"/>
        </w:rPr>
        <w:t>.2危险化学品泄漏扩散影响及需要的环境应急能力</w:t>
      </w:r>
      <w:bookmarkEnd w:id="162"/>
      <w:bookmarkEnd w:id="163"/>
    </w:p>
    <w:p w14:paraId="0DC29D97">
      <w:pPr>
        <w:keepNext w:val="0"/>
        <w:keepLines w:val="0"/>
        <w:pageBreakBefore w:val="0"/>
        <w:widowControl w:val="0"/>
        <w:kinsoku/>
        <w:wordWrap/>
        <w:overflowPunct/>
        <w:topLinePunct w:val="0"/>
        <w:autoSpaceDE w:val="0"/>
        <w:autoSpaceDN w:val="0"/>
        <w:bidi w:val="0"/>
        <w:adjustRightInd w:val="0"/>
        <w:snapToGrid/>
        <w:spacing w:line="360" w:lineRule="auto"/>
        <w:ind w:firstLine="486" w:firstLineChars="200"/>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针对本公司可能出现的</w:t>
      </w:r>
      <w:r>
        <w:rPr>
          <w:rFonts w:hint="default" w:ascii="Times New Roman" w:hAnsi="Times New Roman" w:eastAsia="宋体" w:cs="Times New Roman"/>
          <w:color w:val="auto"/>
          <w:sz w:val="24"/>
          <w:szCs w:val="24"/>
        </w:rPr>
        <w:t>中</w:t>
      </w:r>
      <w:r>
        <w:rPr>
          <w:rFonts w:hint="default" w:ascii="Times New Roman" w:hAnsi="Times New Roman" w:cs="Times New Roman"/>
          <w:color w:val="auto"/>
          <w:sz w:val="24"/>
          <w:szCs w:val="24"/>
          <w:lang w:eastAsia="zh-CN"/>
        </w:rPr>
        <w:t>苯酚、甲醇、硫酸、</w:t>
      </w:r>
      <w:r>
        <w:rPr>
          <w:rFonts w:hint="eastAsia" w:cs="Times New Roman"/>
          <w:color w:val="auto"/>
          <w:sz w:val="24"/>
          <w:szCs w:val="24"/>
          <w:lang w:eastAsia="zh-CN"/>
        </w:rPr>
        <w:t>氨</w:t>
      </w:r>
      <w:r>
        <w:rPr>
          <w:rFonts w:hint="default" w:ascii="Times New Roman" w:hAnsi="Times New Roman" w:eastAsia="宋体" w:cs="Times New Roman"/>
          <w:color w:val="auto"/>
          <w:sz w:val="24"/>
          <w:szCs w:val="24"/>
          <w:lang w:eastAsia="zh-CN"/>
        </w:rPr>
        <w:t>等</w:t>
      </w:r>
      <w:r>
        <w:rPr>
          <w:rFonts w:hint="default" w:ascii="Times New Roman" w:hAnsi="Times New Roman" w:eastAsia="宋体" w:cs="Times New Roman"/>
          <w:color w:val="auto"/>
          <w:kern w:val="0"/>
          <w:sz w:val="24"/>
          <w:szCs w:val="24"/>
        </w:rPr>
        <w:t>储罐泄漏后，可控制在现有围堰内，并</w:t>
      </w:r>
      <w:r>
        <w:rPr>
          <w:rFonts w:hint="default" w:ascii="Times New Roman" w:hAnsi="Times New Roman" w:eastAsia="宋体" w:cs="Times New Roman"/>
          <w:color w:val="auto"/>
          <w:sz w:val="24"/>
          <w:szCs w:val="24"/>
        </w:rPr>
        <w:t>与事故水池相连</w:t>
      </w:r>
      <w:r>
        <w:rPr>
          <w:rFonts w:hint="default" w:ascii="Times New Roman" w:hAnsi="Times New Roman" w:eastAsia="宋体" w:cs="Times New Roman"/>
          <w:color w:val="auto"/>
          <w:kern w:val="0"/>
          <w:sz w:val="24"/>
          <w:szCs w:val="24"/>
        </w:rPr>
        <w:t>，可视程度进行回用或处置。</w:t>
      </w:r>
    </w:p>
    <w:p w14:paraId="1B076151">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ascii="Times New Roman" w:hAnsi="Times New Roman" w:eastAsia="宋体" w:cs="Times New Roman"/>
          <w:b/>
          <w:bCs/>
          <w:color w:val="auto"/>
          <w:sz w:val="24"/>
          <w:szCs w:val="32"/>
        </w:rPr>
      </w:pPr>
      <w:bookmarkStart w:id="164" w:name="_Toc428824272"/>
      <w:bookmarkStart w:id="165" w:name="_Toc434493776"/>
      <w:r>
        <w:rPr>
          <w:rFonts w:hint="default" w:ascii="Times New Roman" w:hAnsi="Times New Roman" w:eastAsia="宋体" w:cs="Times New Roman"/>
          <w:b/>
          <w:bCs/>
          <w:color w:val="auto"/>
          <w:sz w:val="24"/>
          <w:szCs w:val="32"/>
        </w:rPr>
        <w:t>4.</w:t>
      </w:r>
      <w:r>
        <w:rPr>
          <w:rFonts w:hint="default" w:ascii="Times New Roman" w:hAnsi="Times New Roman" w:eastAsia="宋体" w:cs="Times New Roman"/>
          <w:b/>
          <w:bCs/>
          <w:color w:val="auto"/>
          <w:sz w:val="24"/>
          <w:szCs w:val="32"/>
          <w:lang w:val="en-US" w:eastAsia="zh-CN"/>
        </w:rPr>
        <w:t>3</w:t>
      </w:r>
      <w:r>
        <w:rPr>
          <w:rFonts w:hint="default" w:ascii="Times New Roman" w:hAnsi="Times New Roman" w:eastAsia="宋体" w:cs="Times New Roman"/>
          <w:b/>
          <w:bCs/>
          <w:color w:val="auto"/>
          <w:sz w:val="24"/>
          <w:szCs w:val="32"/>
        </w:rPr>
        <w:t>.3污染治理设施异常的风险物质扩散影响</w:t>
      </w:r>
      <w:bookmarkEnd w:id="164"/>
      <w:bookmarkEnd w:id="165"/>
    </w:p>
    <w:p w14:paraId="68B92C43">
      <w:pPr>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default" w:ascii="Times New Roman" w:hAnsi="Times New Roman" w:eastAsia="宋体" w:cs="Times New Roman"/>
          <w:b/>
          <w:color w:val="auto"/>
          <w:sz w:val="24"/>
          <w:szCs w:val="24"/>
          <w:lang w:val="en-US" w:eastAsia="zh-CN"/>
        </w:rPr>
      </w:pPr>
      <w:bookmarkStart w:id="166" w:name="_Toc428824273"/>
      <w:r>
        <w:rPr>
          <w:rFonts w:hint="default" w:ascii="Times New Roman" w:hAnsi="Times New Roman" w:eastAsia="宋体" w:cs="Times New Roman"/>
          <w:b w:val="0"/>
          <w:color w:val="auto"/>
          <w:sz w:val="24"/>
          <w:szCs w:val="24"/>
          <w:lang w:val="en-US" w:eastAsia="zh-CN"/>
        </w:rPr>
        <w:t xml:space="preserve">   项目产生的废水主要为工艺废水、洗釜废水、车间地面和道路冲洗废水、真空泵废水、初期雨水以及生活污水。项目废水经过厂区污水处理设施</w:t>
      </w:r>
      <w:r>
        <w:rPr>
          <w:rFonts w:hint="default" w:ascii="Times New Roman" w:hAnsi="Times New Roman" w:eastAsia="宋体" w:cs="Times New Roman"/>
          <w:color w:val="auto"/>
          <w:sz w:val="24"/>
          <w:szCs w:val="24"/>
        </w:rPr>
        <w:t>初步处理合格后外排到齐鲁石化水处理厂</w:t>
      </w:r>
      <w:r>
        <w:rPr>
          <w:rFonts w:hint="default" w:ascii="Times New Roman" w:hAnsi="Times New Roman" w:eastAsia="宋体" w:cs="Times New Roman"/>
          <w:color w:val="auto"/>
          <w:sz w:val="24"/>
          <w:szCs w:val="24"/>
          <w:lang w:eastAsia="zh-CN"/>
        </w:rPr>
        <w:t>。</w:t>
      </w:r>
    </w:p>
    <w:p w14:paraId="298DAE18">
      <w:pPr>
        <w:outlineLvl w:val="9"/>
        <w:rPr>
          <w:rFonts w:hint="default" w:ascii="Times New Roman" w:hAnsi="Times New Roman" w:eastAsia="宋体" w:cs="Times New Roman"/>
          <w:b/>
          <w:bCs/>
          <w:color w:val="auto"/>
          <w:sz w:val="24"/>
          <w:szCs w:val="32"/>
        </w:rPr>
      </w:pPr>
      <w:r>
        <w:rPr>
          <w:rFonts w:hint="default" w:ascii="Times New Roman" w:hAnsi="Times New Roman" w:eastAsia="宋体" w:cs="Times New Roman"/>
          <w:b/>
          <w:bCs/>
          <w:color w:val="auto"/>
          <w:sz w:val="24"/>
          <w:szCs w:val="32"/>
        </w:rPr>
        <w:t>4.</w:t>
      </w:r>
      <w:r>
        <w:rPr>
          <w:rFonts w:hint="default" w:ascii="Times New Roman" w:hAnsi="Times New Roman" w:eastAsia="宋体" w:cs="Times New Roman"/>
          <w:b/>
          <w:bCs/>
          <w:color w:val="auto"/>
          <w:sz w:val="24"/>
          <w:szCs w:val="32"/>
          <w:lang w:val="en-US" w:eastAsia="zh-CN"/>
        </w:rPr>
        <w:t>3</w:t>
      </w:r>
      <w:r>
        <w:rPr>
          <w:rFonts w:hint="default" w:ascii="Times New Roman" w:hAnsi="Times New Roman" w:eastAsia="宋体" w:cs="Times New Roman"/>
          <w:b/>
          <w:bCs/>
          <w:color w:val="auto"/>
          <w:sz w:val="24"/>
          <w:szCs w:val="32"/>
        </w:rPr>
        <w:t>.</w:t>
      </w:r>
      <w:r>
        <w:rPr>
          <w:rFonts w:hint="default" w:ascii="Times New Roman" w:hAnsi="Times New Roman" w:eastAsia="宋体" w:cs="Times New Roman"/>
          <w:b/>
          <w:bCs/>
          <w:color w:val="auto"/>
          <w:sz w:val="24"/>
          <w:szCs w:val="32"/>
          <w:lang w:val="en-US" w:eastAsia="zh-CN"/>
        </w:rPr>
        <w:t>4</w:t>
      </w:r>
      <w:r>
        <w:rPr>
          <w:rFonts w:hint="default" w:ascii="Times New Roman" w:hAnsi="Times New Roman" w:eastAsia="宋体" w:cs="Times New Roman"/>
          <w:b/>
          <w:bCs/>
          <w:color w:val="auto"/>
          <w:sz w:val="24"/>
          <w:szCs w:val="32"/>
        </w:rPr>
        <w:t>水环境风险防控设施失灵造成的污染影响</w:t>
      </w:r>
      <w:bookmarkEnd w:id="166"/>
    </w:p>
    <w:p w14:paraId="532E1278">
      <w:pPr>
        <w:keepNext w:val="0"/>
        <w:keepLines w:val="0"/>
        <w:pageBreakBefore w:val="0"/>
        <w:widowControl w:val="0"/>
        <w:kinsoku/>
        <w:wordWrap/>
        <w:overflowPunct/>
        <w:topLinePunct w:val="0"/>
        <w:autoSpaceDE w:val="0"/>
        <w:autoSpaceDN w:val="0"/>
        <w:bidi w:val="0"/>
        <w:adjustRightInd w:val="0"/>
        <w:spacing w:line="360" w:lineRule="auto"/>
        <w:ind w:firstLine="486" w:firstLineChars="200"/>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水环境风险防控设施失灵的最大危害是含有化学物质的消防尾水，通过雨水管道排入地表水体——</w:t>
      </w:r>
      <w:r>
        <w:rPr>
          <w:rFonts w:hint="default" w:ascii="Times New Roman" w:hAnsi="Times New Roman" w:eastAsia="宋体" w:cs="Times New Roman"/>
          <w:color w:val="auto"/>
          <w:kern w:val="0"/>
          <w:sz w:val="24"/>
          <w:szCs w:val="24"/>
          <w:lang w:eastAsia="zh-CN"/>
        </w:rPr>
        <w:t>淄河、乌河、小清河</w:t>
      </w:r>
      <w:r>
        <w:rPr>
          <w:rFonts w:hint="default" w:ascii="Times New Roman" w:hAnsi="Times New Roman" w:eastAsia="宋体" w:cs="Times New Roman"/>
          <w:color w:val="auto"/>
          <w:kern w:val="0"/>
          <w:sz w:val="24"/>
          <w:szCs w:val="24"/>
        </w:rPr>
        <w:t>。</w:t>
      </w:r>
    </w:p>
    <w:bookmarkEnd w:id="154"/>
    <w:p w14:paraId="36EF2BB1">
      <w:pPr>
        <w:keepNext w:val="0"/>
        <w:keepLines w:val="0"/>
        <w:pageBreakBefore w:val="0"/>
        <w:widowControl w:val="0"/>
        <w:kinsoku/>
        <w:wordWrap/>
        <w:overflowPunct/>
        <w:topLinePunct w:val="0"/>
        <w:bidi w:val="0"/>
        <w:spacing w:line="360" w:lineRule="auto"/>
        <w:textAlignment w:val="auto"/>
        <w:outlineLvl w:val="9"/>
        <w:rPr>
          <w:rFonts w:hint="default" w:ascii="Times New Roman" w:hAnsi="Times New Roman" w:eastAsia="宋体" w:cs="Times New Roman"/>
          <w:b/>
          <w:bCs/>
          <w:color w:val="auto"/>
          <w:sz w:val="24"/>
          <w:szCs w:val="32"/>
        </w:rPr>
      </w:pPr>
      <w:r>
        <w:rPr>
          <w:rFonts w:hint="default" w:ascii="Times New Roman" w:hAnsi="Times New Roman" w:eastAsia="宋体" w:cs="Times New Roman"/>
          <w:b/>
          <w:bCs/>
          <w:color w:val="auto"/>
          <w:sz w:val="24"/>
          <w:szCs w:val="32"/>
        </w:rPr>
        <w:t>4.3.2 突发环境事件防控与应急措施</w:t>
      </w:r>
      <w:bookmarkEnd w:id="155"/>
      <w:bookmarkEnd w:id="156"/>
      <w:bookmarkEnd w:id="157"/>
      <w:bookmarkEnd w:id="158"/>
      <w:bookmarkEnd w:id="159"/>
    </w:p>
    <w:p w14:paraId="647F9E63">
      <w:pPr>
        <w:keepNext w:val="0"/>
        <w:keepLines w:val="0"/>
        <w:pageBreakBefore w:val="0"/>
        <w:widowControl w:val="0"/>
        <w:kinsoku/>
        <w:wordWrap/>
        <w:overflowPunct/>
        <w:topLinePunct w:val="0"/>
        <w:bidi w:val="0"/>
        <w:spacing w:line="360" w:lineRule="auto"/>
        <w:textAlignment w:val="auto"/>
        <w:outlineLvl w:val="9"/>
        <w:rPr>
          <w:rFonts w:hint="default" w:ascii="Times New Roman" w:hAnsi="Times New Roman" w:eastAsia="宋体" w:cs="Times New Roman"/>
          <w:b/>
          <w:bCs/>
          <w:color w:val="auto"/>
          <w:sz w:val="24"/>
          <w:szCs w:val="32"/>
        </w:rPr>
      </w:pPr>
      <w:bookmarkStart w:id="167" w:name="_Toc425866211"/>
      <w:bookmarkStart w:id="168" w:name="_Toc423956618"/>
      <w:bookmarkStart w:id="169" w:name="_Toc26407"/>
      <w:bookmarkStart w:id="170" w:name="_Toc1370"/>
      <w:r>
        <w:rPr>
          <w:rFonts w:hint="default" w:ascii="Times New Roman" w:hAnsi="Times New Roman" w:eastAsia="宋体" w:cs="Times New Roman"/>
          <w:b/>
          <w:bCs/>
          <w:color w:val="auto"/>
          <w:sz w:val="24"/>
          <w:szCs w:val="32"/>
        </w:rPr>
        <w:t>4.3.2.1 总图布置和建筑安全防范措施</w:t>
      </w:r>
    </w:p>
    <w:p w14:paraId="5D366FCC">
      <w:pPr>
        <w:keepNext w:val="0"/>
        <w:keepLines w:val="0"/>
        <w:pageBreakBefore w:val="0"/>
        <w:widowControl w:val="0"/>
        <w:tabs>
          <w:tab w:val="left" w:pos="1995"/>
        </w:tabs>
        <w:kinsoku/>
        <w:wordWrap/>
        <w:overflowPunct/>
        <w:topLinePunct w:val="0"/>
        <w:bidi w:val="0"/>
        <w:adjustRightInd w:val="0"/>
        <w:snapToGrid w:val="0"/>
        <w:spacing w:line="360" w:lineRule="auto"/>
        <w:ind w:firstLine="486"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由于公司设有</w:t>
      </w:r>
      <w:r>
        <w:rPr>
          <w:rFonts w:hint="default" w:ascii="Times New Roman" w:hAnsi="Times New Roman" w:cs="Times New Roman"/>
          <w:color w:val="auto"/>
          <w:sz w:val="24"/>
          <w:highlight w:val="none"/>
          <w:lang w:eastAsia="zh-CN"/>
        </w:rPr>
        <w:t>事故水池</w:t>
      </w:r>
      <w:r>
        <w:rPr>
          <w:rFonts w:hint="default" w:ascii="Times New Roman" w:hAnsi="Times New Roman" w:cs="Times New Roman"/>
          <w:color w:val="auto"/>
          <w:sz w:val="24"/>
          <w:highlight w:val="none"/>
        </w:rPr>
        <w:t>，因此极少可能发生风险事故污水溢出的事故，不会对评价范围内的环境保护目标造成显著影响。</w:t>
      </w:r>
    </w:p>
    <w:p w14:paraId="1AD4D4A6">
      <w:pPr>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厂区总平面布置及各装置区内平面布置，执行《建筑设计防火规范》(GB500016-2014)，根据各建筑物的功能、所处位置确定相应的耐火等级，并按国家标准设置安全出口和疏散距离。</w:t>
      </w:r>
    </w:p>
    <w:p w14:paraId="2E8B2B1B">
      <w:pPr>
        <w:keepNext w:val="0"/>
        <w:keepLines w:val="0"/>
        <w:pageBreakBefore w:val="0"/>
        <w:widowControl w:val="0"/>
        <w:kinsoku/>
        <w:wordWrap/>
        <w:overflowPunct/>
        <w:topLinePunct w:val="0"/>
        <w:autoSpaceDE/>
        <w:autoSpaceDN/>
        <w:bidi w:val="0"/>
        <w:spacing w:line="360" w:lineRule="auto"/>
        <w:textAlignment w:val="auto"/>
        <w:outlineLvl w:val="9"/>
        <w:rPr>
          <w:rFonts w:hint="default" w:ascii="Times New Roman" w:hAnsi="Times New Roman" w:eastAsia="宋体" w:cs="Times New Roman"/>
          <w:b/>
          <w:bCs/>
          <w:color w:val="auto"/>
          <w:sz w:val="24"/>
          <w:szCs w:val="32"/>
        </w:rPr>
      </w:pPr>
      <w:r>
        <w:rPr>
          <w:rFonts w:hint="default" w:ascii="Times New Roman" w:hAnsi="Times New Roman" w:eastAsia="宋体" w:cs="Times New Roman"/>
          <w:b/>
          <w:bCs/>
          <w:color w:val="auto"/>
          <w:sz w:val="24"/>
          <w:szCs w:val="32"/>
        </w:rPr>
        <w:t>4.3.2.</w:t>
      </w:r>
      <w:r>
        <w:rPr>
          <w:rFonts w:hint="default" w:ascii="Times New Roman" w:hAnsi="Times New Roman" w:eastAsia="宋体" w:cs="Times New Roman"/>
          <w:b/>
          <w:bCs/>
          <w:color w:val="auto"/>
          <w:sz w:val="24"/>
          <w:szCs w:val="32"/>
          <w:lang w:val="en-US" w:eastAsia="zh-CN"/>
        </w:rPr>
        <w:t>2</w:t>
      </w:r>
      <w:r>
        <w:rPr>
          <w:rFonts w:hint="default" w:ascii="Times New Roman" w:hAnsi="Times New Roman" w:eastAsia="宋体" w:cs="Times New Roman"/>
          <w:b/>
          <w:bCs/>
          <w:color w:val="auto"/>
          <w:sz w:val="24"/>
          <w:szCs w:val="32"/>
        </w:rPr>
        <w:t xml:space="preserve"> 危险化学品储运安全防控措施</w:t>
      </w:r>
    </w:p>
    <w:p w14:paraId="3100479A">
      <w:pPr>
        <w:keepNext w:val="0"/>
        <w:keepLines w:val="0"/>
        <w:pageBreakBefore w:val="0"/>
        <w:widowControl w:val="0"/>
        <w:tabs>
          <w:tab w:val="left" w:pos="1995"/>
        </w:tabs>
        <w:kinsoku/>
        <w:wordWrap/>
        <w:overflowPunct/>
        <w:topLinePunct w:val="0"/>
        <w:autoSpaceDE/>
        <w:autoSpaceDN/>
        <w:bidi w:val="0"/>
        <w:adjustRightInd w:val="0"/>
        <w:snapToGrid w:val="0"/>
        <w:spacing w:line="360" w:lineRule="auto"/>
        <w:ind w:firstLine="486"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1、危险化学品贮存系统</w:t>
      </w:r>
    </w:p>
    <w:p w14:paraId="24EAEDA3">
      <w:pPr>
        <w:tabs>
          <w:tab w:val="left" w:pos="1995"/>
        </w:tabs>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(1)防止储罐泄漏的措施</w:t>
      </w:r>
    </w:p>
    <w:p w14:paraId="4BFE9E77">
      <w:pPr>
        <w:tabs>
          <w:tab w:val="left" w:pos="1995"/>
        </w:tabs>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定期对液位超高报警与连锁装置系统进行测试和维护外；安装自动切水装置。</w:t>
      </w:r>
    </w:p>
    <w:p w14:paraId="368ED851">
      <w:pPr>
        <w:tabs>
          <w:tab w:val="left" w:pos="1995"/>
        </w:tabs>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(2)储罐泄漏的围堵措施</w:t>
      </w:r>
    </w:p>
    <w:p w14:paraId="7B7B1FB4">
      <w:pPr>
        <w:tabs>
          <w:tab w:val="left" w:pos="1995"/>
        </w:tabs>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储罐一旦因本身质量、外界因素或人为因素发生大量泄漏后，泄漏的液体将向低处流动。有效的围堵可将泄漏的液体限制在一定的安全范围内，防止火灾事故的发生，同时也有利于溢出液体的收集。</w:t>
      </w:r>
    </w:p>
    <w:p w14:paraId="142769B8">
      <w:pPr>
        <w:tabs>
          <w:tab w:val="left" w:pos="1995"/>
        </w:tabs>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参考《石油化工企业设计防火规范》(GB50160-2008)要求设计和建设防火堤和隔堤。</w:t>
      </w:r>
    </w:p>
    <w:p w14:paraId="349EDB85">
      <w:pPr>
        <w:tabs>
          <w:tab w:val="left" w:pos="1995"/>
        </w:tabs>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(3)防止储罐火灾发生及后果扩大的措施</w:t>
      </w:r>
    </w:p>
    <w:p w14:paraId="7A32F782">
      <w:pPr>
        <w:tabs>
          <w:tab w:val="left" w:pos="1995"/>
        </w:tabs>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大型储罐应按相关规范要求安装火灾探测系统、水冷却系统及泡沫灭火系统等，并设置火灾自动报警系统，以及时发现火灾加以扑灭。</w:t>
      </w:r>
    </w:p>
    <w:p w14:paraId="73127701">
      <w:pPr>
        <w:tabs>
          <w:tab w:val="left" w:pos="1995"/>
        </w:tabs>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(4)储罐火灾消防水去向</w:t>
      </w:r>
    </w:p>
    <w:p w14:paraId="2C4F1E27">
      <w:pPr>
        <w:tabs>
          <w:tab w:val="left" w:pos="1995"/>
        </w:tabs>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储罐灭火过程中遇到的一个突出问题是防火堤消防冷却水的迅速排出问题，防火堤中积存的消防冷却水会妨碍消防队员的正常工作；另外，消防水中有时还含有着火储罐或设备中泄漏出的易燃或有毒物质，如任其自由流动，往往会进入雨水排放系统，流出厂区，引发安全或环境事故，对生态环境造成影响。</w:t>
      </w:r>
    </w:p>
    <w:p w14:paraId="090F70AD">
      <w:pPr>
        <w:tabs>
          <w:tab w:val="left" w:pos="1995"/>
        </w:tabs>
        <w:adjustRightInd w:val="0"/>
        <w:snapToGrid w:val="0"/>
        <w:spacing w:line="360" w:lineRule="auto"/>
        <w:ind w:firstLine="486" w:firstLineChars="200"/>
        <w:rPr>
          <w:rFonts w:hint="default" w:ascii="Times New Roman" w:hAnsi="Times New Roman" w:cs="Times New Roman"/>
          <w:color w:val="auto"/>
          <w:sz w:val="24"/>
          <w:highlight w:val="none"/>
          <w:lang w:val="zh-CN"/>
        </w:rPr>
      </w:pPr>
      <w:r>
        <w:rPr>
          <w:rFonts w:hint="default" w:ascii="Times New Roman" w:hAnsi="Times New Roman" w:cs="Times New Roman"/>
          <w:color w:val="auto"/>
          <w:sz w:val="24"/>
          <w:highlight w:val="none"/>
        </w:rPr>
        <w:t>事故水池收集的</w:t>
      </w:r>
      <w:r>
        <w:rPr>
          <w:rFonts w:hint="default" w:ascii="Times New Roman" w:hAnsi="Times New Roman" w:cs="Times New Roman"/>
          <w:color w:val="auto"/>
          <w:sz w:val="24"/>
          <w:highlight w:val="none"/>
          <w:lang w:eastAsia="zh-CN"/>
        </w:rPr>
        <w:t>原料</w:t>
      </w:r>
      <w:r>
        <w:rPr>
          <w:rFonts w:hint="default" w:ascii="Times New Roman" w:hAnsi="Times New Roman" w:cs="Times New Roman"/>
          <w:color w:val="auto"/>
          <w:sz w:val="24"/>
          <w:highlight w:val="none"/>
        </w:rPr>
        <w:t>泄漏事故废水用罐车外运处理，</w:t>
      </w:r>
      <w:r>
        <w:rPr>
          <w:rFonts w:hint="default" w:ascii="Times New Roman" w:hAnsi="Times New Roman" w:cs="Times New Roman"/>
          <w:color w:val="auto"/>
          <w:sz w:val="24"/>
          <w:highlight w:val="none"/>
          <w:lang w:eastAsia="zh-CN"/>
        </w:rPr>
        <w:t>污水收集池</w:t>
      </w:r>
      <w:r>
        <w:rPr>
          <w:rFonts w:hint="default" w:ascii="Times New Roman" w:hAnsi="Times New Roman" w:cs="Times New Roman"/>
          <w:color w:val="auto"/>
          <w:sz w:val="24"/>
          <w:highlight w:val="none"/>
        </w:rPr>
        <w:t>收集的其余消防废水等进入厂内污水处理设施处理，</w:t>
      </w:r>
      <w:r>
        <w:rPr>
          <w:rFonts w:hint="default" w:ascii="Times New Roman" w:hAnsi="Times New Roman" w:cs="Times New Roman"/>
          <w:color w:val="auto"/>
          <w:sz w:val="24"/>
          <w:highlight w:val="none"/>
          <w:lang w:eastAsia="zh-CN"/>
        </w:rPr>
        <w:t>经厂内污水处理装置预处理后通过管网排入齐鲁石化供排水厂深度处理，处理达标后经排海管线排海</w:t>
      </w:r>
      <w:r>
        <w:rPr>
          <w:rFonts w:hint="default" w:ascii="Times New Roman" w:hAnsi="Times New Roman" w:cs="Times New Roman"/>
          <w:color w:val="auto"/>
          <w:sz w:val="24"/>
          <w:highlight w:val="none"/>
        </w:rPr>
        <w:t>。</w:t>
      </w:r>
    </w:p>
    <w:p w14:paraId="6AF0A5AE">
      <w:pPr>
        <w:tabs>
          <w:tab w:val="left" w:pos="1995"/>
        </w:tabs>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2、危险化学品运输防范措施</w:t>
      </w:r>
    </w:p>
    <w:p w14:paraId="095CF51E">
      <w:pPr>
        <w:tabs>
          <w:tab w:val="left" w:pos="1995"/>
        </w:tabs>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eastAsia="zh-CN"/>
        </w:rPr>
        <w:t>本项目原料</w:t>
      </w:r>
      <w:r>
        <w:rPr>
          <w:rFonts w:hint="default" w:ascii="Times New Roman" w:hAnsi="Times New Roman" w:cs="Times New Roman"/>
          <w:color w:val="auto"/>
          <w:sz w:val="24"/>
          <w:highlight w:val="none"/>
        </w:rPr>
        <w:t>运出及运入多为汽车输送，汽运管理应严格按照国家有关危险化学品运输的规定进行管理，对承运单位资质、运输人员资质、货物装载、运输路线等严格把关，减少风险发生的因素。主要措施如下：</w:t>
      </w:r>
    </w:p>
    <w:p w14:paraId="103529DD">
      <w:pPr>
        <w:tabs>
          <w:tab w:val="left" w:pos="1995"/>
        </w:tabs>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1）建设单位应严格按照《危险化学品安全管理条例》的规定执行；</w:t>
      </w:r>
    </w:p>
    <w:p w14:paraId="6A9788F7">
      <w:pPr>
        <w:tabs>
          <w:tab w:val="left" w:pos="1995"/>
        </w:tabs>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2）建设单位应选择有资质、记录良好的运输单位作为物料运输的承运单位，并制定定期考察制度，对承运单位的车辆、人员、防护措施等进行全方位的考察，以确保承运单位具备安全运输所有物料的能力；</w:t>
      </w:r>
    </w:p>
    <w:p w14:paraId="012DBE97">
      <w:pPr>
        <w:tabs>
          <w:tab w:val="left" w:pos="1995"/>
        </w:tabs>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3）重视运输环节的风险管理，建议成立专业的运输队伍，建立工作规程严格执行；</w:t>
      </w:r>
    </w:p>
    <w:p w14:paraId="2A0B2288">
      <w:pPr>
        <w:tabs>
          <w:tab w:val="left" w:pos="1995"/>
        </w:tabs>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4）危险废物委托有危险品运输经营许可证的公司运输；</w:t>
      </w:r>
    </w:p>
    <w:p w14:paraId="403FE8AF">
      <w:pPr>
        <w:tabs>
          <w:tab w:val="left" w:pos="1995"/>
        </w:tabs>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5）运输车辆需挂有明显的标志，以便引起其它车辆的重视；</w:t>
      </w:r>
    </w:p>
    <w:p w14:paraId="67BDDE62">
      <w:pPr>
        <w:tabs>
          <w:tab w:val="left" w:pos="1995"/>
        </w:tabs>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6）运输危险化学品的车辆应采用由专业资质单位设计制造的专门车辆，并确保符合要求后方可投入使用；承载服务的车辆必须有“危险”的明显标志，其在行驶时应事先作出周密的运输计划和行驶路线；</w:t>
      </w:r>
    </w:p>
    <w:p w14:paraId="5CA16931">
      <w:pPr>
        <w:tabs>
          <w:tab w:val="left" w:pos="1995"/>
        </w:tabs>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7）运输车辆配备GPS定位系统，便于对运输中的车辆实时监控；</w:t>
      </w:r>
    </w:p>
    <w:p w14:paraId="158111BA">
      <w:pPr>
        <w:tabs>
          <w:tab w:val="left" w:pos="1995"/>
        </w:tabs>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8）从事危险化学品运输的司机等人员应经过专门的培训，掌握事故应急处理的程序，并定期考核；</w:t>
      </w:r>
    </w:p>
    <w:p w14:paraId="19FA90EE">
      <w:pPr>
        <w:tabs>
          <w:tab w:val="left" w:pos="1995"/>
        </w:tabs>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9）经过桥梁、急弯等特殊路段，应特别注意谨慎驾驶；</w:t>
      </w:r>
    </w:p>
    <w:p w14:paraId="416FCEED">
      <w:pPr>
        <w:tabs>
          <w:tab w:val="left" w:pos="1995"/>
        </w:tabs>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10）保持车辆良好的车况，定期检查。运输车辆的吨位、高度应满足运输所经过道路、桥梁的限高、限重要求。</w:t>
      </w:r>
    </w:p>
    <w:p w14:paraId="594ABC64">
      <w:pPr>
        <w:tabs>
          <w:tab w:val="left" w:pos="1995"/>
        </w:tabs>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11）运输车辆放置因意外发生事故后防止污染扩散的用品如相应的消毒器械及消毒剂、收集工具及包装袋、人员卫生防护用品等；</w:t>
      </w:r>
    </w:p>
    <w:p w14:paraId="7009DE6F">
      <w:pPr>
        <w:keepNext w:val="0"/>
        <w:keepLines w:val="0"/>
        <w:pageBreakBefore w:val="0"/>
        <w:widowControl w:val="0"/>
        <w:kinsoku/>
        <w:wordWrap/>
        <w:overflowPunct/>
        <w:topLinePunct w:val="0"/>
        <w:autoSpaceDE/>
        <w:autoSpaceDN/>
        <w:bidi w:val="0"/>
        <w:spacing w:line="360" w:lineRule="auto"/>
        <w:textAlignment w:val="auto"/>
        <w:outlineLvl w:val="9"/>
        <w:rPr>
          <w:rFonts w:hint="default" w:ascii="Times New Roman" w:hAnsi="Times New Roman" w:eastAsia="宋体" w:cs="Times New Roman"/>
          <w:b/>
          <w:bCs/>
          <w:color w:val="auto"/>
          <w:sz w:val="24"/>
          <w:szCs w:val="32"/>
        </w:rPr>
      </w:pPr>
      <w:r>
        <w:rPr>
          <w:rFonts w:hint="default" w:ascii="Times New Roman" w:hAnsi="Times New Roman" w:cs="Times New Roman"/>
          <w:color w:val="auto"/>
          <w:sz w:val="24"/>
          <w:highlight w:val="none"/>
        </w:rPr>
        <w:t>12）如果因交通事故导致危险废物或医疗废物掉入池塘、江河、湖库、水田，则应立即向有关部门报告，启动应急处置</w:t>
      </w:r>
      <w:r>
        <w:rPr>
          <w:rFonts w:hint="default" w:ascii="Times New Roman" w:hAnsi="Times New Roman" w:eastAsia="宋体" w:cs="Times New Roman"/>
          <w:b w:val="0"/>
          <w:bCs w:val="0"/>
          <w:color w:val="auto"/>
          <w:sz w:val="24"/>
          <w:szCs w:val="32"/>
        </w:rPr>
        <w:t>程序</w:t>
      </w:r>
      <w:r>
        <w:rPr>
          <w:rFonts w:hint="default" w:ascii="Times New Roman" w:hAnsi="Times New Roman" w:eastAsia="宋体" w:cs="Times New Roman"/>
          <w:b/>
          <w:bCs/>
          <w:color w:val="auto"/>
          <w:sz w:val="24"/>
          <w:szCs w:val="32"/>
        </w:rPr>
        <w:t>。</w:t>
      </w:r>
    </w:p>
    <w:p w14:paraId="760467BA">
      <w:pPr>
        <w:keepNext w:val="0"/>
        <w:keepLines w:val="0"/>
        <w:pageBreakBefore w:val="0"/>
        <w:widowControl w:val="0"/>
        <w:kinsoku/>
        <w:wordWrap/>
        <w:overflowPunct/>
        <w:topLinePunct w:val="0"/>
        <w:autoSpaceDE/>
        <w:autoSpaceDN/>
        <w:bidi w:val="0"/>
        <w:spacing w:line="360" w:lineRule="auto"/>
        <w:textAlignment w:val="auto"/>
        <w:outlineLvl w:val="9"/>
        <w:rPr>
          <w:rFonts w:hint="default" w:ascii="Times New Roman" w:hAnsi="Times New Roman" w:eastAsia="宋体" w:cs="Times New Roman"/>
          <w:b/>
          <w:bCs/>
          <w:color w:val="auto"/>
          <w:sz w:val="24"/>
          <w:szCs w:val="32"/>
        </w:rPr>
      </w:pPr>
      <w:r>
        <w:rPr>
          <w:rFonts w:hint="default" w:ascii="Times New Roman" w:hAnsi="Times New Roman" w:eastAsia="宋体" w:cs="Times New Roman"/>
          <w:b/>
          <w:bCs/>
          <w:color w:val="auto"/>
          <w:sz w:val="24"/>
          <w:szCs w:val="32"/>
        </w:rPr>
        <w:t>4.3.2.</w:t>
      </w:r>
      <w:r>
        <w:rPr>
          <w:rFonts w:hint="default" w:ascii="Times New Roman" w:hAnsi="Times New Roman" w:eastAsia="宋体" w:cs="Times New Roman"/>
          <w:b/>
          <w:bCs/>
          <w:color w:val="auto"/>
          <w:sz w:val="24"/>
          <w:szCs w:val="32"/>
          <w:lang w:val="en-US" w:eastAsia="zh-CN"/>
        </w:rPr>
        <w:t>3</w:t>
      </w:r>
      <w:r>
        <w:rPr>
          <w:rFonts w:hint="default" w:ascii="Times New Roman" w:hAnsi="Times New Roman" w:eastAsia="宋体" w:cs="Times New Roman"/>
          <w:b/>
          <w:bCs/>
          <w:color w:val="auto"/>
          <w:sz w:val="24"/>
          <w:szCs w:val="32"/>
        </w:rPr>
        <w:t xml:space="preserve"> 水环境风险防范措施</w:t>
      </w:r>
    </w:p>
    <w:p w14:paraId="251ECFAA">
      <w:pPr>
        <w:keepNext w:val="0"/>
        <w:keepLines w:val="0"/>
        <w:pageBreakBefore w:val="0"/>
        <w:widowControl w:val="0"/>
        <w:kinsoku/>
        <w:wordWrap/>
        <w:overflowPunct/>
        <w:topLinePunct w:val="0"/>
        <w:autoSpaceDE/>
        <w:autoSpaceDN/>
        <w:bidi w:val="0"/>
        <w:adjustRightInd w:val="0"/>
        <w:snapToGrid w:val="0"/>
        <w:spacing w:line="360" w:lineRule="auto"/>
        <w:ind w:firstLine="486" w:firstLineChars="200"/>
        <w:textAlignment w:val="auto"/>
        <w:rPr>
          <w:rFonts w:hint="default" w:ascii="Times New Roman" w:hAnsi="Times New Roman" w:eastAsia="宋体" w:cs="Times New Roman"/>
          <w:b w:val="0"/>
          <w:bCs/>
          <w:color w:val="auto"/>
          <w:kern w:val="0"/>
          <w:sz w:val="24"/>
          <w:highlight w:val="none"/>
        </w:rPr>
      </w:pPr>
      <w:r>
        <w:rPr>
          <w:rFonts w:hint="default" w:ascii="Times New Roman" w:hAnsi="Times New Roman" w:eastAsia="宋体" w:cs="Times New Roman"/>
          <w:b w:val="0"/>
          <w:bCs/>
          <w:color w:val="auto"/>
          <w:kern w:val="0"/>
          <w:sz w:val="24"/>
          <w:highlight w:val="none"/>
        </w:rPr>
        <w:t>1、事故发生原因</w:t>
      </w:r>
    </w:p>
    <w:p w14:paraId="2D01AEBA">
      <w:pPr>
        <w:keepNext w:val="0"/>
        <w:keepLines w:val="0"/>
        <w:pageBreakBefore w:val="0"/>
        <w:kinsoku/>
        <w:wordWrap/>
        <w:overflowPunct/>
        <w:topLinePunct w:val="0"/>
        <w:bidi w:val="0"/>
        <w:adjustRightInd w:val="0"/>
        <w:snapToGrid w:val="0"/>
        <w:spacing w:line="360" w:lineRule="auto"/>
        <w:ind w:firstLine="486" w:firstLineChars="200"/>
        <w:textAlignment w:val="auto"/>
        <w:rPr>
          <w:rFonts w:hint="default" w:ascii="Times New Roman" w:hAnsi="Times New Roman" w:eastAsia="宋体" w:cs="Times New Roman"/>
          <w:b w:val="0"/>
          <w:bCs/>
          <w:color w:val="auto"/>
          <w:kern w:val="0"/>
          <w:sz w:val="24"/>
          <w:highlight w:val="none"/>
        </w:rPr>
      </w:pPr>
      <w:r>
        <w:rPr>
          <w:rFonts w:hint="default" w:ascii="Times New Roman" w:hAnsi="Times New Roman" w:eastAsia="宋体" w:cs="Times New Roman"/>
          <w:b w:val="0"/>
          <w:bCs/>
          <w:color w:val="auto"/>
          <w:kern w:val="0"/>
          <w:sz w:val="24"/>
          <w:highlight w:val="none"/>
        </w:rPr>
        <w:t>按事故发生源，突发性水污染事故可分为：工业生产储罐、设备泄漏或事故排放，危险品仓库燃烧和爆炸事故排放，运输管线泄漏，车辆碰撞倾翻、泄漏排放等6大类事故。化学品进入水环境的最主要的途径是溶解在水中流入，只有少数事故包含了空气传输、沉降的途径。与化学品的运输、储存和处理相关的事故经常引发各种生态效应。</w:t>
      </w:r>
    </w:p>
    <w:p w14:paraId="348C931F">
      <w:pPr>
        <w:keepNext w:val="0"/>
        <w:keepLines w:val="0"/>
        <w:pageBreakBefore w:val="0"/>
        <w:kinsoku/>
        <w:wordWrap/>
        <w:overflowPunct/>
        <w:topLinePunct w:val="0"/>
        <w:bidi w:val="0"/>
        <w:adjustRightInd w:val="0"/>
        <w:snapToGrid w:val="0"/>
        <w:spacing w:line="360" w:lineRule="auto"/>
        <w:ind w:firstLine="486" w:firstLineChars="200"/>
        <w:textAlignment w:val="auto"/>
        <w:rPr>
          <w:rFonts w:hint="default" w:ascii="Times New Roman" w:hAnsi="Times New Roman" w:eastAsia="宋体" w:cs="Times New Roman"/>
          <w:b w:val="0"/>
          <w:bCs/>
          <w:color w:val="auto"/>
          <w:kern w:val="0"/>
          <w:sz w:val="24"/>
          <w:highlight w:val="none"/>
        </w:rPr>
      </w:pPr>
      <w:r>
        <w:rPr>
          <w:rFonts w:hint="default" w:ascii="Times New Roman" w:hAnsi="Times New Roman" w:eastAsia="宋体" w:cs="Times New Roman"/>
          <w:b w:val="0"/>
          <w:bCs/>
          <w:color w:val="auto"/>
          <w:kern w:val="0"/>
          <w:sz w:val="24"/>
          <w:highlight w:val="none"/>
        </w:rPr>
        <w:t>企业项目可能发生的突发性水污染事故主要有</w:t>
      </w:r>
      <w:r>
        <w:rPr>
          <w:rFonts w:hint="default" w:ascii="Times New Roman" w:hAnsi="Times New Roman" w:cs="Times New Roman"/>
          <w:b w:val="0"/>
          <w:bCs/>
          <w:color w:val="auto"/>
          <w:kern w:val="0"/>
          <w:sz w:val="24"/>
          <w:highlight w:val="none"/>
          <w:lang w:eastAsia="zh-CN"/>
        </w:rPr>
        <w:t>物料</w:t>
      </w:r>
      <w:r>
        <w:rPr>
          <w:rFonts w:hint="default" w:ascii="Times New Roman" w:hAnsi="Times New Roman" w:eastAsia="宋体" w:cs="Times New Roman"/>
          <w:b w:val="0"/>
          <w:bCs/>
          <w:color w:val="auto"/>
          <w:kern w:val="0"/>
          <w:sz w:val="24"/>
          <w:highlight w:val="none"/>
        </w:rPr>
        <w:t>储罐、设备、运输管线泄漏或事故排放，生产区/仓库燃烧、爆炸事故排放等事故。事故发生后，污染物可能通过下渗、地表径流、地下径流污染周围水环境。</w:t>
      </w:r>
    </w:p>
    <w:p w14:paraId="11CACB47">
      <w:pPr>
        <w:keepNext w:val="0"/>
        <w:keepLines w:val="0"/>
        <w:pageBreakBefore w:val="0"/>
        <w:kinsoku/>
        <w:wordWrap/>
        <w:overflowPunct/>
        <w:topLinePunct w:val="0"/>
        <w:bidi w:val="0"/>
        <w:adjustRightInd w:val="0"/>
        <w:snapToGrid w:val="0"/>
        <w:spacing w:line="360" w:lineRule="auto"/>
        <w:ind w:firstLine="486" w:firstLineChars="200"/>
        <w:textAlignment w:val="auto"/>
        <w:rPr>
          <w:rFonts w:hint="default" w:ascii="Times New Roman" w:hAnsi="Times New Roman" w:eastAsia="宋体" w:cs="Times New Roman"/>
          <w:b w:val="0"/>
          <w:bCs/>
          <w:color w:val="auto"/>
          <w:kern w:val="0"/>
          <w:sz w:val="24"/>
          <w:highlight w:val="none"/>
        </w:rPr>
      </w:pPr>
      <w:r>
        <w:rPr>
          <w:rFonts w:hint="default" w:ascii="Times New Roman" w:hAnsi="Times New Roman" w:eastAsia="宋体" w:cs="Times New Roman"/>
          <w:b w:val="0"/>
          <w:bCs/>
          <w:color w:val="auto"/>
          <w:kern w:val="0"/>
          <w:sz w:val="24"/>
          <w:highlight w:val="none"/>
        </w:rPr>
        <w:t>储罐、设备及运输管线均在项目区内，发生泄漏、燃烧、爆炸事故后，可通过下渗、地表径流和地下径流污染项目区周围地表水或地下水。车辆碰撞倾翻、泄漏排放等事故有可能发生在项目区内，也有可能发生在运输过程中，从而可能影响事故发生点的地表水或地下水。本节将只分析项目区内储罐、设备及运输管线发生泄漏、燃烧、爆炸事故后，对周围水环境的影响。</w:t>
      </w:r>
    </w:p>
    <w:p w14:paraId="63B9B7B7">
      <w:pPr>
        <w:keepNext w:val="0"/>
        <w:keepLines w:val="0"/>
        <w:pageBreakBefore w:val="0"/>
        <w:kinsoku/>
        <w:wordWrap/>
        <w:overflowPunct/>
        <w:topLinePunct w:val="0"/>
        <w:bidi w:val="0"/>
        <w:adjustRightInd w:val="0"/>
        <w:snapToGrid w:val="0"/>
        <w:spacing w:line="360" w:lineRule="auto"/>
        <w:ind w:firstLine="486" w:firstLineChars="200"/>
        <w:textAlignment w:val="auto"/>
        <w:rPr>
          <w:rFonts w:hint="default" w:ascii="Times New Roman" w:hAnsi="Times New Roman" w:eastAsia="宋体" w:cs="Times New Roman"/>
          <w:b w:val="0"/>
          <w:bCs/>
          <w:color w:val="auto"/>
          <w:kern w:val="0"/>
          <w:sz w:val="24"/>
          <w:highlight w:val="none"/>
        </w:rPr>
      </w:pPr>
      <w:r>
        <w:rPr>
          <w:rFonts w:hint="default" w:ascii="Times New Roman" w:hAnsi="Times New Roman" w:eastAsia="宋体" w:cs="Times New Roman"/>
          <w:b w:val="0"/>
          <w:bCs/>
          <w:color w:val="auto"/>
          <w:kern w:val="0"/>
          <w:sz w:val="24"/>
          <w:highlight w:val="none"/>
        </w:rPr>
        <w:t>2、风险事故水环境风险分析</w:t>
      </w:r>
    </w:p>
    <w:p w14:paraId="5F5573C1">
      <w:pPr>
        <w:keepNext w:val="0"/>
        <w:keepLines w:val="0"/>
        <w:pageBreakBefore w:val="0"/>
        <w:kinsoku/>
        <w:wordWrap/>
        <w:overflowPunct/>
        <w:topLinePunct w:val="0"/>
        <w:bidi w:val="0"/>
        <w:adjustRightInd w:val="0"/>
        <w:snapToGrid w:val="0"/>
        <w:spacing w:line="360" w:lineRule="auto"/>
        <w:ind w:firstLine="486" w:firstLineChars="200"/>
        <w:textAlignment w:val="auto"/>
        <w:rPr>
          <w:rFonts w:hint="default" w:ascii="Times New Roman" w:hAnsi="Times New Roman" w:eastAsia="宋体" w:cs="Times New Roman"/>
          <w:b w:val="0"/>
          <w:bCs/>
          <w:color w:val="auto"/>
          <w:kern w:val="0"/>
          <w:sz w:val="24"/>
          <w:highlight w:val="none"/>
        </w:rPr>
      </w:pPr>
      <w:r>
        <w:rPr>
          <w:rFonts w:hint="default" w:ascii="Times New Roman" w:hAnsi="Times New Roman" w:eastAsia="宋体" w:cs="Times New Roman"/>
          <w:b w:val="0"/>
          <w:bCs/>
          <w:color w:val="auto"/>
          <w:kern w:val="0"/>
          <w:sz w:val="24"/>
          <w:highlight w:val="none"/>
        </w:rPr>
        <w:t>（1）对地下水的风险影响分析</w:t>
      </w:r>
    </w:p>
    <w:p w14:paraId="0571D8B2">
      <w:pPr>
        <w:keepNext w:val="0"/>
        <w:keepLines w:val="0"/>
        <w:pageBreakBefore w:val="0"/>
        <w:kinsoku/>
        <w:wordWrap/>
        <w:overflowPunct/>
        <w:topLinePunct w:val="0"/>
        <w:bidi w:val="0"/>
        <w:adjustRightInd w:val="0"/>
        <w:snapToGrid w:val="0"/>
        <w:spacing w:line="360" w:lineRule="auto"/>
        <w:ind w:firstLine="486" w:firstLineChars="200"/>
        <w:textAlignment w:val="auto"/>
        <w:rPr>
          <w:rFonts w:hint="default" w:ascii="Times New Roman" w:hAnsi="Times New Roman" w:eastAsia="宋体" w:cs="Times New Roman"/>
          <w:b w:val="0"/>
          <w:bCs/>
          <w:color w:val="auto"/>
          <w:kern w:val="0"/>
          <w:sz w:val="24"/>
          <w:highlight w:val="none"/>
        </w:rPr>
      </w:pPr>
      <w:r>
        <w:rPr>
          <w:rFonts w:hint="default" w:ascii="Times New Roman" w:hAnsi="Times New Roman" w:eastAsia="宋体" w:cs="Times New Roman"/>
          <w:b w:val="0"/>
          <w:bCs/>
          <w:color w:val="auto"/>
          <w:kern w:val="0"/>
          <w:sz w:val="24"/>
          <w:highlight w:val="none"/>
        </w:rPr>
        <w:t>从地质水文及地下水类型可知，评价区地层透水性一般，地下水会受到地表水体的影响。</w:t>
      </w:r>
    </w:p>
    <w:p w14:paraId="1B219459">
      <w:pPr>
        <w:keepNext w:val="0"/>
        <w:keepLines w:val="0"/>
        <w:pageBreakBefore w:val="0"/>
        <w:kinsoku/>
        <w:wordWrap/>
        <w:overflowPunct/>
        <w:topLinePunct w:val="0"/>
        <w:bidi w:val="0"/>
        <w:adjustRightInd w:val="0"/>
        <w:snapToGrid w:val="0"/>
        <w:spacing w:line="360" w:lineRule="auto"/>
        <w:ind w:firstLine="486" w:firstLineChars="200"/>
        <w:textAlignment w:val="auto"/>
        <w:rPr>
          <w:rFonts w:hint="default" w:ascii="Times New Roman" w:hAnsi="Times New Roman" w:eastAsia="宋体" w:cs="Times New Roman"/>
          <w:b w:val="0"/>
          <w:bCs/>
          <w:color w:val="auto"/>
          <w:kern w:val="0"/>
          <w:sz w:val="24"/>
          <w:highlight w:val="none"/>
        </w:rPr>
      </w:pPr>
      <w:r>
        <w:rPr>
          <w:rFonts w:hint="default" w:ascii="Times New Roman" w:hAnsi="Times New Roman" w:eastAsia="宋体" w:cs="Times New Roman"/>
          <w:b w:val="0"/>
          <w:bCs/>
          <w:color w:val="auto"/>
          <w:kern w:val="0"/>
          <w:sz w:val="24"/>
          <w:highlight w:val="none"/>
        </w:rPr>
        <w:t>（2）对地表水的风险影响分析</w:t>
      </w:r>
    </w:p>
    <w:p w14:paraId="0409279C">
      <w:pPr>
        <w:keepNext w:val="0"/>
        <w:keepLines w:val="0"/>
        <w:pageBreakBefore w:val="0"/>
        <w:kinsoku/>
        <w:wordWrap/>
        <w:overflowPunct/>
        <w:topLinePunct w:val="0"/>
        <w:bidi w:val="0"/>
        <w:adjustRightInd w:val="0"/>
        <w:snapToGrid w:val="0"/>
        <w:spacing w:line="360" w:lineRule="auto"/>
        <w:ind w:firstLine="486" w:firstLineChars="200"/>
        <w:textAlignment w:val="auto"/>
        <w:rPr>
          <w:rFonts w:hint="default" w:ascii="Times New Roman" w:hAnsi="Times New Roman" w:eastAsia="宋体" w:cs="Times New Roman"/>
          <w:b w:val="0"/>
          <w:bCs/>
          <w:color w:val="auto"/>
          <w:kern w:val="0"/>
          <w:sz w:val="24"/>
          <w:highlight w:val="none"/>
        </w:rPr>
      </w:pPr>
      <w:r>
        <w:rPr>
          <w:rFonts w:hint="default" w:ascii="Times New Roman" w:hAnsi="Times New Roman" w:eastAsia="宋体" w:cs="Times New Roman"/>
          <w:b w:val="0"/>
          <w:bCs/>
          <w:color w:val="auto"/>
          <w:kern w:val="0"/>
          <w:sz w:val="24"/>
          <w:highlight w:val="none"/>
        </w:rPr>
        <w:t>厂区附近的地表水为</w:t>
      </w:r>
      <w:r>
        <w:rPr>
          <w:rFonts w:hint="default" w:ascii="Times New Roman" w:hAnsi="Times New Roman" w:cs="Times New Roman"/>
          <w:b w:val="0"/>
          <w:bCs/>
          <w:color w:val="auto"/>
          <w:kern w:val="0"/>
          <w:sz w:val="24"/>
          <w:highlight w:val="none"/>
          <w:lang w:eastAsia="zh-CN"/>
        </w:rPr>
        <w:t>乌河</w:t>
      </w:r>
      <w:r>
        <w:rPr>
          <w:rFonts w:hint="default" w:ascii="Times New Roman" w:hAnsi="Times New Roman" w:eastAsia="宋体" w:cs="Times New Roman"/>
          <w:b w:val="0"/>
          <w:bCs/>
          <w:color w:val="auto"/>
          <w:kern w:val="0"/>
          <w:sz w:val="24"/>
          <w:highlight w:val="none"/>
        </w:rPr>
        <w:t>，如发生事故，废水不能及时、全部收集，可能会对</w:t>
      </w:r>
      <w:r>
        <w:rPr>
          <w:rFonts w:hint="default" w:ascii="Times New Roman" w:hAnsi="Times New Roman" w:cs="Times New Roman"/>
          <w:b w:val="0"/>
          <w:bCs/>
          <w:color w:val="auto"/>
          <w:kern w:val="0"/>
          <w:sz w:val="24"/>
          <w:highlight w:val="none"/>
          <w:lang w:eastAsia="zh-CN"/>
        </w:rPr>
        <w:t>乌河</w:t>
      </w:r>
      <w:r>
        <w:rPr>
          <w:rFonts w:hint="default" w:ascii="Times New Roman" w:hAnsi="Times New Roman" w:eastAsia="宋体" w:cs="Times New Roman"/>
          <w:b w:val="0"/>
          <w:bCs/>
          <w:color w:val="auto"/>
          <w:kern w:val="0"/>
          <w:sz w:val="24"/>
          <w:highlight w:val="none"/>
        </w:rPr>
        <w:t xml:space="preserve">产生影响。 </w:t>
      </w:r>
    </w:p>
    <w:p w14:paraId="512500EC">
      <w:pPr>
        <w:keepNext w:val="0"/>
        <w:keepLines w:val="0"/>
        <w:pageBreakBefore w:val="0"/>
        <w:kinsoku/>
        <w:wordWrap/>
        <w:overflowPunct/>
        <w:topLinePunct w:val="0"/>
        <w:bidi w:val="0"/>
        <w:adjustRightInd w:val="0"/>
        <w:snapToGrid w:val="0"/>
        <w:spacing w:line="360" w:lineRule="auto"/>
        <w:ind w:firstLine="486" w:firstLineChars="200"/>
        <w:textAlignment w:val="auto"/>
        <w:rPr>
          <w:rFonts w:hint="default" w:ascii="Times New Roman" w:hAnsi="Times New Roman" w:eastAsia="宋体" w:cs="Times New Roman"/>
          <w:b w:val="0"/>
          <w:bCs/>
          <w:color w:val="auto"/>
          <w:kern w:val="0"/>
          <w:sz w:val="24"/>
          <w:highlight w:val="none"/>
        </w:rPr>
      </w:pPr>
      <w:r>
        <w:rPr>
          <w:rFonts w:hint="default" w:ascii="Times New Roman" w:hAnsi="Times New Roman" w:eastAsia="宋体" w:cs="Times New Roman"/>
          <w:b w:val="0"/>
          <w:bCs/>
          <w:color w:val="auto"/>
          <w:kern w:val="0"/>
          <w:sz w:val="24"/>
          <w:highlight w:val="none"/>
        </w:rPr>
        <w:t>3、水环境风险三级防控体系</w:t>
      </w:r>
    </w:p>
    <w:p w14:paraId="1BECFDBE">
      <w:pPr>
        <w:keepNext w:val="0"/>
        <w:keepLines w:val="0"/>
        <w:pageBreakBefore w:val="0"/>
        <w:kinsoku/>
        <w:wordWrap/>
        <w:overflowPunct/>
        <w:topLinePunct w:val="0"/>
        <w:bidi w:val="0"/>
        <w:adjustRightInd w:val="0"/>
        <w:snapToGrid w:val="0"/>
        <w:spacing w:line="360" w:lineRule="auto"/>
        <w:ind w:firstLine="486" w:firstLineChars="200"/>
        <w:textAlignment w:val="auto"/>
        <w:rPr>
          <w:rFonts w:hint="default" w:ascii="Times New Roman" w:hAnsi="Times New Roman" w:eastAsia="宋体" w:cs="Times New Roman"/>
          <w:b w:val="0"/>
          <w:bCs/>
          <w:color w:val="auto"/>
          <w:kern w:val="0"/>
          <w:sz w:val="24"/>
          <w:highlight w:val="none"/>
        </w:rPr>
      </w:pPr>
      <w:r>
        <w:rPr>
          <w:rFonts w:hint="default" w:ascii="Times New Roman" w:hAnsi="Times New Roman" w:eastAsia="宋体" w:cs="Times New Roman"/>
          <w:b w:val="0"/>
          <w:bCs/>
          <w:color w:val="auto"/>
          <w:kern w:val="0"/>
          <w:sz w:val="24"/>
          <w:highlight w:val="none"/>
        </w:rPr>
        <w:t>根据鲁环发【2009】80号文件《关于构建全省环境安全防控体系的实际意见》</w:t>
      </w:r>
      <w:r>
        <w:rPr>
          <w:rFonts w:hint="default" w:ascii="Times New Roman" w:hAnsi="Times New Roman" w:eastAsia="宋体" w:cs="Times New Roman"/>
          <w:b w:val="0"/>
          <w:bCs/>
          <w:color w:val="auto"/>
          <w:kern w:val="0"/>
          <w:sz w:val="24"/>
          <w:highlight w:val="none"/>
          <w:lang w:eastAsia="zh-CN"/>
        </w:rPr>
        <w:t>并参考</w:t>
      </w:r>
      <w:r>
        <w:rPr>
          <w:rFonts w:hint="default" w:ascii="Times New Roman" w:hAnsi="Times New Roman" w:eastAsia="宋体" w:cs="Times New Roman"/>
          <w:b w:val="0"/>
          <w:bCs/>
          <w:color w:val="auto"/>
          <w:kern w:val="0"/>
          <w:sz w:val="24"/>
          <w:highlight w:val="none"/>
        </w:rPr>
        <w:t>中国石油天然气集团公司企业标准《事故状态下水体污染的预防与控制技术要求》（Q/SY1190-2009），采取风险三级防控体系：</w:t>
      </w:r>
    </w:p>
    <w:p w14:paraId="7AC77090">
      <w:pPr>
        <w:widowControl/>
        <w:adjustRightInd w:val="0"/>
        <w:snapToGrid w:val="0"/>
        <w:spacing w:line="360" w:lineRule="auto"/>
        <w:ind w:firstLine="486" w:firstLineChars="200"/>
        <w:rPr>
          <w:rFonts w:hint="default" w:ascii="Times New Roman" w:hAnsi="Times New Roman" w:eastAsia="宋体" w:cs="Times New Roman"/>
          <w:b w:val="0"/>
          <w:bCs/>
          <w:color w:val="auto"/>
          <w:kern w:val="0"/>
          <w:sz w:val="24"/>
          <w:highlight w:val="none"/>
          <w:lang w:eastAsia="zh-CN"/>
        </w:rPr>
      </w:pPr>
      <w:r>
        <w:rPr>
          <w:rFonts w:hint="default" w:ascii="Times New Roman" w:hAnsi="Times New Roman" w:eastAsia="宋体" w:cs="Times New Roman"/>
          <w:b w:val="0"/>
          <w:bCs/>
          <w:color w:val="auto"/>
          <w:kern w:val="0"/>
          <w:sz w:val="24"/>
          <w:highlight w:val="none"/>
          <w:lang w:eastAsia="zh-CN"/>
        </w:rPr>
        <w:t>①厂区设置事故池，一旦发生事故，消防废水及事故污水经防火堤收集后，通过防渗管道排入总容积</w:t>
      </w:r>
      <w:r>
        <w:rPr>
          <w:rFonts w:hint="default" w:ascii="Times New Roman" w:hAnsi="Times New Roman" w:eastAsia="宋体" w:cs="Times New Roman"/>
          <w:b w:val="0"/>
          <w:bCs/>
          <w:color w:val="auto"/>
          <w:kern w:val="0"/>
          <w:sz w:val="24"/>
          <w:highlight w:val="none"/>
          <w:lang w:val="en-US" w:eastAsia="zh-CN"/>
        </w:rPr>
        <w:t>760</w:t>
      </w:r>
      <w:r>
        <w:rPr>
          <w:rFonts w:hint="default" w:ascii="Times New Roman" w:hAnsi="Times New Roman" w:eastAsia="宋体" w:cs="Times New Roman"/>
          <w:b w:val="0"/>
          <w:bCs/>
          <w:color w:val="auto"/>
          <w:kern w:val="0"/>
          <w:sz w:val="24"/>
          <w:highlight w:val="none"/>
          <w:lang w:eastAsia="zh-CN"/>
        </w:rPr>
        <w:t>m3事故池中，经厂区污水处理站处理后排入齐鲁石化供排水厂深度处理。</w:t>
      </w:r>
    </w:p>
    <w:p w14:paraId="289BBFEA">
      <w:pPr>
        <w:widowControl/>
        <w:adjustRightInd w:val="0"/>
        <w:snapToGrid w:val="0"/>
        <w:spacing w:line="360" w:lineRule="auto"/>
        <w:ind w:firstLine="486" w:firstLineChars="200"/>
        <w:rPr>
          <w:rFonts w:hint="default" w:ascii="Times New Roman" w:hAnsi="Times New Roman" w:eastAsia="宋体" w:cs="Times New Roman"/>
          <w:b w:val="0"/>
          <w:bCs/>
          <w:color w:val="auto"/>
          <w:kern w:val="0"/>
          <w:sz w:val="24"/>
          <w:highlight w:val="none"/>
          <w:lang w:eastAsia="zh-CN"/>
        </w:rPr>
      </w:pPr>
      <w:r>
        <w:rPr>
          <w:rFonts w:hint="default" w:ascii="Times New Roman" w:hAnsi="Times New Roman" w:eastAsia="宋体" w:cs="Times New Roman"/>
          <w:b w:val="0"/>
          <w:bCs/>
          <w:color w:val="auto"/>
          <w:kern w:val="0"/>
          <w:sz w:val="24"/>
          <w:highlight w:val="none"/>
          <w:lang w:eastAsia="zh-CN"/>
        </w:rPr>
        <w:t>②公司建立三级防控体系：</w:t>
      </w:r>
    </w:p>
    <w:p w14:paraId="124CDD81">
      <w:pPr>
        <w:widowControl/>
        <w:adjustRightInd w:val="0"/>
        <w:snapToGrid w:val="0"/>
        <w:spacing w:line="360" w:lineRule="auto"/>
        <w:ind w:firstLine="486" w:firstLineChars="200"/>
        <w:rPr>
          <w:rFonts w:hint="default" w:ascii="Times New Roman" w:hAnsi="Times New Roman" w:eastAsia="宋体" w:cs="Times New Roman"/>
          <w:b w:val="0"/>
          <w:bCs/>
          <w:color w:val="auto"/>
          <w:kern w:val="0"/>
          <w:sz w:val="24"/>
          <w:highlight w:val="none"/>
        </w:rPr>
      </w:pPr>
      <w:r>
        <w:rPr>
          <w:rFonts w:hint="default" w:ascii="Times New Roman" w:hAnsi="Times New Roman" w:eastAsia="宋体" w:cs="Times New Roman"/>
          <w:b w:val="0"/>
          <w:bCs/>
          <w:color w:val="auto"/>
          <w:kern w:val="0"/>
          <w:sz w:val="24"/>
          <w:highlight w:val="none"/>
        </w:rPr>
        <w:t>一级防控措施：罐区设置围堰，确保泄漏物料不会溢出围堰，并对装置区、罐区、仓库等地面进行重点防渗。</w:t>
      </w:r>
    </w:p>
    <w:p w14:paraId="595171CB">
      <w:pPr>
        <w:widowControl/>
        <w:adjustRightInd w:val="0"/>
        <w:snapToGrid w:val="0"/>
        <w:spacing w:line="360" w:lineRule="auto"/>
        <w:ind w:firstLine="486" w:firstLineChars="200"/>
        <w:rPr>
          <w:rFonts w:hint="default" w:ascii="Times New Roman" w:hAnsi="Times New Roman" w:eastAsia="宋体" w:cs="Times New Roman"/>
          <w:b w:val="0"/>
          <w:bCs/>
          <w:color w:val="auto"/>
          <w:kern w:val="0"/>
          <w:sz w:val="24"/>
          <w:highlight w:val="none"/>
        </w:rPr>
      </w:pPr>
      <w:r>
        <w:rPr>
          <w:rFonts w:hint="default" w:ascii="Times New Roman" w:hAnsi="Times New Roman" w:eastAsia="宋体" w:cs="Times New Roman"/>
          <w:b w:val="0"/>
          <w:bCs/>
          <w:color w:val="auto"/>
          <w:kern w:val="0"/>
          <w:sz w:val="24"/>
          <w:highlight w:val="none"/>
        </w:rPr>
        <w:t>二级防控措施：厂区设置</w:t>
      </w:r>
      <w:r>
        <w:rPr>
          <w:rFonts w:hint="default" w:ascii="Times New Roman" w:hAnsi="Times New Roman" w:eastAsia="宋体" w:cs="Times New Roman"/>
          <w:b w:val="0"/>
          <w:bCs/>
          <w:color w:val="auto"/>
          <w:kern w:val="0"/>
          <w:sz w:val="24"/>
          <w:highlight w:val="none"/>
          <w:lang w:val="en-US" w:eastAsia="zh-CN"/>
        </w:rPr>
        <w:t>500</w:t>
      </w:r>
      <w:r>
        <w:rPr>
          <w:rFonts w:hint="default" w:ascii="Times New Roman" w:hAnsi="Times New Roman" w:eastAsia="宋体" w:cs="Times New Roman"/>
          <w:b w:val="0"/>
          <w:bCs/>
          <w:color w:val="auto"/>
          <w:kern w:val="0"/>
          <w:sz w:val="24"/>
          <w:highlight w:val="none"/>
        </w:rPr>
        <w:t>立方米和</w:t>
      </w:r>
      <w:r>
        <w:rPr>
          <w:rFonts w:hint="default" w:ascii="Times New Roman" w:hAnsi="Times New Roman" w:eastAsia="宋体" w:cs="Times New Roman"/>
          <w:b w:val="0"/>
          <w:bCs/>
          <w:color w:val="auto"/>
          <w:kern w:val="0"/>
          <w:sz w:val="24"/>
          <w:highlight w:val="none"/>
          <w:lang w:val="en-US" w:eastAsia="zh-CN"/>
        </w:rPr>
        <w:t>260</w:t>
      </w:r>
      <w:r>
        <w:rPr>
          <w:rFonts w:hint="default" w:ascii="Times New Roman" w:hAnsi="Times New Roman" w:eastAsia="宋体" w:cs="Times New Roman"/>
          <w:b w:val="0"/>
          <w:bCs/>
          <w:color w:val="auto"/>
          <w:kern w:val="0"/>
          <w:sz w:val="24"/>
          <w:highlight w:val="none"/>
        </w:rPr>
        <w:t>立方米的事故应急池，将事故废水、消防废水、前期雨水等通过防渗管道排入事故应急池，经厂内污水处理站处理后排入</w:t>
      </w:r>
      <w:r>
        <w:rPr>
          <w:rFonts w:hint="default" w:ascii="Times New Roman" w:hAnsi="Times New Roman" w:eastAsia="宋体" w:cs="Times New Roman"/>
          <w:b w:val="0"/>
          <w:bCs/>
          <w:color w:val="auto"/>
          <w:kern w:val="0"/>
          <w:sz w:val="24"/>
          <w:highlight w:val="none"/>
          <w:lang w:eastAsia="zh-CN"/>
        </w:rPr>
        <w:t>齐鲁石化供排水厂深度</w:t>
      </w:r>
      <w:r>
        <w:rPr>
          <w:rFonts w:hint="default" w:ascii="Times New Roman" w:hAnsi="Times New Roman" w:eastAsia="宋体" w:cs="Times New Roman"/>
          <w:b w:val="0"/>
          <w:bCs/>
          <w:color w:val="auto"/>
          <w:kern w:val="0"/>
          <w:sz w:val="24"/>
          <w:highlight w:val="none"/>
        </w:rPr>
        <w:t>。</w:t>
      </w:r>
    </w:p>
    <w:p w14:paraId="091F8E71">
      <w:pPr>
        <w:widowControl/>
        <w:adjustRightInd w:val="0"/>
        <w:snapToGrid w:val="0"/>
        <w:spacing w:line="360" w:lineRule="auto"/>
        <w:ind w:firstLine="486" w:firstLineChars="200"/>
        <w:rPr>
          <w:rFonts w:hint="default" w:ascii="Times New Roman" w:hAnsi="Times New Roman" w:eastAsia="宋体" w:cs="Times New Roman"/>
          <w:b w:val="0"/>
          <w:bCs/>
          <w:color w:val="auto"/>
          <w:kern w:val="0"/>
          <w:sz w:val="24"/>
          <w:highlight w:val="none"/>
        </w:rPr>
      </w:pPr>
      <w:r>
        <w:rPr>
          <w:rFonts w:hint="default" w:ascii="Times New Roman" w:hAnsi="Times New Roman" w:eastAsia="宋体" w:cs="Times New Roman"/>
          <w:b w:val="0"/>
          <w:bCs/>
          <w:color w:val="auto"/>
          <w:kern w:val="0"/>
          <w:sz w:val="24"/>
          <w:highlight w:val="none"/>
        </w:rPr>
        <w:t>三级防控措施：厂区雨水排放口设置切断阀，一旦事故废水进入厂区雨水管道，立即切断厂区与外界雨污水受纳管网的联系，将事故废水控制在厂区内。</w:t>
      </w:r>
    </w:p>
    <w:p w14:paraId="7DB08D6D">
      <w:pPr>
        <w:keepNext w:val="0"/>
        <w:keepLines w:val="0"/>
        <w:pageBreakBefore w:val="0"/>
        <w:widowControl/>
        <w:kinsoku/>
        <w:wordWrap/>
        <w:overflowPunct/>
        <w:topLinePunct w:val="0"/>
        <w:autoSpaceDE/>
        <w:autoSpaceDN/>
        <w:bidi w:val="0"/>
        <w:adjustRightInd w:val="0"/>
        <w:snapToGrid w:val="0"/>
        <w:spacing w:line="360" w:lineRule="auto"/>
        <w:ind w:firstLine="486" w:firstLineChars="200"/>
        <w:textAlignment w:val="auto"/>
        <w:rPr>
          <w:rFonts w:hint="default" w:ascii="Times New Roman" w:hAnsi="Times New Roman" w:cs="Times New Roman"/>
          <w:color w:val="auto"/>
          <w:spacing w:val="-2"/>
          <w:kern w:val="0"/>
          <w:sz w:val="24"/>
          <w:highlight w:val="none"/>
          <w:lang w:val="fr-FR"/>
        </w:rPr>
      </w:pPr>
      <w:r>
        <w:rPr>
          <w:rFonts w:hint="default" w:ascii="Times New Roman" w:hAnsi="Times New Roman" w:eastAsia="宋体" w:cs="Times New Roman"/>
          <w:b w:val="0"/>
          <w:bCs/>
          <w:color w:val="auto"/>
          <w:kern w:val="0"/>
          <w:sz w:val="24"/>
          <w:highlight w:val="none"/>
        </w:rPr>
        <w:t>该事故水池满足全厂三级防控的要求。</w:t>
      </w:r>
    </w:p>
    <w:p w14:paraId="06B13270">
      <w:pPr>
        <w:keepNext w:val="0"/>
        <w:keepLines w:val="0"/>
        <w:pageBreakBefore w:val="0"/>
        <w:kinsoku/>
        <w:wordWrap/>
        <w:overflowPunct/>
        <w:topLinePunct w:val="0"/>
        <w:autoSpaceDE/>
        <w:autoSpaceDN/>
        <w:bidi w:val="0"/>
        <w:spacing w:line="360" w:lineRule="auto"/>
        <w:textAlignment w:val="auto"/>
        <w:outlineLvl w:val="9"/>
        <w:rPr>
          <w:rFonts w:hint="default" w:ascii="Times New Roman" w:hAnsi="Times New Roman" w:eastAsia="宋体" w:cs="Times New Roman"/>
          <w:b/>
          <w:bCs/>
          <w:color w:val="auto"/>
          <w:sz w:val="24"/>
          <w:szCs w:val="32"/>
        </w:rPr>
      </w:pPr>
      <w:r>
        <w:rPr>
          <w:rFonts w:hint="default" w:ascii="Times New Roman" w:hAnsi="Times New Roman" w:eastAsia="宋体" w:cs="Times New Roman"/>
          <w:b/>
          <w:bCs/>
          <w:color w:val="auto"/>
          <w:sz w:val="24"/>
          <w:szCs w:val="32"/>
        </w:rPr>
        <w:t>4.3.2</w:t>
      </w:r>
      <w:r>
        <w:rPr>
          <w:rFonts w:hint="default" w:ascii="Times New Roman" w:hAnsi="Times New Roman" w:eastAsia="宋体" w:cs="Times New Roman"/>
          <w:b/>
          <w:bCs/>
          <w:color w:val="auto"/>
          <w:sz w:val="24"/>
          <w:szCs w:val="32"/>
          <w:lang w:val="en-US" w:eastAsia="zh-CN"/>
        </w:rPr>
        <w:t>.4</w:t>
      </w:r>
      <w:r>
        <w:rPr>
          <w:rFonts w:hint="default" w:ascii="Times New Roman" w:hAnsi="Times New Roman" w:eastAsia="宋体" w:cs="Times New Roman"/>
          <w:b/>
          <w:bCs/>
          <w:color w:val="auto"/>
          <w:sz w:val="24"/>
          <w:szCs w:val="32"/>
        </w:rPr>
        <w:t xml:space="preserve"> 工艺技术装备和自动控制设计风险防范措施</w:t>
      </w:r>
    </w:p>
    <w:p w14:paraId="736A6B87">
      <w:pPr>
        <w:keepNext w:val="0"/>
        <w:keepLines w:val="0"/>
        <w:pageBreakBefore w:val="0"/>
        <w:kinsoku/>
        <w:wordWrap/>
        <w:overflowPunct/>
        <w:topLinePunct w:val="0"/>
        <w:autoSpaceDE/>
        <w:autoSpaceDN/>
        <w:bidi w:val="0"/>
        <w:adjustRightInd w:val="0"/>
        <w:snapToGrid w:val="0"/>
        <w:spacing w:line="360" w:lineRule="auto"/>
        <w:ind w:firstLine="486" w:firstLineChars="200"/>
        <w:textAlignment w:val="auto"/>
        <w:rPr>
          <w:rFonts w:hint="default" w:ascii="Times New Roman" w:hAnsi="Times New Roman" w:eastAsia="宋体" w:cs="Times New Roman"/>
          <w:b w:val="0"/>
          <w:bCs/>
          <w:color w:val="auto"/>
          <w:kern w:val="0"/>
          <w:sz w:val="24"/>
          <w:highlight w:val="none"/>
        </w:rPr>
      </w:pPr>
      <w:r>
        <w:rPr>
          <w:rFonts w:hint="default" w:ascii="Times New Roman" w:hAnsi="Times New Roman" w:eastAsia="宋体" w:cs="Times New Roman"/>
          <w:b w:val="0"/>
          <w:bCs/>
          <w:color w:val="auto"/>
          <w:kern w:val="0"/>
          <w:sz w:val="24"/>
          <w:highlight w:val="none"/>
        </w:rPr>
        <w:t>1、项目工艺技术设计考虑原则</w:t>
      </w:r>
    </w:p>
    <w:p w14:paraId="1E69C281">
      <w:pPr>
        <w:keepNext w:val="0"/>
        <w:keepLines w:val="0"/>
        <w:pageBreakBefore w:val="0"/>
        <w:kinsoku/>
        <w:wordWrap/>
        <w:overflowPunct/>
        <w:topLinePunct w:val="0"/>
        <w:bidi w:val="0"/>
        <w:adjustRightInd w:val="0"/>
        <w:snapToGrid w:val="0"/>
        <w:spacing w:line="360" w:lineRule="auto"/>
        <w:ind w:firstLine="486" w:firstLineChars="200"/>
        <w:textAlignment w:val="auto"/>
        <w:rPr>
          <w:rFonts w:hint="default" w:ascii="Times New Roman" w:hAnsi="Times New Roman" w:eastAsia="宋体" w:cs="Times New Roman"/>
          <w:b w:val="0"/>
          <w:bCs/>
          <w:color w:val="auto"/>
          <w:kern w:val="0"/>
          <w:sz w:val="24"/>
          <w:highlight w:val="none"/>
        </w:rPr>
      </w:pPr>
      <w:r>
        <w:rPr>
          <w:rFonts w:hint="default" w:ascii="Times New Roman" w:hAnsi="Times New Roman" w:eastAsia="宋体" w:cs="Times New Roman"/>
          <w:b w:val="0"/>
          <w:bCs/>
          <w:color w:val="auto"/>
          <w:kern w:val="0"/>
          <w:sz w:val="24"/>
          <w:highlight w:val="none"/>
        </w:rPr>
        <w:t>项目建设在生产装置(设施)在设计、运行中严格按照相关的法规、规范进行设计、施工，以确保安全生产。设计中采用的主要安全防范措施如下：</w:t>
      </w:r>
    </w:p>
    <w:p w14:paraId="2FEC5FC4">
      <w:pPr>
        <w:keepNext w:val="0"/>
        <w:keepLines w:val="0"/>
        <w:pageBreakBefore w:val="0"/>
        <w:kinsoku/>
        <w:wordWrap/>
        <w:overflowPunct/>
        <w:topLinePunct w:val="0"/>
        <w:bidi w:val="0"/>
        <w:adjustRightInd w:val="0"/>
        <w:snapToGrid w:val="0"/>
        <w:spacing w:line="360" w:lineRule="auto"/>
        <w:ind w:firstLine="486" w:firstLineChars="200"/>
        <w:textAlignment w:val="auto"/>
        <w:rPr>
          <w:rFonts w:hint="default" w:ascii="Times New Roman" w:hAnsi="Times New Roman" w:eastAsia="宋体" w:cs="Times New Roman"/>
          <w:b w:val="0"/>
          <w:bCs/>
          <w:color w:val="auto"/>
          <w:kern w:val="0"/>
          <w:sz w:val="24"/>
          <w:highlight w:val="none"/>
        </w:rPr>
      </w:pPr>
      <w:r>
        <w:rPr>
          <w:rFonts w:hint="default" w:ascii="Times New Roman" w:hAnsi="Times New Roman" w:eastAsia="宋体" w:cs="Times New Roman"/>
          <w:b w:val="0"/>
          <w:bCs/>
          <w:color w:val="auto"/>
          <w:kern w:val="0"/>
          <w:sz w:val="24"/>
          <w:highlight w:val="none"/>
        </w:rPr>
        <w:t>（1）厂区总平面</w:t>
      </w:r>
      <w:r>
        <w:rPr>
          <w:rFonts w:hint="default" w:ascii="Times New Roman" w:hAnsi="Times New Roman" w:eastAsia="宋体" w:cs="Times New Roman"/>
          <w:b w:val="0"/>
          <w:bCs/>
          <w:color w:val="auto"/>
          <w:kern w:val="0"/>
          <w:sz w:val="24"/>
          <w:highlight w:val="none"/>
          <w:lang w:eastAsia="zh-CN"/>
        </w:rPr>
        <w:t>布</w:t>
      </w:r>
      <w:r>
        <w:rPr>
          <w:rFonts w:hint="default" w:ascii="Times New Roman" w:hAnsi="Times New Roman" w:eastAsia="宋体" w:cs="Times New Roman"/>
          <w:b w:val="0"/>
          <w:bCs/>
          <w:color w:val="auto"/>
          <w:kern w:val="0"/>
          <w:sz w:val="24"/>
          <w:highlight w:val="none"/>
        </w:rPr>
        <w:t>置及各装置区内平面布置，满足安全及消防要求。</w:t>
      </w:r>
    </w:p>
    <w:p w14:paraId="4B49E535">
      <w:pPr>
        <w:keepNext w:val="0"/>
        <w:keepLines w:val="0"/>
        <w:pageBreakBefore w:val="0"/>
        <w:kinsoku/>
        <w:wordWrap/>
        <w:overflowPunct/>
        <w:topLinePunct w:val="0"/>
        <w:bidi w:val="0"/>
        <w:adjustRightInd w:val="0"/>
        <w:snapToGrid w:val="0"/>
        <w:spacing w:line="360" w:lineRule="auto"/>
        <w:ind w:firstLine="486" w:firstLineChars="200"/>
        <w:textAlignment w:val="auto"/>
        <w:rPr>
          <w:rFonts w:hint="default" w:ascii="Times New Roman" w:hAnsi="Times New Roman" w:eastAsia="宋体" w:cs="Times New Roman"/>
          <w:b w:val="0"/>
          <w:bCs/>
          <w:color w:val="auto"/>
          <w:kern w:val="0"/>
          <w:sz w:val="24"/>
          <w:highlight w:val="none"/>
        </w:rPr>
      </w:pPr>
      <w:r>
        <w:rPr>
          <w:rFonts w:hint="default" w:ascii="Times New Roman" w:hAnsi="Times New Roman" w:eastAsia="宋体" w:cs="Times New Roman"/>
          <w:b w:val="0"/>
          <w:bCs/>
          <w:color w:val="auto"/>
          <w:kern w:val="0"/>
          <w:sz w:val="24"/>
          <w:highlight w:val="none"/>
        </w:rPr>
        <w:t>（2）从物料输入加工直至产品输出，所有可燃、有毒物料始终密闭在各类设施和管道中。各个连接处采用可靠的密封措施。</w:t>
      </w:r>
    </w:p>
    <w:p w14:paraId="095764D3">
      <w:pPr>
        <w:keepNext w:val="0"/>
        <w:keepLines w:val="0"/>
        <w:pageBreakBefore w:val="0"/>
        <w:kinsoku/>
        <w:wordWrap/>
        <w:overflowPunct/>
        <w:topLinePunct w:val="0"/>
        <w:bidi w:val="0"/>
        <w:adjustRightInd w:val="0"/>
        <w:snapToGrid w:val="0"/>
        <w:spacing w:line="360" w:lineRule="auto"/>
        <w:ind w:firstLine="486" w:firstLineChars="200"/>
        <w:textAlignment w:val="auto"/>
        <w:rPr>
          <w:rFonts w:hint="default" w:ascii="Times New Roman" w:hAnsi="Times New Roman" w:eastAsia="宋体" w:cs="Times New Roman"/>
          <w:b w:val="0"/>
          <w:bCs/>
          <w:color w:val="auto"/>
          <w:kern w:val="0"/>
          <w:sz w:val="24"/>
          <w:highlight w:val="none"/>
        </w:rPr>
      </w:pPr>
      <w:r>
        <w:rPr>
          <w:rFonts w:hint="default" w:ascii="Times New Roman" w:hAnsi="Times New Roman" w:eastAsia="宋体" w:cs="Times New Roman"/>
          <w:b w:val="0"/>
          <w:bCs/>
          <w:color w:val="auto"/>
          <w:kern w:val="0"/>
          <w:sz w:val="24"/>
          <w:highlight w:val="none"/>
        </w:rPr>
        <w:t>（3）在装置区、罐区等可能有可燃性气体或有毒气体泄漏和积聚的场所，采用自然通风和机械通风相结合的方式，防止可燃气体积聚，并设置可燃气体或有毒气体报警器。</w:t>
      </w:r>
    </w:p>
    <w:p w14:paraId="157D6AA4">
      <w:pPr>
        <w:keepNext w:val="0"/>
        <w:keepLines w:val="0"/>
        <w:pageBreakBefore w:val="0"/>
        <w:kinsoku/>
        <w:wordWrap/>
        <w:overflowPunct/>
        <w:topLinePunct w:val="0"/>
        <w:bidi w:val="0"/>
        <w:adjustRightInd w:val="0"/>
        <w:snapToGrid w:val="0"/>
        <w:spacing w:line="360" w:lineRule="auto"/>
        <w:ind w:firstLine="486" w:firstLineChars="200"/>
        <w:textAlignment w:val="auto"/>
        <w:rPr>
          <w:rFonts w:hint="default" w:ascii="Times New Roman" w:hAnsi="Times New Roman" w:eastAsia="宋体" w:cs="Times New Roman"/>
          <w:b w:val="0"/>
          <w:bCs/>
          <w:color w:val="auto"/>
          <w:kern w:val="0"/>
          <w:sz w:val="24"/>
          <w:highlight w:val="none"/>
        </w:rPr>
      </w:pPr>
      <w:r>
        <w:rPr>
          <w:rFonts w:hint="default" w:ascii="Times New Roman" w:hAnsi="Times New Roman" w:eastAsia="宋体" w:cs="Times New Roman"/>
          <w:b w:val="0"/>
          <w:bCs/>
          <w:color w:val="auto"/>
          <w:kern w:val="0"/>
          <w:sz w:val="24"/>
          <w:highlight w:val="none"/>
        </w:rPr>
        <w:t>2、装置设计安全防</w:t>
      </w:r>
      <w:r>
        <w:rPr>
          <w:rFonts w:hint="default" w:ascii="Times New Roman" w:hAnsi="Times New Roman" w:eastAsia="宋体" w:cs="Times New Roman"/>
          <w:b w:val="0"/>
          <w:bCs/>
          <w:color w:val="auto"/>
          <w:kern w:val="0"/>
          <w:sz w:val="24"/>
          <w:highlight w:val="none"/>
          <w:lang w:eastAsia="zh-CN"/>
        </w:rPr>
        <w:t>控</w:t>
      </w:r>
      <w:r>
        <w:rPr>
          <w:rFonts w:hint="default" w:ascii="Times New Roman" w:hAnsi="Times New Roman" w:eastAsia="宋体" w:cs="Times New Roman"/>
          <w:b w:val="0"/>
          <w:bCs/>
          <w:color w:val="auto"/>
          <w:kern w:val="0"/>
          <w:sz w:val="24"/>
          <w:highlight w:val="none"/>
        </w:rPr>
        <w:t>措施</w:t>
      </w:r>
    </w:p>
    <w:p w14:paraId="6A83C49A">
      <w:pPr>
        <w:keepNext w:val="0"/>
        <w:keepLines w:val="0"/>
        <w:pageBreakBefore w:val="0"/>
        <w:kinsoku/>
        <w:wordWrap/>
        <w:overflowPunct/>
        <w:topLinePunct w:val="0"/>
        <w:bidi w:val="0"/>
        <w:adjustRightInd w:val="0"/>
        <w:snapToGrid w:val="0"/>
        <w:spacing w:line="360" w:lineRule="auto"/>
        <w:ind w:firstLine="486" w:firstLineChars="200"/>
        <w:textAlignment w:val="auto"/>
        <w:rPr>
          <w:rFonts w:hint="default" w:ascii="Times New Roman" w:hAnsi="Times New Roman" w:eastAsia="宋体" w:cs="Times New Roman"/>
          <w:b w:val="0"/>
          <w:bCs/>
          <w:color w:val="auto"/>
          <w:kern w:val="0"/>
          <w:sz w:val="24"/>
          <w:highlight w:val="none"/>
        </w:rPr>
      </w:pPr>
      <w:r>
        <w:rPr>
          <w:rFonts w:hint="default" w:ascii="Times New Roman" w:hAnsi="Times New Roman" w:eastAsia="宋体" w:cs="Times New Roman"/>
          <w:b w:val="0"/>
          <w:bCs/>
          <w:color w:val="auto"/>
          <w:kern w:val="0"/>
          <w:sz w:val="24"/>
          <w:highlight w:val="none"/>
        </w:rPr>
        <w:t>（1）装置本质安全性及设备的完整性</w:t>
      </w:r>
    </w:p>
    <w:p w14:paraId="0BECD16D">
      <w:pPr>
        <w:keepNext w:val="0"/>
        <w:keepLines w:val="0"/>
        <w:pageBreakBefore w:val="0"/>
        <w:kinsoku/>
        <w:wordWrap/>
        <w:overflowPunct/>
        <w:topLinePunct w:val="0"/>
        <w:bidi w:val="0"/>
        <w:adjustRightInd w:val="0"/>
        <w:snapToGrid w:val="0"/>
        <w:spacing w:line="360" w:lineRule="auto"/>
        <w:ind w:firstLine="486" w:firstLineChars="200"/>
        <w:textAlignment w:val="auto"/>
        <w:rPr>
          <w:rFonts w:hint="default" w:ascii="Times New Roman" w:hAnsi="Times New Roman" w:eastAsia="宋体" w:cs="Times New Roman"/>
          <w:b w:val="0"/>
          <w:bCs/>
          <w:color w:val="auto"/>
          <w:kern w:val="0"/>
          <w:sz w:val="24"/>
          <w:highlight w:val="none"/>
        </w:rPr>
      </w:pPr>
      <w:r>
        <w:rPr>
          <w:rFonts w:hint="default" w:ascii="Times New Roman" w:hAnsi="Times New Roman" w:eastAsia="宋体" w:cs="Times New Roman"/>
          <w:b w:val="0"/>
          <w:bCs/>
          <w:color w:val="auto"/>
          <w:kern w:val="0"/>
          <w:sz w:val="24"/>
          <w:highlight w:val="none"/>
        </w:rPr>
        <w:t>工艺和设备的安全可靠性、卸压系统等的可靠性对装置安全生产十分重要。</w:t>
      </w:r>
    </w:p>
    <w:p w14:paraId="4327AC8B">
      <w:pPr>
        <w:keepNext w:val="0"/>
        <w:keepLines w:val="0"/>
        <w:pageBreakBefore w:val="0"/>
        <w:kinsoku/>
        <w:wordWrap/>
        <w:overflowPunct/>
        <w:topLinePunct w:val="0"/>
        <w:bidi w:val="0"/>
        <w:adjustRightInd w:val="0"/>
        <w:snapToGrid w:val="0"/>
        <w:spacing w:line="360" w:lineRule="auto"/>
        <w:ind w:firstLine="486" w:firstLineChars="200"/>
        <w:textAlignment w:val="auto"/>
        <w:rPr>
          <w:rFonts w:hint="default" w:ascii="Times New Roman" w:hAnsi="Times New Roman" w:eastAsia="宋体" w:cs="Times New Roman"/>
          <w:b w:val="0"/>
          <w:bCs/>
          <w:color w:val="auto"/>
          <w:kern w:val="0"/>
          <w:sz w:val="24"/>
          <w:highlight w:val="none"/>
        </w:rPr>
      </w:pPr>
      <w:r>
        <w:rPr>
          <w:rFonts w:hint="default" w:ascii="Times New Roman" w:hAnsi="Times New Roman" w:eastAsia="宋体" w:cs="Times New Roman"/>
          <w:b w:val="0"/>
          <w:bCs/>
          <w:color w:val="auto"/>
          <w:kern w:val="0"/>
          <w:sz w:val="24"/>
          <w:highlight w:val="none"/>
        </w:rPr>
        <w:t>（2）消防水去向</w:t>
      </w:r>
    </w:p>
    <w:p w14:paraId="54ADCA68">
      <w:pPr>
        <w:keepNext w:val="0"/>
        <w:keepLines w:val="0"/>
        <w:pageBreakBefore w:val="0"/>
        <w:kinsoku/>
        <w:wordWrap/>
        <w:overflowPunct/>
        <w:topLinePunct w:val="0"/>
        <w:bidi w:val="0"/>
        <w:adjustRightInd w:val="0"/>
        <w:snapToGrid w:val="0"/>
        <w:spacing w:line="360" w:lineRule="auto"/>
        <w:ind w:firstLine="486" w:firstLineChars="200"/>
        <w:textAlignment w:val="auto"/>
        <w:rPr>
          <w:rFonts w:hint="default" w:ascii="Times New Roman" w:hAnsi="Times New Roman" w:eastAsia="宋体" w:cs="Times New Roman"/>
          <w:b w:val="0"/>
          <w:bCs/>
          <w:color w:val="auto"/>
          <w:kern w:val="0"/>
          <w:sz w:val="24"/>
          <w:highlight w:val="none"/>
        </w:rPr>
      </w:pPr>
      <w:r>
        <w:rPr>
          <w:rFonts w:hint="default" w:ascii="Times New Roman" w:hAnsi="Times New Roman" w:eastAsia="宋体" w:cs="Times New Roman"/>
          <w:b w:val="0"/>
          <w:bCs/>
          <w:color w:val="auto"/>
          <w:kern w:val="0"/>
          <w:sz w:val="24"/>
          <w:highlight w:val="none"/>
        </w:rPr>
        <w:t>救火过程中将产生大量的消防水和用过的泡沫液，水中通常混有物料。可在装置发生火灾时，将消防水通过废水收集系统引入事故水池</w:t>
      </w:r>
      <w:r>
        <w:rPr>
          <w:rFonts w:hint="default" w:ascii="Times New Roman" w:hAnsi="Times New Roman" w:eastAsia="宋体" w:cs="Times New Roman"/>
          <w:b w:val="0"/>
          <w:bCs/>
          <w:color w:val="auto"/>
          <w:kern w:val="0"/>
          <w:sz w:val="24"/>
          <w:highlight w:val="none"/>
          <w:lang w:eastAsia="zh-CN"/>
        </w:rPr>
        <w:t>或</w:t>
      </w:r>
      <w:r>
        <w:rPr>
          <w:rFonts w:hint="default" w:ascii="Times New Roman" w:hAnsi="Times New Roman" w:cs="Times New Roman"/>
          <w:b w:val="0"/>
          <w:bCs/>
          <w:color w:val="auto"/>
          <w:kern w:val="0"/>
          <w:sz w:val="24"/>
          <w:highlight w:val="none"/>
          <w:lang w:eastAsia="zh-CN"/>
        </w:rPr>
        <w:t>污水收集池</w:t>
      </w:r>
      <w:r>
        <w:rPr>
          <w:rFonts w:hint="default" w:ascii="Times New Roman" w:hAnsi="Times New Roman" w:eastAsia="宋体" w:cs="Times New Roman"/>
          <w:b w:val="0"/>
          <w:bCs/>
          <w:color w:val="auto"/>
          <w:kern w:val="0"/>
          <w:sz w:val="24"/>
          <w:highlight w:val="none"/>
        </w:rPr>
        <w:t>，确保不排放入水体。</w:t>
      </w:r>
    </w:p>
    <w:p w14:paraId="67D780A3">
      <w:pPr>
        <w:keepNext w:val="0"/>
        <w:keepLines w:val="0"/>
        <w:pageBreakBefore w:val="0"/>
        <w:kinsoku/>
        <w:wordWrap/>
        <w:overflowPunct/>
        <w:topLinePunct w:val="0"/>
        <w:bidi w:val="0"/>
        <w:adjustRightInd w:val="0"/>
        <w:snapToGrid w:val="0"/>
        <w:spacing w:line="360" w:lineRule="auto"/>
        <w:ind w:firstLine="486" w:firstLineChars="200"/>
        <w:textAlignment w:val="auto"/>
        <w:rPr>
          <w:rFonts w:hint="default" w:ascii="Times New Roman" w:hAnsi="Times New Roman" w:eastAsia="宋体" w:cs="Times New Roman"/>
          <w:b w:val="0"/>
          <w:bCs/>
          <w:color w:val="auto"/>
          <w:kern w:val="0"/>
          <w:sz w:val="24"/>
          <w:highlight w:val="none"/>
        </w:rPr>
      </w:pPr>
      <w:r>
        <w:rPr>
          <w:rFonts w:hint="default" w:ascii="Times New Roman" w:hAnsi="Times New Roman" w:eastAsia="宋体" w:cs="Times New Roman"/>
          <w:b w:val="0"/>
          <w:bCs/>
          <w:color w:val="auto"/>
          <w:kern w:val="0"/>
          <w:sz w:val="24"/>
          <w:highlight w:val="none"/>
        </w:rPr>
        <w:t>（3）围堰</w:t>
      </w:r>
    </w:p>
    <w:p w14:paraId="1B830F0C">
      <w:pPr>
        <w:keepNext w:val="0"/>
        <w:keepLines w:val="0"/>
        <w:pageBreakBefore w:val="0"/>
        <w:kinsoku/>
        <w:wordWrap/>
        <w:overflowPunct/>
        <w:topLinePunct w:val="0"/>
        <w:bidi w:val="0"/>
        <w:adjustRightInd w:val="0"/>
        <w:snapToGrid w:val="0"/>
        <w:spacing w:line="360" w:lineRule="auto"/>
        <w:ind w:firstLine="486" w:firstLineChars="200"/>
        <w:textAlignment w:val="auto"/>
        <w:rPr>
          <w:rFonts w:hint="default" w:ascii="Times New Roman" w:hAnsi="Times New Roman" w:eastAsia="宋体" w:cs="Times New Roman"/>
          <w:b w:val="0"/>
          <w:bCs/>
          <w:color w:val="auto"/>
          <w:kern w:val="0"/>
          <w:sz w:val="24"/>
          <w:highlight w:val="none"/>
        </w:rPr>
      </w:pPr>
      <w:r>
        <w:rPr>
          <w:rFonts w:hint="default" w:ascii="Times New Roman" w:hAnsi="Times New Roman" w:eastAsia="宋体" w:cs="Times New Roman"/>
          <w:b w:val="0"/>
          <w:bCs/>
          <w:color w:val="auto"/>
          <w:kern w:val="0"/>
          <w:sz w:val="24"/>
          <w:highlight w:val="none"/>
        </w:rPr>
        <w:t>①在</w:t>
      </w:r>
      <w:r>
        <w:rPr>
          <w:rFonts w:hint="default" w:ascii="Times New Roman" w:hAnsi="Times New Roman" w:cs="Times New Roman"/>
          <w:b w:val="0"/>
          <w:bCs/>
          <w:color w:val="auto"/>
          <w:kern w:val="0"/>
          <w:sz w:val="24"/>
          <w:highlight w:val="none"/>
          <w:lang w:eastAsia="zh-CN"/>
        </w:rPr>
        <w:t>物料</w:t>
      </w:r>
      <w:r>
        <w:rPr>
          <w:rFonts w:hint="default" w:ascii="Times New Roman" w:hAnsi="Times New Roman" w:eastAsia="宋体" w:cs="Times New Roman"/>
          <w:b w:val="0"/>
          <w:bCs/>
          <w:color w:val="auto"/>
          <w:kern w:val="0"/>
          <w:sz w:val="24"/>
          <w:highlight w:val="none"/>
        </w:rPr>
        <w:t>罐区相关设备周围设围堰和收集系统。</w:t>
      </w:r>
    </w:p>
    <w:p w14:paraId="38C8D08B">
      <w:pPr>
        <w:keepNext w:val="0"/>
        <w:keepLines w:val="0"/>
        <w:pageBreakBefore w:val="0"/>
        <w:kinsoku/>
        <w:wordWrap/>
        <w:overflowPunct/>
        <w:topLinePunct w:val="0"/>
        <w:bidi w:val="0"/>
        <w:adjustRightInd w:val="0"/>
        <w:snapToGrid w:val="0"/>
        <w:spacing w:line="360" w:lineRule="auto"/>
        <w:ind w:firstLine="486" w:firstLineChars="200"/>
        <w:textAlignment w:val="auto"/>
        <w:rPr>
          <w:rFonts w:hint="default" w:ascii="Times New Roman" w:hAnsi="Times New Roman" w:eastAsia="宋体" w:cs="Times New Roman"/>
          <w:b w:val="0"/>
          <w:bCs/>
          <w:color w:val="auto"/>
          <w:kern w:val="0"/>
          <w:sz w:val="24"/>
          <w:highlight w:val="none"/>
        </w:rPr>
      </w:pPr>
      <w:r>
        <w:rPr>
          <w:rFonts w:hint="default" w:ascii="Times New Roman" w:hAnsi="Times New Roman" w:eastAsia="宋体" w:cs="Times New Roman"/>
          <w:b w:val="0"/>
          <w:bCs/>
          <w:color w:val="auto"/>
          <w:kern w:val="0"/>
          <w:sz w:val="24"/>
          <w:highlight w:val="none"/>
        </w:rPr>
        <w:t>②按规范要求，在相关位置设置可燃气体报警装置。</w:t>
      </w:r>
    </w:p>
    <w:p w14:paraId="395EE5F1">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b/>
          <w:bCs/>
          <w:color w:val="auto"/>
          <w:kern w:val="2"/>
          <w:sz w:val="24"/>
          <w:szCs w:val="24"/>
          <w:highlight w:val="none"/>
          <w:lang w:val="en-US" w:eastAsia="zh-CN" w:bidi="ar-SA"/>
        </w:rPr>
        <w:t>4.3.2.5 风险防范与应急措施汇总表</w:t>
      </w:r>
    </w:p>
    <w:p w14:paraId="56ED4104">
      <w:pPr>
        <w:tabs>
          <w:tab w:val="left" w:pos="1995"/>
        </w:tabs>
        <w:adjustRightInd w:val="0"/>
        <w:snapToGrid w:val="0"/>
        <w:spacing w:line="360" w:lineRule="auto"/>
        <w:ind w:firstLine="486" w:firstLineChars="200"/>
        <w:rPr>
          <w:rFonts w:hint="default" w:ascii="Times New Roman" w:hAnsi="Times New Roman" w:cs="Times New Roman"/>
          <w:color w:val="auto"/>
          <w:highlight w:val="none"/>
        </w:rPr>
      </w:pPr>
      <w:r>
        <w:rPr>
          <w:rFonts w:hint="default" w:ascii="Times New Roman" w:hAnsi="Times New Roman" w:cs="Times New Roman"/>
          <w:color w:val="auto"/>
          <w:sz w:val="24"/>
          <w:highlight w:val="none"/>
        </w:rPr>
        <w:t>对项目生产和贮运系统可能发生的事故隐患，建设单位采取相应的安全防护措施，见表4.3-</w:t>
      </w:r>
      <w:r>
        <w:rPr>
          <w:rFonts w:hint="default" w:ascii="Times New Roman" w:hAnsi="Times New Roman" w:cs="Times New Roman"/>
          <w:color w:val="auto"/>
          <w:sz w:val="24"/>
          <w:highlight w:val="none"/>
          <w:lang w:val="en-US" w:eastAsia="zh-CN"/>
        </w:rPr>
        <w:t>2</w:t>
      </w:r>
      <w:r>
        <w:rPr>
          <w:rFonts w:hint="default" w:ascii="Times New Roman" w:hAnsi="Times New Roman" w:cs="Times New Roman"/>
          <w:color w:val="auto"/>
          <w:sz w:val="24"/>
          <w:highlight w:val="none"/>
        </w:rPr>
        <w:t>。</w:t>
      </w:r>
    </w:p>
    <w:p w14:paraId="6C433630">
      <w:pPr>
        <w:adjustRightInd w:val="0"/>
        <w:snapToGrid w:val="0"/>
        <w:spacing w:line="360" w:lineRule="auto"/>
        <w:jc w:val="center"/>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表4.3-</w:t>
      </w:r>
      <w:r>
        <w:rPr>
          <w:rFonts w:hint="default" w:ascii="Times New Roman" w:hAnsi="Times New Roman" w:cs="Times New Roman"/>
          <w:b/>
          <w:color w:val="auto"/>
          <w:sz w:val="24"/>
          <w:highlight w:val="none"/>
          <w:lang w:val="en-US" w:eastAsia="zh-CN"/>
        </w:rPr>
        <w:t>2</w:t>
      </w:r>
      <w:r>
        <w:rPr>
          <w:rFonts w:hint="default" w:ascii="Times New Roman" w:hAnsi="Times New Roman" w:cs="Times New Roman"/>
          <w:b/>
          <w:color w:val="auto"/>
          <w:sz w:val="24"/>
          <w:highlight w:val="none"/>
        </w:rPr>
        <w:t xml:space="preserve">  项目风险防范措施一览表</w:t>
      </w:r>
    </w:p>
    <w:bookmarkEnd w:id="167"/>
    <w:bookmarkEnd w:id="168"/>
    <w:bookmarkEnd w:id="169"/>
    <w:bookmarkEnd w:id="170"/>
    <w:tbl>
      <w:tblPr>
        <w:tblStyle w:val="33"/>
        <w:tblW w:w="94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94"/>
        <w:gridCol w:w="1524"/>
        <w:gridCol w:w="4446"/>
        <w:gridCol w:w="2358"/>
      </w:tblGrid>
      <w:tr w14:paraId="068FB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3" w:hRule="atLeast"/>
          <w:jc w:val="center"/>
        </w:trPr>
        <w:tc>
          <w:tcPr>
            <w:tcW w:w="1094" w:type="dxa"/>
            <w:vAlign w:val="center"/>
          </w:tcPr>
          <w:p w14:paraId="654E5201">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Cs w:val="21"/>
                <w:highlight w:val="none"/>
              </w:rPr>
            </w:pPr>
            <w:bookmarkStart w:id="171" w:name="_Toc11175"/>
            <w:bookmarkStart w:id="172" w:name="_Toc30122"/>
            <w:bookmarkStart w:id="173" w:name="_Toc423956622"/>
            <w:bookmarkStart w:id="174" w:name="_Toc425866213"/>
            <w:r>
              <w:rPr>
                <w:rFonts w:hint="default" w:ascii="Times New Roman" w:hAnsi="Times New Roman" w:cs="Times New Roman"/>
                <w:b/>
                <w:bCs/>
                <w:color w:val="auto"/>
                <w:szCs w:val="21"/>
                <w:highlight w:val="none"/>
              </w:rPr>
              <w:t>事故类型</w:t>
            </w:r>
          </w:p>
        </w:tc>
        <w:tc>
          <w:tcPr>
            <w:tcW w:w="5970" w:type="dxa"/>
            <w:gridSpan w:val="2"/>
            <w:vAlign w:val="center"/>
          </w:tcPr>
          <w:p w14:paraId="032CB8DE">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防治对策</w:t>
            </w:r>
          </w:p>
        </w:tc>
        <w:tc>
          <w:tcPr>
            <w:tcW w:w="2358" w:type="dxa"/>
            <w:vAlign w:val="center"/>
          </w:tcPr>
          <w:p w14:paraId="3CA8CE9D">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应急措施</w:t>
            </w:r>
          </w:p>
        </w:tc>
      </w:tr>
      <w:tr w14:paraId="6F5BC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3" w:hRule="atLeast"/>
          <w:jc w:val="center"/>
        </w:trPr>
        <w:tc>
          <w:tcPr>
            <w:tcW w:w="1094" w:type="dxa"/>
            <w:vMerge w:val="restart"/>
            <w:vAlign w:val="center"/>
          </w:tcPr>
          <w:p w14:paraId="749624C1">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火灾</w:t>
            </w:r>
          </w:p>
        </w:tc>
        <w:tc>
          <w:tcPr>
            <w:tcW w:w="1524" w:type="dxa"/>
            <w:vAlign w:val="center"/>
          </w:tcPr>
          <w:p w14:paraId="7854D28B">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设备安全管理</w:t>
            </w:r>
          </w:p>
        </w:tc>
        <w:tc>
          <w:tcPr>
            <w:tcW w:w="4446" w:type="dxa"/>
            <w:vAlign w:val="center"/>
          </w:tcPr>
          <w:p w14:paraId="4CF541A5">
            <w:pPr>
              <w:keepNext w:val="0"/>
              <w:keepLines w:val="0"/>
              <w:suppressLineNumbers w:val="0"/>
              <w:spacing w:before="0" w:beforeAutospacing="0" w:after="0" w:afterAutospacing="0"/>
              <w:ind w:left="0" w:right="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1、根据规定对设备进行安全分级；2、按分级要求确定检查频率，保存记录以备查；3、建立完善的消防系统。</w:t>
            </w:r>
          </w:p>
        </w:tc>
        <w:tc>
          <w:tcPr>
            <w:tcW w:w="2358" w:type="dxa"/>
            <w:vMerge w:val="restart"/>
            <w:vAlign w:val="center"/>
          </w:tcPr>
          <w:p w14:paraId="14084047">
            <w:pPr>
              <w:keepNext w:val="0"/>
              <w:keepLines w:val="0"/>
              <w:suppressLineNumbers w:val="0"/>
              <w:spacing w:before="0" w:beforeAutospacing="0" w:after="0" w:afterAutospacing="0"/>
              <w:ind w:left="0" w:right="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1、按照紧急事故汇报程序报告上级管理部门，向消防系统报警；2、采取紧急工程措施，控制火源、防止火灾扩大</w:t>
            </w:r>
            <w:r>
              <w:rPr>
                <w:rFonts w:hint="default" w:ascii="Times New Roman" w:hAnsi="Times New Roman" w:cs="Times New Roman"/>
                <w:color w:val="auto"/>
                <w:szCs w:val="21"/>
                <w:highlight w:val="none"/>
                <w:lang w:eastAsia="zh-CN"/>
              </w:rPr>
              <w:t>，控制泄漏量、防止泄漏量扩大</w:t>
            </w:r>
            <w:r>
              <w:rPr>
                <w:rFonts w:hint="default" w:ascii="Times New Roman" w:hAnsi="Times New Roman" w:cs="Times New Roman"/>
                <w:color w:val="auto"/>
                <w:szCs w:val="21"/>
                <w:highlight w:val="none"/>
              </w:rPr>
              <w:t>；3、消防救火；4、人员紧急疏散、救护；5、保障运输、物质、通信、宣传等使应用急措施顺利实施。</w:t>
            </w:r>
          </w:p>
        </w:tc>
      </w:tr>
      <w:tr w14:paraId="1F273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3" w:hRule="atLeast"/>
          <w:jc w:val="center"/>
        </w:trPr>
        <w:tc>
          <w:tcPr>
            <w:tcW w:w="1094" w:type="dxa"/>
            <w:vMerge w:val="continue"/>
            <w:vAlign w:val="center"/>
          </w:tcPr>
          <w:p w14:paraId="24FF2051">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p>
        </w:tc>
        <w:tc>
          <w:tcPr>
            <w:tcW w:w="1524" w:type="dxa"/>
            <w:vAlign w:val="center"/>
          </w:tcPr>
          <w:p w14:paraId="2506D242">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火源</w:t>
            </w:r>
          </w:p>
          <w:p w14:paraId="4A1EF8C5">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管理</w:t>
            </w:r>
          </w:p>
        </w:tc>
        <w:tc>
          <w:tcPr>
            <w:tcW w:w="4446" w:type="dxa"/>
            <w:vAlign w:val="center"/>
          </w:tcPr>
          <w:p w14:paraId="5C0F41E4">
            <w:pPr>
              <w:keepNext w:val="0"/>
              <w:keepLines w:val="0"/>
              <w:suppressLineNumbers w:val="0"/>
              <w:spacing w:before="0" w:beforeAutospacing="0" w:after="0" w:afterAutospacing="0"/>
              <w:ind w:left="0" w:right="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1、防止机械着火源(如撞击、磨擦等)；2、控制高温物体着火源、电器着火源及化学着火源。</w:t>
            </w:r>
          </w:p>
        </w:tc>
        <w:tc>
          <w:tcPr>
            <w:tcW w:w="2358" w:type="dxa"/>
            <w:vMerge w:val="continue"/>
            <w:vAlign w:val="center"/>
          </w:tcPr>
          <w:p w14:paraId="69E2A76B">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p>
        </w:tc>
      </w:tr>
      <w:tr w14:paraId="1B598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3" w:hRule="atLeast"/>
          <w:jc w:val="center"/>
        </w:trPr>
        <w:tc>
          <w:tcPr>
            <w:tcW w:w="1094" w:type="dxa"/>
            <w:vMerge w:val="continue"/>
            <w:vAlign w:val="center"/>
          </w:tcPr>
          <w:p w14:paraId="4108A05D">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p>
        </w:tc>
        <w:tc>
          <w:tcPr>
            <w:tcW w:w="1524" w:type="dxa"/>
            <w:vAlign w:val="center"/>
          </w:tcPr>
          <w:p w14:paraId="08DDDBD1">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贮料</w:t>
            </w:r>
          </w:p>
          <w:p w14:paraId="02835340">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管理</w:t>
            </w:r>
          </w:p>
        </w:tc>
        <w:tc>
          <w:tcPr>
            <w:tcW w:w="4446" w:type="dxa"/>
            <w:vAlign w:val="center"/>
          </w:tcPr>
          <w:p w14:paraId="21C8AB37">
            <w:pPr>
              <w:keepNext w:val="0"/>
              <w:keepLines w:val="0"/>
              <w:suppressLineNumbers w:val="0"/>
              <w:spacing w:before="0" w:beforeAutospacing="0" w:after="0" w:afterAutospacing="0"/>
              <w:ind w:left="0" w:right="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1、进行人员培训，使其熟悉各种物料的性能；2、采取通风手段，并加强监测。</w:t>
            </w:r>
          </w:p>
        </w:tc>
        <w:tc>
          <w:tcPr>
            <w:tcW w:w="2358" w:type="dxa"/>
            <w:vMerge w:val="continue"/>
            <w:vAlign w:val="center"/>
          </w:tcPr>
          <w:p w14:paraId="458FFD60">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p>
        </w:tc>
      </w:tr>
      <w:tr w14:paraId="0780F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3" w:hRule="atLeast"/>
          <w:jc w:val="center"/>
        </w:trPr>
        <w:tc>
          <w:tcPr>
            <w:tcW w:w="1094" w:type="dxa"/>
            <w:vMerge w:val="restart"/>
            <w:vAlign w:val="center"/>
          </w:tcPr>
          <w:p w14:paraId="22915882">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爆炸</w:t>
            </w:r>
          </w:p>
        </w:tc>
        <w:tc>
          <w:tcPr>
            <w:tcW w:w="1524" w:type="dxa"/>
            <w:vAlign w:val="center"/>
          </w:tcPr>
          <w:p w14:paraId="5035BD26">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设备安全管理</w:t>
            </w:r>
          </w:p>
        </w:tc>
        <w:tc>
          <w:tcPr>
            <w:tcW w:w="4446" w:type="dxa"/>
            <w:vAlign w:val="center"/>
          </w:tcPr>
          <w:p w14:paraId="4A4A55C5">
            <w:pPr>
              <w:keepNext w:val="0"/>
              <w:keepLines w:val="0"/>
              <w:suppressLineNumbers w:val="0"/>
              <w:spacing w:before="0" w:beforeAutospacing="0" w:after="0" w:afterAutospacing="0"/>
              <w:ind w:left="0" w:right="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1、根据规定对设备进行安全分级；2、按分级要求确定检查频率，保存记录以备查；3、建立完善的消防系统。</w:t>
            </w:r>
          </w:p>
        </w:tc>
        <w:tc>
          <w:tcPr>
            <w:tcW w:w="2358" w:type="dxa"/>
            <w:vMerge w:val="continue"/>
            <w:vAlign w:val="center"/>
          </w:tcPr>
          <w:p w14:paraId="3669F3C6">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p>
        </w:tc>
      </w:tr>
      <w:tr w14:paraId="79BEA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3" w:hRule="atLeast"/>
          <w:jc w:val="center"/>
        </w:trPr>
        <w:tc>
          <w:tcPr>
            <w:tcW w:w="1094" w:type="dxa"/>
            <w:vMerge w:val="continue"/>
            <w:vAlign w:val="center"/>
          </w:tcPr>
          <w:p w14:paraId="1C123E9F">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p>
        </w:tc>
        <w:tc>
          <w:tcPr>
            <w:tcW w:w="1524" w:type="dxa"/>
            <w:vAlign w:val="center"/>
          </w:tcPr>
          <w:p w14:paraId="36F61473">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抗静电</w:t>
            </w:r>
          </w:p>
        </w:tc>
        <w:tc>
          <w:tcPr>
            <w:tcW w:w="4446" w:type="dxa"/>
            <w:vAlign w:val="center"/>
          </w:tcPr>
          <w:p w14:paraId="6F23C6A4">
            <w:pPr>
              <w:keepNext w:val="0"/>
              <w:keepLines w:val="0"/>
              <w:suppressLineNumbers w:val="0"/>
              <w:spacing w:before="0" w:beforeAutospacing="0" w:after="0" w:afterAutospacing="0"/>
              <w:ind w:left="0" w:right="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作业人员穿戴抗静电性能的工作服和具有导电性能的工作鞋。</w:t>
            </w:r>
          </w:p>
        </w:tc>
        <w:tc>
          <w:tcPr>
            <w:tcW w:w="2358" w:type="dxa"/>
            <w:vMerge w:val="continue"/>
            <w:vAlign w:val="center"/>
          </w:tcPr>
          <w:p w14:paraId="315AB77E">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p>
        </w:tc>
      </w:tr>
      <w:tr w14:paraId="4A729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3" w:hRule="atLeast"/>
          <w:jc w:val="center"/>
        </w:trPr>
        <w:tc>
          <w:tcPr>
            <w:tcW w:w="1094" w:type="dxa"/>
            <w:vMerge w:val="continue"/>
            <w:vAlign w:val="center"/>
          </w:tcPr>
          <w:p w14:paraId="575EE16E">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p>
        </w:tc>
        <w:tc>
          <w:tcPr>
            <w:tcW w:w="1524" w:type="dxa"/>
            <w:vAlign w:val="center"/>
          </w:tcPr>
          <w:p w14:paraId="3B1DF698">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预警</w:t>
            </w:r>
          </w:p>
          <w:p w14:paraId="49636DB1">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系统</w:t>
            </w:r>
          </w:p>
        </w:tc>
        <w:tc>
          <w:tcPr>
            <w:tcW w:w="4446" w:type="dxa"/>
            <w:vAlign w:val="center"/>
          </w:tcPr>
          <w:p w14:paraId="55D94B8B">
            <w:pPr>
              <w:keepNext w:val="0"/>
              <w:keepLines w:val="0"/>
              <w:suppressLineNumbers w:val="0"/>
              <w:spacing w:before="0" w:beforeAutospacing="0" w:after="0" w:afterAutospacing="0"/>
              <w:ind w:left="0" w:right="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装置设有可燃、有毒气体报警系统和工业电视监控系统，全厂布设气体检测报警系统和监控系统</w:t>
            </w:r>
          </w:p>
        </w:tc>
        <w:tc>
          <w:tcPr>
            <w:tcW w:w="2358" w:type="dxa"/>
            <w:vMerge w:val="continue"/>
            <w:vAlign w:val="center"/>
          </w:tcPr>
          <w:p w14:paraId="19FEB3D9">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p>
        </w:tc>
      </w:tr>
      <w:tr w14:paraId="51B4A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3" w:hRule="atLeast"/>
          <w:jc w:val="center"/>
        </w:trPr>
        <w:tc>
          <w:tcPr>
            <w:tcW w:w="1094" w:type="dxa"/>
            <w:vMerge w:val="restart"/>
            <w:vAlign w:val="center"/>
          </w:tcPr>
          <w:p w14:paraId="748014B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lang w:eastAsia="zh-CN"/>
              </w:rPr>
              <w:t>泄漏</w:t>
            </w:r>
          </w:p>
        </w:tc>
        <w:tc>
          <w:tcPr>
            <w:tcW w:w="1524" w:type="dxa"/>
            <w:vAlign w:val="center"/>
          </w:tcPr>
          <w:p w14:paraId="0226318D">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设备安全管理</w:t>
            </w:r>
          </w:p>
        </w:tc>
        <w:tc>
          <w:tcPr>
            <w:tcW w:w="4446" w:type="dxa"/>
            <w:vAlign w:val="center"/>
          </w:tcPr>
          <w:p w14:paraId="1E44D4EC">
            <w:pPr>
              <w:keepNext w:val="0"/>
              <w:keepLines w:val="0"/>
              <w:suppressLineNumbers w:val="0"/>
              <w:spacing w:before="0" w:beforeAutospacing="0" w:after="0" w:afterAutospacing="0"/>
              <w:ind w:left="0" w:right="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1</w:t>
            </w:r>
            <w:r>
              <w:rPr>
                <w:rFonts w:hint="default" w:ascii="Times New Roman" w:hAnsi="Times New Roman" w:cs="Times New Roman"/>
                <w:color w:val="auto"/>
                <w:szCs w:val="21"/>
                <w:highlight w:val="none"/>
              </w:rPr>
              <w:t>、根据规定对设备进行安全分级；2、按分级要求确定检查频率，保存记录以备查；3、建立完善的消防系统。</w:t>
            </w:r>
          </w:p>
        </w:tc>
        <w:tc>
          <w:tcPr>
            <w:tcW w:w="2358" w:type="dxa"/>
            <w:vMerge w:val="continue"/>
            <w:vAlign w:val="center"/>
          </w:tcPr>
          <w:p w14:paraId="134948EB">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p>
        </w:tc>
      </w:tr>
      <w:tr w14:paraId="6DFAB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3" w:hRule="atLeast"/>
          <w:jc w:val="center"/>
        </w:trPr>
        <w:tc>
          <w:tcPr>
            <w:tcW w:w="1094" w:type="dxa"/>
            <w:vMerge w:val="continue"/>
            <w:vAlign w:val="center"/>
          </w:tcPr>
          <w:p w14:paraId="3FEACB39">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p>
        </w:tc>
        <w:tc>
          <w:tcPr>
            <w:tcW w:w="1524" w:type="dxa"/>
            <w:vAlign w:val="center"/>
          </w:tcPr>
          <w:p w14:paraId="304DADF2">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贮料</w:t>
            </w:r>
          </w:p>
          <w:p w14:paraId="011F29E7">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管理</w:t>
            </w:r>
          </w:p>
        </w:tc>
        <w:tc>
          <w:tcPr>
            <w:tcW w:w="4446" w:type="dxa"/>
            <w:vAlign w:val="center"/>
          </w:tcPr>
          <w:p w14:paraId="78A730AA">
            <w:pPr>
              <w:keepNext w:val="0"/>
              <w:keepLines w:val="0"/>
              <w:suppressLineNumbers w:val="0"/>
              <w:spacing w:before="0" w:beforeAutospacing="0" w:after="0" w:afterAutospacing="0"/>
              <w:ind w:left="0" w:right="0"/>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rPr>
              <w:t>进行人员培训，熟悉物料的性能并加强</w:t>
            </w:r>
            <w:r>
              <w:rPr>
                <w:rFonts w:hint="default" w:ascii="Times New Roman" w:hAnsi="Times New Roman" w:cs="Times New Roman"/>
                <w:color w:val="auto"/>
                <w:szCs w:val="21"/>
                <w:highlight w:val="none"/>
                <w:lang w:eastAsia="zh-CN"/>
              </w:rPr>
              <w:t>实时监控</w:t>
            </w:r>
          </w:p>
        </w:tc>
        <w:tc>
          <w:tcPr>
            <w:tcW w:w="2358" w:type="dxa"/>
            <w:vMerge w:val="continue"/>
            <w:vAlign w:val="center"/>
          </w:tcPr>
          <w:p w14:paraId="28D2B49C">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p>
        </w:tc>
      </w:tr>
      <w:tr w14:paraId="6777A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3" w:hRule="atLeast"/>
          <w:jc w:val="center"/>
        </w:trPr>
        <w:tc>
          <w:tcPr>
            <w:tcW w:w="1094" w:type="dxa"/>
            <w:vMerge w:val="continue"/>
            <w:vAlign w:val="center"/>
          </w:tcPr>
          <w:p w14:paraId="3AF7A460">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p>
        </w:tc>
        <w:tc>
          <w:tcPr>
            <w:tcW w:w="1524" w:type="dxa"/>
            <w:vAlign w:val="center"/>
          </w:tcPr>
          <w:p w14:paraId="0D186639">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预警</w:t>
            </w:r>
          </w:p>
          <w:p w14:paraId="68C7BC52">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系统</w:t>
            </w:r>
          </w:p>
        </w:tc>
        <w:tc>
          <w:tcPr>
            <w:tcW w:w="4446" w:type="dxa"/>
            <w:vAlign w:val="center"/>
          </w:tcPr>
          <w:p w14:paraId="7523202A">
            <w:pPr>
              <w:keepNext w:val="0"/>
              <w:keepLines w:val="0"/>
              <w:suppressLineNumbers w:val="0"/>
              <w:spacing w:before="0" w:beforeAutospacing="0" w:after="0" w:afterAutospacing="0"/>
              <w:ind w:left="0" w:right="0"/>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lang w:eastAsia="zh-CN"/>
              </w:rPr>
              <w:t>罐区装有围堰，</w:t>
            </w:r>
            <w:r>
              <w:rPr>
                <w:rFonts w:hint="default" w:ascii="Times New Roman" w:hAnsi="Times New Roman" w:cs="Times New Roman"/>
                <w:color w:val="auto"/>
                <w:highlight w:val="none"/>
                <w:lang w:eastAsia="zh-CN"/>
              </w:rPr>
              <w:t>安装了物料</w:t>
            </w:r>
            <w:r>
              <w:rPr>
                <w:rFonts w:hint="default" w:ascii="Times New Roman" w:hAnsi="Times New Roman" w:cs="Times New Roman"/>
                <w:color w:val="auto"/>
                <w:szCs w:val="21"/>
                <w:highlight w:val="none"/>
                <w:lang w:eastAsia="zh-CN"/>
              </w:rPr>
              <w:t>泄漏应急系统</w:t>
            </w:r>
          </w:p>
        </w:tc>
        <w:tc>
          <w:tcPr>
            <w:tcW w:w="2358" w:type="dxa"/>
            <w:vMerge w:val="continue"/>
            <w:vAlign w:val="center"/>
          </w:tcPr>
          <w:p w14:paraId="013CF930">
            <w:pPr>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highlight w:val="none"/>
              </w:rPr>
            </w:pPr>
          </w:p>
        </w:tc>
      </w:tr>
    </w:tbl>
    <w:p w14:paraId="38E81D26">
      <w:pPr>
        <w:adjustRightInd w:val="0"/>
        <w:snapToGrid w:val="0"/>
        <w:spacing w:line="360" w:lineRule="auto"/>
        <w:outlineLvl w:val="0"/>
        <w:rPr>
          <w:rFonts w:hint="default" w:ascii="Times New Roman" w:hAnsi="Times New Roman" w:cs="Times New Roman"/>
          <w:color w:val="auto"/>
          <w:sz w:val="30"/>
          <w:szCs w:val="30"/>
          <w:highlight w:val="none"/>
        </w:rPr>
      </w:pPr>
      <w:bookmarkStart w:id="175" w:name="_Toc21334"/>
      <w:bookmarkStart w:id="176" w:name="_Toc8228"/>
      <w:r>
        <w:rPr>
          <w:rStyle w:val="42"/>
          <w:rFonts w:hint="default" w:ascii="Times New Roman" w:hAnsi="Times New Roman" w:cs="Times New Roman"/>
          <w:color w:val="auto"/>
          <w:highlight w:val="none"/>
        </w:rPr>
        <w:t>5 现有环境风险防控和应急措施差距分析</w:t>
      </w:r>
      <w:bookmarkEnd w:id="171"/>
      <w:bookmarkEnd w:id="172"/>
      <w:bookmarkEnd w:id="173"/>
      <w:bookmarkEnd w:id="174"/>
      <w:bookmarkEnd w:id="175"/>
      <w:bookmarkEnd w:id="176"/>
    </w:p>
    <w:p w14:paraId="64800D22">
      <w:pPr>
        <w:pStyle w:val="7"/>
        <w:spacing w:before="0" w:after="0"/>
        <w:rPr>
          <w:rFonts w:hint="default" w:ascii="Times New Roman" w:hAnsi="Times New Roman" w:cs="Times New Roman"/>
          <w:color w:val="auto"/>
          <w:highlight w:val="none"/>
        </w:rPr>
      </w:pPr>
      <w:bookmarkStart w:id="177" w:name="_Toc416285431"/>
      <w:bookmarkStart w:id="178" w:name="_Toc5387"/>
      <w:bookmarkStart w:id="179" w:name="_Toc416441865"/>
      <w:bookmarkStart w:id="180" w:name="_Toc3822"/>
      <w:bookmarkStart w:id="181" w:name="_Toc423956623"/>
      <w:bookmarkStart w:id="182" w:name="_Toc425866214"/>
      <w:bookmarkStart w:id="183" w:name="_Toc8945"/>
      <w:bookmarkStart w:id="184" w:name="_Toc173"/>
      <w:r>
        <w:rPr>
          <w:rFonts w:hint="default" w:ascii="Times New Roman" w:hAnsi="Times New Roman" w:cs="Times New Roman"/>
          <w:color w:val="auto"/>
          <w:highlight w:val="none"/>
        </w:rPr>
        <w:t>5.1 环境风险管理制度</w:t>
      </w:r>
      <w:bookmarkEnd w:id="177"/>
      <w:bookmarkEnd w:id="178"/>
      <w:bookmarkEnd w:id="179"/>
      <w:bookmarkEnd w:id="180"/>
      <w:bookmarkEnd w:id="181"/>
      <w:bookmarkEnd w:id="182"/>
      <w:bookmarkEnd w:id="183"/>
      <w:bookmarkEnd w:id="184"/>
    </w:p>
    <w:p w14:paraId="0A041756">
      <w:pPr>
        <w:adjustRightInd w:val="0"/>
        <w:snapToGrid w:val="0"/>
        <w:spacing w:line="360" w:lineRule="auto"/>
        <w:ind w:firstLine="486" w:firstLineChars="200"/>
        <w:rPr>
          <w:rFonts w:hint="default" w:ascii="Times New Roman" w:hAnsi="Times New Roman" w:cs="Times New Roman"/>
          <w:color w:val="auto"/>
          <w:sz w:val="24"/>
          <w:highlight w:val="none"/>
        </w:rPr>
      </w:pPr>
      <w:bookmarkStart w:id="185" w:name="_Toc416285432"/>
      <w:bookmarkStart w:id="186" w:name="_Toc416441866"/>
      <w:r>
        <w:rPr>
          <w:rFonts w:hint="default" w:ascii="Times New Roman" w:hAnsi="Times New Roman" w:cs="Times New Roman"/>
          <w:color w:val="auto"/>
          <w:sz w:val="24"/>
          <w:highlight w:val="none"/>
        </w:rPr>
        <w:t>（1）环境风险防控和应急措施制度是否建立，环境风险防控重点岗位的责任人或责任机构是否明确，定期巡检和维护责任制度是否落实。</w:t>
      </w:r>
    </w:p>
    <w:p w14:paraId="642F3C3E">
      <w:pPr>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环境风险防控和应急措施已经基本建立，环境风险防控重点岗位的责任人明确，定期巡检和维护责任制度已基本落实。</w:t>
      </w:r>
    </w:p>
    <w:p w14:paraId="0AB8F99F">
      <w:pPr>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（2）环评及批复文件的各项环境风险防控和应急措施要求是否落实。</w:t>
      </w:r>
    </w:p>
    <w:p w14:paraId="42556DD9">
      <w:pPr>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公司已落实环评及批复文件中其他环境风险防控设施要求。</w:t>
      </w:r>
    </w:p>
    <w:p w14:paraId="414FF147">
      <w:pPr>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（3）是否经常对职工开展环境风险和环境应急管理宣传和培训。</w:t>
      </w:r>
    </w:p>
    <w:p w14:paraId="6CA8C19A">
      <w:pPr>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bCs/>
          <w:color w:val="auto"/>
          <w:sz w:val="24"/>
          <w:highlight w:val="none"/>
        </w:rPr>
        <w:t>公司定期对</w:t>
      </w:r>
      <w:r>
        <w:rPr>
          <w:rFonts w:hint="default" w:ascii="Times New Roman" w:hAnsi="Times New Roman" w:cs="Times New Roman"/>
          <w:color w:val="auto"/>
          <w:sz w:val="24"/>
          <w:highlight w:val="none"/>
        </w:rPr>
        <w:t>职工开展环境风险和环境应急管理的宣传和培训。</w:t>
      </w:r>
    </w:p>
    <w:p w14:paraId="70D3440B">
      <w:pPr>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（4）是否建立突发环境事件信息报告制度，并有效执行。</w:t>
      </w:r>
    </w:p>
    <w:p w14:paraId="47549766">
      <w:pPr>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公司已建立突发环境事件信息报告制度，并有效执行。</w:t>
      </w:r>
    </w:p>
    <w:p w14:paraId="52B520C4">
      <w:pPr>
        <w:pStyle w:val="7"/>
        <w:spacing w:before="0" w:after="0"/>
        <w:rPr>
          <w:rFonts w:hint="default" w:ascii="Times New Roman" w:hAnsi="Times New Roman" w:cs="Times New Roman"/>
          <w:b/>
          <w:color w:val="auto"/>
          <w:kern w:val="0"/>
          <w:sz w:val="24"/>
          <w:highlight w:val="none"/>
        </w:rPr>
      </w:pPr>
      <w:bookmarkStart w:id="187" w:name="_Toc423956624"/>
      <w:bookmarkStart w:id="188" w:name="_Toc13501"/>
      <w:bookmarkStart w:id="189" w:name="_Toc24280"/>
      <w:bookmarkStart w:id="190" w:name="_Toc27400"/>
      <w:bookmarkStart w:id="191" w:name="_Toc425866215"/>
      <w:bookmarkStart w:id="192" w:name="_Toc18883"/>
      <w:r>
        <w:rPr>
          <w:rFonts w:hint="default" w:ascii="Times New Roman" w:hAnsi="Times New Roman" w:cs="Times New Roman"/>
          <w:color w:val="auto"/>
          <w:highlight w:val="none"/>
        </w:rPr>
        <w:t>5.2 环境风险防控与应急措施</w:t>
      </w:r>
      <w:bookmarkEnd w:id="185"/>
      <w:bookmarkEnd w:id="186"/>
      <w:bookmarkEnd w:id="187"/>
      <w:bookmarkEnd w:id="188"/>
      <w:bookmarkEnd w:id="189"/>
      <w:bookmarkEnd w:id="190"/>
      <w:bookmarkEnd w:id="191"/>
      <w:bookmarkEnd w:id="192"/>
      <w:bookmarkStart w:id="193" w:name="_Toc425866216"/>
      <w:bookmarkStart w:id="194" w:name="_Toc423956625"/>
    </w:p>
    <w:p w14:paraId="3315C577">
      <w:pPr>
        <w:adjustRightInd w:val="0"/>
        <w:snapToGrid w:val="0"/>
        <w:spacing w:line="360" w:lineRule="auto"/>
        <w:jc w:val="center"/>
        <w:rPr>
          <w:rFonts w:hint="default" w:ascii="Times New Roman" w:hAnsi="Times New Roman" w:cs="Times New Roman"/>
          <w:b/>
          <w:color w:val="auto"/>
          <w:kern w:val="0"/>
          <w:sz w:val="24"/>
          <w:highlight w:val="none"/>
        </w:rPr>
      </w:pPr>
      <w:r>
        <w:rPr>
          <w:rFonts w:hint="default" w:ascii="Times New Roman" w:hAnsi="Times New Roman" w:cs="Times New Roman"/>
          <w:b/>
          <w:color w:val="auto"/>
          <w:kern w:val="0"/>
          <w:sz w:val="24"/>
          <w:highlight w:val="none"/>
        </w:rPr>
        <w:t>表5.2-1 风险防控措施环评要求和实际情况对照表</w:t>
      </w:r>
    </w:p>
    <w:tbl>
      <w:tblPr>
        <w:tblStyle w:val="34"/>
        <w:tblW w:w="9354"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79"/>
        <w:gridCol w:w="6257"/>
        <w:gridCol w:w="1818"/>
      </w:tblGrid>
      <w:tr w14:paraId="78AA327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279" w:type="dxa"/>
            <w:vAlign w:val="center"/>
          </w:tcPr>
          <w:p w14:paraId="70AFE11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bookmarkStart w:id="195" w:name="_Toc12176"/>
            <w:bookmarkStart w:id="196" w:name="_Toc7638"/>
            <w:r>
              <w:rPr>
                <w:rFonts w:hint="default" w:ascii="Times New Roman" w:hAnsi="Times New Roman" w:cs="Times New Roman"/>
                <w:color w:val="auto"/>
                <w:szCs w:val="21"/>
                <w:highlight w:val="none"/>
              </w:rPr>
              <w:t>评估指标</w:t>
            </w:r>
          </w:p>
        </w:tc>
        <w:tc>
          <w:tcPr>
            <w:tcW w:w="6257" w:type="dxa"/>
            <w:vAlign w:val="center"/>
          </w:tcPr>
          <w:p w14:paraId="382D6811">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评估依据</w:t>
            </w:r>
          </w:p>
        </w:tc>
        <w:tc>
          <w:tcPr>
            <w:tcW w:w="1818" w:type="dxa"/>
            <w:vAlign w:val="center"/>
          </w:tcPr>
          <w:p w14:paraId="4F87A0B1">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企业情况</w:t>
            </w:r>
          </w:p>
        </w:tc>
      </w:tr>
      <w:tr w14:paraId="7FE13A9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279" w:type="dxa"/>
            <w:vMerge w:val="restart"/>
            <w:vAlign w:val="center"/>
          </w:tcPr>
          <w:p w14:paraId="351B100F">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截流措施</w:t>
            </w:r>
          </w:p>
        </w:tc>
        <w:tc>
          <w:tcPr>
            <w:tcW w:w="6257" w:type="dxa"/>
            <w:vAlign w:val="center"/>
          </w:tcPr>
          <w:p w14:paraId="58E8DC24">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（1）环境风险单元设防渗漏、防腐蚀、防淋溶、防流失措施；且</w:t>
            </w:r>
          </w:p>
          <w:p w14:paraId="1432635D">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（2）装置围堰与罐区防火堤（围堰）外设排水切换阀，正常情况下通向雨水系统的阀门关闭，通向事故存液池、应急事故水池、清净废水排放缓冲池或污水处理系统的阀门打开；且</w:t>
            </w:r>
          </w:p>
          <w:p w14:paraId="38738DE0">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（3）前述措施日常管理及维护良好，有专人负责阀门切换或设置自动切换设施，保证初期雨水、泄漏物和受污染的消防水排入污水系统</w:t>
            </w:r>
          </w:p>
        </w:tc>
        <w:tc>
          <w:tcPr>
            <w:tcW w:w="1818" w:type="dxa"/>
            <w:vMerge w:val="restart"/>
            <w:vAlign w:val="center"/>
          </w:tcPr>
          <w:p w14:paraId="66AF78B8">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生产车间设有防渗漏、防腐蚀、防淋溶、防流失措施；围堰外设排水切换阀；设置有事故水池、</w:t>
            </w:r>
            <w:r>
              <w:rPr>
                <w:rFonts w:hint="default" w:ascii="Times New Roman" w:hAnsi="Times New Roman" w:cs="Times New Roman"/>
                <w:color w:val="auto"/>
                <w:szCs w:val="21"/>
                <w:highlight w:val="none"/>
                <w:lang w:eastAsia="zh-CN"/>
              </w:rPr>
              <w:t>污水收集池</w:t>
            </w:r>
            <w:r>
              <w:rPr>
                <w:rFonts w:hint="default" w:ascii="Times New Roman" w:hAnsi="Times New Roman" w:cs="Times New Roman"/>
                <w:color w:val="auto"/>
                <w:szCs w:val="21"/>
                <w:highlight w:val="none"/>
              </w:rPr>
              <w:t>等对</w:t>
            </w:r>
            <w:r>
              <w:rPr>
                <w:rFonts w:hint="default" w:ascii="Times New Roman" w:hAnsi="Times New Roman" w:cs="Times New Roman"/>
                <w:color w:val="auto"/>
                <w:szCs w:val="21"/>
                <w:highlight w:val="none"/>
                <w:lang w:eastAsia="zh-CN"/>
              </w:rPr>
              <w:t>物料</w:t>
            </w:r>
            <w:r>
              <w:rPr>
                <w:rFonts w:hint="default" w:ascii="Times New Roman" w:hAnsi="Times New Roman" w:cs="Times New Roman"/>
                <w:color w:val="auto"/>
                <w:szCs w:val="21"/>
                <w:highlight w:val="none"/>
              </w:rPr>
              <w:t>泄漏物、受污染的消防水进行收集措施；</w:t>
            </w:r>
            <w:r>
              <w:rPr>
                <w:rFonts w:hint="default" w:ascii="Times New Roman" w:hAnsi="Times New Roman" w:cs="Times New Roman"/>
                <w:color w:val="auto"/>
                <w:szCs w:val="21"/>
                <w:highlight w:val="none"/>
                <w:lang w:eastAsia="zh-CN"/>
              </w:rPr>
              <w:t>加强罐区管理，及时进行雨污切换，确保非降雨期阀门关闭</w:t>
            </w:r>
            <w:r>
              <w:rPr>
                <w:rFonts w:hint="default" w:ascii="Times New Roman" w:hAnsi="Times New Roman" w:cs="Times New Roman"/>
                <w:color w:val="auto"/>
                <w:szCs w:val="21"/>
                <w:highlight w:val="none"/>
              </w:rPr>
              <w:t>。</w:t>
            </w:r>
          </w:p>
          <w:p w14:paraId="3E170E5B">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szCs w:val="21"/>
                <w:highlight w:val="none"/>
              </w:rPr>
            </w:pPr>
          </w:p>
        </w:tc>
      </w:tr>
      <w:tr w14:paraId="28FF71C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279" w:type="dxa"/>
            <w:vMerge w:val="continue"/>
            <w:vAlign w:val="center"/>
          </w:tcPr>
          <w:p w14:paraId="5A885924">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p>
        </w:tc>
        <w:tc>
          <w:tcPr>
            <w:tcW w:w="6257" w:type="dxa"/>
            <w:vAlign w:val="center"/>
          </w:tcPr>
          <w:p w14:paraId="227A418A">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有任意一个环境风险单元（包括可能发生液体泄漏或产生液体泄漏物的危险废物贮存场所）的截流措施不符合上述任意一条要求的</w:t>
            </w:r>
          </w:p>
        </w:tc>
        <w:tc>
          <w:tcPr>
            <w:tcW w:w="1818" w:type="dxa"/>
            <w:vMerge w:val="continue"/>
            <w:vAlign w:val="center"/>
          </w:tcPr>
          <w:p w14:paraId="45F03FFE">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5569861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279" w:type="dxa"/>
            <w:vMerge w:val="restart"/>
            <w:vAlign w:val="center"/>
          </w:tcPr>
          <w:p w14:paraId="6BDAC2DD">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事故废水收集措施</w:t>
            </w:r>
          </w:p>
        </w:tc>
        <w:tc>
          <w:tcPr>
            <w:tcW w:w="6257" w:type="dxa"/>
            <w:vAlign w:val="center"/>
          </w:tcPr>
          <w:p w14:paraId="0E32FB13">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（1）按相关设计规范设置应急事故水池、事故存液池或清净废水排放缓冲池等事故排水收集设施，并根据相关设计规范、下游环境风险受体敏感程度和易发生极端天气情况，设计事故排水收集设施的容量；且</w:t>
            </w:r>
          </w:p>
          <w:p w14:paraId="0C104C09">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（2）确保事故排水收集设施在事故状态下能顺利收集泄漏物和消防水，日常保持足够的事故排水缓冲容量；且</w:t>
            </w:r>
          </w:p>
          <w:p w14:paraId="27C53761">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（3）通过协议单位或自建管线，能将所收集废水送至厂区内污水处理设施处理</w:t>
            </w:r>
          </w:p>
        </w:tc>
        <w:tc>
          <w:tcPr>
            <w:tcW w:w="1818" w:type="dxa"/>
            <w:vMerge w:val="restart"/>
            <w:vAlign w:val="center"/>
          </w:tcPr>
          <w:p w14:paraId="01E137E9">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按相关设计规范设置了事故水池和</w:t>
            </w:r>
            <w:r>
              <w:rPr>
                <w:rFonts w:hint="default" w:ascii="Times New Roman" w:hAnsi="Times New Roman" w:cs="Times New Roman"/>
                <w:color w:val="auto"/>
                <w:szCs w:val="21"/>
                <w:highlight w:val="none"/>
                <w:lang w:eastAsia="zh-CN"/>
              </w:rPr>
              <w:t>污水收集池</w:t>
            </w:r>
            <w:r>
              <w:rPr>
                <w:rFonts w:hint="default" w:ascii="Times New Roman" w:hAnsi="Times New Roman" w:cs="Times New Roman"/>
                <w:color w:val="auto"/>
                <w:szCs w:val="21"/>
                <w:highlight w:val="none"/>
              </w:rPr>
              <w:t>，并根据下游环境风险受体敏感程度和易发生极端天气情况，设置了</w:t>
            </w:r>
            <w:r>
              <w:rPr>
                <w:rFonts w:hint="default" w:ascii="Times New Roman" w:hAnsi="Times New Roman" w:cs="Times New Roman"/>
                <w:color w:val="auto"/>
                <w:kern w:val="0"/>
                <w:sz w:val="21"/>
                <w:szCs w:val="21"/>
                <w:highlight w:val="none"/>
              </w:rPr>
              <w:t>事故水池（有效</w:t>
            </w:r>
            <w:r>
              <w:rPr>
                <w:rFonts w:hint="default" w:ascii="Times New Roman" w:hAnsi="Times New Roman" w:cs="Times New Roman"/>
                <w:color w:val="auto"/>
                <w:sz w:val="21"/>
                <w:szCs w:val="21"/>
                <w:highlight w:val="none"/>
              </w:rPr>
              <w:t>容积</w:t>
            </w:r>
            <w:r>
              <w:rPr>
                <w:rFonts w:hint="default" w:ascii="Times New Roman" w:hAnsi="Times New Roman" w:cs="Times New Roman"/>
                <w:color w:val="auto"/>
                <w:sz w:val="21"/>
                <w:szCs w:val="21"/>
                <w:highlight w:val="none"/>
                <w:lang w:val="en-US" w:eastAsia="zh-CN"/>
              </w:rPr>
              <w:t>300</w:t>
            </w:r>
            <w:r>
              <w:rPr>
                <w:rFonts w:hint="default" w:ascii="Times New Roman" w:hAnsi="Times New Roman" w:cs="Times New Roman"/>
                <w:color w:val="auto"/>
                <w:sz w:val="21"/>
                <w:szCs w:val="21"/>
                <w:highlight w:val="none"/>
              </w:rPr>
              <w:t>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w:t>
            </w:r>
            <w:r>
              <w:rPr>
                <w:rFonts w:hint="default" w:ascii="Times New Roman" w:hAnsi="Times New Roman" w:cs="Times New Roman"/>
                <w:color w:val="auto"/>
                <w:szCs w:val="21"/>
                <w:highlight w:val="none"/>
              </w:rPr>
              <w:t>，事故水池位置合理，能确保事故状态下顺利收集</w:t>
            </w:r>
            <w:r>
              <w:rPr>
                <w:rFonts w:hint="default" w:ascii="Times New Roman" w:hAnsi="Times New Roman" w:cs="Times New Roman"/>
                <w:color w:val="auto"/>
                <w:szCs w:val="21"/>
                <w:highlight w:val="none"/>
                <w:lang w:eastAsia="zh-CN"/>
              </w:rPr>
              <w:t>物料</w:t>
            </w:r>
            <w:r>
              <w:rPr>
                <w:rFonts w:hint="default" w:ascii="Times New Roman" w:hAnsi="Times New Roman" w:cs="Times New Roman"/>
                <w:color w:val="auto"/>
                <w:szCs w:val="21"/>
                <w:highlight w:val="none"/>
              </w:rPr>
              <w:t>泄漏事故水，其余车间消防废水进入</w:t>
            </w:r>
            <w:r>
              <w:rPr>
                <w:rFonts w:hint="default" w:ascii="Times New Roman" w:hAnsi="Times New Roman" w:cs="Times New Roman"/>
                <w:color w:val="auto"/>
                <w:szCs w:val="21"/>
                <w:highlight w:val="none"/>
                <w:lang w:eastAsia="zh-CN"/>
              </w:rPr>
              <w:t>污水收集池</w:t>
            </w:r>
            <w:r>
              <w:rPr>
                <w:rFonts w:hint="default" w:ascii="Times New Roman" w:hAnsi="Times New Roman" w:cs="Times New Roman"/>
                <w:color w:val="auto"/>
                <w:szCs w:val="21"/>
                <w:highlight w:val="none"/>
              </w:rPr>
              <w:t>，日常保持足够的事故排水缓冲容量；由</w:t>
            </w:r>
            <w:r>
              <w:rPr>
                <w:rFonts w:hint="default" w:ascii="Times New Roman" w:hAnsi="Times New Roman" w:cs="Times New Roman"/>
                <w:color w:val="auto"/>
                <w:szCs w:val="21"/>
                <w:highlight w:val="none"/>
                <w:lang w:eastAsia="zh-CN"/>
              </w:rPr>
              <w:t>物料泄漏</w:t>
            </w:r>
            <w:r>
              <w:rPr>
                <w:rFonts w:hint="default" w:ascii="Times New Roman" w:hAnsi="Times New Roman" w:cs="Times New Roman"/>
                <w:color w:val="auto"/>
                <w:szCs w:val="21"/>
                <w:highlight w:val="none"/>
              </w:rPr>
              <w:t>产生的存放于事故水池的事故水由罐车外运处理，收纳在</w:t>
            </w:r>
            <w:r>
              <w:rPr>
                <w:rFonts w:hint="default" w:ascii="Times New Roman" w:hAnsi="Times New Roman" w:cs="Times New Roman"/>
                <w:color w:val="auto"/>
                <w:szCs w:val="21"/>
                <w:highlight w:val="none"/>
                <w:lang w:eastAsia="zh-CN"/>
              </w:rPr>
              <w:t>污水收集池</w:t>
            </w:r>
            <w:r>
              <w:rPr>
                <w:rFonts w:hint="default" w:ascii="Times New Roman" w:hAnsi="Times New Roman" w:cs="Times New Roman"/>
                <w:color w:val="auto"/>
                <w:szCs w:val="21"/>
                <w:highlight w:val="none"/>
              </w:rPr>
              <w:t>中的其余消防废水</w:t>
            </w:r>
            <w:r>
              <w:rPr>
                <w:rFonts w:hint="default" w:ascii="Times New Roman" w:hAnsi="Times New Roman" w:cs="Times New Roman"/>
                <w:color w:val="auto"/>
                <w:szCs w:val="21"/>
                <w:highlight w:val="none"/>
                <w:lang w:eastAsia="zh-CN"/>
              </w:rPr>
              <w:t>经厂内污水处理装置预处理后通过管网排入齐鲁石化供排水厂深度处理，处理达标后经排海管线排海</w:t>
            </w:r>
            <w:r>
              <w:rPr>
                <w:rFonts w:hint="default" w:ascii="Times New Roman" w:hAnsi="Times New Roman" w:cs="Times New Roman"/>
                <w:color w:val="auto"/>
                <w:szCs w:val="21"/>
                <w:highlight w:val="none"/>
              </w:rPr>
              <w:t>。</w:t>
            </w:r>
          </w:p>
          <w:p w14:paraId="4DBEEE6D">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szCs w:val="21"/>
                <w:highlight w:val="none"/>
              </w:rPr>
            </w:pPr>
          </w:p>
        </w:tc>
      </w:tr>
      <w:tr w14:paraId="2F3E8C3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279" w:type="dxa"/>
            <w:vMerge w:val="continue"/>
            <w:vAlign w:val="center"/>
          </w:tcPr>
          <w:p w14:paraId="324815AE">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p>
        </w:tc>
        <w:tc>
          <w:tcPr>
            <w:tcW w:w="6257" w:type="dxa"/>
            <w:vAlign w:val="center"/>
          </w:tcPr>
          <w:p w14:paraId="08F3714A">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有任意一个环境风险单元（包括可能发生液体泄漏或产生液体泄漏物的危险废物贮存场所）的事故排水收集措施不符合上述任意一条要求的</w:t>
            </w:r>
          </w:p>
        </w:tc>
        <w:tc>
          <w:tcPr>
            <w:tcW w:w="1818" w:type="dxa"/>
            <w:vMerge w:val="continue"/>
            <w:vAlign w:val="center"/>
          </w:tcPr>
          <w:p w14:paraId="3685AB97">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29F80D9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279" w:type="dxa"/>
            <w:vMerge w:val="restart"/>
            <w:vAlign w:val="center"/>
          </w:tcPr>
          <w:p w14:paraId="1FC11B5D">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清净废水系统风险防控措施</w:t>
            </w:r>
          </w:p>
        </w:tc>
        <w:tc>
          <w:tcPr>
            <w:tcW w:w="6257" w:type="dxa"/>
            <w:vAlign w:val="center"/>
          </w:tcPr>
          <w:p w14:paraId="69911BBD">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（1）不涉及清净废水；或</w:t>
            </w:r>
          </w:p>
          <w:p w14:paraId="4A880606">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（2）厂区内清净废水均可排入废水处理系统；或清污分流，且清净废水系统具有下述所有措施：</w:t>
            </w:r>
          </w:p>
          <w:p w14:paraId="038D2455">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①具有收集受污染的清净废水的缓冲池（或收集池），池内日常保持足够的</w:t>
            </w:r>
          </w:p>
          <w:p w14:paraId="40D5D0DA">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事故排水缓冲容量；池内设有提升设施或通过自流，能将所收集物送至厂区</w:t>
            </w:r>
          </w:p>
          <w:p w14:paraId="5AF284B3">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内污水处理设施处理；且</w:t>
            </w:r>
          </w:p>
          <w:p w14:paraId="1FF4AB89">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②具有清净废水系统的总排口监视及关闭设施，有专人负责在紧急情况下关</w:t>
            </w:r>
          </w:p>
          <w:p w14:paraId="45BAA942">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闭清净废水总排口，防止受污染的清净废水和泄漏物进入外环境</w:t>
            </w:r>
          </w:p>
        </w:tc>
        <w:tc>
          <w:tcPr>
            <w:tcW w:w="1818" w:type="dxa"/>
            <w:vMerge w:val="restart"/>
            <w:vAlign w:val="center"/>
          </w:tcPr>
          <w:p w14:paraId="4CBD160F">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eastAsia="zh-CN"/>
              </w:rPr>
              <w:t>采用雨污分流制，雨水管网排放口设自动切换系统，通过自动切换系统将生产装置区及罐区的初期雨水送至初期雨水池，后期雨水排入雨水管网</w:t>
            </w:r>
            <w:r>
              <w:rPr>
                <w:rFonts w:hint="default" w:ascii="Times New Roman" w:hAnsi="Times New Roman" w:eastAsia="宋体" w:cs="Times New Roman"/>
                <w:color w:val="auto"/>
                <w:szCs w:val="21"/>
                <w:highlight w:val="none"/>
                <w:lang w:val="en-US" w:eastAsia="zh-CN"/>
              </w:rPr>
              <w:t>。</w:t>
            </w:r>
          </w:p>
          <w:p w14:paraId="3EADBE3B">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eastAsia="zh-CN"/>
              </w:rPr>
              <w:t>厂区生活污水经化粪池暂存后与厂内产生的生产废水经厂内污水处理装置预处理后通过管网排入齐鲁石化供排水厂深度处理，处理达标后经排海管线排海</w:t>
            </w:r>
          </w:p>
          <w:p w14:paraId="0E653A21">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lang w:eastAsia="zh-CN"/>
              </w:rPr>
              <w:t>；</w:t>
            </w:r>
            <w:r>
              <w:rPr>
                <w:rFonts w:hint="default" w:ascii="Times New Roman" w:hAnsi="Times New Roman" w:cs="Times New Roman"/>
                <w:color w:val="auto"/>
                <w:szCs w:val="21"/>
                <w:highlight w:val="none"/>
                <w:lang w:eastAsia="zh-CN"/>
              </w:rPr>
              <w:t>加强罐区管理，及时进行雨污切换，确保非降雨期阀门关闭</w:t>
            </w:r>
            <w:r>
              <w:rPr>
                <w:rFonts w:hint="default" w:ascii="Times New Roman" w:hAnsi="Times New Roman" w:eastAsia="宋体" w:cs="Times New Roman"/>
                <w:color w:val="auto"/>
                <w:szCs w:val="21"/>
                <w:highlight w:val="none"/>
              </w:rPr>
              <w:t>。</w:t>
            </w:r>
          </w:p>
          <w:p w14:paraId="060FD407">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szCs w:val="21"/>
                <w:highlight w:val="none"/>
              </w:rPr>
            </w:pPr>
          </w:p>
        </w:tc>
      </w:tr>
      <w:tr w14:paraId="0FE6E5C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279" w:type="dxa"/>
            <w:vMerge w:val="continue"/>
            <w:vAlign w:val="center"/>
          </w:tcPr>
          <w:p w14:paraId="39AFECC9">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p>
        </w:tc>
        <w:tc>
          <w:tcPr>
            <w:tcW w:w="6257" w:type="dxa"/>
            <w:vAlign w:val="center"/>
          </w:tcPr>
          <w:p w14:paraId="5ECD6A0E">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涉及清净废水，有任意一个环境风险单元的清净废水系统风险防控措施不符合上述（2）要求的</w:t>
            </w:r>
          </w:p>
        </w:tc>
        <w:tc>
          <w:tcPr>
            <w:tcW w:w="1818" w:type="dxa"/>
            <w:vMerge w:val="continue"/>
            <w:vAlign w:val="center"/>
          </w:tcPr>
          <w:p w14:paraId="388F298E">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480A977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279" w:type="dxa"/>
            <w:vMerge w:val="restart"/>
            <w:vAlign w:val="center"/>
          </w:tcPr>
          <w:p w14:paraId="0DF1453C">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雨水排水系统风险防控措施</w:t>
            </w:r>
          </w:p>
        </w:tc>
        <w:tc>
          <w:tcPr>
            <w:tcW w:w="6257" w:type="dxa"/>
            <w:vAlign w:val="center"/>
          </w:tcPr>
          <w:p w14:paraId="2377C10E">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（1）厂区内雨水均进入废水处理系统；或雨污分流，且雨水排水系统具有下述所有措施：</w:t>
            </w:r>
          </w:p>
          <w:p w14:paraId="2C7ED1B3">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①具有收集初期雨水的收集池或雨水监控池；池出水管上设置切断阀，正常情况下阀门关闭，防止受污染的雨水外排；池内设有提升设施或通过自流，能将所收集物送至厂区内污水处理设施处理；</w:t>
            </w:r>
          </w:p>
          <w:p w14:paraId="57E78838">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②具有雨水系统总排口（含泄洪渠）监视及关闭设施，在紧急情况下有专人负责关闭雨水系统总排口（含与清净废水共用一套排水系统情况），防止雨水、消防水和泄漏物进入外环境</w:t>
            </w:r>
          </w:p>
          <w:p w14:paraId="10BA32F5">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（2）如果有排洪沟，排洪沟不得通过生产区和罐区，或具有防止泄漏物和受污染的消防水等流入区域排洪沟的措施</w:t>
            </w:r>
          </w:p>
        </w:tc>
        <w:tc>
          <w:tcPr>
            <w:tcW w:w="1818" w:type="dxa"/>
            <w:vMerge w:val="restart"/>
            <w:vAlign w:val="center"/>
          </w:tcPr>
          <w:p w14:paraId="79CEC111">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default" w:ascii="Times New Roman" w:hAnsi="Times New Roman" w:cs="Times New Roman"/>
                <w:color w:val="auto"/>
                <w:spacing w:val="-2"/>
                <w:kern w:val="0"/>
                <w:szCs w:val="21"/>
                <w:highlight w:val="none"/>
              </w:rPr>
            </w:pPr>
            <w:r>
              <w:rPr>
                <w:rFonts w:hint="default" w:ascii="Times New Roman" w:hAnsi="Times New Roman" w:eastAsia="宋体" w:cs="Times New Roman"/>
                <w:color w:val="auto"/>
                <w:szCs w:val="21"/>
                <w:highlight w:val="none"/>
              </w:rPr>
              <w:t>雨污分流；</w:t>
            </w:r>
            <w:r>
              <w:rPr>
                <w:rFonts w:hint="default" w:ascii="Times New Roman" w:hAnsi="Times New Roman" w:eastAsia="宋体" w:cs="Times New Roman"/>
                <w:color w:val="auto"/>
                <w:szCs w:val="21"/>
                <w:highlight w:val="none"/>
                <w:lang w:eastAsia="zh-CN"/>
              </w:rPr>
              <w:t>企业</w:t>
            </w:r>
            <w:r>
              <w:rPr>
                <w:rFonts w:hint="default" w:ascii="Times New Roman" w:hAnsi="Times New Roman" w:cs="Times New Roman"/>
                <w:color w:val="auto"/>
                <w:szCs w:val="21"/>
                <w:highlight w:val="none"/>
                <w:lang w:eastAsia="zh-CN"/>
              </w:rPr>
              <w:t>已</w:t>
            </w:r>
            <w:r>
              <w:rPr>
                <w:rFonts w:hint="default" w:ascii="Times New Roman" w:hAnsi="Times New Roman" w:eastAsia="宋体" w:cs="Times New Roman"/>
                <w:color w:val="auto"/>
                <w:szCs w:val="21"/>
                <w:highlight w:val="none"/>
                <w:lang w:eastAsia="zh-CN"/>
              </w:rPr>
              <w:t>需设置初期雨水收集池</w:t>
            </w:r>
            <w:r>
              <w:rPr>
                <w:rFonts w:hint="default" w:ascii="Times New Roman" w:hAnsi="Times New Roman" w:eastAsia="宋体" w:cs="Times New Roman"/>
                <w:color w:val="auto"/>
                <w:szCs w:val="21"/>
                <w:highlight w:val="none"/>
              </w:rPr>
              <w:t>；</w:t>
            </w:r>
            <w:r>
              <w:rPr>
                <w:rFonts w:hint="default" w:ascii="Times New Roman" w:hAnsi="Times New Roman" w:cs="Times New Roman"/>
                <w:color w:val="auto"/>
                <w:szCs w:val="21"/>
                <w:highlight w:val="none"/>
                <w:lang w:eastAsia="zh-CN"/>
              </w:rPr>
              <w:t>水池</w:t>
            </w:r>
            <w:r>
              <w:rPr>
                <w:rFonts w:hint="default" w:ascii="Times New Roman" w:hAnsi="Times New Roman" w:eastAsia="宋体" w:cs="Times New Roman"/>
                <w:color w:val="auto"/>
                <w:szCs w:val="21"/>
                <w:highlight w:val="none"/>
              </w:rPr>
              <w:t>出水管</w:t>
            </w:r>
            <w:r>
              <w:rPr>
                <w:rFonts w:hint="default" w:ascii="Times New Roman" w:hAnsi="Times New Roman" w:eastAsia="宋体" w:cs="Times New Roman"/>
                <w:color w:val="auto"/>
                <w:szCs w:val="21"/>
                <w:highlight w:val="none"/>
                <w:lang w:eastAsia="zh-CN"/>
              </w:rPr>
              <w:t>及</w:t>
            </w:r>
            <w:r>
              <w:rPr>
                <w:rFonts w:hint="default" w:ascii="Times New Roman" w:hAnsi="Times New Roman" w:eastAsia="宋体" w:cs="Times New Roman"/>
                <w:color w:val="auto"/>
                <w:szCs w:val="21"/>
                <w:highlight w:val="none"/>
              </w:rPr>
              <w:t>雨水系统外排总排口（含泄洪渠）监视及关闭设施</w:t>
            </w:r>
            <w:r>
              <w:rPr>
                <w:rFonts w:hint="default" w:ascii="Times New Roman" w:hAnsi="Times New Roman" w:eastAsia="宋体" w:cs="Times New Roman"/>
                <w:color w:val="auto"/>
                <w:szCs w:val="21"/>
                <w:highlight w:val="none"/>
                <w:lang w:eastAsia="zh-CN"/>
              </w:rPr>
              <w:t>，</w:t>
            </w:r>
            <w:r>
              <w:rPr>
                <w:rFonts w:hint="default" w:ascii="Times New Roman" w:hAnsi="Times New Roman" w:cs="Times New Roman"/>
                <w:color w:val="auto"/>
                <w:szCs w:val="21"/>
                <w:highlight w:val="none"/>
                <w:lang w:eastAsia="zh-CN"/>
              </w:rPr>
              <w:t>加强罐区管理，及时进行雨污切换，确保非降雨期阀门关闭</w:t>
            </w:r>
            <w:r>
              <w:rPr>
                <w:rFonts w:hint="default" w:ascii="Times New Roman" w:hAnsi="Times New Roman" w:eastAsia="宋体" w:cs="Times New Roman"/>
                <w:color w:val="auto"/>
                <w:szCs w:val="21"/>
                <w:highlight w:val="none"/>
              </w:rPr>
              <w:t>。</w:t>
            </w:r>
          </w:p>
          <w:p w14:paraId="3158E048">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p>
          <w:p w14:paraId="25498484">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szCs w:val="21"/>
                <w:highlight w:val="none"/>
              </w:rPr>
            </w:pPr>
          </w:p>
        </w:tc>
      </w:tr>
      <w:tr w14:paraId="6CF255F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279" w:type="dxa"/>
            <w:vMerge w:val="continue"/>
            <w:vAlign w:val="center"/>
          </w:tcPr>
          <w:p w14:paraId="07CFF3DB">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p>
        </w:tc>
        <w:tc>
          <w:tcPr>
            <w:tcW w:w="6257" w:type="dxa"/>
            <w:vAlign w:val="center"/>
          </w:tcPr>
          <w:p w14:paraId="727796BC">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不符合上述要求的</w:t>
            </w:r>
          </w:p>
        </w:tc>
        <w:tc>
          <w:tcPr>
            <w:tcW w:w="1818" w:type="dxa"/>
            <w:vMerge w:val="continue"/>
            <w:vAlign w:val="center"/>
          </w:tcPr>
          <w:p w14:paraId="3BBAA4FD">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2F8DED3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279" w:type="dxa"/>
            <w:vMerge w:val="restart"/>
            <w:vAlign w:val="center"/>
          </w:tcPr>
          <w:p w14:paraId="3D5CB1D5">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生产废水处理系统风险防控措施</w:t>
            </w:r>
          </w:p>
        </w:tc>
        <w:tc>
          <w:tcPr>
            <w:tcW w:w="6257" w:type="dxa"/>
            <w:vAlign w:val="center"/>
          </w:tcPr>
          <w:p w14:paraId="032CEB56">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（1）无生产废水产生或外排；或</w:t>
            </w:r>
          </w:p>
          <w:p w14:paraId="6F700273">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（2）有废水外排时：</w:t>
            </w:r>
          </w:p>
          <w:p w14:paraId="77D817A4">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①受污染的循环冷却水、雨水、消防水等排入生产废水系统或独立处理系统；</w:t>
            </w:r>
          </w:p>
          <w:p w14:paraId="0936C73B">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②生产废水排放前设监控池，能够将不合格废水送废水处理设施处理；</w:t>
            </w:r>
          </w:p>
          <w:p w14:paraId="0FF8E81B">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③如企业受污染的清净废水或雨水进入废水处理系统处理，则废水处理系统应设置事故水缓冲设施；</w:t>
            </w:r>
          </w:p>
          <w:p w14:paraId="737745CE">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④具有生产废水总排口监视及关闭设施，有专人负责启闭，确保泄漏物、受污染的消防水、不合格废水不排出厂外</w:t>
            </w:r>
          </w:p>
        </w:tc>
        <w:tc>
          <w:tcPr>
            <w:tcW w:w="1818" w:type="dxa"/>
            <w:vMerge w:val="restart"/>
            <w:vAlign w:val="center"/>
          </w:tcPr>
          <w:p w14:paraId="1BFF5B7E">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lang w:eastAsia="zh-CN"/>
              </w:rPr>
              <w:t>生活污水经化粪池暂存后与厂内产生的生产废水经厂内污水处理装置预处理后通过管网排入齐鲁石化供排水厂深度处理，处理达标后经排海管线排海</w:t>
            </w:r>
          </w:p>
          <w:p w14:paraId="2A38B82F">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Cs w:val="21"/>
                <w:highlight w:val="none"/>
                <w:lang w:eastAsia="zh-CN"/>
              </w:rPr>
            </w:pPr>
          </w:p>
        </w:tc>
      </w:tr>
      <w:tr w14:paraId="7377967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279" w:type="dxa"/>
            <w:vMerge w:val="continue"/>
            <w:vAlign w:val="center"/>
          </w:tcPr>
          <w:p w14:paraId="04371CB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p>
        </w:tc>
        <w:tc>
          <w:tcPr>
            <w:tcW w:w="6257" w:type="dxa"/>
            <w:vAlign w:val="center"/>
          </w:tcPr>
          <w:p w14:paraId="3683E01F">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涉及废水外排，且不符合上述（2）中任意一条要求的</w:t>
            </w:r>
          </w:p>
        </w:tc>
        <w:tc>
          <w:tcPr>
            <w:tcW w:w="1818" w:type="dxa"/>
            <w:vMerge w:val="continue"/>
            <w:vAlign w:val="center"/>
          </w:tcPr>
          <w:p w14:paraId="76D788FC">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5692B1E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279" w:type="dxa"/>
            <w:vMerge w:val="restart"/>
            <w:vAlign w:val="center"/>
          </w:tcPr>
          <w:p w14:paraId="06702D99">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废水排放去向</w:t>
            </w:r>
          </w:p>
        </w:tc>
        <w:tc>
          <w:tcPr>
            <w:tcW w:w="6257" w:type="dxa"/>
            <w:vAlign w:val="center"/>
          </w:tcPr>
          <w:p w14:paraId="14CA5D03">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无生产废水产生或外排</w:t>
            </w:r>
          </w:p>
        </w:tc>
        <w:tc>
          <w:tcPr>
            <w:tcW w:w="1818" w:type="dxa"/>
            <w:vMerge w:val="restart"/>
            <w:vAlign w:val="center"/>
          </w:tcPr>
          <w:p w14:paraId="1FA67E6D">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lang w:eastAsia="zh-CN"/>
              </w:rPr>
              <w:t>生活污水经化粪池暂存后与厂内产生的生产废水经厂内污水处理装置预处理后通过管网排入齐鲁石化供排水厂深度处理，处理达标后经排海管线排海</w:t>
            </w:r>
          </w:p>
          <w:p w14:paraId="674F6BB7">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p>
        </w:tc>
      </w:tr>
      <w:tr w14:paraId="6A5355C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279" w:type="dxa"/>
            <w:vMerge w:val="continue"/>
            <w:vAlign w:val="center"/>
          </w:tcPr>
          <w:p w14:paraId="40F72019">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p>
        </w:tc>
        <w:tc>
          <w:tcPr>
            <w:tcW w:w="6257" w:type="dxa"/>
            <w:vAlign w:val="center"/>
          </w:tcPr>
          <w:p w14:paraId="0E23AB70">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（1）依法获取污水排入排水管网许可，进入城镇污水处理厂；或</w:t>
            </w:r>
          </w:p>
          <w:p w14:paraId="5539CFB9">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（2）进入工业废水集中处理厂；或</w:t>
            </w:r>
          </w:p>
          <w:p w14:paraId="73605788">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（3）进入其他单位</w:t>
            </w:r>
          </w:p>
        </w:tc>
        <w:tc>
          <w:tcPr>
            <w:tcW w:w="1818" w:type="dxa"/>
            <w:vMerge w:val="continue"/>
            <w:vAlign w:val="center"/>
          </w:tcPr>
          <w:p w14:paraId="20589BD5">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66D4C17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279" w:type="dxa"/>
            <w:vMerge w:val="continue"/>
            <w:vAlign w:val="center"/>
          </w:tcPr>
          <w:p w14:paraId="6FF00E1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p>
        </w:tc>
        <w:tc>
          <w:tcPr>
            <w:tcW w:w="6257" w:type="dxa"/>
            <w:vAlign w:val="center"/>
          </w:tcPr>
          <w:p w14:paraId="1629BDD3">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（1）直接进入海域或进入江、河、湖、库等水环境；或</w:t>
            </w:r>
          </w:p>
          <w:p w14:paraId="557D10E2">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（2）进入城市下水道再入江、河、湖、库或再进入海域；或</w:t>
            </w:r>
          </w:p>
          <w:p w14:paraId="5C952FDC">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（3）未依法取得污水排入排水管网许可，进入城镇污水处理厂；或</w:t>
            </w:r>
          </w:p>
          <w:p w14:paraId="59CA2941">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（4）直接进入污灌农田或蒸发地</w:t>
            </w:r>
          </w:p>
        </w:tc>
        <w:tc>
          <w:tcPr>
            <w:tcW w:w="1818" w:type="dxa"/>
            <w:vMerge w:val="continue"/>
            <w:vAlign w:val="center"/>
          </w:tcPr>
          <w:p w14:paraId="6A2FE463">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0F4C548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279" w:type="dxa"/>
            <w:vMerge w:val="restart"/>
            <w:vAlign w:val="center"/>
          </w:tcPr>
          <w:p w14:paraId="71270F0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厂内危险废物</w:t>
            </w:r>
          </w:p>
          <w:p w14:paraId="1D4496E7">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环境管理</w:t>
            </w:r>
          </w:p>
        </w:tc>
        <w:tc>
          <w:tcPr>
            <w:tcW w:w="6257" w:type="dxa"/>
            <w:vAlign w:val="center"/>
          </w:tcPr>
          <w:p w14:paraId="3DC30D16">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（1）不涉及危险废物的；或</w:t>
            </w:r>
          </w:p>
          <w:p w14:paraId="131257FD">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（2）针对危险废物分区贮存、运输、利用、处置具有完善的专业设施和风险防控措施</w:t>
            </w:r>
          </w:p>
        </w:tc>
        <w:tc>
          <w:tcPr>
            <w:tcW w:w="1818" w:type="dxa"/>
            <w:vMerge w:val="restart"/>
            <w:vAlign w:val="center"/>
          </w:tcPr>
          <w:p w14:paraId="5048D1A4">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rPr>
              <w:t>危险废物分区贮存、运输、利用、处置具有完善的专业设施和风险防控措</w:t>
            </w:r>
          </w:p>
        </w:tc>
      </w:tr>
      <w:tr w14:paraId="683C7FE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279" w:type="dxa"/>
            <w:vMerge w:val="continue"/>
            <w:vAlign w:val="center"/>
          </w:tcPr>
          <w:p w14:paraId="3C9340D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p>
        </w:tc>
        <w:tc>
          <w:tcPr>
            <w:tcW w:w="6257" w:type="dxa"/>
            <w:vAlign w:val="center"/>
          </w:tcPr>
          <w:p w14:paraId="098C2EB8">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不具备完善的危险废物贮存、运输、利用、处置设施和风险防控措施</w:t>
            </w:r>
          </w:p>
        </w:tc>
        <w:tc>
          <w:tcPr>
            <w:tcW w:w="1818" w:type="dxa"/>
            <w:vMerge w:val="continue"/>
            <w:vAlign w:val="center"/>
          </w:tcPr>
          <w:p w14:paraId="743ABE14">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4166B15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279" w:type="dxa"/>
            <w:vMerge w:val="restart"/>
            <w:vAlign w:val="center"/>
          </w:tcPr>
          <w:p w14:paraId="1B6F41E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近3年内突发水环境事件发生情况</w:t>
            </w:r>
          </w:p>
        </w:tc>
        <w:tc>
          <w:tcPr>
            <w:tcW w:w="6257" w:type="dxa"/>
            <w:vAlign w:val="center"/>
          </w:tcPr>
          <w:p w14:paraId="1352E4B8">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发生过特别重大及重大等级突发水环境事件的</w:t>
            </w:r>
          </w:p>
        </w:tc>
        <w:tc>
          <w:tcPr>
            <w:tcW w:w="1818" w:type="dxa"/>
            <w:vMerge w:val="restart"/>
            <w:vAlign w:val="center"/>
          </w:tcPr>
          <w:p w14:paraId="7726EBAC">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近3年内未发生突发水环境事件</w:t>
            </w:r>
          </w:p>
        </w:tc>
      </w:tr>
      <w:tr w14:paraId="41699A0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279" w:type="dxa"/>
            <w:vMerge w:val="continue"/>
            <w:vAlign w:val="center"/>
          </w:tcPr>
          <w:p w14:paraId="36735FA8">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p>
        </w:tc>
        <w:tc>
          <w:tcPr>
            <w:tcW w:w="6257" w:type="dxa"/>
            <w:vAlign w:val="center"/>
          </w:tcPr>
          <w:p w14:paraId="495E8671">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发生过较大等级突发水环境事件的</w:t>
            </w:r>
          </w:p>
        </w:tc>
        <w:tc>
          <w:tcPr>
            <w:tcW w:w="1818" w:type="dxa"/>
            <w:vMerge w:val="continue"/>
            <w:vAlign w:val="center"/>
          </w:tcPr>
          <w:p w14:paraId="06024F5F">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7360BDE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rPr>
        <w:tc>
          <w:tcPr>
            <w:tcW w:w="1279" w:type="dxa"/>
            <w:vMerge w:val="continue"/>
            <w:vAlign w:val="center"/>
          </w:tcPr>
          <w:p w14:paraId="5EBBA3FC">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p>
        </w:tc>
        <w:tc>
          <w:tcPr>
            <w:tcW w:w="6257" w:type="dxa"/>
            <w:vAlign w:val="center"/>
          </w:tcPr>
          <w:p w14:paraId="57AD0749">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发生过一般等级突发水环境事件的</w:t>
            </w:r>
          </w:p>
        </w:tc>
        <w:tc>
          <w:tcPr>
            <w:tcW w:w="1818" w:type="dxa"/>
            <w:vMerge w:val="continue"/>
            <w:vAlign w:val="center"/>
          </w:tcPr>
          <w:p w14:paraId="59214F77">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524D13F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1279" w:type="dxa"/>
            <w:vMerge w:val="continue"/>
            <w:vAlign w:val="center"/>
          </w:tcPr>
          <w:p w14:paraId="095DCAF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p>
        </w:tc>
        <w:tc>
          <w:tcPr>
            <w:tcW w:w="6257" w:type="dxa"/>
            <w:vAlign w:val="center"/>
          </w:tcPr>
          <w:p w14:paraId="5E197530">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未发生突发水环境事件的</w:t>
            </w:r>
          </w:p>
        </w:tc>
        <w:tc>
          <w:tcPr>
            <w:tcW w:w="1818" w:type="dxa"/>
            <w:vMerge w:val="continue"/>
            <w:vAlign w:val="center"/>
          </w:tcPr>
          <w:p w14:paraId="7C9219F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662ACD9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1279" w:type="dxa"/>
            <w:vMerge w:val="restart"/>
            <w:vAlign w:val="center"/>
          </w:tcPr>
          <w:p w14:paraId="563714DC">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毒性气体泄漏监控预警措施</w:t>
            </w:r>
          </w:p>
        </w:tc>
        <w:tc>
          <w:tcPr>
            <w:tcW w:w="6257" w:type="dxa"/>
            <w:vAlign w:val="center"/>
          </w:tcPr>
          <w:p w14:paraId="6A43711C">
            <w:pPr>
              <w:keepNext w:val="0"/>
              <w:keepLines w:val="0"/>
              <w:suppressLineNumbers w:val="0"/>
              <w:adjustRightInd w:val="0"/>
              <w:snapToGrid w:val="0"/>
              <w:spacing w:before="0" w:beforeAutospacing="0" w:after="0" w:afterAutospacing="0"/>
              <w:ind w:left="0" w:right="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（1）不涉及附录A中有毒有害气体的；或</w:t>
            </w:r>
          </w:p>
          <w:p w14:paraId="7AE6D32D">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（2）根据实际情况，具备有毒有害气体（如硫化氢、氰化氢、氯化氢、光气、氯气、氨气、苯等）厂界泄漏监控预警系统的</w:t>
            </w:r>
          </w:p>
        </w:tc>
        <w:tc>
          <w:tcPr>
            <w:tcW w:w="1818" w:type="dxa"/>
            <w:vMerge w:val="restart"/>
            <w:vAlign w:val="center"/>
          </w:tcPr>
          <w:p w14:paraId="0B71150C">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eastAsia="zh-CN"/>
              </w:rPr>
              <w:t>厂区物料罐区安装了泄漏报警仪</w:t>
            </w:r>
          </w:p>
        </w:tc>
      </w:tr>
      <w:tr w14:paraId="7C69F5A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1279" w:type="dxa"/>
            <w:vMerge w:val="continue"/>
            <w:vAlign w:val="center"/>
          </w:tcPr>
          <w:p w14:paraId="5813055E">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
                <w:color w:val="auto"/>
                <w:szCs w:val="21"/>
                <w:highlight w:val="none"/>
              </w:rPr>
            </w:pPr>
          </w:p>
        </w:tc>
        <w:tc>
          <w:tcPr>
            <w:tcW w:w="6257" w:type="dxa"/>
            <w:vAlign w:val="center"/>
          </w:tcPr>
          <w:p w14:paraId="10FBA9AC">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不具备厂界有毒有害气体泄漏监控预警系统的</w:t>
            </w:r>
          </w:p>
        </w:tc>
        <w:tc>
          <w:tcPr>
            <w:tcW w:w="1818" w:type="dxa"/>
            <w:vMerge w:val="continue"/>
            <w:vAlign w:val="center"/>
          </w:tcPr>
          <w:p w14:paraId="53C7F43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6CD6FA3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1279" w:type="dxa"/>
            <w:vMerge w:val="restart"/>
            <w:vAlign w:val="center"/>
          </w:tcPr>
          <w:p w14:paraId="27154410">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符合防护距离情况</w:t>
            </w:r>
          </w:p>
        </w:tc>
        <w:tc>
          <w:tcPr>
            <w:tcW w:w="6257" w:type="dxa"/>
            <w:vAlign w:val="center"/>
          </w:tcPr>
          <w:p w14:paraId="6D7A6E1E">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符合环评及批复文件防护距离要求的</w:t>
            </w:r>
          </w:p>
        </w:tc>
        <w:tc>
          <w:tcPr>
            <w:tcW w:w="1818" w:type="dxa"/>
            <w:vMerge w:val="restart"/>
            <w:vAlign w:val="center"/>
          </w:tcPr>
          <w:p w14:paraId="2503ED14">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符合环评及批复文件防护距离要求的</w:t>
            </w:r>
          </w:p>
        </w:tc>
      </w:tr>
      <w:tr w14:paraId="0E1B276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1279" w:type="dxa"/>
            <w:vMerge w:val="continue"/>
            <w:vAlign w:val="center"/>
          </w:tcPr>
          <w:p w14:paraId="0104AB3A">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
                <w:color w:val="auto"/>
                <w:szCs w:val="21"/>
                <w:highlight w:val="none"/>
              </w:rPr>
            </w:pPr>
          </w:p>
        </w:tc>
        <w:tc>
          <w:tcPr>
            <w:tcW w:w="6257" w:type="dxa"/>
            <w:vAlign w:val="center"/>
          </w:tcPr>
          <w:p w14:paraId="16019529">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不符合环评及批复文件防护距离要求的</w:t>
            </w:r>
          </w:p>
        </w:tc>
        <w:tc>
          <w:tcPr>
            <w:tcW w:w="1818" w:type="dxa"/>
            <w:vMerge w:val="continue"/>
            <w:vAlign w:val="center"/>
          </w:tcPr>
          <w:p w14:paraId="79C0E0C1">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6F0BAFF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1279" w:type="dxa"/>
            <w:vMerge w:val="restart"/>
            <w:vAlign w:val="center"/>
          </w:tcPr>
          <w:p w14:paraId="1F932234">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近3年内突发大气环境事件发生情况</w:t>
            </w:r>
          </w:p>
        </w:tc>
        <w:tc>
          <w:tcPr>
            <w:tcW w:w="6257" w:type="dxa"/>
            <w:vAlign w:val="center"/>
          </w:tcPr>
          <w:p w14:paraId="080869A5">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发生过特别重大或重大等级突发大气环境事件的</w:t>
            </w:r>
          </w:p>
        </w:tc>
        <w:tc>
          <w:tcPr>
            <w:tcW w:w="1818" w:type="dxa"/>
            <w:vMerge w:val="restart"/>
            <w:vAlign w:val="center"/>
          </w:tcPr>
          <w:p w14:paraId="09BCD794">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近3年内未发生突发大气环境事件</w:t>
            </w:r>
          </w:p>
        </w:tc>
      </w:tr>
      <w:tr w14:paraId="47B0B38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1279" w:type="dxa"/>
            <w:vMerge w:val="continue"/>
            <w:vAlign w:val="center"/>
          </w:tcPr>
          <w:p w14:paraId="68F4C8B4">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
                <w:color w:val="FF0000"/>
                <w:szCs w:val="21"/>
                <w:highlight w:val="none"/>
              </w:rPr>
            </w:pPr>
          </w:p>
        </w:tc>
        <w:tc>
          <w:tcPr>
            <w:tcW w:w="6257" w:type="dxa"/>
            <w:vAlign w:val="center"/>
          </w:tcPr>
          <w:p w14:paraId="3677FFD2">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发生过较大等级突发大气环境事件的</w:t>
            </w:r>
          </w:p>
        </w:tc>
        <w:tc>
          <w:tcPr>
            <w:tcW w:w="1818" w:type="dxa"/>
            <w:vMerge w:val="continue"/>
            <w:vAlign w:val="center"/>
          </w:tcPr>
          <w:p w14:paraId="393FCA4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FF0000"/>
                <w:szCs w:val="21"/>
                <w:highlight w:val="none"/>
              </w:rPr>
            </w:pPr>
          </w:p>
        </w:tc>
      </w:tr>
      <w:tr w14:paraId="7A8C3F7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1279" w:type="dxa"/>
            <w:vMerge w:val="continue"/>
            <w:vAlign w:val="center"/>
          </w:tcPr>
          <w:p w14:paraId="5631A55C">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
                <w:color w:val="FF0000"/>
                <w:szCs w:val="21"/>
                <w:highlight w:val="none"/>
              </w:rPr>
            </w:pPr>
          </w:p>
        </w:tc>
        <w:tc>
          <w:tcPr>
            <w:tcW w:w="6257" w:type="dxa"/>
            <w:vAlign w:val="center"/>
          </w:tcPr>
          <w:p w14:paraId="6CE21604">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发生过一般等级突发大气环境事件的</w:t>
            </w:r>
          </w:p>
        </w:tc>
        <w:tc>
          <w:tcPr>
            <w:tcW w:w="1818" w:type="dxa"/>
            <w:vMerge w:val="continue"/>
            <w:vAlign w:val="center"/>
          </w:tcPr>
          <w:p w14:paraId="71C0632A">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FF0000"/>
                <w:szCs w:val="21"/>
                <w:highlight w:val="none"/>
              </w:rPr>
            </w:pPr>
          </w:p>
        </w:tc>
      </w:tr>
      <w:tr w14:paraId="1298533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1279" w:type="dxa"/>
            <w:vMerge w:val="continue"/>
            <w:vAlign w:val="center"/>
          </w:tcPr>
          <w:p w14:paraId="2ED60AE8">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
                <w:color w:val="FF0000"/>
                <w:szCs w:val="21"/>
                <w:highlight w:val="none"/>
              </w:rPr>
            </w:pPr>
          </w:p>
        </w:tc>
        <w:tc>
          <w:tcPr>
            <w:tcW w:w="6257" w:type="dxa"/>
            <w:vAlign w:val="center"/>
          </w:tcPr>
          <w:p w14:paraId="4D52CD90">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未发生突发大气环境事件的</w:t>
            </w:r>
          </w:p>
        </w:tc>
        <w:tc>
          <w:tcPr>
            <w:tcW w:w="1818" w:type="dxa"/>
            <w:vMerge w:val="continue"/>
            <w:vAlign w:val="center"/>
          </w:tcPr>
          <w:p w14:paraId="6BB7D8B8">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FF0000"/>
                <w:szCs w:val="21"/>
                <w:highlight w:val="none"/>
              </w:rPr>
            </w:pPr>
          </w:p>
        </w:tc>
      </w:tr>
    </w:tbl>
    <w:p w14:paraId="59D291C2">
      <w:pPr>
        <w:pStyle w:val="7"/>
        <w:pageBreakBefore w:val="0"/>
        <w:widowControl w:val="0"/>
        <w:kinsoku/>
        <w:wordWrap/>
        <w:overflowPunct/>
        <w:topLinePunct w:val="0"/>
        <w:autoSpaceDE/>
        <w:autoSpaceDN/>
        <w:bidi w:val="0"/>
        <w:adjustRightInd w:val="0"/>
        <w:snapToGrid w:val="0"/>
        <w:spacing w:before="0" w:after="0"/>
        <w:textAlignment w:val="auto"/>
        <w:rPr>
          <w:rFonts w:hint="default" w:ascii="Times New Roman" w:hAnsi="Times New Roman" w:cs="Times New Roman"/>
          <w:color w:val="auto"/>
          <w:highlight w:val="none"/>
        </w:rPr>
      </w:pPr>
      <w:bookmarkStart w:id="197" w:name="_Toc6236"/>
      <w:bookmarkStart w:id="198" w:name="_Toc27003"/>
      <w:r>
        <w:rPr>
          <w:rFonts w:hint="default" w:ascii="Times New Roman" w:hAnsi="Times New Roman" w:cs="Times New Roman"/>
          <w:color w:val="auto"/>
          <w:highlight w:val="none"/>
        </w:rPr>
        <w:t>5.3 环境应急资源</w:t>
      </w:r>
      <w:bookmarkEnd w:id="193"/>
      <w:bookmarkEnd w:id="194"/>
      <w:bookmarkEnd w:id="195"/>
      <w:bookmarkEnd w:id="196"/>
      <w:bookmarkEnd w:id="197"/>
      <w:bookmarkEnd w:id="198"/>
    </w:p>
    <w:p w14:paraId="0211EBB3">
      <w:pPr>
        <w:pageBreakBefore w:val="0"/>
        <w:widowControl w:val="0"/>
        <w:kinsoku/>
        <w:wordWrap/>
        <w:overflowPunct/>
        <w:topLinePunct w:val="0"/>
        <w:autoSpaceDE/>
        <w:autoSpaceDN/>
        <w:bidi w:val="0"/>
        <w:adjustRightInd w:val="0"/>
        <w:snapToGrid w:val="0"/>
        <w:spacing w:line="360" w:lineRule="auto"/>
        <w:ind w:firstLine="486"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（1）公司已配备应急物资和应急装备，详见“3.7 现有应急物资与装备、救援队伍情况”；</w:t>
      </w:r>
    </w:p>
    <w:p w14:paraId="18EBA1FB">
      <w:pPr>
        <w:adjustRightInd w:val="0"/>
        <w:snapToGrid w:val="0"/>
        <w:spacing w:line="360" w:lineRule="auto"/>
        <w:ind w:firstLine="486" w:firstLineChars="200"/>
        <w:rPr>
          <w:rFonts w:hint="default"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rPr>
        <w:t>（2）公司已设置兼职人员组成的应急救援队伍</w:t>
      </w:r>
      <w:r>
        <w:rPr>
          <w:rFonts w:hint="default" w:ascii="Times New Roman" w:hAnsi="Times New Roman" w:cs="Times New Roman"/>
          <w:color w:val="auto"/>
          <w:sz w:val="24"/>
          <w:highlight w:val="none"/>
          <w:lang w:eastAsia="zh-CN"/>
        </w:rPr>
        <w:t>。</w:t>
      </w:r>
    </w:p>
    <w:p w14:paraId="11C09B5E">
      <w:pPr>
        <w:pStyle w:val="7"/>
        <w:spacing w:before="0" w:after="0"/>
        <w:rPr>
          <w:rFonts w:hint="default" w:ascii="Times New Roman" w:hAnsi="Times New Roman" w:cs="Times New Roman"/>
          <w:color w:val="auto"/>
          <w:highlight w:val="none"/>
        </w:rPr>
      </w:pPr>
      <w:bookmarkStart w:id="199" w:name="_Toc12595"/>
      <w:bookmarkStart w:id="200" w:name="_Toc425866217"/>
      <w:bookmarkStart w:id="201" w:name="_Toc423956626"/>
      <w:bookmarkStart w:id="202" w:name="_Toc318"/>
      <w:bookmarkStart w:id="203" w:name="_Toc13995"/>
      <w:bookmarkStart w:id="204" w:name="_Toc14252"/>
      <w:r>
        <w:rPr>
          <w:rFonts w:hint="default" w:ascii="Times New Roman" w:hAnsi="Times New Roman" w:cs="Times New Roman"/>
          <w:color w:val="auto"/>
          <w:highlight w:val="none"/>
        </w:rPr>
        <w:t>5.4 历史经验总结教训</w:t>
      </w:r>
      <w:bookmarkEnd w:id="199"/>
      <w:bookmarkEnd w:id="200"/>
      <w:bookmarkEnd w:id="201"/>
      <w:bookmarkEnd w:id="202"/>
      <w:bookmarkEnd w:id="203"/>
      <w:bookmarkEnd w:id="204"/>
    </w:p>
    <w:p w14:paraId="313AFDFF">
      <w:pPr>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对前文收集突发环境事件案例进行分析、总结，案例中火灾事故发生的主要原因有：使用违规、落后设备从事生产；员工违规违章操作。</w:t>
      </w:r>
    </w:p>
    <w:p w14:paraId="5569F8C0">
      <w:pPr>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本公司引以为戒、吸取历史经验教训，针对上述酿成事故的原因，采取了如下相应对策：</w:t>
      </w:r>
    </w:p>
    <w:p w14:paraId="2A377B06">
      <w:pPr>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1、对现有危险工段重点监控工艺参数，实施安全操作；</w:t>
      </w:r>
    </w:p>
    <w:p w14:paraId="0B20EC86">
      <w:pPr>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公司均不使用国家工信部发布的《部分工业行业淘汰落后生产工艺装备和产品指导目录（2010年本）》范围内的生产装置。定期开展生产检修，采用探测仪探伤，发现问题及时修补，有必要时进行更换，保证设备满足负荷要求、安全生产。</w:t>
      </w:r>
    </w:p>
    <w:p w14:paraId="2F7B52E5">
      <w:pPr>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加强管理，定期开展员工培训，提高员工素质、增强操作技能；内部、外部培训后进行考试。对员工考核结果应记录备案，考试通过即为合格。考试合格者才能使用，不合格者应继续补习，直到合格为止，做到上岗持证；为加强公司员工按章规范操作的主动性、自觉性，制定并落实内部奖惩措施。</w:t>
      </w:r>
    </w:p>
    <w:p w14:paraId="4735B239">
      <w:pPr>
        <w:pStyle w:val="7"/>
        <w:spacing w:before="0" w:after="0"/>
        <w:rPr>
          <w:rFonts w:hint="default" w:ascii="Times New Roman" w:hAnsi="Times New Roman" w:cs="Times New Roman"/>
          <w:color w:val="auto"/>
          <w:highlight w:val="none"/>
        </w:rPr>
      </w:pPr>
      <w:bookmarkStart w:id="205" w:name="_Toc5666"/>
      <w:bookmarkStart w:id="206" w:name="_Toc425866218"/>
      <w:bookmarkStart w:id="207" w:name="_Toc421979433"/>
      <w:bookmarkStart w:id="208" w:name="_Toc423956627"/>
      <w:bookmarkStart w:id="209" w:name="_Toc419636258"/>
      <w:bookmarkStart w:id="210" w:name="_Toc1211"/>
      <w:bookmarkStart w:id="211" w:name="_Toc18285"/>
      <w:bookmarkStart w:id="212" w:name="_Toc4670"/>
      <w:r>
        <w:rPr>
          <w:rFonts w:hint="default" w:ascii="Times New Roman" w:hAnsi="Times New Roman" w:cs="Times New Roman"/>
          <w:color w:val="auto"/>
          <w:highlight w:val="none"/>
        </w:rPr>
        <w:t>5.5 需要整改的短期、中期和长期项目内容</w:t>
      </w:r>
      <w:bookmarkEnd w:id="205"/>
      <w:bookmarkEnd w:id="206"/>
      <w:bookmarkEnd w:id="207"/>
      <w:bookmarkEnd w:id="208"/>
      <w:bookmarkEnd w:id="209"/>
      <w:bookmarkEnd w:id="210"/>
      <w:bookmarkEnd w:id="211"/>
      <w:bookmarkEnd w:id="212"/>
    </w:p>
    <w:p w14:paraId="52560FBA">
      <w:pPr>
        <w:widowControl/>
        <w:adjustRightInd w:val="0"/>
        <w:snapToGrid w:val="0"/>
        <w:spacing w:line="360" w:lineRule="auto"/>
        <w:ind w:firstLine="478" w:firstLineChars="200"/>
        <w:rPr>
          <w:rFonts w:hint="default" w:ascii="Times New Roman" w:hAnsi="Times New Roman" w:cs="Times New Roman"/>
          <w:b/>
          <w:color w:val="auto"/>
          <w:sz w:val="24"/>
          <w:highlight w:val="none"/>
        </w:rPr>
      </w:pPr>
      <w:r>
        <w:rPr>
          <w:rFonts w:hint="default" w:ascii="Times New Roman" w:hAnsi="Times New Roman" w:cs="Times New Roman"/>
          <w:color w:val="auto"/>
          <w:spacing w:val="-2"/>
          <w:kern w:val="0"/>
          <w:sz w:val="24"/>
          <w:highlight w:val="none"/>
        </w:rPr>
        <w:t>根据之前对公司有关情况的分析，我们从以下几个方面对企业现有环境风险防控与应急措施的完备性、可靠性和有效性进行了分析论证，并找出了其中的差距和问题，提出了需要整改的项目内容及完成整改的期限。具体如下表5.5-1和表5.5-2所示。</w:t>
      </w:r>
    </w:p>
    <w:p w14:paraId="677CA9E6">
      <w:pPr>
        <w:adjustRightInd w:val="0"/>
        <w:snapToGrid w:val="0"/>
        <w:spacing w:line="360" w:lineRule="auto"/>
        <w:jc w:val="center"/>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表5.5-1 公司现有环境风险防控与应急措施差距分析</w:t>
      </w:r>
    </w:p>
    <w:tbl>
      <w:tblPr>
        <w:tblStyle w:val="33"/>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0"/>
        <w:gridCol w:w="3781"/>
        <w:gridCol w:w="4687"/>
      </w:tblGrid>
      <w:tr w14:paraId="03B50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1160" w:type="dxa"/>
            <w:vAlign w:val="center"/>
          </w:tcPr>
          <w:p w14:paraId="0595BAED">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类别</w:t>
            </w:r>
          </w:p>
        </w:tc>
        <w:tc>
          <w:tcPr>
            <w:tcW w:w="3781" w:type="dxa"/>
            <w:vAlign w:val="center"/>
          </w:tcPr>
          <w:p w14:paraId="362F6FEE">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相关要求</w:t>
            </w:r>
          </w:p>
        </w:tc>
        <w:tc>
          <w:tcPr>
            <w:tcW w:w="4687" w:type="dxa"/>
            <w:vAlign w:val="center"/>
          </w:tcPr>
          <w:p w14:paraId="61A3E341">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差距分析</w:t>
            </w:r>
          </w:p>
        </w:tc>
      </w:tr>
      <w:tr w14:paraId="011FF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1160" w:type="dxa"/>
            <w:vMerge w:val="restart"/>
            <w:vAlign w:val="center"/>
          </w:tcPr>
          <w:p w14:paraId="10A26137">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ascii="Times New Roman" w:hAnsi="Times New Roman" w:cs="Times New Roman"/>
                <w:color w:val="auto"/>
                <w:szCs w:val="21"/>
                <w:highlight w:val="none"/>
              </w:rPr>
              <w:t>环境风险管理制度</w:t>
            </w:r>
          </w:p>
        </w:tc>
        <w:tc>
          <w:tcPr>
            <w:tcW w:w="3781" w:type="dxa"/>
            <w:vAlign w:val="center"/>
          </w:tcPr>
          <w:p w14:paraId="7FD1DC74">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ascii="Times New Roman" w:hAnsi="Times New Roman" w:cs="Times New Roman"/>
                <w:color w:val="auto"/>
                <w:szCs w:val="21"/>
                <w:highlight w:val="none"/>
              </w:rPr>
              <w:t>环境风险防控和应急措施制度是否建立，环境风险防控重点岗位的责任人或责任机构是否明确，定期巡检和维护责任制度是否落实</w:t>
            </w:r>
          </w:p>
        </w:tc>
        <w:tc>
          <w:tcPr>
            <w:tcW w:w="4687" w:type="dxa"/>
            <w:vAlign w:val="center"/>
          </w:tcPr>
          <w:p w14:paraId="6FA164F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环境风险防控和应急措施已经基本建立，环境风险防控重点岗位的责任人明确，定期巡检和维护责任制度已基本落实。</w:t>
            </w:r>
          </w:p>
        </w:tc>
      </w:tr>
      <w:tr w14:paraId="1C163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1160" w:type="dxa"/>
            <w:vMerge w:val="continue"/>
            <w:vAlign w:val="center"/>
          </w:tcPr>
          <w:p w14:paraId="60E93929">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p>
        </w:tc>
        <w:tc>
          <w:tcPr>
            <w:tcW w:w="3781" w:type="dxa"/>
            <w:vAlign w:val="center"/>
          </w:tcPr>
          <w:p w14:paraId="16BFA944">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ascii="Times New Roman" w:hAnsi="Times New Roman" w:cs="Times New Roman"/>
                <w:color w:val="auto"/>
                <w:spacing w:val="-8"/>
                <w:szCs w:val="21"/>
                <w:highlight w:val="none"/>
              </w:rPr>
              <w:t>环评及批复文件的各项环境风险防控和应急措施要求是否落实</w:t>
            </w:r>
          </w:p>
        </w:tc>
        <w:tc>
          <w:tcPr>
            <w:tcW w:w="4687" w:type="dxa"/>
            <w:vAlign w:val="center"/>
          </w:tcPr>
          <w:p w14:paraId="16BB585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公司已落实环评及批复文件的各项环境风险防控和应急措施。</w:t>
            </w:r>
          </w:p>
        </w:tc>
      </w:tr>
      <w:tr w14:paraId="453B5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1160" w:type="dxa"/>
            <w:vMerge w:val="continue"/>
            <w:vAlign w:val="center"/>
          </w:tcPr>
          <w:p w14:paraId="39E39DE5">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p>
        </w:tc>
        <w:tc>
          <w:tcPr>
            <w:tcW w:w="3781" w:type="dxa"/>
            <w:vAlign w:val="center"/>
          </w:tcPr>
          <w:p w14:paraId="4459879A">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ascii="Times New Roman" w:hAnsi="Times New Roman" w:cs="Times New Roman"/>
                <w:color w:val="auto"/>
                <w:szCs w:val="21"/>
                <w:highlight w:val="none"/>
              </w:rPr>
              <w:t>是否经常对职工开展环境风险和环境应急管理宣传和培训</w:t>
            </w:r>
          </w:p>
        </w:tc>
        <w:tc>
          <w:tcPr>
            <w:tcW w:w="4687" w:type="dxa"/>
            <w:vAlign w:val="center"/>
          </w:tcPr>
          <w:p w14:paraId="4BBA1C9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公司定期对</w:t>
            </w:r>
            <w:r>
              <w:rPr>
                <w:rFonts w:hint="default" w:ascii="Times New Roman" w:hAnsi="Times New Roman" w:cs="Times New Roman"/>
                <w:color w:val="auto"/>
                <w:szCs w:val="21"/>
                <w:highlight w:val="none"/>
              </w:rPr>
              <w:t>职工开展环境风险和环境应急管理的宣传和培训。</w:t>
            </w:r>
          </w:p>
        </w:tc>
      </w:tr>
      <w:tr w14:paraId="18CA3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1160" w:type="dxa"/>
            <w:vMerge w:val="continue"/>
            <w:vAlign w:val="center"/>
          </w:tcPr>
          <w:p w14:paraId="7413312D">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p>
        </w:tc>
        <w:tc>
          <w:tcPr>
            <w:tcW w:w="3781" w:type="dxa"/>
            <w:vAlign w:val="center"/>
          </w:tcPr>
          <w:p w14:paraId="24D5C4C7">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ascii="Times New Roman" w:hAnsi="Times New Roman" w:cs="Times New Roman"/>
                <w:color w:val="auto"/>
                <w:szCs w:val="21"/>
                <w:highlight w:val="none"/>
              </w:rPr>
              <w:t>是否建立突发环境事件信息报告制度，并有效执行</w:t>
            </w:r>
          </w:p>
        </w:tc>
        <w:tc>
          <w:tcPr>
            <w:tcW w:w="4687" w:type="dxa"/>
            <w:vAlign w:val="center"/>
          </w:tcPr>
          <w:p w14:paraId="0A89A084">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ascii="Times New Roman" w:hAnsi="Times New Roman" w:cs="Times New Roman"/>
                <w:color w:val="auto"/>
                <w:szCs w:val="21"/>
                <w:highlight w:val="none"/>
              </w:rPr>
              <w:t>公司已建立突发环境事件信息报告制度，并有效执行。</w:t>
            </w:r>
          </w:p>
        </w:tc>
      </w:tr>
      <w:tr w14:paraId="028EE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1160" w:type="dxa"/>
            <w:vMerge w:val="restart"/>
            <w:vAlign w:val="center"/>
          </w:tcPr>
          <w:p w14:paraId="723A3A20">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ascii="Times New Roman" w:hAnsi="Times New Roman" w:cs="Times New Roman"/>
                <w:color w:val="auto"/>
                <w:szCs w:val="21"/>
                <w:highlight w:val="none"/>
              </w:rPr>
              <w:t>环境风险防控与应急措施</w:t>
            </w:r>
          </w:p>
        </w:tc>
        <w:tc>
          <w:tcPr>
            <w:tcW w:w="3781" w:type="dxa"/>
            <w:vAlign w:val="center"/>
          </w:tcPr>
          <w:p w14:paraId="053AB22F">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是否在废气排放口、废水、雨水和清洁下水排放口对可能排出的环境风险物质，按照物质特性、危害，设置监视、控制措施，分析每项措施的管理规定、岗位职责落实情况和措施的有效性</w:t>
            </w:r>
          </w:p>
        </w:tc>
        <w:tc>
          <w:tcPr>
            <w:tcW w:w="4687" w:type="dxa"/>
            <w:vAlign w:val="center"/>
          </w:tcPr>
          <w:p w14:paraId="331AFA25">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ascii="Times New Roman" w:hAnsi="Times New Roman" w:eastAsia="宋体" w:cs="Times New Roman"/>
                <w:bCs/>
                <w:color w:val="auto"/>
                <w:szCs w:val="21"/>
                <w:highlight w:val="none"/>
                <w:lang w:eastAsia="zh-CN"/>
              </w:rPr>
              <w:t>车间消防废水进入污水收集池，日常保持足够的事故排水缓冲容量；由物料泄漏产生的存放于事故水池的事故水由罐车外运处理，收纳在污水收集池中的其余消防废水</w:t>
            </w:r>
            <w:r>
              <w:rPr>
                <w:rFonts w:hint="default" w:ascii="Times New Roman" w:hAnsi="Times New Roman" w:cs="Times New Roman"/>
                <w:bCs/>
                <w:color w:val="auto"/>
                <w:szCs w:val="21"/>
                <w:highlight w:val="none"/>
                <w:lang w:eastAsia="zh-CN"/>
              </w:rPr>
              <w:t>经厂内污水处理装置预处理后通过管网排入齐鲁石化供排水厂深度处理，处理达标后经排海管线排海</w:t>
            </w:r>
            <w:r>
              <w:rPr>
                <w:rFonts w:hint="default" w:ascii="Times New Roman" w:hAnsi="Times New Roman" w:eastAsia="宋体" w:cs="Times New Roman"/>
                <w:bCs/>
                <w:color w:val="auto"/>
                <w:szCs w:val="21"/>
                <w:highlight w:val="none"/>
                <w:lang w:eastAsia="zh-CN"/>
              </w:rPr>
              <w:t>。加强罐区管理，及时进行雨污切换，确保非降雨期阀门关闭</w:t>
            </w:r>
          </w:p>
        </w:tc>
      </w:tr>
      <w:tr w14:paraId="6EEF4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1160" w:type="dxa"/>
            <w:vMerge w:val="continue"/>
            <w:vAlign w:val="center"/>
          </w:tcPr>
          <w:p w14:paraId="16C79468">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p>
        </w:tc>
        <w:tc>
          <w:tcPr>
            <w:tcW w:w="3781" w:type="dxa"/>
            <w:vAlign w:val="center"/>
          </w:tcPr>
          <w:p w14:paraId="58BC2BE1">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是否采取防止事故排水、污染物等扩散、排出厂界的措施，包括截流措施、事故排水收集措施、清净下水系统防控措施、雨水系统防控措施、生产废水处理系统防控措施等，分析每项措施的管理规定、岗位职责落实情况和措施的有效性</w:t>
            </w:r>
          </w:p>
        </w:tc>
        <w:tc>
          <w:tcPr>
            <w:tcW w:w="4687" w:type="dxa"/>
            <w:vAlign w:val="center"/>
          </w:tcPr>
          <w:p w14:paraId="06E6C6B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ascii="Times New Roman" w:hAnsi="Times New Roman" w:eastAsia="宋体" w:cs="Times New Roman"/>
                <w:bCs/>
                <w:color w:val="auto"/>
                <w:szCs w:val="21"/>
                <w:highlight w:val="none"/>
              </w:rPr>
              <w:t>已采取防止事故排水、污染物等扩散、排出厂界的措施，且各项措施的管理规定及岗位职责落实情况均已落实。</w:t>
            </w:r>
          </w:p>
        </w:tc>
      </w:tr>
      <w:tr w14:paraId="1CD9C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1160" w:type="dxa"/>
            <w:vMerge w:val="continue"/>
            <w:vAlign w:val="center"/>
          </w:tcPr>
          <w:p w14:paraId="24F0C5A3">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p>
        </w:tc>
        <w:tc>
          <w:tcPr>
            <w:tcW w:w="3781" w:type="dxa"/>
            <w:vAlign w:val="center"/>
          </w:tcPr>
          <w:p w14:paraId="58DA0180">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涉及毒性气体的，是否设置毒性气体泄漏紧急处置装置，是否已布置生产区域或厂界毒性气体泄漏监控预警系统，是否有提醒周边公众紧急疏散的措施和手段等，分析每项措施的管理规定、岗位责任落实情况和措施的有效性</w:t>
            </w:r>
          </w:p>
        </w:tc>
        <w:tc>
          <w:tcPr>
            <w:tcW w:w="4687" w:type="dxa"/>
            <w:vAlign w:val="center"/>
          </w:tcPr>
          <w:p w14:paraId="20051B7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lang w:eastAsia="zh-CN"/>
              </w:rPr>
              <w:t>各个</w:t>
            </w:r>
            <w:r>
              <w:rPr>
                <w:rFonts w:hint="default" w:ascii="Times New Roman" w:hAnsi="Times New Roman" w:eastAsia="宋体" w:cs="Times New Roman"/>
                <w:bCs/>
                <w:color w:val="auto"/>
                <w:szCs w:val="21"/>
                <w:highlight w:val="none"/>
                <w:lang w:eastAsia="zh-CN"/>
              </w:rPr>
              <w:t>罐</w:t>
            </w:r>
            <w:r>
              <w:rPr>
                <w:rFonts w:hint="default" w:ascii="Times New Roman" w:hAnsi="Times New Roman" w:eastAsia="宋体" w:cs="Times New Roman"/>
                <w:bCs/>
                <w:color w:val="auto"/>
                <w:szCs w:val="21"/>
                <w:highlight w:val="none"/>
              </w:rPr>
              <w:t>区设置了围堰；</w:t>
            </w:r>
            <w:r>
              <w:rPr>
                <w:rFonts w:hint="default" w:ascii="Times New Roman" w:hAnsi="Times New Roman" w:eastAsia="宋体" w:cs="Times New Roman"/>
                <w:color w:val="auto"/>
                <w:sz w:val="21"/>
                <w:szCs w:val="21"/>
                <w:highlight w:val="none"/>
                <w:lang w:eastAsia="zh-CN"/>
              </w:rPr>
              <w:t>在罐区设置泄露报警装置。</w:t>
            </w:r>
          </w:p>
        </w:tc>
      </w:tr>
      <w:tr w14:paraId="18B01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1160" w:type="dxa"/>
            <w:vMerge w:val="restart"/>
            <w:vAlign w:val="center"/>
          </w:tcPr>
          <w:p w14:paraId="59BC2489">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环境</w:t>
            </w:r>
          </w:p>
          <w:p w14:paraId="17000F4F">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ascii="Times New Roman" w:hAnsi="Times New Roman" w:cs="Times New Roman"/>
                <w:color w:val="auto"/>
                <w:szCs w:val="21"/>
                <w:highlight w:val="none"/>
              </w:rPr>
              <w:t>应急资源</w:t>
            </w:r>
          </w:p>
        </w:tc>
        <w:tc>
          <w:tcPr>
            <w:tcW w:w="3781" w:type="dxa"/>
            <w:vAlign w:val="center"/>
          </w:tcPr>
          <w:p w14:paraId="5B68D444">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是否配备必要的应急物资和应急装备（包括应急监测）；</w:t>
            </w:r>
          </w:p>
        </w:tc>
        <w:tc>
          <w:tcPr>
            <w:tcW w:w="4687" w:type="dxa"/>
            <w:vAlign w:val="center"/>
          </w:tcPr>
          <w:p w14:paraId="6EDD2B8D">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ascii="Times New Roman" w:hAnsi="Times New Roman" w:cs="Times New Roman"/>
                <w:color w:val="auto"/>
                <w:szCs w:val="21"/>
                <w:highlight w:val="none"/>
              </w:rPr>
              <w:t>公司已配备应急装备</w:t>
            </w:r>
            <w:r>
              <w:rPr>
                <w:rFonts w:hint="default" w:ascii="Times New Roman" w:hAnsi="Times New Roman" w:cs="Times New Roman"/>
                <w:color w:val="auto"/>
                <w:szCs w:val="21"/>
                <w:highlight w:val="none"/>
                <w:lang w:eastAsia="zh-CN"/>
              </w:rPr>
              <w:t>，已经通过</w:t>
            </w:r>
            <w:r>
              <w:rPr>
                <w:rFonts w:hint="default" w:ascii="Times New Roman" w:hAnsi="Times New Roman" w:cs="Times New Roman"/>
                <w:color w:val="auto"/>
                <w:szCs w:val="21"/>
                <w:highlight w:val="none"/>
              </w:rPr>
              <w:t>消防验收</w:t>
            </w:r>
          </w:p>
        </w:tc>
      </w:tr>
      <w:tr w14:paraId="13419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1160" w:type="dxa"/>
            <w:vMerge w:val="continue"/>
            <w:vAlign w:val="center"/>
          </w:tcPr>
          <w:p w14:paraId="582C1BDA">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p>
        </w:tc>
        <w:tc>
          <w:tcPr>
            <w:tcW w:w="3781" w:type="dxa"/>
            <w:vAlign w:val="center"/>
          </w:tcPr>
          <w:p w14:paraId="174AFA1B">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是否已设置专职或兼职人员组成的应急救援队伍；</w:t>
            </w:r>
          </w:p>
        </w:tc>
        <w:tc>
          <w:tcPr>
            <w:tcW w:w="4687" w:type="dxa"/>
            <w:vAlign w:val="center"/>
          </w:tcPr>
          <w:p w14:paraId="329BCD9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ascii="Times New Roman" w:hAnsi="Times New Roman" w:cs="Times New Roman"/>
                <w:color w:val="auto"/>
                <w:szCs w:val="21"/>
                <w:highlight w:val="none"/>
              </w:rPr>
              <w:t>公司已设置兼职人员组成的应急救援队伍</w:t>
            </w:r>
          </w:p>
        </w:tc>
      </w:tr>
      <w:tr w14:paraId="5FE22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1160" w:type="dxa"/>
            <w:vMerge w:val="continue"/>
            <w:vAlign w:val="center"/>
          </w:tcPr>
          <w:p w14:paraId="55F7D093">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p>
        </w:tc>
        <w:tc>
          <w:tcPr>
            <w:tcW w:w="3781" w:type="dxa"/>
            <w:vAlign w:val="center"/>
          </w:tcPr>
          <w:p w14:paraId="53C063D4">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是否与其他组织或单位签订应急救援协议或互救协议（包括应急物资、应急装备和救援队伍等情况）。</w:t>
            </w:r>
          </w:p>
        </w:tc>
        <w:tc>
          <w:tcPr>
            <w:tcW w:w="4687" w:type="dxa"/>
            <w:vAlign w:val="center"/>
          </w:tcPr>
          <w:p w14:paraId="65E9F10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公司未与其他组织或单位签订应急救援协议或互救协议</w:t>
            </w:r>
          </w:p>
        </w:tc>
      </w:tr>
    </w:tbl>
    <w:p w14:paraId="43BC6C72">
      <w:pPr>
        <w:adjustRightInd w:val="0"/>
        <w:snapToGrid w:val="0"/>
        <w:spacing w:beforeLines="50" w:line="360" w:lineRule="auto"/>
        <w:ind w:right="-189" w:rightChars="-89" w:firstLine="2187" w:firstLineChars="900"/>
        <w:jc w:val="both"/>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表5.5-2 公司现有环境风险防控与应急措施需整改的内容</w:t>
      </w:r>
    </w:p>
    <w:tbl>
      <w:tblPr>
        <w:tblStyle w:val="33"/>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11"/>
        <w:gridCol w:w="7617"/>
      </w:tblGrid>
      <w:tr w14:paraId="643E9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2011" w:type="dxa"/>
            <w:vAlign w:val="center"/>
          </w:tcPr>
          <w:p w14:paraId="06CC75BA">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类别</w:t>
            </w:r>
          </w:p>
        </w:tc>
        <w:tc>
          <w:tcPr>
            <w:tcW w:w="7617" w:type="dxa"/>
            <w:vAlign w:val="center"/>
          </w:tcPr>
          <w:p w14:paraId="3097BB4D">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需要整改的项目内容</w:t>
            </w:r>
          </w:p>
        </w:tc>
      </w:tr>
      <w:tr w14:paraId="728F1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2011" w:type="dxa"/>
            <w:vMerge w:val="restart"/>
            <w:vAlign w:val="center"/>
          </w:tcPr>
          <w:p w14:paraId="48CBEC96">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ascii="Times New Roman" w:hAnsi="Times New Roman" w:cs="Times New Roman"/>
                <w:color w:val="auto"/>
                <w:szCs w:val="21"/>
                <w:highlight w:val="none"/>
                <w:lang w:eastAsia="zh-CN"/>
              </w:rPr>
              <w:t>环境应急资源及环境风险管理制度</w:t>
            </w:r>
          </w:p>
        </w:tc>
        <w:tc>
          <w:tcPr>
            <w:tcW w:w="7617" w:type="dxa"/>
            <w:vAlign w:val="center"/>
          </w:tcPr>
          <w:p w14:paraId="2083994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ascii="Times New Roman" w:hAnsi="Times New Roman" w:cs="Times New Roman"/>
                <w:color w:val="auto"/>
                <w:szCs w:val="21"/>
                <w:highlight w:val="none"/>
              </w:rPr>
              <w:t>公司未与</w:t>
            </w:r>
            <w:r>
              <w:rPr>
                <w:rFonts w:hint="default" w:ascii="Times New Roman" w:hAnsi="Times New Roman" w:cs="Times New Roman"/>
                <w:bCs/>
                <w:color w:val="auto"/>
                <w:szCs w:val="21"/>
                <w:highlight w:val="none"/>
              </w:rPr>
              <w:t>其他组织或单位签订应急救援协议或互救协议</w:t>
            </w:r>
          </w:p>
        </w:tc>
      </w:tr>
      <w:tr w14:paraId="1C380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2011" w:type="dxa"/>
            <w:vMerge w:val="continue"/>
            <w:vAlign w:val="center"/>
          </w:tcPr>
          <w:p w14:paraId="727E45EE">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c>
          <w:tcPr>
            <w:tcW w:w="7617" w:type="dxa"/>
            <w:vAlign w:val="center"/>
          </w:tcPr>
          <w:p w14:paraId="2CF2AAE7">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spacing w:val="-8"/>
                <w:szCs w:val="21"/>
                <w:highlight w:val="none"/>
              </w:rPr>
            </w:pPr>
            <w:r>
              <w:rPr>
                <w:rFonts w:hint="default" w:ascii="Times New Roman" w:hAnsi="Times New Roman" w:eastAsia="宋体" w:cs="Times New Roman"/>
                <w:bCs/>
                <w:color w:val="auto"/>
                <w:szCs w:val="21"/>
                <w:highlight w:val="none"/>
              </w:rPr>
              <w:t>公司在落实</w:t>
            </w:r>
            <w:r>
              <w:rPr>
                <w:rFonts w:hint="default" w:ascii="Times New Roman" w:hAnsi="Times New Roman" w:eastAsia="宋体" w:cs="Times New Roman"/>
                <w:color w:val="auto"/>
                <w:spacing w:val="-8"/>
                <w:szCs w:val="21"/>
                <w:highlight w:val="none"/>
              </w:rPr>
              <w:t>环评及批复文件的各项环境风险防控和应急措施时，</w:t>
            </w:r>
          </w:p>
          <w:p w14:paraId="2E9D370D">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eastAsia="宋体" w:cs="Times New Roman"/>
                <w:color w:val="auto"/>
                <w:spacing w:val="-8"/>
                <w:szCs w:val="21"/>
                <w:highlight w:val="none"/>
              </w:rPr>
              <w:t>需进一步规范各污染物的规范管理。</w:t>
            </w:r>
          </w:p>
        </w:tc>
      </w:tr>
    </w:tbl>
    <w:p w14:paraId="48CD57B5">
      <w:pPr>
        <w:pStyle w:val="6"/>
        <w:keepLines w:val="0"/>
        <w:pageBreakBefore w:val="0"/>
        <w:widowControl w:val="0"/>
        <w:kinsoku/>
        <w:wordWrap/>
        <w:overflowPunct/>
        <w:topLinePunct w:val="0"/>
        <w:autoSpaceDE/>
        <w:autoSpaceDN/>
        <w:bidi w:val="0"/>
        <w:adjustRightInd w:val="0"/>
        <w:snapToGrid w:val="0"/>
        <w:spacing w:beforeLines="0" w:afterLines="0"/>
        <w:textAlignment w:val="auto"/>
        <w:rPr>
          <w:rFonts w:hint="default" w:ascii="Times New Roman" w:hAnsi="Times New Roman" w:cs="Times New Roman"/>
          <w:color w:val="auto"/>
          <w:highlight w:val="none"/>
        </w:rPr>
      </w:pPr>
      <w:bookmarkStart w:id="213" w:name="_Toc25693"/>
      <w:bookmarkStart w:id="214" w:name="_Toc21008"/>
      <w:bookmarkStart w:id="215" w:name="_Toc425866219"/>
      <w:bookmarkStart w:id="216" w:name="_Toc423956628"/>
      <w:bookmarkStart w:id="217" w:name="_Toc31073"/>
      <w:bookmarkStart w:id="218" w:name="_Toc26"/>
      <w:r>
        <w:rPr>
          <w:rFonts w:hint="default" w:ascii="Times New Roman" w:hAnsi="Times New Roman" w:cs="Times New Roman"/>
          <w:color w:val="auto"/>
          <w:highlight w:val="none"/>
        </w:rPr>
        <w:t>6 完善环境风险防控和应急措施的实施计划</w:t>
      </w:r>
      <w:bookmarkEnd w:id="213"/>
      <w:bookmarkEnd w:id="214"/>
      <w:bookmarkEnd w:id="215"/>
      <w:bookmarkEnd w:id="216"/>
      <w:bookmarkEnd w:id="217"/>
      <w:bookmarkEnd w:id="218"/>
    </w:p>
    <w:p w14:paraId="6ECF1338">
      <w:pPr>
        <w:keepLines w:val="0"/>
        <w:pageBreakBefore w:val="0"/>
        <w:widowControl w:val="0"/>
        <w:kinsoku/>
        <w:wordWrap/>
        <w:overflowPunct/>
        <w:topLinePunct w:val="0"/>
        <w:autoSpaceDE/>
        <w:autoSpaceDN/>
        <w:bidi w:val="0"/>
        <w:adjustRightInd w:val="0"/>
        <w:snapToGrid w:val="0"/>
        <w:spacing w:line="360" w:lineRule="auto"/>
        <w:ind w:firstLine="486"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根据以上对企业现有环境风险防控与应急措施的完备性、可靠性和有效性的分析论证，我们找出了其中的差距和问题，并提出了需要整改的项目内容制定了完善环境风险防控和应急措施的实施计划。</w:t>
      </w:r>
    </w:p>
    <w:p w14:paraId="425B8BC2">
      <w:pPr>
        <w:pStyle w:val="6"/>
        <w:spacing w:beforeLines="0" w:afterLines="0"/>
        <w:rPr>
          <w:rFonts w:hint="default" w:ascii="Times New Roman" w:hAnsi="Times New Roman" w:cs="Times New Roman"/>
          <w:color w:val="auto"/>
          <w:highlight w:val="none"/>
        </w:rPr>
      </w:pPr>
      <w:bookmarkStart w:id="219" w:name="_Toc27345"/>
      <w:bookmarkStart w:id="220" w:name="_Toc32757"/>
      <w:bookmarkStart w:id="221" w:name="_Toc2144"/>
      <w:bookmarkStart w:id="222" w:name="_Toc425866220"/>
      <w:bookmarkStart w:id="223" w:name="_Toc14186"/>
      <w:bookmarkStart w:id="224" w:name="_Toc2176"/>
      <w:bookmarkStart w:id="225" w:name="_Toc10372"/>
      <w:bookmarkStart w:id="226" w:name="_Toc13640"/>
      <w:bookmarkStart w:id="227" w:name="_Toc22228"/>
      <w:bookmarkStart w:id="228" w:name="_Toc32444"/>
      <w:r>
        <w:rPr>
          <w:rFonts w:hint="default" w:ascii="Times New Roman" w:hAnsi="Times New Roman" w:cs="Times New Roman"/>
          <w:color w:val="auto"/>
          <w:highlight w:val="none"/>
        </w:rPr>
        <w:t xml:space="preserve">7 </w:t>
      </w:r>
      <w:bookmarkEnd w:id="219"/>
      <w:bookmarkEnd w:id="220"/>
      <w:bookmarkEnd w:id="221"/>
      <w:bookmarkEnd w:id="222"/>
      <w:r>
        <w:rPr>
          <w:rFonts w:hint="default" w:ascii="Times New Roman" w:hAnsi="Times New Roman" w:cs="Times New Roman"/>
          <w:color w:val="auto"/>
          <w:highlight w:val="none"/>
        </w:rPr>
        <w:t>企业突发环境事件风险等级</w:t>
      </w:r>
      <w:bookmarkEnd w:id="223"/>
      <w:bookmarkEnd w:id="224"/>
    </w:p>
    <w:bookmarkEnd w:id="225"/>
    <w:bookmarkEnd w:id="226"/>
    <w:bookmarkEnd w:id="227"/>
    <w:bookmarkEnd w:id="228"/>
    <w:p w14:paraId="687EBD5B">
      <w:pPr>
        <w:pStyle w:val="7"/>
        <w:spacing w:beforeLines="0" w:afterLines="0"/>
        <w:outlineLvl w:val="1"/>
        <w:rPr>
          <w:rFonts w:hint="default" w:ascii="Times New Roman" w:hAnsi="Times New Roman" w:cs="Times New Roman"/>
          <w:color w:val="auto"/>
          <w:sz w:val="30"/>
          <w:szCs w:val="30"/>
          <w:highlight w:val="none"/>
          <w:lang w:val="en-US" w:eastAsia="zh-CN"/>
        </w:rPr>
      </w:pPr>
      <w:bookmarkStart w:id="229" w:name="_Toc21850"/>
      <w:bookmarkStart w:id="230" w:name="_Toc10895"/>
      <w:bookmarkStart w:id="231" w:name="_Toc17212"/>
      <w:bookmarkStart w:id="232" w:name="_Toc31072"/>
      <w:bookmarkStart w:id="233" w:name="_Toc12388"/>
      <w:bookmarkStart w:id="234" w:name="_Toc22901"/>
      <w:bookmarkStart w:id="235" w:name="_Toc25049"/>
      <w:r>
        <w:rPr>
          <w:rFonts w:hint="default" w:ascii="Times New Roman" w:hAnsi="Times New Roman" w:cs="Times New Roman"/>
          <w:color w:val="auto"/>
          <w:sz w:val="30"/>
          <w:szCs w:val="30"/>
          <w:highlight w:val="none"/>
          <w:lang w:val="en-US" w:eastAsia="zh-CN"/>
        </w:rPr>
        <w:t>7.1 突发大气环境事件风险分级</w:t>
      </w:r>
      <w:bookmarkEnd w:id="229"/>
      <w:bookmarkEnd w:id="230"/>
    </w:p>
    <w:p w14:paraId="11B93437">
      <w:pPr>
        <w:spacing w:before="0" w:after="0"/>
        <w:outlineLvl w:val="9"/>
        <w:rPr>
          <w:rFonts w:hint="default" w:ascii="Times New Roman" w:hAnsi="Times New Roman" w:cs="Times New Roman"/>
          <w:b/>
          <w:bCs/>
          <w:color w:val="auto"/>
          <w:sz w:val="28"/>
          <w:szCs w:val="36"/>
          <w:highlight w:val="none"/>
        </w:rPr>
      </w:pPr>
      <w:bookmarkStart w:id="236" w:name="_Toc11616"/>
      <w:r>
        <w:rPr>
          <w:rFonts w:hint="default" w:ascii="Times New Roman" w:hAnsi="Times New Roman" w:cs="Times New Roman"/>
          <w:b/>
          <w:bCs/>
          <w:color w:val="auto"/>
          <w:sz w:val="28"/>
          <w:szCs w:val="36"/>
          <w:highlight w:val="none"/>
        </w:rPr>
        <w:t>7.</w:t>
      </w:r>
      <w:r>
        <w:rPr>
          <w:rFonts w:hint="default" w:ascii="Times New Roman" w:hAnsi="Times New Roman" w:cs="Times New Roman"/>
          <w:b/>
          <w:bCs/>
          <w:color w:val="auto"/>
          <w:sz w:val="28"/>
          <w:szCs w:val="36"/>
          <w:highlight w:val="none"/>
          <w:lang w:val="en-US" w:eastAsia="zh-CN"/>
        </w:rPr>
        <w:t>1.1</w:t>
      </w:r>
      <w:r>
        <w:rPr>
          <w:rFonts w:hint="default" w:ascii="Times New Roman" w:hAnsi="Times New Roman" w:cs="Times New Roman"/>
          <w:b/>
          <w:bCs/>
          <w:color w:val="auto"/>
          <w:sz w:val="28"/>
          <w:szCs w:val="36"/>
          <w:highlight w:val="none"/>
        </w:rPr>
        <w:t xml:space="preserve"> 计算涉气风险物质数量与临界量比值（Q）</w:t>
      </w:r>
      <w:bookmarkEnd w:id="236"/>
    </w:p>
    <w:p w14:paraId="04399F27">
      <w:pPr>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涉气风险物质包括附录A中的第一、第二、第三、第四、第六部分全部风险物质以及第八部分中除NH</w:t>
      </w:r>
      <w:r>
        <w:rPr>
          <w:rFonts w:hint="default" w:ascii="Times New Roman" w:hAnsi="Times New Roman" w:cs="Times New Roman"/>
          <w:color w:val="auto"/>
          <w:sz w:val="24"/>
          <w:highlight w:val="none"/>
          <w:vertAlign w:val="subscript"/>
        </w:rPr>
        <w:t>3</w:t>
      </w:r>
      <w:r>
        <w:rPr>
          <w:rFonts w:hint="default" w:ascii="Times New Roman" w:hAnsi="Times New Roman" w:cs="Times New Roman"/>
          <w:color w:val="auto"/>
          <w:sz w:val="24"/>
          <w:highlight w:val="none"/>
        </w:rPr>
        <w:t>-N浓度≥2000mg/L的废液、CODcr浓度≥10000mg/L的有机废液之外的气态和可挥发造成大气环境事件的固态、液态风险物质。</w:t>
      </w:r>
    </w:p>
    <w:p w14:paraId="56B0B3A6">
      <w:pPr>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判断企业生产原料、产品、中间产品、副产品、催化剂、辅助生产物料、燃料、“三废”污染物等是否涉及大气环境风险物质（混合或稀释的风险物质按其组分比例折算成纯物质），计算涉气风险物质在厂界内的存在量（如存在量呈动态变化，则按年度内最大存在量计算）与其在附录A中临界量的比值Q：</w:t>
      </w:r>
    </w:p>
    <w:p w14:paraId="78F08FA1">
      <w:pPr>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(1)当企业只涉及一种环境风险物质时，该物质的数量与其临界量比值，即为Q。</w:t>
      </w:r>
    </w:p>
    <w:p w14:paraId="13F4FF8A">
      <w:pPr>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(2)当企业存在多种风险物质时，则按式（1）计算：</w:t>
      </w:r>
    </w:p>
    <w:p w14:paraId="38AF670D">
      <w:pPr>
        <w:adjustRightInd w:val="0"/>
        <w:snapToGrid w:val="0"/>
        <w:spacing w:line="360" w:lineRule="auto"/>
        <w:ind w:firstLine="426" w:firstLineChars="200"/>
        <w:jc w:val="center"/>
        <w:rPr>
          <w:rFonts w:hint="default" w:ascii="Times New Roman" w:hAnsi="Times New Roman" w:cs="Times New Roman"/>
          <w:color w:val="auto"/>
          <w:sz w:val="24"/>
          <w:highlight w:val="none"/>
        </w:rPr>
      </w:pPr>
      <w:r>
        <w:rPr>
          <w:rFonts w:hint="default" w:ascii="Times New Roman" w:hAnsi="Times New Roman" w:cs="Times New Roman"/>
          <w:color w:val="auto"/>
          <w:highlight w:val="none"/>
        </w:rPr>
        <w:drawing>
          <wp:inline distT="0" distB="0" distL="114300" distR="114300">
            <wp:extent cx="1849755" cy="605790"/>
            <wp:effectExtent l="0" t="0" r="17145" b="3810"/>
            <wp:docPr id="6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31"/>
                    <pic:cNvPicPr>
                      <a:picLocks noChangeAspect="1"/>
                    </pic:cNvPicPr>
                  </pic:nvPicPr>
                  <pic:blipFill>
                    <a:blip r:embed="rId163"/>
                    <a:stretch>
                      <a:fillRect/>
                    </a:stretch>
                  </pic:blipFill>
                  <pic:spPr>
                    <a:xfrm>
                      <a:off x="0" y="0"/>
                      <a:ext cx="1849755" cy="605790"/>
                    </a:xfrm>
                    <a:prstGeom prst="rect">
                      <a:avLst/>
                    </a:prstGeom>
                    <a:noFill/>
                    <a:ln>
                      <a:noFill/>
                    </a:ln>
                  </pic:spPr>
                </pic:pic>
              </a:graphicData>
            </a:graphic>
          </wp:inline>
        </w:drawing>
      </w:r>
    </w:p>
    <w:p w14:paraId="3BBFCCCA">
      <w:pPr>
        <w:adjustRightInd w:val="0"/>
        <w:snapToGrid w:val="0"/>
        <w:spacing w:line="360" w:lineRule="auto"/>
        <w:ind w:firstLine="56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式中：</w:t>
      </w:r>
      <w:r>
        <w:rPr>
          <w:rFonts w:hint="default" w:ascii="Times New Roman" w:hAnsi="Times New Roman" w:cs="Times New Roman"/>
          <w:i/>
          <w:iCs/>
          <w:color w:val="auto"/>
          <w:sz w:val="24"/>
          <w:highlight w:val="none"/>
        </w:rPr>
        <w:t>w</w:t>
      </w:r>
      <w:r>
        <w:rPr>
          <w:rFonts w:hint="default" w:ascii="Times New Roman" w:hAnsi="Times New Roman" w:cs="Times New Roman"/>
          <w:i/>
          <w:iCs/>
          <w:color w:val="auto"/>
          <w:sz w:val="24"/>
          <w:highlight w:val="none"/>
          <w:vertAlign w:val="subscript"/>
        </w:rPr>
        <w:t>1</w:t>
      </w:r>
      <w:r>
        <w:rPr>
          <w:rFonts w:hint="default" w:ascii="Times New Roman" w:hAnsi="Times New Roman" w:cs="Times New Roman"/>
          <w:i/>
          <w:iCs/>
          <w:color w:val="auto"/>
          <w:sz w:val="24"/>
          <w:highlight w:val="none"/>
        </w:rPr>
        <w:t>，w</w:t>
      </w:r>
      <w:r>
        <w:rPr>
          <w:rFonts w:hint="default" w:ascii="Times New Roman" w:hAnsi="Times New Roman" w:cs="Times New Roman"/>
          <w:i/>
          <w:iCs/>
          <w:color w:val="auto"/>
          <w:sz w:val="24"/>
          <w:highlight w:val="none"/>
          <w:vertAlign w:val="subscript"/>
        </w:rPr>
        <w:t>2</w:t>
      </w:r>
      <w:r>
        <w:rPr>
          <w:rFonts w:hint="default" w:ascii="Times New Roman" w:hAnsi="Times New Roman" w:cs="Times New Roman"/>
          <w:i/>
          <w:iCs/>
          <w:color w:val="auto"/>
          <w:sz w:val="24"/>
          <w:highlight w:val="none"/>
        </w:rPr>
        <w:t>，…，w</w:t>
      </w:r>
      <w:r>
        <w:rPr>
          <w:rFonts w:hint="default" w:ascii="Times New Roman" w:hAnsi="Times New Roman" w:cs="Times New Roman"/>
          <w:i/>
          <w:iCs/>
          <w:color w:val="auto"/>
          <w:sz w:val="24"/>
          <w:highlight w:val="none"/>
          <w:vertAlign w:val="subscript"/>
        </w:rPr>
        <w:t>n</w:t>
      </w:r>
      <w:r>
        <w:rPr>
          <w:rFonts w:hint="default" w:ascii="Times New Roman" w:hAnsi="Times New Roman" w:cs="Times New Roman"/>
          <w:color w:val="auto"/>
          <w:sz w:val="24"/>
          <w:highlight w:val="none"/>
        </w:rPr>
        <w:t>——每种风险物质的存在量，t；</w:t>
      </w:r>
    </w:p>
    <w:p w14:paraId="2CD87F86">
      <w:pPr>
        <w:widowControl/>
        <w:adjustRightInd w:val="0"/>
        <w:snapToGrid w:val="0"/>
        <w:spacing w:line="360" w:lineRule="auto"/>
        <w:ind w:firstLine="1215" w:firstLineChars="500"/>
        <w:rPr>
          <w:rFonts w:hint="default" w:ascii="Times New Roman" w:hAnsi="Times New Roman" w:cs="Times New Roman"/>
          <w:color w:val="auto"/>
          <w:sz w:val="24"/>
          <w:highlight w:val="none"/>
        </w:rPr>
      </w:pPr>
      <w:r>
        <w:rPr>
          <w:rFonts w:hint="default" w:ascii="Times New Roman" w:hAnsi="Times New Roman" w:cs="Times New Roman"/>
          <w:i/>
          <w:iCs/>
          <w:color w:val="auto"/>
          <w:sz w:val="24"/>
          <w:highlight w:val="none"/>
        </w:rPr>
        <w:t>W</w:t>
      </w:r>
      <w:r>
        <w:rPr>
          <w:rFonts w:hint="default" w:ascii="Times New Roman" w:hAnsi="Times New Roman" w:cs="Times New Roman"/>
          <w:i/>
          <w:iCs/>
          <w:color w:val="auto"/>
          <w:sz w:val="24"/>
          <w:highlight w:val="none"/>
          <w:vertAlign w:val="subscript"/>
        </w:rPr>
        <w:t>1</w:t>
      </w:r>
      <w:r>
        <w:rPr>
          <w:rFonts w:hint="default" w:ascii="Times New Roman" w:hAnsi="Times New Roman" w:cs="Times New Roman"/>
          <w:i/>
          <w:iCs/>
          <w:color w:val="auto"/>
          <w:sz w:val="24"/>
          <w:highlight w:val="none"/>
        </w:rPr>
        <w:t>，W</w:t>
      </w:r>
      <w:r>
        <w:rPr>
          <w:rFonts w:hint="default" w:ascii="Times New Roman" w:hAnsi="Times New Roman" w:cs="Times New Roman"/>
          <w:i/>
          <w:iCs/>
          <w:color w:val="auto"/>
          <w:sz w:val="24"/>
          <w:highlight w:val="none"/>
          <w:vertAlign w:val="subscript"/>
        </w:rPr>
        <w:t>2</w:t>
      </w:r>
      <w:r>
        <w:rPr>
          <w:rFonts w:hint="default" w:ascii="Times New Roman" w:hAnsi="Times New Roman" w:cs="Times New Roman"/>
          <w:i/>
          <w:iCs/>
          <w:color w:val="auto"/>
          <w:sz w:val="24"/>
          <w:highlight w:val="none"/>
        </w:rPr>
        <w:t>，…，W</w:t>
      </w:r>
      <w:r>
        <w:rPr>
          <w:rFonts w:hint="default" w:ascii="Times New Roman" w:hAnsi="Times New Roman" w:cs="Times New Roman"/>
          <w:i/>
          <w:iCs/>
          <w:color w:val="auto"/>
          <w:sz w:val="24"/>
          <w:highlight w:val="none"/>
          <w:vertAlign w:val="subscript"/>
        </w:rPr>
        <w:t>n</w:t>
      </w:r>
      <w:r>
        <w:rPr>
          <w:rFonts w:hint="default" w:ascii="Times New Roman" w:hAnsi="Times New Roman" w:cs="Times New Roman"/>
          <w:color w:val="auto"/>
          <w:sz w:val="24"/>
          <w:highlight w:val="none"/>
        </w:rPr>
        <w:t>——每种风险物质的临界量，t。</w:t>
      </w:r>
    </w:p>
    <w:p w14:paraId="57BA814C">
      <w:pPr>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按照数值大小，将Q划分为4个水平：</w:t>
      </w:r>
    </w:p>
    <w:p w14:paraId="0019F74A">
      <w:pPr>
        <w:numPr>
          <w:ilvl w:val="0"/>
          <w:numId w:val="8"/>
        </w:numPr>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Q˂1，以Q0表示，企业直接评为一般环境风险等级；</w:t>
      </w:r>
    </w:p>
    <w:p w14:paraId="21434FEE">
      <w:pPr>
        <w:numPr>
          <w:ilvl w:val="0"/>
          <w:numId w:val="8"/>
        </w:numPr>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1≦Q≦10，以Q1表示；</w:t>
      </w:r>
    </w:p>
    <w:p w14:paraId="2190AE68">
      <w:pPr>
        <w:numPr>
          <w:ilvl w:val="0"/>
          <w:numId w:val="8"/>
        </w:numPr>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10≦Q≦100，以Q2表示；</w:t>
      </w:r>
    </w:p>
    <w:p w14:paraId="2C3EEF12">
      <w:pPr>
        <w:numPr>
          <w:ilvl w:val="0"/>
          <w:numId w:val="8"/>
        </w:numPr>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Q≧100，以Q3表示；</w:t>
      </w:r>
    </w:p>
    <w:p w14:paraId="59F65AD3">
      <w:pPr>
        <w:widowControl/>
        <w:adjustRightInd w:val="0"/>
        <w:snapToGrid w:val="0"/>
        <w:spacing w:line="360" w:lineRule="auto"/>
        <w:ind w:firstLine="56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highlight w:val="none"/>
          <w:lang w:eastAsia="zh-CN"/>
        </w:rPr>
        <w:t>山东隆信药业有限公司</w:t>
      </w:r>
      <w:r>
        <w:rPr>
          <w:rFonts w:hint="default" w:ascii="Times New Roman" w:hAnsi="Times New Roman" w:cs="Times New Roman"/>
          <w:color w:val="auto"/>
          <w:sz w:val="24"/>
          <w:highlight w:val="none"/>
        </w:rPr>
        <w:t>内所有物质与《企业突发环境事件风险分级方法》(HJ941-2018)附录A对照，该企业涉</w:t>
      </w:r>
      <w:r>
        <w:rPr>
          <w:rFonts w:hint="default" w:ascii="Times New Roman" w:hAnsi="Times New Roman" w:cs="Times New Roman"/>
          <w:color w:val="auto"/>
          <w:sz w:val="24"/>
          <w:highlight w:val="none"/>
          <w:lang w:eastAsia="zh-CN"/>
        </w:rPr>
        <w:t>气</w:t>
      </w:r>
      <w:r>
        <w:rPr>
          <w:rFonts w:hint="default" w:ascii="Times New Roman" w:hAnsi="Times New Roman" w:cs="Times New Roman"/>
          <w:color w:val="auto"/>
          <w:sz w:val="24"/>
          <w:szCs w:val="24"/>
          <w:highlight w:val="none"/>
        </w:rPr>
        <w:t>风险物质为</w:t>
      </w:r>
      <w:r>
        <w:rPr>
          <w:rFonts w:hint="default" w:ascii="Times New Roman" w:hAnsi="Times New Roman" w:cs="Times New Roman"/>
          <w:color w:val="auto"/>
          <w:sz w:val="24"/>
          <w:highlight w:val="none"/>
          <w:lang w:eastAsia="zh-CN"/>
        </w:rPr>
        <w:t>苯酚、硫酸、甲醇</w:t>
      </w:r>
      <w:r>
        <w:rPr>
          <w:rFonts w:hint="eastAsia" w:cs="Times New Roman"/>
          <w:color w:val="auto"/>
          <w:sz w:val="24"/>
          <w:highlight w:val="none"/>
          <w:lang w:eastAsia="zh-CN"/>
        </w:rPr>
        <w:t>、氨气、氯气</w:t>
      </w:r>
      <w:r>
        <w:rPr>
          <w:rFonts w:hint="default" w:ascii="Times New Roman" w:hAnsi="Times New Roman" w:cs="Times New Roman"/>
          <w:color w:val="auto"/>
          <w:sz w:val="24"/>
          <w:szCs w:val="24"/>
          <w:highlight w:val="none"/>
        </w:rPr>
        <w:t>。</w:t>
      </w:r>
    </w:p>
    <w:p w14:paraId="2C517B91">
      <w:pPr>
        <w:widowControl/>
        <w:adjustRightInd w:val="0"/>
        <w:snapToGrid w:val="0"/>
        <w:spacing w:line="360" w:lineRule="auto"/>
        <w:ind w:firstLine="360"/>
        <w:jc w:val="center"/>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表</w:t>
      </w:r>
      <w:r>
        <w:rPr>
          <w:rFonts w:hint="default" w:ascii="Times New Roman" w:hAnsi="Times New Roman" w:cs="Times New Roman"/>
          <w:b/>
          <w:color w:val="auto"/>
          <w:sz w:val="24"/>
          <w:highlight w:val="none"/>
          <w:lang w:val="en-US" w:eastAsia="zh-CN"/>
        </w:rPr>
        <w:t>7.1-1</w:t>
      </w:r>
      <w:r>
        <w:rPr>
          <w:rFonts w:hint="default" w:ascii="Times New Roman" w:hAnsi="Times New Roman" w:cs="Times New Roman"/>
          <w:b/>
          <w:color w:val="auto"/>
          <w:sz w:val="24"/>
          <w:highlight w:val="none"/>
        </w:rPr>
        <w:t xml:space="preserve"> 环境风险物质与临界量的比值结果</w:t>
      </w:r>
    </w:p>
    <w:tbl>
      <w:tblPr>
        <w:tblStyle w:val="33"/>
        <w:tblW w:w="94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374"/>
        <w:gridCol w:w="2431"/>
        <w:gridCol w:w="2160"/>
        <w:gridCol w:w="1950"/>
        <w:gridCol w:w="1554"/>
      </w:tblGrid>
      <w:tr w14:paraId="2A412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3" w:hRule="atLeast"/>
          <w:jc w:val="center"/>
        </w:trPr>
        <w:tc>
          <w:tcPr>
            <w:tcW w:w="1374" w:type="dxa"/>
            <w:vAlign w:val="center"/>
          </w:tcPr>
          <w:p w14:paraId="6565A7F3">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序号</w:t>
            </w:r>
          </w:p>
        </w:tc>
        <w:tc>
          <w:tcPr>
            <w:tcW w:w="2431" w:type="dxa"/>
            <w:vAlign w:val="center"/>
          </w:tcPr>
          <w:p w14:paraId="3B7EA85B">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风险物质</w:t>
            </w:r>
          </w:p>
        </w:tc>
        <w:tc>
          <w:tcPr>
            <w:tcW w:w="2160" w:type="dxa"/>
            <w:vAlign w:val="center"/>
          </w:tcPr>
          <w:p w14:paraId="2E106226">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临界量（t）</w:t>
            </w:r>
          </w:p>
        </w:tc>
        <w:tc>
          <w:tcPr>
            <w:tcW w:w="1950" w:type="dxa"/>
            <w:vAlign w:val="center"/>
          </w:tcPr>
          <w:p w14:paraId="50DF468C">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最大储量（t）</w:t>
            </w:r>
          </w:p>
        </w:tc>
        <w:tc>
          <w:tcPr>
            <w:tcW w:w="1554" w:type="dxa"/>
            <w:vAlign w:val="center"/>
          </w:tcPr>
          <w:p w14:paraId="3E75C289">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b/>
                <w:bCs/>
                <w:color w:val="auto"/>
                <w:szCs w:val="21"/>
                <w:highlight w:val="none"/>
              </w:rPr>
            </w:pPr>
            <w:r>
              <w:rPr>
                <w:rFonts w:hint="default" w:ascii="Times New Roman" w:hAnsi="Times New Roman" w:cs="Times New Roman"/>
                <w:i/>
                <w:iCs/>
                <w:color w:val="auto"/>
                <w:sz w:val="24"/>
                <w:highlight w:val="none"/>
              </w:rPr>
              <w:t>w</w:t>
            </w:r>
            <w:r>
              <w:rPr>
                <w:rFonts w:hint="default" w:ascii="Times New Roman" w:hAnsi="Times New Roman" w:cs="Times New Roman"/>
                <w:i/>
                <w:iCs/>
                <w:color w:val="auto"/>
                <w:sz w:val="24"/>
                <w:highlight w:val="none"/>
                <w:vertAlign w:val="subscript"/>
              </w:rPr>
              <w:t>i</w:t>
            </w:r>
            <w:r>
              <w:rPr>
                <w:rFonts w:hint="default" w:ascii="Times New Roman" w:hAnsi="Times New Roman" w:cs="Times New Roman"/>
                <w:b/>
                <w:bCs/>
                <w:color w:val="auto"/>
                <w:szCs w:val="21"/>
                <w:highlight w:val="none"/>
              </w:rPr>
              <w:t>/</w:t>
            </w:r>
            <w:r>
              <w:rPr>
                <w:rFonts w:hint="default" w:ascii="Times New Roman" w:hAnsi="Times New Roman" w:cs="Times New Roman"/>
                <w:i/>
                <w:iCs/>
                <w:color w:val="auto"/>
                <w:sz w:val="24"/>
                <w:highlight w:val="none"/>
              </w:rPr>
              <w:t>W</w:t>
            </w:r>
            <w:r>
              <w:rPr>
                <w:rFonts w:hint="default" w:ascii="Times New Roman" w:hAnsi="Times New Roman" w:cs="Times New Roman"/>
                <w:i/>
                <w:iCs/>
                <w:color w:val="auto"/>
                <w:sz w:val="24"/>
                <w:highlight w:val="none"/>
                <w:vertAlign w:val="subscript"/>
              </w:rPr>
              <w:t>i</w:t>
            </w:r>
          </w:p>
        </w:tc>
      </w:tr>
      <w:tr w14:paraId="0C622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3" w:hRule="atLeast"/>
          <w:jc w:val="center"/>
        </w:trPr>
        <w:tc>
          <w:tcPr>
            <w:tcW w:w="1374" w:type="dxa"/>
            <w:vAlign w:val="center"/>
          </w:tcPr>
          <w:p w14:paraId="4EBEA70E">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2431" w:type="dxa"/>
            <w:vAlign w:val="center"/>
          </w:tcPr>
          <w:p w14:paraId="2FFF9B6C">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苯酚</w:t>
            </w:r>
          </w:p>
        </w:tc>
        <w:tc>
          <w:tcPr>
            <w:tcW w:w="2160" w:type="dxa"/>
            <w:vAlign w:val="center"/>
          </w:tcPr>
          <w:p w14:paraId="482D811D">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10</w:t>
            </w:r>
          </w:p>
        </w:tc>
        <w:tc>
          <w:tcPr>
            <w:tcW w:w="1950" w:type="dxa"/>
            <w:vAlign w:val="center"/>
          </w:tcPr>
          <w:p w14:paraId="5127D7F1">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3210</w:t>
            </w:r>
          </w:p>
        </w:tc>
        <w:tc>
          <w:tcPr>
            <w:tcW w:w="1554" w:type="dxa"/>
            <w:vAlign w:val="center"/>
          </w:tcPr>
          <w:p w14:paraId="272DA05A">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321</w:t>
            </w:r>
          </w:p>
        </w:tc>
      </w:tr>
      <w:tr w14:paraId="7EFA1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3" w:hRule="atLeast"/>
          <w:jc w:val="center"/>
        </w:trPr>
        <w:tc>
          <w:tcPr>
            <w:tcW w:w="1374" w:type="dxa"/>
            <w:vAlign w:val="center"/>
          </w:tcPr>
          <w:p w14:paraId="13B981E8">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2</w:t>
            </w:r>
          </w:p>
        </w:tc>
        <w:tc>
          <w:tcPr>
            <w:tcW w:w="2431" w:type="dxa"/>
            <w:vAlign w:val="center"/>
          </w:tcPr>
          <w:p w14:paraId="7597785D">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硫酸</w:t>
            </w:r>
          </w:p>
        </w:tc>
        <w:tc>
          <w:tcPr>
            <w:tcW w:w="2160" w:type="dxa"/>
            <w:vAlign w:val="center"/>
          </w:tcPr>
          <w:p w14:paraId="7E433E6F">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10</w:t>
            </w:r>
          </w:p>
        </w:tc>
        <w:tc>
          <w:tcPr>
            <w:tcW w:w="1950" w:type="dxa"/>
            <w:vAlign w:val="center"/>
          </w:tcPr>
          <w:p w14:paraId="2ED9E5C4">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lang w:val="en-US" w:eastAsia="zh-CN"/>
              </w:rPr>
              <w:t>1</w:t>
            </w:r>
            <w:r>
              <w:rPr>
                <w:rFonts w:hint="eastAsia" w:cs="Times New Roman"/>
                <w:color w:val="auto"/>
                <w:szCs w:val="21"/>
                <w:highlight w:val="none"/>
                <w:lang w:val="en-US" w:eastAsia="zh-CN"/>
              </w:rPr>
              <w:t>2</w:t>
            </w:r>
            <w:r>
              <w:rPr>
                <w:rFonts w:hint="default" w:ascii="Times New Roman" w:hAnsi="Times New Roman" w:cs="Times New Roman"/>
                <w:color w:val="auto"/>
                <w:szCs w:val="21"/>
                <w:highlight w:val="none"/>
                <w:lang w:val="en-US" w:eastAsia="zh-CN"/>
              </w:rPr>
              <w:t>20</w:t>
            </w:r>
          </w:p>
        </w:tc>
        <w:tc>
          <w:tcPr>
            <w:tcW w:w="1554" w:type="dxa"/>
            <w:vAlign w:val="center"/>
          </w:tcPr>
          <w:p w14:paraId="577EC450">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1</w:t>
            </w:r>
            <w:r>
              <w:rPr>
                <w:rFonts w:hint="eastAsia" w:cs="Times New Roman"/>
                <w:color w:val="auto"/>
                <w:kern w:val="2"/>
                <w:sz w:val="21"/>
                <w:szCs w:val="21"/>
                <w:highlight w:val="none"/>
                <w:lang w:val="en-US" w:eastAsia="zh-CN" w:bidi="ar-SA"/>
              </w:rPr>
              <w:t>2</w:t>
            </w:r>
            <w:r>
              <w:rPr>
                <w:rFonts w:hint="default" w:ascii="Times New Roman" w:hAnsi="Times New Roman" w:cs="Times New Roman"/>
                <w:color w:val="auto"/>
                <w:kern w:val="2"/>
                <w:sz w:val="21"/>
                <w:szCs w:val="21"/>
                <w:highlight w:val="none"/>
                <w:lang w:val="en-US" w:eastAsia="zh-CN" w:bidi="ar-SA"/>
              </w:rPr>
              <w:t>2</w:t>
            </w:r>
          </w:p>
        </w:tc>
      </w:tr>
      <w:tr w14:paraId="766BA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3" w:hRule="atLeast"/>
          <w:jc w:val="center"/>
        </w:trPr>
        <w:tc>
          <w:tcPr>
            <w:tcW w:w="1374" w:type="dxa"/>
            <w:vAlign w:val="center"/>
          </w:tcPr>
          <w:p w14:paraId="0AA1E1DB">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3</w:t>
            </w:r>
          </w:p>
        </w:tc>
        <w:tc>
          <w:tcPr>
            <w:tcW w:w="2431" w:type="dxa"/>
            <w:vAlign w:val="center"/>
          </w:tcPr>
          <w:p w14:paraId="2B591000">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甲醇</w:t>
            </w:r>
          </w:p>
        </w:tc>
        <w:tc>
          <w:tcPr>
            <w:tcW w:w="2160" w:type="dxa"/>
            <w:vAlign w:val="center"/>
          </w:tcPr>
          <w:p w14:paraId="0A762FCF">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10</w:t>
            </w:r>
          </w:p>
        </w:tc>
        <w:tc>
          <w:tcPr>
            <w:tcW w:w="1950" w:type="dxa"/>
            <w:vAlign w:val="center"/>
          </w:tcPr>
          <w:p w14:paraId="7209BDDD">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237</w:t>
            </w:r>
          </w:p>
        </w:tc>
        <w:tc>
          <w:tcPr>
            <w:tcW w:w="1554" w:type="dxa"/>
            <w:vAlign w:val="center"/>
          </w:tcPr>
          <w:p w14:paraId="089A7BF5">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23.7</w:t>
            </w:r>
          </w:p>
        </w:tc>
      </w:tr>
      <w:tr w14:paraId="21815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3" w:hRule="atLeast"/>
          <w:jc w:val="center"/>
        </w:trPr>
        <w:tc>
          <w:tcPr>
            <w:tcW w:w="1374" w:type="dxa"/>
            <w:vAlign w:val="center"/>
          </w:tcPr>
          <w:p w14:paraId="390ADD2C">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4</w:t>
            </w:r>
          </w:p>
        </w:tc>
        <w:tc>
          <w:tcPr>
            <w:tcW w:w="2431" w:type="dxa"/>
            <w:vAlign w:val="center"/>
          </w:tcPr>
          <w:p w14:paraId="0CD9D657">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氯气</w:t>
            </w:r>
          </w:p>
        </w:tc>
        <w:tc>
          <w:tcPr>
            <w:tcW w:w="2160" w:type="dxa"/>
            <w:vAlign w:val="center"/>
          </w:tcPr>
          <w:p w14:paraId="1DE17CFF">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5</w:t>
            </w:r>
          </w:p>
        </w:tc>
        <w:tc>
          <w:tcPr>
            <w:tcW w:w="1950" w:type="dxa"/>
            <w:vAlign w:val="center"/>
          </w:tcPr>
          <w:p w14:paraId="16B8658F">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48.2</w:t>
            </w:r>
          </w:p>
        </w:tc>
        <w:tc>
          <w:tcPr>
            <w:tcW w:w="1554" w:type="dxa"/>
            <w:vAlign w:val="center"/>
          </w:tcPr>
          <w:p w14:paraId="5E77400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9.64</w:t>
            </w:r>
          </w:p>
        </w:tc>
      </w:tr>
      <w:tr w14:paraId="1F3C4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3" w:hRule="atLeast"/>
          <w:jc w:val="center"/>
        </w:trPr>
        <w:tc>
          <w:tcPr>
            <w:tcW w:w="1374" w:type="dxa"/>
            <w:vAlign w:val="center"/>
          </w:tcPr>
          <w:p w14:paraId="000537D1">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5</w:t>
            </w:r>
          </w:p>
        </w:tc>
        <w:tc>
          <w:tcPr>
            <w:tcW w:w="2431" w:type="dxa"/>
            <w:vAlign w:val="center"/>
          </w:tcPr>
          <w:p w14:paraId="1AD21BE2">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氨</w:t>
            </w:r>
          </w:p>
        </w:tc>
        <w:tc>
          <w:tcPr>
            <w:tcW w:w="2160" w:type="dxa"/>
            <w:vAlign w:val="center"/>
          </w:tcPr>
          <w:p w14:paraId="29ACC654">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10</w:t>
            </w:r>
          </w:p>
        </w:tc>
        <w:tc>
          <w:tcPr>
            <w:tcW w:w="1950" w:type="dxa"/>
            <w:vAlign w:val="center"/>
          </w:tcPr>
          <w:p w14:paraId="34B9BEEC">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45.6</w:t>
            </w:r>
          </w:p>
        </w:tc>
        <w:tc>
          <w:tcPr>
            <w:tcW w:w="1554" w:type="dxa"/>
            <w:vAlign w:val="center"/>
          </w:tcPr>
          <w:p w14:paraId="71DC7A8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4.56</w:t>
            </w:r>
          </w:p>
        </w:tc>
      </w:tr>
      <w:tr w14:paraId="1641E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3" w:hRule="atLeast"/>
          <w:jc w:val="center"/>
        </w:trPr>
        <w:tc>
          <w:tcPr>
            <w:tcW w:w="1374" w:type="dxa"/>
            <w:vAlign w:val="center"/>
          </w:tcPr>
          <w:p w14:paraId="3D69F9AB">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合计</w:t>
            </w:r>
          </w:p>
        </w:tc>
        <w:tc>
          <w:tcPr>
            <w:tcW w:w="2431" w:type="dxa"/>
            <w:vAlign w:val="center"/>
          </w:tcPr>
          <w:p w14:paraId="1CCA59A5">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w:t>
            </w:r>
          </w:p>
        </w:tc>
        <w:tc>
          <w:tcPr>
            <w:tcW w:w="2160" w:type="dxa"/>
            <w:vAlign w:val="center"/>
          </w:tcPr>
          <w:p w14:paraId="7F30F9E9">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lang w:val="en-US" w:eastAsia="zh-CN"/>
              </w:rPr>
            </w:pPr>
          </w:p>
        </w:tc>
        <w:tc>
          <w:tcPr>
            <w:tcW w:w="1950" w:type="dxa"/>
            <w:vAlign w:val="center"/>
          </w:tcPr>
          <w:p w14:paraId="6CCC9504">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lang w:val="en-US" w:eastAsia="zh-CN"/>
              </w:rPr>
            </w:pPr>
          </w:p>
        </w:tc>
        <w:tc>
          <w:tcPr>
            <w:tcW w:w="1554" w:type="dxa"/>
            <w:vAlign w:val="center"/>
          </w:tcPr>
          <w:p w14:paraId="416C25E9">
            <w:pPr>
              <w:keepNext w:val="0"/>
              <w:keepLines w:val="0"/>
              <w:suppressLineNumbers w:val="0"/>
              <w:spacing w:before="0" w:beforeAutospacing="0" w:after="0" w:afterAutospacing="0" w:line="320" w:lineRule="exact"/>
              <w:ind w:left="0" w:right="0"/>
              <w:jc w:val="center"/>
              <w:rPr>
                <w:rFonts w:hint="default"/>
                <w:lang w:val="en-US" w:eastAsia="zh-CN"/>
              </w:rPr>
            </w:pPr>
            <w:r>
              <w:rPr>
                <w:rFonts w:hint="eastAsia"/>
                <w:lang w:val="en-US" w:eastAsia="zh-CN"/>
              </w:rPr>
              <w:t>480.9</w:t>
            </w:r>
          </w:p>
        </w:tc>
      </w:tr>
    </w:tbl>
    <w:p w14:paraId="6CE5F193">
      <w:pPr>
        <w:keepNext w:val="0"/>
        <w:keepLines w:val="0"/>
        <w:pageBreakBefore w:val="0"/>
        <w:widowControl/>
        <w:kinsoku/>
        <w:wordWrap/>
        <w:overflowPunct/>
        <w:topLinePunct w:val="0"/>
        <w:autoSpaceDE/>
        <w:autoSpaceDN/>
        <w:bidi w:val="0"/>
        <w:adjustRightInd w:val="0"/>
        <w:snapToGrid w:val="0"/>
        <w:spacing w:before="158" w:beforeLines="50" w:line="360" w:lineRule="auto"/>
        <w:ind w:firstLine="486" w:firstLineChars="200"/>
        <w:textAlignment w:val="auto"/>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根据</w:t>
      </w:r>
      <w:r>
        <w:rPr>
          <w:rFonts w:hint="default" w:ascii="Times New Roman" w:hAnsi="Times New Roman" w:cs="Times New Roman"/>
          <w:color w:val="auto"/>
          <w:sz w:val="24"/>
          <w:highlight w:val="none"/>
          <w:lang w:eastAsia="zh-CN"/>
        </w:rPr>
        <w:t>山东隆信药业有限公司</w:t>
      </w:r>
      <w:r>
        <w:rPr>
          <w:rFonts w:hint="default" w:ascii="Times New Roman" w:hAnsi="Times New Roman" w:cs="Times New Roman"/>
          <w:color w:val="auto"/>
          <w:sz w:val="24"/>
          <w:highlight w:val="none"/>
        </w:rPr>
        <w:t>内所有物质与附录</w:t>
      </w:r>
      <w:r>
        <w:rPr>
          <w:rFonts w:hint="default" w:ascii="Times New Roman" w:hAnsi="Times New Roman" w:cs="Times New Roman"/>
          <w:color w:val="auto"/>
          <w:sz w:val="24"/>
          <w:highlight w:val="none"/>
          <w:lang w:val="en-US" w:eastAsia="zh-CN"/>
        </w:rPr>
        <w:t>A</w:t>
      </w:r>
      <w:r>
        <w:rPr>
          <w:rFonts w:hint="default" w:ascii="Times New Roman" w:hAnsi="Times New Roman" w:cs="Times New Roman"/>
          <w:color w:val="auto"/>
          <w:sz w:val="24"/>
          <w:highlight w:val="none"/>
        </w:rPr>
        <w:t>《突发环境事件风险物质及临界量清单》对照情况可知，</w:t>
      </w:r>
      <w:r>
        <w:rPr>
          <w:rFonts w:hint="default" w:ascii="Times New Roman" w:hAnsi="Times New Roman" w:cs="Times New Roman"/>
          <w:color w:val="auto"/>
          <w:sz w:val="24"/>
          <w:highlight w:val="none"/>
          <w:lang w:eastAsia="zh-CN"/>
        </w:rPr>
        <w:t>山东隆信药业有限公司</w:t>
      </w:r>
      <w:r>
        <w:rPr>
          <w:rFonts w:hint="default" w:ascii="Times New Roman" w:hAnsi="Times New Roman" w:cs="Times New Roman"/>
          <w:color w:val="auto"/>
          <w:sz w:val="24"/>
          <w:szCs w:val="24"/>
          <w:highlight w:val="none"/>
        </w:rPr>
        <w:t>Q=</w:t>
      </w:r>
      <w:r>
        <w:rPr>
          <w:rFonts w:hint="eastAsia" w:cs="Times New Roman"/>
          <w:color w:val="auto"/>
          <w:sz w:val="24"/>
          <w:szCs w:val="24"/>
          <w:highlight w:val="none"/>
          <w:lang w:val="en-US" w:eastAsia="zh-CN"/>
        </w:rPr>
        <w:t>480.9</w:t>
      </w: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highlight w:val="none"/>
        </w:rPr>
        <w:t>Q≧100</w:t>
      </w:r>
      <w:r>
        <w:rPr>
          <w:rFonts w:hint="default" w:ascii="Times New Roman" w:hAnsi="Times New Roman" w:cs="Times New Roman"/>
          <w:color w:val="auto"/>
          <w:sz w:val="24"/>
          <w:szCs w:val="24"/>
          <w:highlight w:val="none"/>
        </w:rPr>
        <w:t>，为</w:t>
      </w:r>
      <w:r>
        <w:rPr>
          <w:rFonts w:hint="default" w:ascii="Times New Roman" w:hAnsi="Times New Roman" w:cs="Times New Roman"/>
          <w:color w:val="auto"/>
          <w:sz w:val="24"/>
          <w:szCs w:val="24"/>
          <w:highlight w:val="none"/>
          <w:lang w:eastAsia="zh-CN"/>
        </w:rPr>
        <w:t>大气</w:t>
      </w:r>
      <w:r>
        <w:rPr>
          <w:rFonts w:hint="default" w:ascii="Times New Roman" w:hAnsi="Times New Roman" w:cs="Times New Roman"/>
          <w:color w:val="auto"/>
          <w:sz w:val="24"/>
          <w:szCs w:val="24"/>
          <w:highlight w:val="none"/>
        </w:rPr>
        <w:t>（Q</w:t>
      </w:r>
      <w:r>
        <w:rPr>
          <w:rFonts w:hint="default" w:ascii="Times New Roman" w:hAnsi="Times New Roman" w:cs="Times New Roman"/>
          <w:color w:val="auto"/>
          <w:sz w:val="24"/>
          <w:szCs w:val="24"/>
          <w:highlight w:val="none"/>
          <w:lang w:val="en-US" w:eastAsia="zh-CN"/>
        </w:rPr>
        <w:t>3</w:t>
      </w: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highlight w:val="none"/>
        </w:rPr>
        <w:t>。</w:t>
      </w:r>
    </w:p>
    <w:p w14:paraId="505396D8">
      <w:pPr>
        <w:adjustRightInd w:val="0"/>
        <w:snapToGrid w:val="0"/>
        <w:spacing w:line="360" w:lineRule="auto"/>
        <w:outlineLvl w:val="9"/>
        <w:rPr>
          <w:rFonts w:hint="default" w:ascii="Times New Roman" w:hAnsi="Times New Roman" w:cs="Times New Roman"/>
          <w:b/>
          <w:bCs/>
          <w:color w:val="auto"/>
          <w:sz w:val="28"/>
          <w:szCs w:val="28"/>
          <w:highlight w:val="none"/>
        </w:rPr>
      </w:pPr>
      <w:r>
        <w:rPr>
          <w:rFonts w:hint="default" w:ascii="Times New Roman" w:hAnsi="Times New Roman" w:cs="Times New Roman"/>
          <w:b/>
          <w:bCs/>
          <w:color w:val="auto"/>
          <w:sz w:val="28"/>
          <w:szCs w:val="28"/>
          <w:highlight w:val="none"/>
        </w:rPr>
        <w:t>7.1.2生产工艺过程与大气环境风险控制水平（M）评估</w:t>
      </w:r>
    </w:p>
    <w:p w14:paraId="67E40D86">
      <w:pPr>
        <w:widowControl/>
        <w:adjustRightInd w:val="0"/>
        <w:snapToGrid w:val="0"/>
        <w:spacing w:line="360" w:lineRule="auto"/>
        <w:ind w:firstLine="360"/>
        <w:rPr>
          <w:rFonts w:hint="default" w:ascii="Times New Roman" w:hAnsi="Times New Roman" w:cs="Times New Roman"/>
          <w:bCs/>
          <w:color w:val="auto"/>
          <w:kern w:val="36"/>
          <w:sz w:val="24"/>
        </w:rPr>
      </w:pPr>
      <w:r>
        <w:rPr>
          <w:rFonts w:hint="default" w:ascii="Times New Roman" w:hAnsi="Times New Roman" w:cs="Times New Roman"/>
          <w:bCs/>
          <w:color w:val="auto"/>
          <w:kern w:val="36"/>
          <w:sz w:val="24"/>
          <w:highlight w:val="none"/>
        </w:rPr>
        <w:t>采用评分法对企业生产工艺过程、大气环境风险防控措施及突发大气环境事件发生情况进行评估，将各项指</w:t>
      </w:r>
      <w:r>
        <w:rPr>
          <w:rFonts w:hint="default" w:ascii="Times New Roman" w:hAnsi="Times New Roman" w:cs="Times New Roman"/>
          <w:bCs/>
          <w:color w:val="auto"/>
          <w:kern w:val="36"/>
          <w:sz w:val="24"/>
        </w:rPr>
        <w:t>标分值累加，确定企业生产工艺过程与大气环境风险控制水平（M）。</w:t>
      </w:r>
    </w:p>
    <w:p w14:paraId="4617DEED">
      <w:pPr>
        <w:keepNext w:val="0"/>
        <w:keepLines w:val="0"/>
        <w:pageBreakBefore w:val="0"/>
        <w:kinsoku/>
        <w:wordWrap/>
        <w:overflowPunct/>
        <w:topLinePunct w:val="0"/>
        <w:autoSpaceDE/>
        <w:autoSpaceDN/>
        <w:bidi w:val="0"/>
        <w:spacing w:before="0" w:after="0" w:line="360" w:lineRule="auto"/>
        <w:textAlignment w:val="auto"/>
        <w:outlineLvl w:val="9"/>
        <w:rPr>
          <w:rFonts w:hint="default" w:ascii="Times New Roman" w:hAnsi="Times New Roman" w:cs="Times New Roman"/>
          <w:color w:val="auto"/>
          <w:sz w:val="24"/>
          <w:szCs w:val="28"/>
        </w:rPr>
      </w:pPr>
      <w:r>
        <w:rPr>
          <w:rFonts w:hint="default" w:ascii="Times New Roman" w:hAnsi="Times New Roman" w:cs="Times New Roman"/>
          <w:color w:val="auto"/>
          <w:sz w:val="24"/>
          <w:szCs w:val="28"/>
        </w:rPr>
        <w:t>7.1.2.1 生产工艺过程含有风险工艺和设备情况</w:t>
      </w:r>
    </w:p>
    <w:p w14:paraId="3D9E4ABE">
      <w:pPr>
        <w:keepNext w:val="0"/>
        <w:keepLines w:val="0"/>
        <w:pageBreakBefore w:val="0"/>
        <w:widowControl/>
        <w:kinsoku/>
        <w:wordWrap/>
        <w:overflowPunct/>
        <w:topLinePunct w:val="0"/>
        <w:autoSpaceDE/>
        <w:autoSpaceDN/>
        <w:bidi w:val="0"/>
        <w:adjustRightInd w:val="0"/>
        <w:snapToGrid w:val="0"/>
        <w:spacing w:line="360" w:lineRule="auto"/>
        <w:ind w:firstLine="360"/>
        <w:textAlignment w:val="auto"/>
        <w:rPr>
          <w:rFonts w:hint="default" w:ascii="Times New Roman" w:hAnsi="Times New Roman" w:cs="Times New Roman"/>
          <w:bCs/>
          <w:color w:val="auto"/>
          <w:kern w:val="36"/>
          <w:sz w:val="24"/>
        </w:rPr>
      </w:pPr>
      <w:r>
        <w:rPr>
          <w:rFonts w:hint="default" w:ascii="Times New Roman" w:hAnsi="Times New Roman" w:cs="Times New Roman"/>
          <w:bCs/>
          <w:color w:val="auto"/>
          <w:kern w:val="36"/>
          <w:sz w:val="24"/>
        </w:rPr>
        <w:t>对企业生产工艺过程含有风险工艺和设备情况的评估按照工艺单元进行，具有多套工艺单元的企业，对每套工艺单元分别评分并求和，该指标评分值最高为30分。</w:t>
      </w:r>
    </w:p>
    <w:p w14:paraId="30CB1324">
      <w:pPr>
        <w:pStyle w:val="68"/>
        <w:spacing w:line="360" w:lineRule="auto"/>
        <w:ind w:firstLine="482"/>
        <w:rPr>
          <w:rFonts w:hint="default" w:ascii="Times New Roman" w:hAnsi="Times New Roman" w:cs="Times New Roman"/>
          <w:bCs w:val="0"/>
          <w:color w:val="auto"/>
        </w:rPr>
      </w:pPr>
      <w:r>
        <w:rPr>
          <w:rFonts w:hint="default" w:ascii="Times New Roman" w:hAnsi="Times New Roman" w:cs="Times New Roman"/>
          <w:bCs w:val="0"/>
          <w:color w:val="auto"/>
        </w:rPr>
        <w:t>表7.1-2  企业生产工艺评分依据</w:t>
      </w:r>
    </w:p>
    <w:tbl>
      <w:tblPr>
        <w:tblStyle w:val="33"/>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19"/>
        <w:gridCol w:w="1309"/>
      </w:tblGrid>
      <w:tr w14:paraId="5F176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blHeader/>
          <w:jc w:val="center"/>
        </w:trPr>
        <w:tc>
          <w:tcPr>
            <w:tcW w:w="8319" w:type="dxa"/>
            <w:vAlign w:val="center"/>
          </w:tcPr>
          <w:p w14:paraId="637BFE2E">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b/>
                <w:color w:val="auto"/>
                <w:szCs w:val="21"/>
              </w:rPr>
            </w:pPr>
            <w:r>
              <w:rPr>
                <w:rFonts w:hint="default" w:ascii="Times New Roman" w:hAnsi="Times New Roman" w:cs="Times New Roman"/>
                <w:b/>
                <w:color w:val="auto"/>
                <w:szCs w:val="21"/>
              </w:rPr>
              <w:t>评估依据</w:t>
            </w:r>
          </w:p>
        </w:tc>
        <w:tc>
          <w:tcPr>
            <w:tcW w:w="1309" w:type="dxa"/>
            <w:vAlign w:val="center"/>
          </w:tcPr>
          <w:p w14:paraId="6A119244">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b/>
                <w:color w:val="auto"/>
                <w:szCs w:val="21"/>
              </w:rPr>
            </w:pPr>
            <w:r>
              <w:rPr>
                <w:rFonts w:hint="default" w:ascii="Times New Roman" w:hAnsi="Times New Roman" w:cs="Times New Roman"/>
                <w:b/>
                <w:color w:val="auto"/>
                <w:szCs w:val="21"/>
              </w:rPr>
              <w:t>分值</w:t>
            </w:r>
          </w:p>
        </w:tc>
      </w:tr>
      <w:tr w14:paraId="54900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319" w:type="dxa"/>
            <w:vAlign w:val="center"/>
          </w:tcPr>
          <w:p w14:paraId="283E6B99">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涉及光气及光气化工艺、电解工艺（氯碱）、氯化工艺、硝化工艺、合成氨工艺、裂解（裂化）工艺、氟化工艺、加氢工艺、重氮化工艺、氧化工艺、过氧化工艺、胺基化工艺、磺化工艺、聚合工艺、烷基化工艺、新型煤化工工艺、电石生产工艺、偶氮化工艺</w:t>
            </w:r>
          </w:p>
        </w:tc>
        <w:tc>
          <w:tcPr>
            <w:tcW w:w="1309" w:type="dxa"/>
            <w:vAlign w:val="center"/>
          </w:tcPr>
          <w:p w14:paraId="1B95FA6C">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10/每套</w:t>
            </w:r>
          </w:p>
        </w:tc>
      </w:tr>
      <w:tr w14:paraId="6B5FC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319" w:type="dxa"/>
            <w:vAlign w:val="center"/>
          </w:tcPr>
          <w:p w14:paraId="4C01B335">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其他高温或高压、涉及易燃易爆等物质的工艺过程</w:t>
            </w:r>
            <w:r>
              <w:rPr>
                <w:rFonts w:hint="default" w:ascii="Times New Roman" w:hAnsi="Times New Roman" w:cs="Times New Roman"/>
                <w:color w:val="auto"/>
                <w:szCs w:val="21"/>
                <w:vertAlign w:val="superscript"/>
              </w:rPr>
              <w:t>a</w:t>
            </w:r>
          </w:p>
        </w:tc>
        <w:tc>
          <w:tcPr>
            <w:tcW w:w="1309" w:type="dxa"/>
            <w:vAlign w:val="center"/>
          </w:tcPr>
          <w:p w14:paraId="49A3AF74">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5/每套</w:t>
            </w:r>
          </w:p>
        </w:tc>
      </w:tr>
      <w:tr w14:paraId="377DB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319" w:type="dxa"/>
            <w:vAlign w:val="center"/>
          </w:tcPr>
          <w:p w14:paraId="48AA9A12">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具有国家规定限期淘汰的工艺名录和设备</w:t>
            </w:r>
            <w:r>
              <w:rPr>
                <w:rFonts w:hint="default" w:ascii="Times New Roman" w:hAnsi="Times New Roman" w:cs="Times New Roman"/>
                <w:color w:val="auto"/>
                <w:szCs w:val="21"/>
                <w:vertAlign w:val="superscript"/>
              </w:rPr>
              <w:t>b</w:t>
            </w:r>
          </w:p>
        </w:tc>
        <w:tc>
          <w:tcPr>
            <w:tcW w:w="1309" w:type="dxa"/>
            <w:vAlign w:val="center"/>
          </w:tcPr>
          <w:p w14:paraId="26BA074E">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5/每套</w:t>
            </w:r>
          </w:p>
        </w:tc>
      </w:tr>
      <w:tr w14:paraId="4D890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319" w:type="dxa"/>
            <w:vAlign w:val="center"/>
          </w:tcPr>
          <w:p w14:paraId="0AEE4EF7">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不涉及以上危险工艺过程或国家规定的禁用工艺/设备</w:t>
            </w:r>
          </w:p>
        </w:tc>
        <w:tc>
          <w:tcPr>
            <w:tcW w:w="1309" w:type="dxa"/>
            <w:vAlign w:val="center"/>
          </w:tcPr>
          <w:p w14:paraId="63F7B678">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0</w:t>
            </w:r>
          </w:p>
        </w:tc>
      </w:tr>
      <w:tr w14:paraId="0ED02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9628" w:type="dxa"/>
            <w:gridSpan w:val="2"/>
            <w:vAlign w:val="center"/>
          </w:tcPr>
          <w:p w14:paraId="3257421A">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注：a高温指工艺温度≥300℃，高压指压力容器的设计压力（p）≥10.0MPa，易燃易爆物质是指按照GB30000.2至GB30000.13所确定的化学物质；b指《产业结构调整指导目录》中有淘汰期限的淘汰类落后生产工艺装备</w:t>
            </w:r>
          </w:p>
        </w:tc>
      </w:tr>
    </w:tbl>
    <w:p w14:paraId="71BAFEDD">
      <w:pPr>
        <w:pStyle w:val="68"/>
        <w:spacing w:before="156" w:beforeLines="50" w:line="360" w:lineRule="auto"/>
        <w:ind w:firstLine="482"/>
        <w:rPr>
          <w:rFonts w:hint="default" w:ascii="Times New Roman" w:hAnsi="Times New Roman" w:cs="Times New Roman"/>
          <w:bCs w:val="0"/>
          <w:color w:val="auto"/>
        </w:rPr>
      </w:pPr>
      <w:r>
        <w:rPr>
          <w:rFonts w:hint="default" w:ascii="Times New Roman" w:hAnsi="Times New Roman" w:cs="Times New Roman"/>
          <w:bCs w:val="0"/>
          <w:color w:val="auto"/>
        </w:rPr>
        <w:t>表7.1-3 企业生产工艺评分表</w:t>
      </w:r>
    </w:p>
    <w:tbl>
      <w:tblPr>
        <w:tblStyle w:val="33"/>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42"/>
        <w:gridCol w:w="1386"/>
      </w:tblGrid>
      <w:tr w14:paraId="7620C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blHeader/>
          <w:jc w:val="center"/>
        </w:trPr>
        <w:tc>
          <w:tcPr>
            <w:tcW w:w="8242" w:type="dxa"/>
            <w:vAlign w:val="center"/>
          </w:tcPr>
          <w:p w14:paraId="25C978FE">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b/>
                <w:color w:val="auto"/>
                <w:szCs w:val="21"/>
              </w:rPr>
            </w:pPr>
            <w:r>
              <w:rPr>
                <w:rFonts w:hint="default" w:ascii="Times New Roman" w:hAnsi="Times New Roman" w:cs="Times New Roman"/>
                <w:b/>
                <w:color w:val="auto"/>
                <w:szCs w:val="21"/>
              </w:rPr>
              <w:t>评估依据</w:t>
            </w:r>
          </w:p>
        </w:tc>
        <w:tc>
          <w:tcPr>
            <w:tcW w:w="1386" w:type="dxa"/>
            <w:vAlign w:val="center"/>
          </w:tcPr>
          <w:p w14:paraId="1DF91AB7">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b/>
                <w:color w:val="auto"/>
                <w:szCs w:val="21"/>
              </w:rPr>
            </w:pPr>
            <w:r>
              <w:rPr>
                <w:rFonts w:hint="default" w:ascii="Times New Roman" w:hAnsi="Times New Roman" w:cs="Times New Roman"/>
                <w:b/>
                <w:color w:val="auto"/>
                <w:szCs w:val="21"/>
              </w:rPr>
              <w:t>分值</w:t>
            </w:r>
          </w:p>
        </w:tc>
      </w:tr>
      <w:tr w14:paraId="63213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242" w:type="dxa"/>
            <w:vAlign w:val="center"/>
          </w:tcPr>
          <w:p w14:paraId="54CC6F9E">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涉及光气及光气化工艺、电解工艺（氯碱）、氯化工艺、硝化工艺、合成氨工艺、裂解（裂化）工艺、氟化工艺、加氢工艺、重氮化工艺、氧化工艺、过氧化工艺、胺基化工艺、磺化工艺、聚合工艺、烷基化工艺、新型煤化工工艺、电石生产工艺、偶氮化工艺</w:t>
            </w:r>
          </w:p>
        </w:tc>
        <w:tc>
          <w:tcPr>
            <w:tcW w:w="1386" w:type="dxa"/>
            <w:vAlign w:val="center"/>
          </w:tcPr>
          <w:p w14:paraId="2F5DCB85">
            <w:pPr>
              <w:keepNext w:val="0"/>
              <w:keepLines w:val="0"/>
              <w:suppressLineNumbers w:val="0"/>
              <w:adjustRightInd w:val="0"/>
              <w:snapToGrid w:val="0"/>
              <w:spacing w:before="0" w:beforeAutospacing="0" w:after="0" w:afterAutospacing="0" w:line="360" w:lineRule="auto"/>
              <w:ind w:left="0" w:leftChars="0" w:right="0" w:rightChars="0"/>
              <w:jc w:val="center"/>
              <w:rPr>
                <w:rFonts w:hint="default" w:ascii="Times New Roman" w:hAnsi="Times New Roman" w:eastAsia="宋体" w:cs="Times New Roman"/>
                <w:color w:val="auto"/>
                <w:kern w:val="2"/>
                <w:sz w:val="21"/>
                <w:szCs w:val="21"/>
                <w:highlight w:val="green"/>
                <w:lang w:val="en-US" w:eastAsia="zh-CN" w:bidi="ar-SA"/>
              </w:rPr>
            </w:pPr>
            <w:r>
              <w:rPr>
                <w:rFonts w:hint="eastAsia" w:cs="Times New Roman"/>
                <w:color w:val="auto"/>
                <w:szCs w:val="21"/>
                <w:highlight w:val="none"/>
                <w:lang w:val="en-US" w:eastAsia="zh-CN"/>
              </w:rPr>
              <w:t>涉及磺化工艺分值为10，</w:t>
            </w:r>
            <w:r>
              <w:rPr>
                <w:rFonts w:hint="default" w:ascii="Times New Roman" w:hAnsi="Times New Roman" w:cs="Times New Roman"/>
                <w:color w:val="auto"/>
                <w:szCs w:val="21"/>
                <w:highlight w:val="none"/>
              </w:rPr>
              <w:t>胺基化工艺</w:t>
            </w:r>
            <w:r>
              <w:rPr>
                <w:rFonts w:hint="eastAsia" w:cs="Times New Roman"/>
                <w:color w:val="auto"/>
                <w:szCs w:val="21"/>
                <w:highlight w:val="none"/>
                <w:lang w:val="en-US" w:eastAsia="zh-CN"/>
              </w:rPr>
              <w:t>分值为10，</w:t>
            </w:r>
            <w:r>
              <w:rPr>
                <w:rFonts w:hint="default" w:ascii="Times New Roman" w:hAnsi="Times New Roman" w:cs="Times New Roman"/>
                <w:color w:val="auto"/>
                <w:szCs w:val="21"/>
                <w:highlight w:val="none"/>
              </w:rPr>
              <w:t>氯化工艺</w:t>
            </w:r>
            <w:r>
              <w:rPr>
                <w:rFonts w:hint="eastAsia" w:cs="Times New Roman"/>
                <w:color w:val="auto"/>
                <w:szCs w:val="21"/>
                <w:highlight w:val="none"/>
                <w:lang w:val="en-US" w:eastAsia="zh-CN"/>
              </w:rPr>
              <w:t>分值为10</w:t>
            </w:r>
          </w:p>
        </w:tc>
      </w:tr>
      <w:tr w14:paraId="6D8FF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242" w:type="dxa"/>
            <w:vAlign w:val="center"/>
          </w:tcPr>
          <w:p w14:paraId="035BB6F3">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其他高温或高压、涉及易燃易爆等物质的工艺过程</w:t>
            </w:r>
            <w:r>
              <w:rPr>
                <w:rFonts w:hint="default" w:ascii="Times New Roman" w:hAnsi="Times New Roman" w:cs="Times New Roman"/>
                <w:color w:val="auto"/>
                <w:szCs w:val="21"/>
                <w:highlight w:val="none"/>
                <w:vertAlign w:val="superscript"/>
              </w:rPr>
              <w:t>a</w:t>
            </w:r>
          </w:p>
        </w:tc>
        <w:tc>
          <w:tcPr>
            <w:tcW w:w="1386" w:type="dxa"/>
            <w:vAlign w:val="center"/>
          </w:tcPr>
          <w:p w14:paraId="7DB5FAE0">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kern w:val="2"/>
                <w:sz w:val="21"/>
                <w:szCs w:val="21"/>
                <w:highlight w:val="green"/>
                <w:lang w:val="en-US" w:eastAsia="zh-CN" w:bidi="ar-SA"/>
              </w:rPr>
            </w:pPr>
            <w:r>
              <w:rPr>
                <w:rFonts w:hint="eastAsia"/>
                <w:lang w:eastAsia="zh-CN"/>
              </w:rPr>
              <w:t>甲醇</w:t>
            </w:r>
            <w:r>
              <w:rPr>
                <w:rFonts w:hint="default" w:ascii="Times New Roman" w:hAnsi="Times New Roman" w:eastAsia="宋体" w:cs="Times New Roman"/>
                <w:color w:val="auto"/>
                <w:szCs w:val="21"/>
                <w:highlight w:val="none"/>
                <w:lang w:eastAsia="zh-CN"/>
              </w:rPr>
              <w:t>分值</w:t>
            </w:r>
            <w:r>
              <w:rPr>
                <w:rFonts w:hint="eastAsia" w:cs="Times New Roman"/>
                <w:color w:val="auto"/>
                <w:szCs w:val="21"/>
                <w:highlight w:val="none"/>
                <w:lang w:val="en-US" w:eastAsia="zh-CN"/>
              </w:rPr>
              <w:t>5，氨</w:t>
            </w:r>
            <w:r>
              <w:rPr>
                <w:rFonts w:hint="default" w:ascii="Times New Roman" w:hAnsi="Times New Roman" w:eastAsia="宋体" w:cs="Times New Roman"/>
                <w:color w:val="auto"/>
                <w:szCs w:val="21"/>
                <w:highlight w:val="none"/>
                <w:lang w:eastAsia="zh-CN"/>
              </w:rPr>
              <w:t>分值</w:t>
            </w:r>
            <w:r>
              <w:rPr>
                <w:rFonts w:hint="eastAsia" w:cs="Times New Roman"/>
                <w:color w:val="auto"/>
                <w:szCs w:val="21"/>
                <w:highlight w:val="none"/>
                <w:lang w:val="en-US" w:eastAsia="zh-CN"/>
              </w:rPr>
              <w:t>5</w:t>
            </w:r>
          </w:p>
        </w:tc>
      </w:tr>
      <w:tr w14:paraId="13F49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242" w:type="dxa"/>
            <w:vAlign w:val="center"/>
          </w:tcPr>
          <w:p w14:paraId="60A6208A">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具有国家规定限期淘汰的工艺名录和设备</w:t>
            </w:r>
            <w:r>
              <w:rPr>
                <w:rFonts w:hint="default" w:ascii="Times New Roman" w:hAnsi="Times New Roman" w:cs="Times New Roman"/>
                <w:color w:val="auto"/>
                <w:szCs w:val="21"/>
                <w:vertAlign w:val="superscript"/>
              </w:rPr>
              <w:t>b</w:t>
            </w:r>
          </w:p>
        </w:tc>
        <w:tc>
          <w:tcPr>
            <w:tcW w:w="1386" w:type="dxa"/>
            <w:vAlign w:val="center"/>
          </w:tcPr>
          <w:p w14:paraId="596E2F3E">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0</w:t>
            </w:r>
          </w:p>
        </w:tc>
      </w:tr>
      <w:tr w14:paraId="7BA1A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242" w:type="dxa"/>
            <w:vAlign w:val="center"/>
          </w:tcPr>
          <w:p w14:paraId="7BD8EEA1">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不涉及以上危险工艺过程或国家规定的禁用工艺/设备</w:t>
            </w:r>
          </w:p>
        </w:tc>
        <w:tc>
          <w:tcPr>
            <w:tcW w:w="1386" w:type="dxa"/>
            <w:vAlign w:val="center"/>
          </w:tcPr>
          <w:p w14:paraId="17E9C67A">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0</w:t>
            </w:r>
          </w:p>
        </w:tc>
      </w:tr>
    </w:tbl>
    <w:p w14:paraId="122CDB03">
      <w:pPr>
        <w:keepNext w:val="0"/>
        <w:keepLines w:val="0"/>
        <w:pageBreakBefore w:val="0"/>
        <w:kinsoku/>
        <w:wordWrap/>
        <w:overflowPunct/>
        <w:topLinePunct w:val="0"/>
        <w:autoSpaceDE/>
        <w:autoSpaceDN/>
        <w:bidi w:val="0"/>
        <w:spacing w:line="360" w:lineRule="auto"/>
        <w:textAlignment w:val="auto"/>
        <w:outlineLvl w:val="9"/>
        <w:rPr>
          <w:rFonts w:hint="default" w:ascii="Times New Roman" w:hAnsi="Times New Roman" w:cs="Times New Roman"/>
          <w:color w:val="auto"/>
          <w:sz w:val="24"/>
          <w:szCs w:val="32"/>
        </w:rPr>
      </w:pPr>
      <w:r>
        <w:rPr>
          <w:rFonts w:hint="default" w:ascii="Times New Roman" w:hAnsi="Times New Roman" w:cs="Times New Roman"/>
          <w:color w:val="auto"/>
          <w:sz w:val="24"/>
          <w:szCs w:val="32"/>
        </w:rPr>
        <w:t>7.1.1.2 大气环境风险防控措施及突发大气环境事件发生情况</w:t>
      </w:r>
    </w:p>
    <w:p w14:paraId="40C5DEF0">
      <w:pPr>
        <w:keepNext w:val="0"/>
        <w:keepLines w:val="0"/>
        <w:pageBreakBefore w:val="0"/>
        <w:widowControl/>
        <w:kinsoku/>
        <w:wordWrap/>
        <w:overflowPunct/>
        <w:topLinePunct w:val="0"/>
        <w:autoSpaceDE/>
        <w:autoSpaceDN/>
        <w:bidi w:val="0"/>
        <w:adjustRightInd w:val="0"/>
        <w:snapToGrid w:val="0"/>
        <w:spacing w:line="360" w:lineRule="auto"/>
        <w:ind w:firstLine="360"/>
        <w:jc w:val="left"/>
        <w:textAlignment w:val="auto"/>
        <w:rPr>
          <w:rFonts w:hint="default" w:ascii="Times New Roman" w:hAnsi="Times New Roman" w:cs="Times New Roman"/>
          <w:color w:val="auto"/>
          <w:sz w:val="24"/>
        </w:rPr>
      </w:pPr>
      <w:r>
        <w:rPr>
          <w:rFonts w:hint="default" w:ascii="Times New Roman" w:hAnsi="Times New Roman" w:cs="Times New Roman"/>
          <w:color w:val="auto"/>
          <w:sz w:val="24"/>
        </w:rPr>
        <w:t>企业大气环境风险防控措施及突发大气环境事件发生情况评估指标见表7.1-3对各项评估指标分别评分、计算总和，各项指标分值合计最高为70分。</w:t>
      </w:r>
    </w:p>
    <w:p w14:paraId="448E3266">
      <w:pPr>
        <w:widowControl/>
        <w:adjustRightInd w:val="0"/>
        <w:snapToGrid w:val="0"/>
        <w:spacing w:line="360" w:lineRule="auto"/>
        <w:ind w:firstLine="360"/>
        <w:jc w:val="center"/>
        <w:rPr>
          <w:rFonts w:hint="default" w:ascii="Times New Roman" w:hAnsi="Times New Roman" w:cs="Times New Roman"/>
          <w:b/>
          <w:bCs/>
          <w:color w:val="auto"/>
          <w:sz w:val="24"/>
        </w:rPr>
      </w:pPr>
      <w:r>
        <w:rPr>
          <w:rFonts w:hint="default" w:ascii="Times New Roman" w:hAnsi="Times New Roman" w:cs="Times New Roman"/>
          <w:b/>
          <w:bCs/>
          <w:color w:val="auto"/>
          <w:sz w:val="24"/>
        </w:rPr>
        <w:t>表7.1-4  企业大气环境风险防控措施及突发大气环境事件发生情况评分依据</w:t>
      </w:r>
    </w:p>
    <w:tbl>
      <w:tblPr>
        <w:tblStyle w:val="33"/>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57"/>
        <w:gridCol w:w="5080"/>
        <w:gridCol w:w="1091"/>
      </w:tblGrid>
      <w:tr w14:paraId="12B6A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3457" w:type="dxa"/>
            <w:vAlign w:val="center"/>
          </w:tcPr>
          <w:p w14:paraId="4206001C">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rPr>
            </w:pPr>
            <w:r>
              <w:rPr>
                <w:rFonts w:hint="default" w:ascii="Times New Roman" w:hAnsi="Times New Roman" w:cs="Times New Roman"/>
                <w:b/>
                <w:color w:val="auto"/>
                <w:szCs w:val="21"/>
              </w:rPr>
              <w:t>评估指标</w:t>
            </w:r>
          </w:p>
        </w:tc>
        <w:tc>
          <w:tcPr>
            <w:tcW w:w="5080" w:type="dxa"/>
            <w:vAlign w:val="center"/>
          </w:tcPr>
          <w:p w14:paraId="369D22D5">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rPr>
            </w:pPr>
            <w:r>
              <w:rPr>
                <w:rFonts w:hint="default" w:ascii="Times New Roman" w:hAnsi="Times New Roman" w:cs="Times New Roman"/>
                <w:b/>
                <w:color w:val="auto"/>
                <w:szCs w:val="21"/>
              </w:rPr>
              <w:t>评估依据</w:t>
            </w:r>
          </w:p>
        </w:tc>
        <w:tc>
          <w:tcPr>
            <w:tcW w:w="1091" w:type="dxa"/>
            <w:vAlign w:val="center"/>
          </w:tcPr>
          <w:p w14:paraId="549877B7">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rPr>
            </w:pPr>
            <w:r>
              <w:rPr>
                <w:rFonts w:hint="default" w:ascii="Times New Roman" w:hAnsi="Times New Roman" w:cs="Times New Roman"/>
                <w:b/>
                <w:color w:val="auto"/>
                <w:szCs w:val="21"/>
              </w:rPr>
              <w:t>分值</w:t>
            </w:r>
          </w:p>
        </w:tc>
      </w:tr>
      <w:tr w14:paraId="44D42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3457" w:type="dxa"/>
            <w:vMerge w:val="restart"/>
            <w:vAlign w:val="center"/>
          </w:tcPr>
          <w:p w14:paraId="197B40C4">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2"/>
              </w:rPr>
            </w:pPr>
            <w:r>
              <w:rPr>
                <w:rFonts w:hint="default" w:ascii="Times New Roman" w:hAnsi="Times New Roman" w:cs="Times New Roman"/>
                <w:color w:val="auto"/>
                <w:szCs w:val="22"/>
              </w:rPr>
              <w:t>毒性气体泄漏监控预警措施</w:t>
            </w:r>
          </w:p>
        </w:tc>
        <w:tc>
          <w:tcPr>
            <w:tcW w:w="5080" w:type="dxa"/>
            <w:vAlign w:val="center"/>
          </w:tcPr>
          <w:p w14:paraId="57C410D1">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2"/>
              </w:rPr>
            </w:pPr>
            <w:r>
              <w:rPr>
                <w:rFonts w:hint="default" w:ascii="Times New Roman" w:hAnsi="Times New Roman" w:cs="Times New Roman"/>
                <w:color w:val="auto"/>
                <w:szCs w:val="22"/>
              </w:rPr>
              <w:t>（1）不涉及附录A中有毒有害气体的；或</w:t>
            </w:r>
          </w:p>
          <w:p w14:paraId="6D9C0E79">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2"/>
              </w:rPr>
            </w:pPr>
            <w:r>
              <w:rPr>
                <w:rFonts w:hint="default" w:ascii="Times New Roman" w:hAnsi="Times New Roman" w:cs="Times New Roman"/>
                <w:color w:val="auto"/>
                <w:szCs w:val="22"/>
              </w:rPr>
              <w:t>（2）根据实际情况，具备有毒有害气体（如硫化氢、氰化氢、氯化氢、光气、氯气、氨气、苯等）厂界泄漏监控预警系统的</w:t>
            </w:r>
          </w:p>
        </w:tc>
        <w:tc>
          <w:tcPr>
            <w:tcW w:w="1091" w:type="dxa"/>
            <w:vAlign w:val="center"/>
          </w:tcPr>
          <w:p w14:paraId="4F8BF024">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0</w:t>
            </w:r>
          </w:p>
        </w:tc>
      </w:tr>
      <w:tr w14:paraId="634E9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3457" w:type="dxa"/>
            <w:vMerge w:val="continue"/>
            <w:vAlign w:val="center"/>
          </w:tcPr>
          <w:p w14:paraId="2B3F6160">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p>
        </w:tc>
        <w:tc>
          <w:tcPr>
            <w:tcW w:w="5080" w:type="dxa"/>
            <w:vAlign w:val="center"/>
          </w:tcPr>
          <w:p w14:paraId="3BE7D0CC">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不具备厂界有毒有害气体泄漏监控预警系统的</w:t>
            </w:r>
          </w:p>
        </w:tc>
        <w:tc>
          <w:tcPr>
            <w:tcW w:w="1091" w:type="dxa"/>
            <w:vAlign w:val="center"/>
          </w:tcPr>
          <w:p w14:paraId="3448CEB1">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25</w:t>
            </w:r>
          </w:p>
        </w:tc>
      </w:tr>
      <w:tr w14:paraId="61671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3457" w:type="dxa"/>
            <w:vMerge w:val="restart"/>
            <w:vAlign w:val="center"/>
          </w:tcPr>
          <w:p w14:paraId="277EDA24">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符合防护距离情况</w:t>
            </w:r>
          </w:p>
        </w:tc>
        <w:tc>
          <w:tcPr>
            <w:tcW w:w="5080" w:type="dxa"/>
            <w:vAlign w:val="center"/>
          </w:tcPr>
          <w:p w14:paraId="1B37CABA">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cs="Times New Roman"/>
                <w:bCs/>
                <w:color w:val="auto"/>
                <w:szCs w:val="21"/>
              </w:rPr>
            </w:pPr>
            <w:r>
              <w:rPr>
                <w:rFonts w:hint="default" w:ascii="Times New Roman" w:hAnsi="Times New Roman" w:cs="Times New Roman"/>
                <w:bCs/>
                <w:color w:val="auto"/>
                <w:szCs w:val="21"/>
              </w:rPr>
              <w:t>符合环评及批复文件防护距离要求的</w:t>
            </w:r>
          </w:p>
        </w:tc>
        <w:tc>
          <w:tcPr>
            <w:tcW w:w="1091" w:type="dxa"/>
            <w:vAlign w:val="center"/>
          </w:tcPr>
          <w:p w14:paraId="34E766A6">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0</w:t>
            </w:r>
          </w:p>
        </w:tc>
      </w:tr>
      <w:tr w14:paraId="74FF5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3457" w:type="dxa"/>
            <w:vMerge w:val="continue"/>
            <w:vAlign w:val="center"/>
          </w:tcPr>
          <w:p w14:paraId="2C0F1E76">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p>
        </w:tc>
        <w:tc>
          <w:tcPr>
            <w:tcW w:w="5080" w:type="dxa"/>
            <w:vAlign w:val="center"/>
          </w:tcPr>
          <w:p w14:paraId="557D75C5">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cs="Times New Roman"/>
                <w:bCs/>
                <w:color w:val="auto"/>
                <w:szCs w:val="21"/>
              </w:rPr>
            </w:pPr>
            <w:r>
              <w:rPr>
                <w:rFonts w:hint="default" w:ascii="Times New Roman" w:hAnsi="Times New Roman" w:cs="Times New Roman"/>
                <w:bCs/>
                <w:color w:val="auto"/>
                <w:szCs w:val="21"/>
              </w:rPr>
              <w:t>不符合环评及批复文件防护距离要求的</w:t>
            </w:r>
          </w:p>
        </w:tc>
        <w:tc>
          <w:tcPr>
            <w:tcW w:w="1091" w:type="dxa"/>
            <w:vAlign w:val="center"/>
          </w:tcPr>
          <w:p w14:paraId="6BA73109">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25</w:t>
            </w:r>
          </w:p>
        </w:tc>
      </w:tr>
      <w:tr w14:paraId="5C46D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3457" w:type="dxa"/>
            <w:vMerge w:val="restart"/>
            <w:vAlign w:val="center"/>
          </w:tcPr>
          <w:p w14:paraId="6F566F74">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r>
              <w:rPr>
                <w:rFonts w:hint="default" w:ascii="Times New Roman" w:hAnsi="Times New Roman" w:cs="Times New Roman"/>
                <w:color w:val="auto"/>
                <w:szCs w:val="21"/>
              </w:rPr>
              <w:t>近三年内突发大气环境事件发生情况</w:t>
            </w:r>
          </w:p>
        </w:tc>
        <w:tc>
          <w:tcPr>
            <w:tcW w:w="5080" w:type="dxa"/>
            <w:vAlign w:val="center"/>
          </w:tcPr>
          <w:p w14:paraId="6494BC7F">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cs="Times New Roman"/>
                <w:bCs/>
                <w:color w:val="auto"/>
                <w:szCs w:val="21"/>
              </w:rPr>
            </w:pPr>
            <w:r>
              <w:rPr>
                <w:rFonts w:hint="default" w:ascii="Times New Roman" w:hAnsi="Times New Roman" w:cs="Times New Roman"/>
                <w:color w:val="auto"/>
                <w:szCs w:val="21"/>
              </w:rPr>
              <w:t>发生过特别重大及重大等级突发大气环境事件的</w:t>
            </w:r>
          </w:p>
        </w:tc>
        <w:tc>
          <w:tcPr>
            <w:tcW w:w="1091" w:type="dxa"/>
            <w:vAlign w:val="center"/>
          </w:tcPr>
          <w:p w14:paraId="0005CCBF">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20</w:t>
            </w:r>
          </w:p>
        </w:tc>
      </w:tr>
      <w:tr w14:paraId="3A27B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3457" w:type="dxa"/>
            <w:vMerge w:val="continue"/>
            <w:vAlign w:val="center"/>
          </w:tcPr>
          <w:p w14:paraId="24A74C01">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p>
        </w:tc>
        <w:tc>
          <w:tcPr>
            <w:tcW w:w="5080" w:type="dxa"/>
            <w:vAlign w:val="center"/>
          </w:tcPr>
          <w:p w14:paraId="56D31D88">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cs="Times New Roman"/>
                <w:bCs/>
                <w:color w:val="auto"/>
                <w:szCs w:val="21"/>
              </w:rPr>
            </w:pPr>
            <w:r>
              <w:rPr>
                <w:rFonts w:hint="default" w:ascii="Times New Roman" w:hAnsi="Times New Roman" w:cs="Times New Roman"/>
                <w:color w:val="auto"/>
                <w:szCs w:val="21"/>
              </w:rPr>
              <w:t>发生过较大等级突发大气环境事件的</w:t>
            </w:r>
          </w:p>
        </w:tc>
        <w:tc>
          <w:tcPr>
            <w:tcW w:w="1091" w:type="dxa"/>
            <w:vAlign w:val="center"/>
          </w:tcPr>
          <w:p w14:paraId="557A2E83">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15</w:t>
            </w:r>
          </w:p>
        </w:tc>
      </w:tr>
      <w:tr w14:paraId="3C9FC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3457" w:type="dxa"/>
            <w:vMerge w:val="continue"/>
            <w:vAlign w:val="center"/>
          </w:tcPr>
          <w:p w14:paraId="4628BE87">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p>
        </w:tc>
        <w:tc>
          <w:tcPr>
            <w:tcW w:w="5080" w:type="dxa"/>
            <w:vAlign w:val="center"/>
          </w:tcPr>
          <w:p w14:paraId="7CF9A099">
            <w:pPr>
              <w:keepNext w:val="0"/>
              <w:keepLines w:val="0"/>
              <w:suppressLineNumbers w:val="0"/>
              <w:adjustRightInd w:val="0"/>
              <w:snapToGrid w:val="0"/>
              <w:spacing w:before="0" w:beforeAutospacing="0" w:after="0" w:afterAutospacing="0" w:line="300" w:lineRule="auto"/>
              <w:ind w:left="0" w:right="0"/>
              <w:jc w:val="left"/>
              <w:rPr>
                <w:rFonts w:hint="default" w:ascii="Times New Roman" w:hAnsi="Times New Roman" w:cs="Times New Roman"/>
                <w:bCs/>
                <w:color w:val="auto"/>
                <w:szCs w:val="21"/>
              </w:rPr>
            </w:pPr>
            <w:r>
              <w:rPr>
                <w:rFonts w:hint="default" w:ascii="Times New Roman" w:hAnsi="Times New Roman" w:cs="Times New Roman"/>
                <w:color w:val="auto"/>
                <w:szCs w:val="21"/>
              </w:rPr>
              <w:t>发生过一般等级突发大气环境事件的</w:t>
            </w:r>
          </w:p>
        </w:tc>
        <w:tc>
          <w:tcPr>
            <w:tcW w:w="1091" w:type="dxa"/>
            <w:vAlign w:val="center"/>
          </w:tcPr>
          <w:p w14:paraId="57EDDA91">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10</w:t>
            </w:r>
          </w:p>
        </w:tc>
      </w:tr>
      <w:tr w14:paraId="5CF32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3457" w:type="dxa"/>
            <w:vMerge w:val="continue"/>
            <w:vAlign w:val="center"/>
          </w:tcPr>
          <w:p w14:paraId="5379B378">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p>
        </w:tc>
        <w:tc>
          <w:tcPr>
            <w:tcW w:w="5080" w:type="dxa"/>
            <w:vAlign w:val="center"/>
          </w:tcPr>
          <w:p w14:paraId="16564E30">
            <w:pPr>
              <w:keepNext w:val="0"/>
              <w:keepLines w:val="0"/>
              <w:suppressLineNumbers w:val="0"/>
              <w:adjustRightInd w:val="0"/>
              <w:snapToGrid w:val="0"/>
              <w:spacing w:before="0" w:beforeAutospacing="0" w:after="0" w:afterAutospacing="0" w:line="300" w:lineRule="auto"/>
              <w:ind w:left="0" w:right="0"/>
              <w:jc w:val="left"/>
              <w:rPr>
                <w:rFonts w:hint="default" w:ascii="Times New Roman" w:hAnsi="Times New Roman" w:cs="Times New Roman"/>
                <w:bCs/>
                <w:color w:val="auto"/>
                <w:szCs w:val="21"/>
              </w:rPr>
            </w:pPr>
            <w:r>
              <w:rPr>
                <w:rFonts w:hint="default" w:ascii="Times New Roman" w:hAnsi="Times New Roman" w:cs="Times New Roman"/>
                <w:color w:val="auto"/>
                <w:szCs w:val="21"/>
              </w:rPr>
              <w:t>未发生突发大气环境事件的</w:t>
            </w:r>
          </w:p>
        </w:tc>
        <w:tc>
          <w:tcPr>
            <w:tcW w:w="1091" w:type="dxa"/>
            <w:vAlign w:val="center"/>
          </w:tcPr>
          <w:p w14:paraId="3793ACDD">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0</w:t>
            </w:r>
          </w:p>
        </w:tc>
      </w:tr>
    </w:tbl>
    <w:p w14:paraId="51D28672">
      <w:pPr>
        <w:widowControl/>
        <w:adjustRightInd w:val="0"/>
        <w:snapToGrid w:val="0"/>
        <w:spacing w:line="360" w:lineRule="auto"/>
        <w:ind w:firstLine="360"/>
        <w:jc w:val="center"/>
        <w:rPr>
          <w:rFonts w:hint="default" w:ascii="Times New Roman" w:hAnsi="Times New Roman" w:cs="Times New Roman"/>
          <w:b/>
          <w:bCs/>
          <w:color w:val="auto"/>
          <w:sz w:val="24"/>
        </w:rPr>
      </w:pPr>
    </w:p>
    <w:p w14:paraId="62B81D64">
      <w:pPr>
        <w:widowControl/>
        <w:adjustRightInd w:val="0"/>
        <w:snapToGrid w:val="0"/>
        <w:spacing w:line="360" w:lineRule="auto"/>
        <w:ind w:firstLine="360"/>
        <w:jc w:val="center"/>
        <w:rPr>
          <w:rFonts w:hint="default" w:ascii="Times New Roman" w:hAnsi="Times New Roman" w:cs="Times New Roman"/>
          <w:b/>
          <w:bCs/>
          <w:color w:val="auto"/>
          <w:sz w:val="24"/>
        </w:rPr>
      </w:pPr>
      <w:r>
        <w:rPr>
          <w:rFonts w:hint="default" w:ascii="Times New Roman" w:hAnsi="Times New Roman" w:cs="Times New Roman"/>
          <w:b/>
          <w:bCs/>
          <w:color w:val="auto"/>
          <w:sz w:val="24"/>
        </w:rPr>
        <w:t>表7.1-</w:t>
      </w:r>
      <w:r>
        <w:rPr>
          <w:rFonts w:hint="default" w:ascii="Times New Roman" w:hAnsi="Times New Roman" w:cs="Times New Roman"/>
          <w:b/>
          <w:bCs/>
          <w:color w:val="auto"/>
          <w:sz w:val="24"/>
          <w:lang w:val="en-US" w:eastAsia="zh-CN"/>
        </w:rPr>
        <w:t>5</w:t>
      </w:r>
      <w:r>
        <w:rPr>
          <w:rFonts w:hint="default" w:ascii="Times New Roman" w:hAnsi="Times New Roman" w:cs="Times New Roman"/>
          <w:b/>
          <w:bCs/>
          <w:color w:val="auto"/>
          <w:sz w:val="24"/>
        </w:rPr>
        <w:t xml:space="preserve">  企业大气环境风险防控措施及突发大气环境事件发生情况评分表</w:t>
      </w:r>
    </w:p>
    <w:tbl>
      <w:tblPr>
        <w:tblStyle w:val="33"/>
        <w:tblW w:w="95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30"/>
        <w:gridCol w:w="4650"/>
        <w:gridCol w:w="1201"/>
        <w:gridCol w:w="972"/>
      </w:tblGrid>
      <w:tr w14:paraId="63F74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730" w:type="dxa"/>
            <w:vAlign w:val="center"/>
          </w:tcPr>
          <w:p w14:paraId="48A7BC24">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rPr>
            </w:pPr>
            <w:r>
              <w:rPr>
                <w:rFonts w:hint="default" w:ascii="Times New Roman" w:hAnsi="Times New Roman" w:cs="Times New Roman"/>
                <w:b/>
                <w:color w:val="auto"/>
                <w:szCs w:val="21"/>
              </w:rPr>
              <w:t>评估指标</w:t>
            </w:r>
          </w:p>
        </w:tc>
        <w:tc>
          <w:tcPr>
            <w:tcW w:w="4650" w:type="dxa"/>
            <w:vAlign w:val="center"/>
          </w:tcPr>
          <w:p w14:paraId="5B1E692A">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rPr>
            </w:pPr>
            <w:r>
              <w:rPr>
                <w:rFonts w:hint="default" w:ascii="Times New Roman" w:hAnsi="Times New Roman" w:cs="Times New Roman"/>
                <w:b/>
                <w:color w:val="auto"/>
                <w:szCs w:val="21"/>
              </w:rPr>
              <w:t>评估依据</w:t>
            </w:r>
          </w:p>
        </w:tc>
        <w:tc>
          <w:tcPr>
            <w:tcW w:w="1201" w:type="dxa"/>
            <w:vAlign w:val="center"/>
          </w:tcPr>
          <w:p w14:paraId="782E7619">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rPr>
            </w:pPr>
            <w:r>
              <w:rPr>
                <w:rFonts w:hint="default" w:ascii="Times New Roman" w:hAnsi="Times New Roman" w:cs="Times New Roman"/>
                <w:b/>
                <w:color w:val="auto"/>
                <w:szCs w:val="21"/>
              </w:rPr>
              <w:t>企业情况</w:t>
            </w:r>
          </w:p>
        </w:tc>
        <w:tc>
          <w:tcPr>
            <w:tcW w:w="972" w:type="dxa"/>
            <w:vAlign w:val="center"/>
          </w:tcPr>
          <w:p w14:paraId="6F5F6C47">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rPr>
            </w:pPr>
            <w:r>
              <w:rPr>
                <w:rFonts w:hint="default" w:ascii="Times New Roman" w:hAnsi="Times New Roman" w:cs="Times New Roman"/>
                <w:b/>
                <w:color w:val="auto"/>
                <w:szCs w:val="21"/>
              </w:rPr>
              <w:t>分值</w:t>
            </w:r>
          </w:p>
        </w:tc>
      </w:tr>
      <w:tr w14:paraId="4AD9C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730" w:type="dxa"/>
            <w:vMerge w:val="restart"/>
            <w:vAlign w:val="center"/>
          </w:tcPr>
          <w:p w14:paraId="67952487">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毒性气体泄漏监控预警措施</w:t>
            </w:r>
          </w:p>
        </w:tc>
        <w:tc>
          <w:tcPr>
            <w:tcW w:w="4650" w:type="dxa"/>
            <w:vAlign w:val="center"/>
          </w:tcPr>
          <w:p w14:paraId="2AE0ECC3">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2"/>
                <w:highlight w:val="none"/>
              </w:rPr>
            </w:pPr>
            <w:r>
              <w:rPr>
                <w:rFonts w:hint="default" w:ascii="Times New Roman" w:hAnsi="Times New Roman" w:cs="Times New Roman"/>
                <w:color w:val="auto"/>
                <w:szCs w:val="22"/>
                <w:highlight w:val="none"/>
              </w:rPr>
              <w:t>（1）不涉及附录A中有毒有害气体的；或</w:t>
            </w:r>
          </w:p>
          <w:p w14:paraId="1DDB17F0">
            <w:pPr>
              <w:pStyle w:val="2"/>
              <w:keepNext w:val="0"/>
              <w:keepLines w:val="0"/>
              <w:suppressLineNumbers w:val="0"/>
              <w:spacing w:before="0" w:beforeAutospacing="0" w:afterAutospacing="0"/>
              <w:ind w:left="0" w:leftChars="0" w:right="0" w:firstLine="0" w:firstLineChars="0"/>
              <w:jc w:val="left"/>
              <w:rPr>
                <w:rFonts w:hint="default" w:ascii="Times New Roman" w:hAnsi="Times New Roman" w:cs="Times New Roman"/>
                <w:color w:val="auto"/>
                <w:highlight w:val="none"/>
              </w:rPr>
            </w:pPr>
            <w:r>
              <w:rPr>
                <w:rFonts w:hint="default" w:ascii="Times New Roman" w:hAnsi="Times New Roman" w:cs="Times New Roman"/>
                <w:color w:val="auto"/>
                <w:szCs w:val="22"/>
                <w:highlight w:val="none"/>
              </w:rPr>
              <w:t>（2）根据实际情况，具备有毒有害气体（如硫化氢、氰化氢、氯化氢、光气、氯气、氨气、苯等）厂界泄漏监控预警系统的</w:t>
            </w:r>
          </w:p>
        </w:tc>
        <w:tc>
          <w:tcPr>
            <w:tcW w:w="1201" w:type="dxa"/>
            <w:vMerge w:val="restart"/>
            <w:vAlign w:val="center"/>
          </w:tcPr>
          <w:p w14:paraId="27673DA7">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bCs/>
                <w:color w:val="auto"/>
                <w:szCs w:val="21"/>
                <w:highlight w:val="none"/>
              </w:rPr>
            </w:pPr>
            <w:r>
              <w:rPr>
                <w:rFonts w:hint="eastAsia" w:cs="Times New Roman"/>
                <w:color w:val="auto"/>
                <w:szCs w:val="21"/>
                <w:highlight w:val="none"/>
                <w:lang w:val="en-US" w:eastAsia="zh-CN"/>
              </w:rPr>
              <w:t>水杨酸酰胺生产过程中会产生氨气，但无</w:t>
            </w:r>
            <w:r>
              <w:rPr>
                <w:rFonts w:hint="default" w:ascii="Times New Roman" w:hAnsi="Times New Roman" w:cs="Times New Roman"/>
                <w:color w:val="auto"/>
                <w:szCs w:val="21"/>
                <w:highlight w:val="none"/>
              </w:rPr>
              <w:t>厂界泄漏监控预警系统</w:t>
            </w:r>
          </w:p>
        </w:tc>
        <w:tc>
          <w:tcPr>
            <w:tcW w:w="972" w:type="dxa"/>
            <w:vMerge w:val="restart"/>
            <w:vAlign w:val="center"/>
          </w:tcPr>
          <w:p w14:paraId="4E7BCCEC">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bCs/>
                <w:color w:val="auto"/>
                <w:szCs w:val="21"/>
                <w:highlight w:val="none"/>
                <w:lang w:val="en-US" w:eastAsia="zh-CN"/>
              </w:rPr>
            </w:pPr>
            <w:r>
              <w:rPr>
                <w:rFonts w:hint="eastAsia" w:cs="Times New Roman"/>
                <w:color w:val="auto"/>
                <w:szCs w:val="21"/>
                <w:highlight w:val="none"/>
                <w:lang w:val="en-US" w:eastAsia="zh-CN"/>
              </w:rPr>
              <w:t>0</w:t>
            </w:r>
          </w:p>
        </w:tc>
      </w:tr>
      <w:tr w14:paraId="09D18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730" w:type="dxa"/>
            <w:vMerge w:val="continue"/>
            <w:vAlign w:val="center"/>
          </w:tcPr>
          <w:p w14:paraId="24DF09C5">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p>
        </w:tc>
        <w:tc>
          <w:tcPr>
            <w:tcW w:w="4650" w:type="dxa"/>
            <w:vAlign w:val="center"/>
          </w:tcPr>
          <w:p w14:paraId="7DBA19B5">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不具备厂界有毒有害气体泄漏监控预警系统的</w:t>
            </w:r>
          </w:p>
        </w:tc>
        <w:tc>
          <w:tcPr>
            <w:tcW w:w="1201" w:type="dxa"/>
            <w:vMerge w:val="continue"/>
            <w:vAlign w:val="center"/>
          </w:tcPr>
          <w:p w14:paraId="50E09D12">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p>
        </w:tc>
        <w:tc>
          <w:tcPr>
            <w:tcW w:w="972" w:type="dxa"/>
            <w:vMerge w:val="continue"/>
            <w:vAlign w:val="center"/>
          </w:tcPr>
          <w:p w14:paraId="3655C9A5">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p>
        </w:tc>
      </w:tr>
      <w:tr w14:paraId="3584B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730" w:type="dxa"/>
            <w:vMerge w:val="restart"/>
            <w:vAlign w:val="center"/>
          </w:tcPr>
          <w:p w14:paraId="4A7F9219">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符合防护距离情况</w:t>
            </w:r>
          </w:p>
        </w:tc>
        <w:tc>
          <w:tcPr>
            <w:tcW w:w="4650" w:type="dxa"/>
            <w:vAlign w:val="center"/>
          </w:tcPr>
          <w:p w14:paraId="39413BA1">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cs="Times New Roman"/>
                <w:bCs/>
                <w:color w:val="auto"/>
                <w:szCs w:val="21"/>
              </w:rPr>
            </w:pPr>
            <w:r>
              <w:rPr>
                <w:rFonts w:hint="default" w:ascii="Times New Roman" w:hAnsi="Times New Roman" w:cs="Times New Roman"/>
                <w:bCs/>
                <w:color w:val="auto"/>
                <w:szCs w:val="21"/>
              </w:rPr>
              <w:t>符合环评及批复文件防护距离要求的</w:t>
            </w:r>
          </w:p>
        </w:tc>
        <w:tc>
          <w:tcPr>
            <w:tcW w:w="1201" w:type="dxa"/>
            <w:vMerge w:val="restart"/>
            <w:vAlign w:val="center"/>
          </w:tcPr>
          <w:p w14:paraId="429CF6D2">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符合环评及批复文件防护距离要求的</w:t>
            </w:r>
          </w:p>
        </w:tc>
        <w:tc>
          <w:tcPr>
            <w:tcW w:w="972" w:type="dxa"/>
            <w:vMerge w:val="restart"/>
            <w:vAlign w:val="center"/>
          </w:tcPr>
          <w:p w14:paraId="7DFF34DD">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0</w:t>
            </w:r>
          </w:p>
        </w:tc>
      </w:tr>
      <w:tr w14:paraId="13A74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730" w:type="dxa"/>
            <w:vMerge w:val="continue"/>
            <w:vAlign w:val="center"/>
          </w:tcPr>
          <w:p w14:paraId="53BFA141">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p>
        </w:tc>
        <w:tc>
          <w:tcPr>
            <w:tcW w:w="4650" w:type="dxa"/>
            <w:vAlign w:val="center"/>
          </w:tcPr>
          <w:p w14:paraId="09446B3C">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cs="Times New Roman"/>
                <w:bCs/>
                <w:color w:val="auto"/>
                <w:szCs w:val="21"/>
              </w:rPr>
            </w:pPr>
            <w:r>
              <w:rPr>
                <w:rFonts w:hint="default" w:ascii="Times New Roman" w:hAnsi="Times New Roman" w:cs="Times New Roman"/>
                <w:bCs/>
                <w:color w:val="auto"/>
                <w:szCs w:val="21"/>
              </w:rPr>
              <w:t>不符合环评及批复文件防护距离要求的</w:t>
            </w:r>
          </w:p>
        </w:tc>
        <w:tc>
          <w:tcPr>
            <w:tcW w:w="1201" w:type="dxa"/>
            <w:vMerge w:val="continue"/>
            <w:vAlign w:val="center"/>
          </w:tcPr>
          <w:p w14:paraId="5F304DCF">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p>
        </w:tc>
        <w:tc>
          <w:tcPr>
            <w:tcW w:w="972" w:type="dxa"/>
            <w:vMerge w:val="continue"/>
            <w:vAlign w:val="center"/>
          </w:tcPr>
          <w:p w14:paraId="2813FE86">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p>
        </w:tc>
      </w:tr>
      <w:tr w14:paraId="3E6C3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730" w:type="dxa"/>
            <w:vMerge w:val="restart"/>
            <w:vAlign w:val="center"/>
          </w:tcPr>
          <w:p w14:paraId="47912F35">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r>
              <w:rPr>
                <w:rFonts w:hint="default" w:ascii="Times New Roman" w:hAnsi="Times New Roman" w:cs="Times New Roman"/>
                <w:color w:val="auto"/>
                <w:szCs w:val="21"/>
              </w:rPr>
              <w:t>近三年内突发大气环境事件发生情况</w:t>
            </w:r>
          </w:p>
        </w:tc>
        <w:tc>
          <w:tcPr>
            <w:tcW w:w="4650" w:type="dxa"/>
            <w:vAlign w:val="center"/>
          </w:tcPr>
          <w:p w14:paraId="023EEBC7">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cs="Times New Roman"/>
                <w:bCs/>
                <w:color w:val="auto"/>
                <w:szCs w:val="21"/>
              </w:rPr>
            </w:pPr>
            <w:r>
              <w:rPr>
                <w:rFonts w:hint="default" w:ascii="Times New Roman" w:hAnsi="Times New Roman" w:cs="Times New Roman"/>
                <w:color w:val="auto"/>
                <w:szCs w:val="21"/>
              </w:rPr>
              <w:t>发生过特别重大及重大等级突发大气环境事件的</w:t>
            </w:r>
          </w:p>
        </w:tc>
        <w:tc>
          <w:tcPr>
            <w:tcW w:w="1201" w:type="dxa"/>
            <w:vMerge w:val="restart"/>
            <w:vAlign w:val="center"/>
          </w:tcPr>
          <w:p w14:paraId="72B19091">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r>
              <w:rPr>
                <w:rFonts w:hint="default" w:ascii="Times New Roman" w:hAnsi="Times New Roman" w:cs="Times New Roman"/>
                <w:color w:val="auto"/>
                <w:szCs w:val="21"/>
              </w:rPr>
              <w:t>未发生突发大气环境事件</w:t>
            </w:r>
          </w:p>
        </w:tc>
        <w:tc>
          <w:tcPr>
            <w:tcW w:w="972" w:type="dxa"/>
            <w:vMerge w:val="restart"/>
            <w:vAlign w:val="center"/>
          </w:tcPr>
          <w:p w14:paraId="5CDD39B1">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0</w:t>
            </w:r>
          </w:p>
        </w:tc>
      </w:tr>
      <w:tr w14:paraId="341BD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730" w:type="dxa"/>
            <w:vMerge w:val="continue"/>
            <w:vAlign w:val="center"/>
          </w:tcPr>
          <w:p w14:paraId="7F24E1DF">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p>
        </w:tc>
        <w:tc>
          <w:tcPr>
            <w:tcW w:w="4650" w:type="dxa"/>
            <w:vAlign w:val="center"/>
          </w:tcPr>
          <w:p w14:paraId="1E3C7BCB">
            <w:pPr>
              <w:keepNext w:val="0"/>
              <w:keepLines w:val="0"/>
              <w:widowControl/>
              <w:suppressLineNumbers w:val="0"/>
              <w:adjustRightInd w:val="0"/>
              <w:snapToGrid w:val="0"/>
              <w:spacing w:before="0" w:beforeAutospacing="0" w:after="0" w:afterAutospacing="0"/>
              <w:ind w:left="0" w:right="0"/>
              <w:jc w:val="left"/>
              <w:rPr>
                <w:rFonts w:hint="default" w:ascii="Times New Roman" w:hAnsi="Times New Roman" w:cs="Times New Roman"/>
                <w:bCs/>
                <w:color w:val="auto"/>
                <w:szCs w:val="21"/>
              </w:rPr>
            </w:pPr>
            <w:r>
              <w:rPr>
                <w:rFonts w:hint="default" w:ascii="Times New Roman" w:hAnsi="Times New Roman" w:cs="Times New Roman"/>
                <w:color w:val="auto"/>
                <w:szCs w:val="21"/>
              </w:rPr>
              <w:t>发生过较大等级突发大气环境事件的</w:t>
            </w:r>
          </w:p>
        </w:tc>
        <w:tc>
          <w:tcPr>
            <w:tcW w:w="1201" w:type="dxa"/>
            <w:vMerge w:val="continue"/>
            <w:vAlign w:val="center"/>
          </w:tcPr>
          <w:p w14:paraId="6F306035">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p>
        </w:tc>
        <w:tc>
          <w:tcPr>
            <w:tcW w:w="972" w:type="dxa"/>
            <w:vMerge w:val="continue"/>
            <w:vAlign w:val="center"/>
          </w:tcPr>
          <w:p w14:paraId="0383E12F">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p>
        </w:tc>
      </w:tr>
      <w:tr w14:paraId="184BE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730" w:type="dxa"/>
            <w:vMerge w:val="continue"/>
            <w:vAlign w:val="center"/>
          </w:tcPr>
          <w:p w14:paraId="7AB60F7A">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p>
        </w:tc>
        <w:tc>
          <w:tcPr>
            <w:tcW w:w="4650" w:type="dxa"/>
            <w:vAlign w:val="center"/>
          </w:tcPr>
          <w:p w14:paraId="23936B17">
            <w:pPr>
              <w:keepNext w:val="0"/>
              <w:keepLines w:val="0"/>
              <w:suppressLineNumbers w:val="0"/>
              <w:adjustRightInd w:val="0"/>
              <w:snapToGrid w:val="0"/>
              <w:spacing w:before="0" w:beforeAutospacing="0" w:after="0" w:afterAutospacing="0" w:line="300" w:lineRule="auto"/>
              <w:ind w:left="0" w:right="0"/>
              <w:jc w:val="left"/>
              <w:rPr>
                <w:rFonts w:hint="default" w:ascii="Times New Roman" w:hAnsi="Times New Roman" w:cs="Times New Roman"/>
                <w:bCs/>
                <w:color w:val="auto"/>
                <w:szCs w:val="21"/>
              </w:rPr>
            </w:pPr>
            <w:r>
              <w:rPr>
                <w:rFonts w:hint="default" w:ascii="Times New Roman" w:hAnsi="Times New Roman" w:cs="Times New Roman"/>
                <w:color w:val="auto"/>
                <w:szCs w:val="21"/>
              </w:rPr>
              <w:t>发生过一般等级突发大气环境事件的</w:t>
            </w:r>
          </w:p>
        </w:tc>
        <w:tc>
          <w:tcPr>
            <w:tcW w:w="1201" w:type="dxa"/>
            <w:vMerge w:val="continue"/>
            <w:vAlign w:val="center"/>
          </w:tcPr>
          <w:p w14:paraId="239BD001">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p>
        </w:tc>
        <w:tc>
          <w:tcPr>
            <w:tcW w:w="972" w:type="dxa"/>
            <w:vMerge w:val="continue"/>
            <w:vAlign w:val="center"/>
          </w:tcPr>
          <w:p w14:paraId="05496BD5">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p>
        </w:tc>
      </w:tr>
      <w:tr w14:paraId="71BB1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730" w:type="dxa"/>
            <w:vMerge w:val="continue"/>
            <w:vAlign w:val="center"/>
          </w:tcPr>
          <w:p w14:paraId="13B0EC26">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p>
        </w:tc>
        <w:tc>
          <w:tcPr>
            <w:tcW w:w="4650" w:type="dxa"/>
            <w:vAlign w:val="center"/>
          </w:tcPr>
          <w:p w14:paraId="4C5FC850">
            <w:pPr>
              <w:keepNext w:val="0"/>
              <w:keepLines w:val="0"/>
              <w:suppressLineNumbers w:val="0"/>
              <w:adjustRightInd w:val="0"/>
              <w:snapToGrid w:val="0"/>
              <w:spacing w:before="0" w:beforeAutospacing="0" w:after="0" w:afterAutospacing="0" w:line="300" w:lineRule="auto"/>
              <w:ind w:left="0" w:right="0"/>
              <w:jc w:val="left"/>
              <w:rPr>
                <w:rFonts w:hint="default" w:ascii="Times New Roman" w:hAnsi="Times New Roman" w:cs="Times New Roman"/>
                <w:bCs/>
                <w:color w:val="auto"/>
                <w:szCs w:val="21"/>
              </w:rPr>
            </w:pPr>
            <w:r>
              <w:rPr>
                <w:rFonts w:hint="default" w:ascii="Times New Roman" w:hAnsi="Times New Roman" w:cs="Times New Roman"/>
                <w:color w:val="auto"/>
                <w:szCs w:val="21"/>
              </w:rPr>
              <w:t>未发生突发大气环境事件的</w:t>
            </w:r>
          </w:p>
        </w:tc>
        <w:tc>
          <w:tcPr>
            <w:tcW w:w="1201" w:type="dxa"/>
            <w:vMerge w:val="continue"/>
            <w:vAlign w:val="center"/>
          </w:tcPr>
          <w:p w14:paraId="6B18C8D4">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p>
        </w:tc>
        <w:tc>
          <w:tcPr>
            <w:tcW w:w="972" w:type="dxa"/>
            <w:vMerge w:val="continue"/>
            <w:vAlign w:val="center"/>
          </w:tcPr>
          <w:p w14:paraId="2EC4176B">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p>
        </w:tc>
      </w:tr>
      <w:tr w14:paraId="6D6AA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81" w:type="dxa"/>
            <w:gridSpan w:val="3"/>
            <w:vAlign w:val="center"/>
          </w:tcPr>
          <w:p w14:paraId="0A46DF11">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总分</w:t>
            </w:r>
          </w:p>
        </w:tc>
        <w:tc>
          <w:tcPr>
            <w:tcW w:w="972" w:type="dxa"/>
            <w:vAlign w:val="center"/>
          </w:tcPr>
          <w:p w14:paraId="41203359">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eastAsia="宋体" w:cs="Times New Roman"/>
                <w:bCs/>
                <w:color w:val="auto"/>
                <w:szCs w:val="21"/>
                <w:lang w:val="en-US" w:eastAsia="zh-CN"/>
              </w:rPr>
            </w:pPr>
            <w:r>
              <w:rPr>
                <w:rFonts w:hint="eastAsia" w:cs="Times New Roman"/>
                <w:bCs/>
                <w:color w:val="auto"/>
                <w:szCs w:val="21"/>
                <w:lang w:val="en-US" w:eastAsia="zh-CN"/>
              </w:rPr>
              <w:t>0</w:t>
            </w:r>
          </w:p>
        </w:tc>
      </w:tr>
    </w:tbl>
    <w:p w14:paraId="55E5CC79">
      <w:pPr>
        <w:keepNext w:val="0"/>
        <w:keepLines w:val="0"/>
        <w:pageBreakBefore w:val="0"/>
        <w:kinsoku/>
        <w:wordWrap/>
        <w:overflowPunct/>
        <w:topLinePunct w:val="0"/>
        <w:autoSpaceDE/>
        <w:autoSpaceDN/>
        <w:bidi w:val="0"/>
        <w:spacing w:line="360" w:lineRule="auto"/>
        <w:textAlignment w:val="auto"/>
        <w:outlineLvl w:val="9"/>
        <w:rPr>
          <w:rFonts w:hint="default" w:ascii="Times New Roman" w:hAnsi="Times New Roman" w:cs="Times New Roman"/>
          <w:color w:val="auto"/>
          <w:sz w:val="24"/>
          <w:szCs w:val="32"/>
        </w:rPr>
      </w:pPr>
      <w:r>
        <w:rPr>
          <w:rFonts w:hint="default" w:ascii="Times New Roman" w:hAnsi="Times New Roman" w:cs="Times New Roman"/>
          <w:color w:val="auto"/>
          <w:sz w:val="24"/>
          <w:szCs w:val="32"/>
        </w:rPr>
        <w:t>7.1.1.3 企业生产工艺过程与大气环境风险控制水平</w:t>
      </w:r>
    </w:p>
    <w:p w14:paraId="7535ADBA">
      <w:pPr>
        <w:keepNext w:val="0"/>
        <w:keepLines w:val="0"/>
        <w:pageBreakBefore w:val="0"/>
        <w:widowControl/>
        <w:kinsoku/>
        <w:wordWrap/>
        <w:overflowPunct/>
        <w:topLinePunct w:val="0"/>
        <w:autoSpaceDE/>
        <w:autoSpaceDN/>
        <w:bidi w:val="0"/>
        <w:adjustRightInd w:val="0"/>
        <w:snapToGrid w:val="0"/>
        <w:spacing w:line="360" w:lineRule="auto"/>
        <w:ind w:firstLine="360"/>
        <w:jc w:val="left"/>
        <w:textAlignment w:val="auto"/>
        <w:rPr>
          <w:rFonts w:hint="default" w:ascii="Times New Roman" w:hAnsi="Times New Roman" w:cs="Times New Roman"/>
          <w:color w:val="auto"/>
          <w:sz w:val="24"/>
        </w:rPr>
      </w:pPr>
      <w:r>
        <w:rPr>
          <w:rFonts w:hint="default" w:ascii="Times New Roman" w:hAnsi="Times New Roman" w:cs="Times New Roman"/>
          <w:color w:val="auto"/>
          <w:sz w:val="24"/>
        </w:rPr>
        <w:t>将企业生产工艺过程、大气环境风险防控措施及突发大气环境事件发生情况各项指标评估分值累加，得出生产工艺过程与大气环境风险控制水平值，按照表7.1-5划分为4个类型。</w:t>
      </w:r>
    </w:p>
    <w:p w14:paraId="14D1F19E">
      <w:pPr>
        <w:widowControl/>
        <w:adjustRightInd w:val="0"/>
        <w:snapToGrid w:val="0"/>
        <w:spacing w:line="360" w:lineRule="auto"/>
        <w:jc w:val="center"/>
        <w:rPr>
          <w:rFonts w:hint="default" w:ascii="Times New Roman" w:hAnsi="Times New Roman" w:cs="Times New Roman"/>
          <w:b/>
          <w:bCs/>
          <w:color w:val="auto"/>
          <w:sz w:val="24"/>
        </w:rPr>
      </w:pPr>
      <w:r>
        <w:rPr>
          <w:rFonts w:hint="default" w:ascii="Times New Roman" w:hAnsi="Times New Roman" w:cs="Times New Roman"/>
          <w:b/>
          <w:bCs/>
          <w:color w:val="auto"/>
          <w:sz w:val="24"/>
        </w:rPr>
        <w:t>表7.1-</w:t>
      </w:r>
      <w:r>
        <w:rPr>
          <w:rFonts w:hint="default" w:ascii="Times New Roman" w:hAnsi="Times New Roman" w:cs="Times New Roman"/>
          <w:b/>
          <w:bCs/>
          <w:color w:val="auto"/>
          <w:sz w:val="24"/>
          <w:lang w:val="en-US" w:eastAsia="zh-CN"/>
        </w:rPr>
        <w:t>6</w:t>
      </w:r>
      <w:r>
        <w:rPr>
          <w:rFonts w:hint="default" w:ascii="Times New Roman" w:hAnsi="Times New Roman" w:cs="Times New Roman"/>
          <w:b/>
          <w:bCs/>
          <w:color w:val="auto"/>
          <w:sz w:val="24"/>
        </w:rPr>
        <w:t xml:space="preserve">  企业生产工艺过程与环境风险控制水平类型划分</w:t>
      </w:r>
    </w:p>
    <w:tbl>
      <w:tblPr>
        <w:tblStyle w:val="33"/>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15"/>
        <w:gridCol w:w="4813"/>
      </w:tblGrid>
      <w:tr w14:paraId="39D54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815" w:type="dxa"/>
            <w:vAlign w:val="center"/>
          </w:tcPr>
          <w:p w14:paraId="5C32AC05">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rPr>
            </w:pPr>
            <w:r>
              <w:rPr>
                <w:rFonts w:hint="default" w:ascii="Times New Roman" w:hAnsi="Times New Roman" w:cs="Times New Roman"/>
                <w:b/>
                <w:bCs/>
                <w:color w:val="auto"/>
                <w:szCs w:val="21"/>
              </w:rPr>
              <w:t>生产工艺过程与环境风险控制水平</w:t>
            </w:r>
            <w:r>
              <w:rPr>
                <w:rFonts w:hint="default" w:ascii="Times New Roman" w:hAnsi="Times New Roman" w:cs="Times New Roman"/>
                <w:b/>
                <w:color w:val="auto"/>
                <w:szCs w:val="21"/>
              </w:rPr>
              <w:t>值</w:t>
            </w:r>
          </w:p>
        </w:tc>
        <w:tc>
          <w:tcPr>
            <w:tcW w:w="4813" w:type="dxa"/>
            <w:vAlign w:val="center"/>
          </w:tcPr>
          <w:p w14:paraId="2911D775">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rPr>
            </w:pPr>
            <w:r>
              <w:rPr>
                <w:rFonts w:hint="default" w:ascii="Times New Roman" w:hAnsi="Times New Roman" w:cs="Times New Roman"/>
                <w:b/>
                <w:bCs/>
                <w:color w:val="auto"/>
                <w:szCs w:val="21"/>
              </w:rPr>
              <w:t>生产工艺过程与环境风险控制水平类型</w:t>
            </w:r>
          </w:p>
        </w:tc>
      </w:tr>
      <w:tr w14:paraId="4E0BE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815" w:type="dxa"/>
            <w:vAlign w:val="center"/>
          </w:tcPr>
          <w:p w14:paraId="670669B7">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M&lt;25</w:t>
            </w:r>
          </w:p>
        </w:tc>
        <w:tc>
          <w:tcPr>
            <w:tcW w:w="4813" w:type="dxa"/>
            <w:vAlign w:val="center"/>
          </w:tcPr>
          <w:p w14:paraId="16EC143C">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M1</w:t>
            </w:r>
          </w:p>
        </w:tc>
      </w:tr>
      <w:tr w14:paraId="1A878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815" w:type="dxa"/>
            <w:vAlign w:val="center"/>
          </w:tcPr>
          <w:p w14:paraId="7662D1BF">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25≤M&lt;45</w:t>
            </w:r>
          </w:p>
        </w:tc>
        <w:tc>
          <w:tcPr>
            <w:tcW w:w="4813" w:type="dxa"/>
            <w:vAlign w:val="center"/>
          </w:tcPr>
          <w:p w14:paraId="4DEDB051">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M2</w:t>
            </w:r>
          </w:p>
        </w:tc>
      </w:tr>
      <w:tr w14:paraId="4CE39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815" w:type="dxa"/>
            <w:vAlign w:val="center"/>
          </w:tcPr>
          <w:p w14:paraId="3D0AE303">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45≤M&lt;65</w:t>
            </w:r>
          </w:p>
        </w:tc>
        <w:tc>
          <w:tcPr>
            <w:tcW w:w="4813" w:type="dxa"/>
            <w:vAlign w:val="center"/>
          </w:tcPr>
          <w:p w14:paraId="1C8F79FD">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M3</w:t>
            </w:r>
          </w:p>
        </w:tc>
      </w:tr>
      <w:tr w14:paraId="74E6F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815" w:type="dxa"/>
            <w:vAlign w:val="center"/>
          </w:tcPr>
          <w:p w14:paraId="74A9BF61">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M≥65</w:t>
            </w:r>
          </w:p>
        </w:tc>
        <w:tc>
          <w:tcPr>
            <w:tcW w:w="4813" w:type="dxa"/>
            <w:vAlign w:val="center"/>
          </w:tcPr>
          <w:p w14:paraId="44F1DE55">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M4</w:t>
            </w:r>
          </w:p>
        </w:tc>
      </w:tr>
    </w:tbl>
    <w:p w14:paraId="0100AE8D">
      <w:pPr>
        <w:adjustRightInd w:val="0"/>
        <w:snapToGrid w:val="0"/>
        <w:spacing w:line="360" w:lineRule="auto"/>
        <w:ind w:firstLine="486" w:firstLineChars="200"/>
        <w:jc w:val="left"/>
        <w:rPr>
          <w:rFonts w:hint="default" w:ascii="Times New Roman" w:hAnsi="Times New Roman" w:cs="Times New Roman"/>
          <w:bCs/>
          <w:color w:val="auto"/>
          <w:sz w:val="24"/>
          <w:szCs w:val="22"/>
        </w:rPr>
      </w:pPr>
      <w:r>
        <w:rPr>
          <w:rFonts w:hint="default" w:ascii="Times New Roman" w:hAnsi="Times New Roman" w:eastAsia="宋体" w:cs="Times New Roman"/>
          <w:bCs/>
          <w:color w:val="auto"/>
          <w:sz w:val="24"/>
          <w:szCs w:val="22"/>
        </w:rPr>
        <w:t>根据大气环境风险防控措施及突发大气环境事件发生情况</w:t>
      </w:r>
      <w:r>
        <w:rPr>
          <w:rFonts w:hint="eastAsia" w:ascii="Times New Roman" w:hAnsi="Times New Roman" w:eastAsia="宋体" w:cs="Times New Roman"/>
          <w:bCs/>
          <w:color w:val="auto"/>
          <w:sz w:val="24"/>
          <w:szCs w:val="22"/>
          <w:lang w:eastAsia="zh-CN"/>
        </w:rPr>
        <w:t>的分</w:t>
      </w:r>
      <w:r>
        <w:rPr>
          <w:rFonts w:hint="default" w:ascii="Times New Roman" w:hAnsi="Times New Roman" w:eastAsia="宋体" w:cs="Times New Roman"/>
          <w:bCs/>
          <w:color w:val="auto"/>
          <w:sz w:val="24"/>
          <w:szCs w:val="22"/>
        </w:rPr>
        <w:t>可知，</w:t>
      </w:r>
      <w:r>
        <w:rPr>
          <w:rFonts w:hint="eastAsia" w:ascii="Times New Roman" w:hAnsi="Times New Roman" w:eastAsia="宋体" w:cs="Times New Roman"/>
          <w:bCs/>
          <w:color w:val="auto"/>
          <w:sz w:val="24"/>
          <w:szCs w:val="22"/>
          <w:lang w:val="en-US" w:eastAsia="zh-CN"/>
        </w:rPr>
        <w:t>M为</w:t>
      </w:r>
      <w:r>
        <w:rPr>
          <w:rFonts w:hint="eastAsia" w:cs="Times New Roman"/>
          <w:bCs/>
          <w:color w:val="auto"/>
          <w:sz w:val="24"/>
          <w:szCs w:val="22"/>
          <w:lang w:val="en-US" w:eastAsia="zh-CN"/>
        </w:rPr>
        <w:t>40</w:t>
      </w:r>
      <w:r>
        <w:rPr>
          <w:rFonts w:hint="eastAsia" w:ascii="Times New Roman" w:hAnsi="Times New Roman" w:eastAsia="宋体" w:cs="Times New Roman"/>
          <w:bCs/>
          <w:color w:val="auto"/>
          <w:sz w:val="24"/>
          <w:szCs w:val="22"/>
          <w:lang w:val="en-US" w:eastAsia="zh-CN"/>
        </w:rPr>
        <w:t>分</w:t>
      </w:r>
      <w:r>
        <w:rPr>
          <w:rFonts w:hint="eastAsia" w:cs="Times New Roman"/>
          <w:bCs/>
          <w:color w:val="auto"/>
          <w:sz w:val="24"/>
          <w:szCs w:val="22"/>
          <w:lang w:val="en-US" w:eastAsia="zh-CN"/>
        </w:rPr>
        <w:t>，</w:t>
      </w:r>
      <w:r>
        <w:rPr>
          <w:rFonts w:hint="eastAsia" w:ascii="Times New Roman" w:hAnsi="Times New Roman" w:eastAsia="宋体" w:cs="Times New Roman"/>
          <w:bCs/>
          <w:color w:val="auto"/>
          <w:sz w:val="24"/>
          <w:szCs w:val="22"/>
          <w:lang w:val="en-US" w:eastAsia="zh-CN"/>
        </w:rPr>
        <w:t>45≤M&lt;65</w:t>
      </w:r>
      <w:r>
        <w:rPr>
          <w:rFonts w:hint="default" w:ascii="Times New Roman" w:hAnsi="Times New Roman" w:cs="Times New Roman"/>
          <w:bCs/>
          <w:color w:val="auto"/>
          <w:sz w:val="24"/>
          <w:szCs w:val="22"/>
        </w:rPr>
        <w:t>，工艺过程与环境风险控制水平</w:t>
      </w:r>
      <w:r>
        <w:rPr>
          <w:rFonts w:hint="default" w:ascii="Times New Roman" w:hAnsi="Times New Roman" w:cs="Times New Roman"/>
          <w:bCs/>
          <w:color w:val="auto"/>
          <w:sz w:val="24"/>
          <w:szCs w:val="22"/>
          <w:highlight w:val="none"/>
        </w:rPr>
        <w:t>为M</w:t>
      </w:r>
      <w:r>
        <w:rPr>
          <w:rFonts w:hint="eastAsia" w:cs="Times New Roman"/>
          <w:bCs/>
          <w:color w:val="auto"/>
          <w:sz w:val="24"/>
          <w:szCs w:val="22"/>
          <w:highlight w:val="none"/>
          <w:lang w:val="en-US" w:eastAsia="zh-CN"/>
        </w:rPr>
        <w:t>2</w:t>
      </w:r>
      <w:r>
        <w:rPr>
          <w:rFonts w:hint="default" w:ascii="Times New Roman" w:hAnsi="Times New Roman" w:cs="Times New Roman"/>
          <w:bCs/>
          <w:color w:val="auto"/>
          <w:sz w:val="24"/>
          <w:szCs w:val="22"/>
          <w:highlight w:val="none"/>
        </w:rPr>
        <w:t>类。</w:t>
      </w:r>
    </w:p>
    <w:p w14:paraId="02F066B2">
      <w:pPr>
        <w:spacing w:before="0" w:after="0"/>
        <w:outlineLvl w:val="9"/>
        <w:rPr>
          <w:rFonts w:hint="default" w:ascii="Times New Roman" w:hAnsi="Times New Roman" w:cs="Times New Roman"/>
          <w:color w:val="auto"/>
          <w:sz w:val="24"/>
          <w:szCs w:val="32"/>
        </w:rPr>
      </w:pPr>
      <w:bookmarkStart w:id="237" w:name="_Toc27825"/>
      <w:bookmarkStart w:id="238" w:name="_Toc12337"/>
      <w:bookmarkStart w:id="239" w:name="_Toc6296"/>
      <w:bookmarkStart w:id="240" w:name="_Toc8576"/>
      <w:r>
        <w:rPr>
          <w:rFonts w:hint="default" w:ascii="Times New Roman" w:hAnsi="Times New Roman" w:cs="Times New Roman"/>
          <w:color w:val="auto"/>
          <w:sz w:val="24"/>
          <w:szCs w:val="32"/>
        </w:rPr>
        <w:t>7.1.3 大气环境风险受体敏感程度（E）评估</w:t>
      </w:r>
      <w:bookmarkEnd w:id="237"/>
      <w:bookmarkEnd w:id="238"/>
      <w:bookmarkEnd w:id="239"/>
      <w:bookmarkEnd w:id="240"/>
    </w:p>
    <w:p w14:paraId="0DDF6810">
      <w:pPr>
        <w:adjustRightInd w:val="0"/>
        <w:snapToGrid w:val="0"/>
        <w:spacing w:line="360" w:lineRule="auto"/>
        <w:ind w:firstLine="486" w:firstLineChars="200"/>
        <w:jc w:val="left"/>
        <w:rPr>
          <w:rFonts w:hint="default" w:ascii="Times New Roman" w:hAnsi="Times New Roman" w:cs="Times New Roman"/>
          <w:bCs/>
          <w:color w:val="auto"/>
          <w:sz w:val="24"/>
        </w:rPr>
      </w:pPr>
      <w:r>
        <w:rPr>
          <w:rFonts w:hint="default" w:ascii="Times New Roman" w:hAnsi="Times New Roman" w:cs="Times New Roman"/>
          <w:bCs/>
          <w:color w:val="auto"/>
          <w:sz w:val="24"/>
        </w:rPr>
        <w:t>大气环境风险受体敏感程度类型按照企业周边人口数进行划分。按照企业周边5公里或500米范围内人口数将大气环境风险受体敏感程度划分为类型1、类型2和类型3三种类型，分别以E1、E2和E3表示，见表7.2-1。</w:t>
      </w:r>
    </w:p>
    <w:p w14:paraId="158073F9">
      <w:pPr>
        <w:adjustRightInd w:val="0"/>
        <w:snapToGrid w:val="0"/>
        <w:spacing w:line="360" w:lineRule="auto"/>
        <w:ind w:firstLine="486" w:firstLineChars="200"/>
        <w:jc w:val="left"/>
        <w:rPr>
          <w:rFonts w:hint="default" w:ascii="Times New Roman" w:hAnsi="Times New Roman" w:cs="Times New Roman"/>
          <w:bCs/>
          <w:color w:val="auto"/>
          <w:sz w:val="24"/>
        </w:rPr>
      </w:pPr>
      <w:r>
        <w:rPr>
          <w:rFonts w:hint="default" w:ascii="Times New Roman" w:hAnsi="Times New Roman" w:cs="Times New Roman"/>
          <w:bCs/>
          <w:color w:val="auto"/>
          <w:sz w:val="24"/>
        </w:rPr>
        <w:t>大气环境风险受体敏感程度按照类型1、类型2和类型3顺序依次降低。若企业周边存在多种敏感程度类型的大气环境风险受体，则按敏感程度高者确定企业大气环境风险受体敏感程度类型。</w:t>
      </w:r>
    </w:p>
    <w:p w14:paraId="3E599319">
      <w:pPr>
        <w:adjustRightInd w:val="0"/>
        <w:snapToGrid w:val="0"/>
        <w:spacing w:line="360" w:lineRule="auto"/>
        <w:ind w:firstLine="486" w:firstLineChars="200"/>
        <w:jc w:val="center"/>
        <w:rPr>
          <w:rFonts w:hint="default" w:ascii="Times New Roman" w:hAnsi="Times New Roman" w:cs="Times New Roman"/>
          <w:b/>
          <w:color w:val="auto"/>
          <w:sz w:val="24"/>
        </w:rPr>
      </w:pPr>
      <w:r>
        <w:rPr>
          <w:rFonts w:hint="default" w:ascii="Times New Roman" w:hAnsi="Times New Roman" w:cs="Times New Roman"/>
          <w:b/>
          <w:color w:val="auto"/>
          <w:sz w:val="24"/>
        </w:rPr>
        <w:t>表7.1-</w:t>
      </w:r>
      <w:r>
        <w:rPr>
          <w:rFonts w:hint="default" w:ascii="Times New Roman" w:hAnsi="Times New Roman" w:cs="Times New Roman"/>
          <w:b/>
          <w:color w:val="auto"/>
          <w:sz w:val="24"/>
          <w:lang w:val="en-US" w:eastAsia="zh-CN"/>
        </w:rPr>
        <w:t>7</w:t>
      </w:r>
      <w:r>
        <w:rPr>
          <w:rFonts w:hint="default" w:ascii="Times New Roman" w:hAnsi="Times New Roman" w:cs="Times New Roman"/>
          <w:b/>
          <w:color w:val="auto"/>
          <w:sz w:val="24"/>
        </w:rPr>
        <w:t xml:space="preserve">  大气环境风险受体敏感程度类型划分依据</w:t>
      </w:r>
    </w:p>
    <w:tbl>
      <w:tblPr>
        <w:tblStyle w:val="33"/>
        <w:tblW w:w="92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6"/>
        <w:gridCol w:w="7947"/>
      </w:tblGrid>
      <w:tr w14:paraId="717FE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blHeader/>
          <w:jc w:val="center"/>
        </w:trPr>
        <w:tc>
          <w:tcPr>
            <w:tcW w:w="1266" w:type="dxa"/>
            <w:vAlign w:val="center"/>
          </w:tcPr>
          <w:p w14:paraId="659FF3A1">
            <w:pPr>
              <w:keepNext w:val="0"/>
              <w:keepLines w:val="0"/>
              <w:suppressLineNumbers w:val="0"/>
              <w:adjustRightInd w:val="0"/>
              <w:snapToGrid w:val="0"/>
              <w:spacing w:before="0" w:beforeAutospacing="0" w:after="0" w:afterAutospacing="0" w:line="336" w:lineRule="auto"/>
              <w:ind w:left="0" w:right="0"/>
              <w:jc w:val="center"/>
              <w:rPr>
                <w:rFonts w:hint="default" w:ascii="Times New Roman" w:hAnsi="Times New Roman" w:cs="Times New Roman"/>
                <w:b/>
                <w:bCs/>
                <w:color w:val="auto"/>
                <w:szCs w:val="21"/>
              </w:rPr>
            </w:pPr>
            <w:r>
              <w:rPr>
                <w:rFonts w:hint="default" w:ascii="Times New Roman" w:hAnsi="Times New Roman" w:cs="Times New Roman"/>
                <w:b/>
                <w:bCs/>
                <w:color w:val="auto"/>
                <w:szCs w:val="21"/>
              </w:rPr>
              <w:t>类别</w:t>
            </w:r>
          </w:p>
        </w:tc>
        <w:tc>
          <w:tcPr>
            <w:tcW w:w="7947" w:type="dxa"/>
            <w:vAlign w:val="center"/>
          </w:tcPr>
          <w:p w14:paraId="1D1A2871">
            <w:pPr>
              <w:keepNext w:val="0"/>
              <w:keepLines w:val="0"/>
              <w:suppressLineNumbers w:val="0"/>
              <w:adjustRightInd w:val="0"/>
              <w:snapToGrid w:val="0"/>
              <w:spacing w:before="0" w:beforeAutospacing="0" w:after="0" w:afterAutospacing="0" w:line="336" w:lineRule="auto"/>
              <w:ind w:left="0" w:right="0"/>
              <w:jc w:val="center"/>
              <w:rPr>
                <w:rFonts w:hint="default" w:ascii="Times New Roman" w:hAnsi="Times New Roman" w:cs="Times New Roman"/>
                <w:b/>
                <w:bCs/>
                <w:color w:val="auto"/>
                <w:szCs w:val="21"/>
              </w:rPr>
            </w:pPr>
            <w:r>
              <w:rPr>
                <w:rFonts w:hint="default" w:ascii="Times New Roman" w:hAnsi="Times New Roman" w:cs="Times New Roman"/>
                <w:b/>
                <w:bCs/>
                <w:color w:val="auto"/>
                <w:szCs w:val="21"/>
              </w:rPr>
              <w:t>环境风险受体情况</w:t>
            </w:r>
          </w:p>
        </w:tc>
      </w:tr>
      <w:tr w14:paraId="5CF00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266" w:type="dxa"/>
            <w:vAlign w:val="center"/>
          </w:tcPr>
          <w:p w14:paraId="46287D90">
            <w:pPr>
              <w:keepNext w:val="0"/>
              <w:keepLines w:val="0"/>
              <w:suppressLineNumbers w:val="0"/>
              <w:adjustRightInd w:val="0"/>
              <w:snapToGrid w:val="0"/>
              <w:spacing w:before="0" w:beforeAutospacing="0" w:after="0" w:afterAutospacing="0" w:line="336" w:lineRule="auto"/>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类型1</w:t>
            </w:r>
          </w:p>
          <w:p w14:paraId="0D87ADA4">
            <w:pPr>
              <w:keepNext w:val="0"/>
              <w:keepLines w:val="0"/>
              <w:suppressLineNumbers w:val="0"/>
              <w:adjustRightInd w:val="0"/>
              <w:snapToGrid w:val="0"/>
              <w:spacing w:before="0" w:beforeAutospacing="0" w:after="0" w:afterAutospacing="0" w:line="336" w:lineRule="auto"/>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（E1）</w:t>
            </w:r>
          </w:p>
        </w:tc>
        <w:tc>
          <w:tcPr>
            <w:tcW w:w="7947" w:type="dxa"/>
            <w:vAlign w:val="center"/>
          </w:tcPr>
          <w:p w14:paraId="78C9C05C">
            <w:pPr>
              <w:keepNext w:val="0"/>
              <w:keepLines w:val="0"/>
              <w:suppressLineNumbers w:val="0"/>
              <w:adjustRightInd w:val="0"/>
              <w:snapToGrid w:val="0"/>
              <w:spacing w:before="0" w:beforeAutospacing="0" w:after="0" w:afterAutospacing="0" w:line="336" w:lineRule="auto"/>
              <w:ind w:left="0" w:right="0"/>
              <w:rPr>
                <w:rFonts w:hint="default" w:ascii="Times New Roman" w:hAnsi="Times New Roman" w:cs="Times New Roman"/>
                <w:color w:val="auto"/>
                <w:szCs w:val="21"/>
              </w:rPr>
            </w:pPr>
            <w:r>
              <w:rPr>
                <w:rFonts w:hint="default" w:ascii="Times New Roman" w:hAnsi="Times New Roman" w:cs="Times New Roman"/>
                <w:color w:val="auto"/>
                <w:szCs w:val="21"/>
              </w:rPr>
              <w:t>企业周边5公里范围内居住区、医疗卫生机构、文化教育机构、科研单位、行政机关、企事业单位、商场、公园等人口总数5万人以上，或企业周边500米范围内人口总数1000人以上，或企业周边5公里涉及军事禁区、军事管理区、国家相关保密区域</w:t>
            </w:r>
          </w:p>
        </w:tc>
      </w:tr>
      <w:tr w14:paraId="53E71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266" w:type="dxa"/>
            <w:vAlign w:val="center"/>
          </w:tcPr>
          <w:p w14:paraId="2EA025B9">
            <w:pPr>
              <w:keepNext w:val="0"/>
              <w:keepLines w:val="0"/>
              <w:suppressLineNumbers w:val="0"/>
              <w:adjustRightInd w:val="0"/>
              <w:snapToGrid w:val="0"/>
              <w:spacing w:before="0" w:beforeAutospacing="0" w:after="0" w:afterAutospacing="0" w:line="336" w:lineRule="auto"/>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类型2</w:t>
            </w:r>
          </w:p>
          <w:p w14:paraId="31A392DF">
            <w:pPr>
              <w:keepNext w:val="0"/>
              <w:keepLines w:val="0"/>
              <w:suppressLineNumbers w:val="0"/>
              <w:adjustRightInd w:val="0"/>
              <w:snapToGrid w:val="0"/>
              <w:spacing w:before="0" w:beforeAutospacing="0" w:after="0" w:afterAutospacing="0" w:line="336" w:lineRule="auto"/>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（E2）</w:t>
            </w:r>
          </w:p>
        </w:tc>
        <w:tc>
          <w:tcPr>
            <w:tcW w:w="7947" w:type="dxa"/>
            <w:vAlign w:val="center"/>
          </w:tcPr>
          <w:p w14:paraId="5ACCD456">
            <w:pPr>
              <w:keepNext w:val="0"/>
              <w:keepLines w:val="0"/>
              <w:suppressLineNumbers w:val="0"/>
              <w:adjustRightInd w:val="0"/>
              <w:snapToGrid w:val="0"/>
              <w:spacing w:before="0" w:beforeAutospacing="0" w:after="0" w:afterAutospacing="0" w:line="336" w:lineRule="auto"/>
              <w:ind w:left="0" w:right="0"/>
              <w:rPr>
                <w:rFonts w:hint="default" w:ascii="Times New Roman" w:hAnsi="Times New Roman" w:cs="Times New Roman"/>
                <w:color w:val="auto"/>
                <w:szCs w:val="21"/>
              </w:rPr>
            </w:pPr>
            <w:r>
              <w:rPr>
                <w:rFonts w:hint="default" w:ascii="Times New Roman" w:hAnsi="Times New Roman" w:cs="Times New Roman"/>
                <w:color w:val="auto"/>
                <w:szCs w:val="21"/>
              </w:rPr>
              <w:t>企业周边5公里范围内居住区、医疗卫生机构、文化教育机构、科研单位、行政机关、企业事业单位、商场、公园等人口总数1万人以上、5万人以下，或企业周边500米范围内人口总数500人以上、1000人以下</w:t>
            </w:r>
          </w:p>
        </w:tc>
      </w:tr>
      <w:tr w14:paraId="52CE4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266" w:type="dxa"/>
            <w:vAlign w:val="center"/>
          </w:tcPr>
          <w:p w14:paraId="109864FF">
            <w:pPr>
              <w:keepNext w:val="0"/>
              <w:keepLines w:val="0"/>
              <w:suppressLineNumbers w:val="0"/>
              <w:adjustRightInd w:val="0"/>
              <w:snapToGrid w:val="0"/>
              <w:spacing w:before="0" w:beforeAutospacing="0" w:after="0" w:afterAutospacing="0" w:line="336" w:lineRule="auto"/>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类型3</w:t>
            </w:r>
          </w:p>
          <w:p w14:paraId="6E795E08">
            <w:pPr>
              <w:keepNext w:val="0"/>
              <w:keepLines w:val="0"/>
              <w:suppressLineNumbers w:val="0"/>
              <w:adjustRightInd w:val="0"/>
              <w:snapToGrid w:val="0"/>
              <w:spacing w:before="0" w:beforeAutospacing="0" w:after="0" w:afterAutospacing="0" w:line="336" w:lineRule="auto"/>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（E3）</w:t>
            </w:r>
          </w:p>
        </w:tc>
        <w:tc>
          <w:tcPr>
            <w:tcW w:w="7947" w:type="dxa"/>
            <w:vAlign w:val="center"/>
          </w:tcPr>
          <w:p w14:paraId="6052F417">
            <w:pPr>
              <w:keepNext w:val="0"/>
              <w:keepLines w:val="0"/>
              <w:suppressLineNumbers w:val="0"/>
              <w:adjustRightInd w:val="0"/>
              <w:snapToGrid w:val="0"/>
              <w:spacing w:before="0" w:beforeAutospacing="0" w:after="0" w:afterAutospacing="0" w:line="336" w:lineRule="auto"/>
              <w:ind w:left="0" w:right="0"/>
              <w:rPr>
                <w:rFonts w:hint="default" w:ascii="Times New Roman" w:hAnsi="Times New Roman" w:cs="Times New Roman"/>
                <w:color w:val="auto"/>
                <w:szCs w:val="21"/>
              </w:rPr>
            </w:pPr>
            <w:r>
              <w:rPr>
                <w:rFonts w:hint="default" w:ascii="Times New Roman" w:hAnsi="Times New Roman" w:cs="Times New Roman"/>
                <w:color w:val="auto"/>
                <w:szCs w:val="21"/>
              </w:rPr>
              <w:t>企业周边5公里范围内居住区、医疗卫生机构、文化教育机构、科研单位、行政机关、企业事业单位、商场、公园等人口总数1万以下，且企业周边500米范围内人口总数500人以下</w:t>
            </w:r>
          </w:p>
        </w:tc>
      </w:tr>
    </w:tbl>
    <w:p w14:paraId="59F69880">
      <w:pPr>
        <w:adjustRightInd w:val="0"/>
        <w:snapToGrid w:val="0"/>
        <w:spacing w:line="360" w:lineRule="auto"/>
        <w:ind w:firstLine="486" w:firstLineChars="200"/>
        <w:rPr>
          <w:rFonts w:hint="default" w:ascii="Times New Roman" w:hAnsi="Times New Roman" w:cs="Times New Roman"/>
          <w:color w:val="auto"/>
          <w:sz w:val="24"/>
          <w:szCs w:val="22"/>
        </w:rPr>
      </w:pPr>
      <w:r>
        <w:rPr>
          <w:rFonts w:hint="default" w:ascii="Times New Roman" w:hAnsi="Times New Roman" w:cs="Times New Roman"/>
          <w:color w:val="auto"/>
          <w:sz w:val="24"/>
          <w:szCs w:val="22"/>
        </w:rPr>
        <w:t>按照“3.2 企业周边环境风险受体情况”分析，依据重要性和敏感度高的类型计的原则，判断环境风险受体类型为：类型</w:t>
      </w:r>
      <w:r>
        <w:rPr>
          <w:rFonts w:hint="default" w:ascii="Times New Roman" w:hAnsi="Times New Roman" w:cs="Times New Roman"/>
          <w:color w:val="auto"/>
          <w:sz w:val="24"/>
          <w:szCs w:val="22"/>
          <w:lang w:val="en-US" w:eastAsia="zh-CN"/>
        </w:rPr>
        <w:t>2</w:t>
      </w:r>
      <w:r>
        <w:rPr>
          <w:rFonts w:hint="default" w:ascii="Times New Roman" w:hAnsi="Times New Roman" w:cs="Times New Roman"/>
          <w:color w:val="auto"/>
          <w:sz w:val="24"/>
          <w:szCs w:val="22"/>
        </w:rPr>
        <w:t>（E2）</w:t>
      </w:r>
    </w:p>
    <w:p w14:paraId="45E88996">
      <w:pPr>
        <w:keepNext w:val="0"/>
        <w:keepLines w:val="0"/>
        <w:pageBreakBefore w:val="0"/>
        <w:kinsoku/>
        <w:wordWrap/>
        <w:overflowPunct/>
        <w:topLinePunct w:val="0"/>
        <w:autoSpaceDE/>
        <w:autoSpaceDN/>
        <w:bidi w:val="0"/>
        <w:spacing w:line="360" w:lineRule="auto"/>
        <w:textAlignment w:val="auto"/>
        <w:outlineLvl w:val="9"/>
        <w:rPr>
          <w:rFonts w:hint="default" w:ascii="Times New Roman" w:hAnsi="Times New Roman" w:cs="Times New Roman"/>
          <w:color w:val="auto"/>
          <w:sz w:val="24"/>
          <w:szCs w:val="32"/>
        </w:rPr>
      </w:pPr>
      <w:bookmarkStart w:id="241" w:name="_Toc21570"/>
      <w:r>
        <w:rPr>
          <w:rFonts w:hint="default" w:ascii="Times New Roman" w:hAnsi="Times New Roman" w:cs="Times New Roman"/>
          <w:color w:val="auto"/>
          <w:sz w:val="24"/>
          <w:szCs w:val="32"/>
        </w:rPr>
        <w:t>7.1.</w:t>
      </w:r>
      <w:r>
        <w:rPr>
          <w:rFonts w:hint="eastAsia" w:cs="Times New Roman"/>
          <w:color w:val="auto"/>
          <w:sz w:val="24"/>
          <w:szCs w:val="32"/>
          <w:lang w:val="en-US" w:eastAsia="zh-CN"/>
        </w:rPr>
        <w:t>4</w:t>
      </w:r>
      <w:r>
        <w:rPr>
          <w:rFonts w:hint="default" w:ascii="Times New Roman" w:hAnsi="Times New Roman" w:cs="Times New Roman"/>
          <w:color w:val="auto"/>
          <w:sz w:val="24"/>
          <w:szCs w:val="32"/>
        </w:rPr>
        <w:t>突发大气环境事件风险分级</w:t>
      </w:r>
      <w:bookmarkEnd w:id="241"/>
    </w:p>
    <w:p w14:paraId="0432EEFF">
      <w:pPr>
        <w:keepNext w:val="0"/>
        <w:keepLines w:val="0"/>
        <w:pageBreakBefore w:val="0"/>
        <w:widowControl/>
        <w:kinsoku/>
        <w:wordWrap/>
        <w:overflowPunct/>
        <w:topLinePunct w:val="0"/>
        <w:autoSpaceDE/>
        <w:autoSpaceDN/>
        <w:bidi w:val="0"/>
        <w:adjustRightInd w:val="0"/>
        <w:snapToGrid w:val="0"/>
        <w:spacing w:line="360" w:lineRule="auto"/>
        <w:ind w:firstLine="486" w:firstLineChars="200"/>
        <w:textAlignment w:val="auto"/>
        <w:rPr>
          <w:rFonts w:hint="default" w:ascii="Times New Roman" w:hAnsi="Times New Roman" w:cs="Times New Roman"/>
          <w:color w:val="auto"/>
          <w:sz w:val="24"/>
        </w:rPr>
      </w:pPr>
      <w:r>
        <w:rPr>
          <w:rFonts w:hint="default" w:ascii="Times New Roman" w:hAnsi="Times New Roman" w:cs="Times New Roman"/>
          <w:color w:val="auto"/>
          <w:sz w:val="24"/>
        </w:rPr>
        <w:t>根据企业周边大气环境风险敏感程度（E）、涉气风险物质数量与临界量比值（Q）和生产工艺过程与大气环境风险控制水平（M），按照表7.1-7确定企业突发水环境事件风险等级。</w:t>
      </w:r>
    </w:p>
    <w:p w14:paraId="62BF8A11">
      <w:pPr>
        <w:widowControl/>
        <w:adjustRightInd w:val="0"/>
        <w:snapToGrid w:val="0"/>
        <w:spacing w:line="360" w:lineRule="auto"/>
        <w:jc w:val="center"/>
        <w:rPr>
          <w:rFonts w:hint="default" w:ascii="Times New Roman" w:hAnsi="Times New Roman" w:cs="Times New Roman"/>
          <w:b/>
          <w:bCs/>
          <w:color w:val="auto"/>
          <w:sz w:val="24"/>
        </w:rPr>
      </w:pPr>
      <w:r>
        <w:rPr>
          <w:rFonts w:hint="default" w:ascii="Times New Roman" w:hAnsi="Times New Roman" w:cs="Times New Roman"/>
          <w:b/>
          <w:bCs/>
          <w:color w:val="auto"/>
          <w:sz w:val="24"/>
        </w:rPr>
        <w:t>表7.1-</w:t>
      </w:r>
      <w:r>
        <w:rPr>
          <w:rFonts w:hint="default" w:ascii="Times New Roman" w:hAnsi="Times New Roman" w:cs="Times New Roman"/>
          <w:b/>
          <w:bCs/>
          <w:color w:val="auto"/>
          <w:sz w:val="24"/>
          <w:lang w:val="en-US" w:eastAsia="zh-CN"/>
        </w:rPr>
        <w:t>8</w:t>
      </w:r>
      <w:r>
        <w:rPr>
          <w:rFonts w:hint="default" w:ascii="Times New Roman" w:hAnsi="Times New Roman" w:cs="Times New Roman"/>
          <w:b/>
          <w:bCs/>
          <w:color w:val="auto"/>
          <w:sz w:val="24"/>
        </w:rPr>
        <w:t xml:space="preserve">  企业生产工艺过程与大气环境风险控制水平评分</w:t>
      </w:r>
    </w:p>
    <w:tbl>
      <w:tblPr>
        <w:tblStyle w:val="33"/>
        <w:tblW w:w="94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374"/>
        <w:gridCol w:w="2161"/>
        <w:gridCol w:w="1436"/>
        <w:gridCol w:w="1457"/>
        <w:gridCol w:w="1520"/>
        <w:gridCol w:w="1521"/>
      </w:tblGrid>
      <w:tr w14:paraId="25C05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3" w:hRule="atLeast"/>
          <w:jc w:val="center"/>
        </w:trPr>
        <w:tc>
          <w:tcPr>
            <w:tcW w:w="1374" w:type="dxa"/>
            <w:vMerge w:val="restart"/>
            <w:vAlign w:val="center"/>
          </w:tcPr>
          <w:p w14:paraId="2C875B5F">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b/>
                <w:bCs/>
                <w:color w:val="auto"/>
                <w:szCs w:val="21"/>
              </w:rPr>
            </w:pPr>
            <w:r>
              <w:rPr>
                <w:rFonts w:hint="default" w:ascii="Times New Roman" w:hAnsi="Times New Roman" w:cs="Times New Roman"/>
                <w:b/>
                <w:bCs/>
                <w:color w:val="auto"/>
                <w:szCs w:val="21"/>
              </w:rPr>
              <w:t>环境风险受体敏感程度（E）</w:t>
            </w:r>
          </w:p>
        </w:tc>
        <w:tc>
          <w:tcPr>
            <w:tcW w:w="2161" w:type="dxa"/>
            <w:vMerge w:val="restart"/>
            <w:vAlign w:val="center"/>
          </w:tcPr>
          <w:p w14:paraId="69FB53BA">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b/>
                <w:bCs/>
                <w:color w:val="auto"/>
                <w:szCs w:val="21"/>
              </w:rPr>
            </w:pPr>
            <w:r>
              <w:rPr>
                <w:rFonts w:hint="default" w:ascii="Times New Roman" w:hAnsi="Times New Roman" w:cs="Times New Roman"/>
                <w:b/>
                <w:bCs/>
                <w:color w:val="auto"/>
                <w:szCs w:val="21"/>
              </w:rPr>
              <w:t>风险物质数量与临界量比值（Q）</w:t>
            </w:r>
          </w:p>
        </w:tc>
        <w:tc>
          <w:tcPr>
            <w:tcW w:w="5934" w:type="dxa"/>
            <w:gridSpan w:val="4"/>
            <w:vAlign w:val="center"/>
          </w:tcPr>
          <w:p w14:paraId="3ABC120D">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b/>
                <w:bCs/>
                <w:color w:val="auto"/>
                <w:szCs w:val="21"/>
              </w:rPr>
            </w:pPr>
            <w:r>
              <w:rPr>
                <w:rFonts w:hint="default" w:ascii="Times New Roman" w:hAnsi="Times New Roman" w:cs="Times New Roman"/>
                <w:b/>
                <w:bCs/>
                <w:color w:val="auto"/>
                <w:szCs w:val="21"/>
              </w:rPr>
              <w:t>生产工艺过程与环境风险控制水平（）</w:t>
            </w:r>
          </w:p>
        </w:tc>
      </w:tr>
      <w:tr w14:paraId="7FBAF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3" w:hRule="atLeast"/>
          <w:jc w:val="center"/>
        </w:trPr>
        <w:tc>
          <w:tcPr>
            <w:tcW w:w="1374" w:type="dxa"/>
            <w:vMerge w:val="continue"/>
            <w:vAlign w:val="center"/>
          </w:tcPr>
          <w:p w14:paraId="1BA7010C">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rPr>
            </w:pPr>
          </w:p>
        </w:tc>
        <w:tc>
          <w:tcPr>
            <w:tcW w:w="2161" w:type="dxa"/>
            <w:vMerge w:val="continue"/>
            <w:vAlign w:val="center"/>
          </w:tcPr>
          <w:p w14:paraId="1F320132">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rPr>
            </w:pPr>
          </w:p>
        </w:tc>
        <w:tc>
          <w:tcPr>
            <w:tcW w:w="1436" w:type="dxa"/>
            <w:vAlign w:val="center"/>
          </w:tcPr>
          <w:p w14:paraId="13DBD0D8">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M1类水平</w:t>
            </w:r>
          </w:p>
        </w:tc>
        <w:tc>
          <w:tcPr>
            <w:tcW w:w="1457" w:type="dxa"/>
            <w:vAlign w:val="center"/>
          </w:tcPr>
          <w:p w14:paraId="69FDC994">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M2类水平</w:t>
            </w:r>
          </w:p>
        </w:tc>
        <w:tc>
          <w:tcPr>
            <w:tcW w:w="1520" w:type="dxa"/>
            <w:vAlign w:val="center"/>
          </w:tcPr>
          <w:p w14:paraId="504E6588">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M3类水平</w:t>
            </w:r>
          </w:p>
        </w:tc>
        <w:tc>
          <w:tcPr>
            <w:tcW w:w="1521" w:type="dxa"/>
            <w:vAlign w:val="center"/>
          </w:tcPr>
          <w:p w14:paraId="28CB7F96">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M4类水平</w:t>
            </w:r>
          </w:p>
        </w:tc>
      </w:tr>
      <w:tr w14:paraId="37FFB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3" w:hRule="atLeast"/>
          <w:jc w:val="center"/>
        </w:trPr>
        <w:tc>
          <w:tcPr>
            <w:tcW w:w="1374" w:type="dxa"/>
            <w:vMerge w:val="restart"/>
            <w:vAlign w:val="center"/>
          </w:tcPr>
          <w:p w14:paraId="589A8A25">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类型1（E1）</w:t>
            </w:r>
          </w:p>
        </w:tc>
        <w:tc>
          <w:tcPr>
            <w:tcW w:w="2161" w:type="dxa"/>
            <w:vAlign w:val="center"/>
          </w:tcPr>
          <w:p w14:paraId="13ECCBAB">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1≤Q&lt;10（Q1）</w:t>
            </w:r>
          </w:p>
        </w:tc>
        <w:tc>
          <w:tcPr>
            <w:tcW w:w="1436" w:type="dxa"/>
            <w:vAlign w:val="center"/>
          </w:tcPr>
          <w:p w14:paraId="5379BC16">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较大</w:t>
            </w:r>
          </w:p>
        </w:tc>
        <w:tc>
          <w:tcPr>
            <w:tcW w:w="1457" w:type="dxa"/>
            <w:vAlign w:val="center"/>
          </w:tcPr>
          <w:p w14:paraId="2850075F">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较大</w:t>
            </w:r>
          </w:p>
        </w:tc>
        <w:tc>
          <w:tcPr>
            <w:tcW w:w="1520" w:type="dxa"/>
            <w:vAlign w:val="center"/>
          </w:tcPr>
          <w:p w14:paraId="48186A8F">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重大</w:t>
            </w:r>
          </w:p>
        </w:tc>
        <w:tc>
          <w:tcPr>
            <w:tcW w:w="1521" w:type="dxa"/>
            <w:vAlign w:val="center"/>
          </w:tcPr>
          <w:p w14:paraId="2B90DBF6">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重大</w:t>
            </w:r>
          </w:p>
        </w:tc>
      </w:tr>
      <w:tr w14:paraId="36530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3" w:hRule="atLeast"/>
          <w:jc w:val="center"/>
        </w:trPr>
        <w:tc>
          <w:tcPr>
            <w:tcW w:w="1374" w:type="dxa"/>
            <w:vMerge w:val="continue"/>
            <w:vAlign w:val="center"/>
          </w:tcPr>
          <w:p w14:paraId="7F547950">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rPr>
            </w:pPr>
          </w:p>
        </w:tc>
        <w:tc>
          <w:tcPr>
            <w:tcW w:w="2161" w:type="dxa"/>
            <w:vAlign w:val="center"/>
          </w:tcPr>
          <w:p w14:paraId="3D9B8A87">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 w:val="24"/>
              </w:rPr>
            </w:pPr>
            <w:r>
              <w:rPr>
                <w:rFonts w:hint="default" w:ascii="Times New Roman" w:hAnsi="Times New Roman" w:cs="Times New Roman"/>
                <w:color w:val="auto"/>
                <w:sz w:val="24"/>
              </w:rPr>
              <w:t>10</w:t>
            </w:r>
            <w:r>
              <w:rPr>
                <w:rFonts w:hint="default" w:ascii="Times New Roman" w:hAnsi="Times New Roman" w:cs="Times New Roman"/>
                <w:color w:val="auto"/>
                <w:szCs w:val="21"/>
              </w:rPr>
              <w:t>≤Q&lt;100（Q2）</w:t>
            </w:r>
          </w:p>
        </w:tc>
        <w:tc>
          <w:tcPr>
            <w:tcW w:w="1436" w:type="dxa"/>
            <w:vAlign w:val="center"/>
          </w:tcPr>
          <w:p w14:paraId="46FCE117">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较大</w:t>
            </w:r>
          </w:p>
        </w:tc>
        <w:tc>
          <w:tcPr>
            <w:tcW w:w="1457" w:type="dxa"/>
            <w:vAlign w:val="center"/>
          </w:tcPr>
          <w:p w14:paraId="58B1B107">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重大</w:t>
            </w:r>
          </w:p>
        </w:tc>
        <w:tc>
          <w:tcPr>
            <w:tcW w:w="1520" w:type="dxa"/>
            <w:vAlign w:val="center"/>
          </w:tcPr>
          <w:p w14:paraId="0419E2D7">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重大</w:t>
            </w:r>
          </w:p>
        </w:tc>
        <w:tc>
          <w:tcPr>
            <w:tcW w:w="1521" w:type="dxa"/>
            <w:vAlign w:val="center"/>
          </w:tcPr>
          <w:p w14:paraId="4AC05972">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重大</w:t>
            </w:r>
          </w:p>
        </w:tc>
      </w:tr>
      <w:tr w14:paraId="69792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3" w:hRule="atLeast"/>
          <w:jc w:val="center"/>
        </w:trPr>
        <w:tc>
          <w:tcPr>
            <w:tcW w:w="1374" w:type="dxa"/>
            <w:vMerge w:val="continue"/>
            <w:vAlign w:val="center"/>
          </w:tcPr>
          <w:p w14:paraId="2EFB3284">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rPr>
            </w:pPr>
          </w:p>
        </w:tc>
        <w:tc>
          <w:tcPr>
            <w:tcW w:w="2161" w:type="dxa"/>
            <w:vAlign w:val="center"/>
          </w:tcPr>
          <w:p w14:paraId="2E070427">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Q≥100（Q3）</w:t>
            </w:r>
          </w:p>
        </w:tc>
        <w:tc>
          <w:tcPr>
            <w:tcW w:w="1436" w:type="dxa"/>
            <w:vAlign w:val="center"/>
          </w:tcPr>
          <w:p w14:paraId="6D5DBED2">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重大</w:t>
            </w:r>
          </w:p>
        </w:tc>
        <w:tc>
          <w:tcPr>
            <w:tcW w:w="1457" w:type="dxa"/>
            <w:vAlign w:val="center"/>
          </w:tcPr>
          <w:p w14:paraId="0AB40671">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重大</w:t>
            </w:r>
          </w:p>
        </w:tc>
        <w:tc>
          <w:tcPr>
            <w:tcW w:w="1520" w:type="dxa"/>
            <w:vAlign w:val="center"/>
          </w:tcPr>
          <w:p w14:paraId="1228C177">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重大</w:t>
            </w:r>
          </w:p>
        </w:tc>
        <w:tc>
          <w:tcPr>
            <w:tcW w:w="1521" w:type="dxa"/>
            <w:vAlign w:val="center"/>
          </w:tcPr>
          <w:p w14:paraId="30AAF185">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重大</w:t>
            </w:r>
          </w:p>
        </w:tc>
      </w:tr>
      <w:tr w14:paraId="3997C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3" w:hRule="atLeast"/>
          <w:jc w:val="center"/>
        </w:trPr>
        <w:tc>
          <w:tcPr>
            <w:tcW w:w="1374" w:type="dxa"/>
            <w:vMerge w:val="restart"/>
            <w:vAlign w:val="center"/>
          </w:tcPr>
          <w:p w14:paraId="2A5F4AAD">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类型2（E2）</w:t>
            </w:r>
          </w:p>
        </w:tc>
        <w:tc>
          <w:tcPr>
            <w:tcW w:w="2161" w:type="dxa"/>
            <w:vAlign w:val="center"/>
          </w:tcPr>
          <w:p w14:paraId="78DD764B">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1≤Q&lt;10（Q1）</w:t>
            </w:r>
          </w:p>
        </w:tc>
        <w:tc>
          <w:tcPr>
            <w:tcW w:w="1436" w:type="dxa"/>
            <w:vAlign w:val="center"/>
          </w:tcPr>
          <w:p w14:paraId="6EDBA970">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一般</w:t>
            </w:r>
          </w:p>
        </w:tc>
        <w:tc>
          <w:tcPr>
            <w:tcW w:w="1457" w:type="dxa"/>
            <w:vAlign w:val="center"/>
          </w:tcPr>
          <w:p w14:paraId="02D3E82A">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较大</w:t>
            </w:r>
          </w:p>
        </w:tc>
        <w:tc>
          <w:tcPr>
            <w:tcW w:w="1520" w:type="dxa"/>
            <w:vAlign w:val="center"/>
          </w:tcPr>
          <w:p w14:paraId="770B453C">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较大</w:t>
            </w:r>
          </w:p>
        </w:tc>
        <w:tc>
          <w:tcPr>
            <w:tcW w:w="1521" w:type="dxa"/>
            <w:vAlign w:val="center"/>
          </w:tcPr>
          <w:p w14:paraId="320DE280">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重大</w:t>
            </w:r>
          </w:p>
        </w:tc>
      </w:tr>
      <w:tr w14:paraId="619E8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3" w:hRule="atLeast"/>
          <w:jc w:val="center"/>
        </w:trPr>
        <w:tc>
          <w:tcPr>
            <w:tcW w:w="1374" w:type="dxa"/>
            <w:vMerge w:val="continue"/>
            <w:vAlign w:val="center"/>
          </w:tcPr>
          <w:p w14:paraId="1DC4AE13">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rPr>
            </w:pPr>
          </w:p>
        </w:tc>
        <w:tc>
          <w:tcPr>
            <w:tcW w:w="2161" w:type="dxa"/>
            <w:vAlign w:val="center"/>
          </w:tcPr>
          <w:p w14:paraId="0399C2EF">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rPr>
            </w:pPr>
            <w:r>
              <w:rPr>
                <w:rFonts w:hint="default" w:ascii="Times New Roman" w:hAnsi="Times New Roman" w:cs="Times New Roman"/>
                <w:color w:val="auto"/>
                <w:sz w:val="24"/>
              </w:rPr>
              <w:t>10</w:t>
            </w:r>
            <w:r>
              <w:rPr>
                <w:rFonts w:hint="default" w:ascii="Times New Roman" w:hAnsi="Times New Roman" w:cs="Times New Roman"/>
                <w:color w:val="auto"/>
                <w:szCs w:val="21"/>
              </w:rPr>
              <w:t>≤Q&lt;100（Q2）</w:t>
            </w:r>
          </w:p>
        </w:tc>
        <w:tc>
          <w:tcPr>
            <w:tcW w:w="1436" w:type="dxa"/>
            <w:vAlign w:val="center"/>
          </w:tcPr>
          <w:p w14:paraId="3E5DAAED">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较大</w:t>
            </w:r>
          </w:p>
        </w:tc>
        <w:tc>
          <w:tcPr>
            <w:tcW w:w="1457" w:type="dxa"/>
            <w:vAlign w:val="center"/>
          </w:tcPr>
          <w:p w14:paraId="760C9E13">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较大</w:t>
            </w:r>
          </w:p>
        </w:tc>
        <w:tc>
          <w:tcPr>
            <w:tcW w:w="1520" w:type="dxa"/>
            <w:vAlign w:val="center"/>
          </w:tcPr>
          <w:p w14:paraId="1C655BE0">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highlight w:val="none"/>
              </w:rPr>
              <w:t>重大</w:t>
            </w:r>
          </w:p>
        </w:tc>
        <w:tc>
          <w:tcPr>
            <w:tcW w:w="1521" w:type="dxa"/>
            <w:vAlign w:val="center"/>
          </w:tcPr>
          <w:p w14:paraId="0D6CCE65">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重大</w:t>
            </w:r>
          </w:p>
        </w:tc>
      </w:tr>
      <w:tr w14:paraId="4DDD6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3" w:hRule="atLeast"/>
          <w:jc w:val="center"/>
        </w:trPr>
        <w:tc>
          <w:tcPr>
            <w:tcW w:w="1374" w:type="dxa"/>
            <w:vMerge w:val="continue"/>
            <w:vAlign w:val="center"/>
          </w:tcPr>
          <w:p w14:paraId="218F6030">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rPr>
            </w:pPr>
          </w:p>
        </w:tc>
        <w:tc>
          <w:tcPr>
            <w:tcW w:w="2161" w:type="dxa"/>
            <w:vAlign w:val="center"/>
          </w:tcPr>
          <w:p w14:paraId="0F90E13A">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Q≥100（Q3）</w:t>
            </w:r>
          </w:p>
        </w:tc>
        <w:tc>
          <w:tcPr>
            <w:tcW w:w="1436" w:type="dxa"/>
            <w:vAlign w:val="center"/>
          </w:tcPr>
          <w:p w14:paraId="5E50B127">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较大</w:t>
            </w:r>
          </w:p>
        </w:tc>
        <w:tc>
          <w:tcPr>
            <w:tcW w:w="1457" w:type="dxa"/>
            <w:vAlign w:val="center"/>
          </w:tcPr>
          <w:p w14:paraId="47CF8F45">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重大</w:t>
            </w:r>
          </w:p>
        </w:tc>
        <w:tc>
          <w:tcPr>
            <w:tcW w:w="1520" w:type="dxa"/>
            <w:vAlign w:val="center"/>
          </w:tcPr>
          <w:p w14:paraId="2A8A566B">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重大</w:t>
            </w:r>
          </w:p>
        </w:tc>
        <w:tc>
          <w:tcPr>
            <w:tcW w:w="1521" w:type="dxa"/>
            <w:vAlign w:val="center"/>
          </w:tcPr>
          <w:p w14:paraId="0B87839F">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重大</w:t>
            </w:r>
          </w:p>
        </w:tc>
      </w:tr>
      <w:tr w14:paraId="7AF82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3" w:hRule="atLeast"/>
          <w:jc w:val="center"/>
        </w:trPr>
        <w:tc>
          <w:tcPr>
            <w:tcW w:w="1374" w:type="dxa"/>
            <w:vMerge w:val="restart"/>
            <w:vAlign w:val="center"/>
          </w:tcPr>
          <w:p w14:paraId="0EC0C686">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类型3（E3）</w:t>
            </w:r>
          </w:p>
        </w:tc>
        <w:tc>
          <w:tcPr>
            <w:tcW w:w="2161" w:type="dxa"/>
            <w:vAlign w:val="center"/>
          </w:tcPr>
          <w:p w14:paraId="223C0E40">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1≤Q&lt;10（Q1）</w:t>
            </w:r>
          </w:p>
        </w:tc>
        <w:tc>
          <w:tcPr>
            <w:tcW w:w="1436" w:type="dxa"/>
            <w:vAlign w:val="center"/>
          </w:tcPr>
          <w:p w14:paraId="1E5B56C1">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一般</w:t>
            </w:r>
          </w:p>
        </w:tc>
        <w:tc>
          <w:tcPr>
            <w:tcW w:w="1457" w:type="dxa"/>
            <w:vAlign w:val="center"/>
          </w:tcPr>
          <w:p w14:paraId="57E5C0FD">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一般</w:t>
            </w:r>
          </w:p>
        </w:tc>
        <w:tc>
          <w:tcPr>
            <w:tcW w:w="1520" w:type="dxa"/>
            <w:vAlign w:val="center"/>
          </w:tcPr>
          <w:p w14:paraId="1096C521">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较大</w:t>
            </w:r>
          </w:p>
        </w:tc>
        <w:tc>
          <w:tcPr>
            <w:tcW w:w="1521" w:type="dxa"/>
            <w:vAlign w:val="center"/>
          </w:tcPr>
          <w:p w14:paraId="22B89B01">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较大</w:t>
            </w:r>
          </w:p>
        </w:tc>
      </w:tr>
      <w:tr w14:paraId="6E26C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3" w:hRule="atLeast"/>
          <w:jc w:val="center"/>
        </w:trPr>
        <w:tc>
          <w:tcPr>
            <w:tcW w:w="1374" w:type="dxa"/>
            <w:vMerge w:val="continue"/>
            <w:vAlign w:val="center"/>
          </w:tcPr>
          <w:p w14:paraId="7B35A823">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rPr>
            </w:pPr>
          </w:p>
        </w:tc>
        <w:tc>
          <w:tcPr>
            <w:tcW w:w="2161" w:type="dxa"/>
            <w:vAlign w:val="center"/>
          </w:tcPr>
          <w:p w14:paraId="5EF864F2">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rPr>
            </w:pPr>
            <w:r>
              <w:rPr>
                <w:rFonts w:hint="default" w:ascii="Times New Roman" w:hAnsi="Times New Roman" w:cs="Times New Roman"/>
                <w:color w:val="auto"/>
                <w:sz w:val="24"/>
              </w:rPr>
              <w:t>10</w:t>
            </w:r>
            <w:r>
              <w:rPr>
                <w:rFonts w:hint="default" w:ascii="Times New Roman" w:hAnsi="Times New Roman" w:cs="Times New Roman"/>
                <w:color w:val="auto"/>
                <w:szCs w:val="21"/>
              </w:rPr>
              <w:t>≤Q&lt;100（Q2）</w:t>
            </w:r>
          </w:p>
        </w:tc>
        <w:tc>
          <w:tcPr>
            <w:tcW w:w="1436" w:type="dxa"/>
            <w:vAlign w:val="center"/>
          </w:tcPr>
          <w:p w14:paraId="6B82ED88">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一般</w:t>
            </w:r>
          </w:p>
        </w:tc>
        <w:tc>
          <w:tcPr>
            <w:tcW w:w="1457" w:type="dxa"/>
            <w:vAlign w:val="center"/>
          </w:tcPr>
          <w:p w14:paraId="6437CCF7">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较大</w:t>
            </w:r>
          </w:p>
        </w:tc>
        <w:tc>
          <w:tcPr>
            <w:tcW w:w="1520" w:type="dxa"/>
            <w:vAlign w:val="center"/>
          </w:tcPr>
          <w:p w14:paraId="0C8700CD">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较大</w:t>
            </w:r>
          </w:p>
        </w:tc>
        <w:tc>
          <w:tcPr>
            <w:tcW w:w="1521" w:type="dxa"/>
            <w:vAlign w:val="center"/>
          </w:tcPr>
          <w:p w14:paraId="404FF31A">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重大</w:t>
            </w:r>
          </w:p>
        </w:tc>
      </w:tr>
      <w:tr w14:paraId="5E932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3" w:hRule="atLeast"/>
          <w:jc w:val="center"/>
        </w:trPr>
        <w:tc>
          <w:tcPr>
            <w:tcW w:w="1374" w:type="dxa"/>
            <w:vMerge w:val="continue"/>
            <w:vAlign w:val="center"/>
          </w:tcPr>
          <w:p w14:paraId="276F7584">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rPr>
            </w:pPr>
          </w:p>
        </w:tc>
        <w:tc>
          <w:tcPr>
            <w:tcW w:w="2161" w:type="dxa"/>
            <w:vAlign w:val="center"/>
          </w:tcPr>
          <w:p w14:paraId="0D720DF6">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Q≥100（Q3）</w:t>
            </w:r>
          </w:p>
        </w:tc>
        <w:tc>
          <w:tcPr>
            <w:tcW w:w="1436" w:type="dxa"/>
            <w:vAlign w:val="center"/>
          </w:tcPr>
          <w:p w14:paraId="5D18FFAF">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较大</w:t>
            </w:r>
          </w:p>
        </w:tc>
        <w:tc>
          <w:tcPr>
            <w:tcW w:w="1457" w:type="dxa"/>
            <w:vAlign w:val="center"/>
          </w:tcPr>
          <w:p w14:paraId="1BECD3F2">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较大</w:t>
            </w:r>
          </w:p>
        </w:tc>
        <w:tc>
          <w:tcPr>
            <w:tcW w:w="1520" w:type="dxa"/>
            <w:vAlign w:val="center"/>
          </w:tcPr>
          <w:p w14:paraId="73E1BD8E">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重大</w:t>
            </w:r>
          </w:p>
        </w:tc>
        <w:tc>
          <w:tcPr>
            <w:tcW w:w="1521" w:type="dxa"/>
            <w:vAlign w:val="center"/>
          </w:tcPr>
          <w:p w14:paraId="7B925482">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重大</w:t>
            </w:r>
          </w:p>
        </w:tc>
      </w:tr>
    </w:tbl>
    <w:p w14:paraId="37AE49D5">
      <w:pPr>
        <w:widowControl/>
        <w:adjustRightInd w:val="0"/>
        <w:snapToGrid w:val="0"/>
        <w:spacing w:before="156" w:beforeLines="50" w:line="360" w:lineRule="auto"/>
        <w:ind w:firstLine="561"/>
        <w:rPr>
          <w:rStyle w:val="42"/>
          <w:rFonts w:hint="default" w:ascii="Times New Roman" w:hAnsi="Times New Roman" w:eastAsia="宋体" w:cs="Times New Roman"/>
          <w:color w:val="auto"/>
          <w:sz w:val="11"/>
          <w:szCs w:val="11"/>
          <w:highlight w:val="none"/>
          <w:lang w:val="en-US" w:eastAsia="zh-CN"/>
        </w:rPr>
      </w:pPr>
      <w:r>
        <w:rPr>
          <w:rFonts w:hint="default" w:ascii="Times New Roman" w:hAnsi="Times New Roman" w:cs="Times New Roman"/>
          <w:color w:val="auto"/>
          <w:sz w:val="24"/>
          <w:highlight w:val="none"/>
        </w:rPr>
        <w:t>因此根据建设项目涉及的物质和工艺系统的危险性及其所在地的环境敏感程度，结合事故情形下环境影响途径，可知</w:t>
      </w:r>
      <w:r>
        <w:rPr>
          <w:rFonts w:hint="default" w:ascii="Times New Roman" w:hAnsi="Times New Roman" w:cs="Times New Roman"/>
          <w:color w:val="auto"/>
          <w:sz w:val="24"/>
          <w:highlight w:val="none"/>
          <w:lang w:eastAsia="zh-CN"/>
        </w:rPr>
        <w:t>山东隆信药业有限公司</w:t>
      </w:r>
      <w:r>
        <w:rPr>
          <w:rFonts w:hint="default" w:ascii="Times New Roman" w:hAnsi="Times New Roman" w:cs="Times New Roman"/>
          <w:color w:val="auto"/>
          <w:sz w:val="24"/>
          <w:highlight w:val="none"/>
        </w:rPr>
        <w:t>属于</w:t>
      </w:r>
      <w:r>
        <w:rPr>
          <w:rFonts w:hint="eastAsia" w:cs="Times New Roman"/>
          <w:color w:val="auto"/>
          <w:sz w:val="24"/>
          <w:highlight w:val="none"/>
          <w:lang w:eastAsia="zh-CN"/>
        </w:rPr>
        <w:t>重大</w:t>
      </w:r>
      <w:r>
        <w:rPr>
          <w:rFonts w:hint="default" w:ascii="Times New Roman" w:hAnsi="Times New Roman" w:cs="Times New Roman"/>
          <w:color w:val="auto"/>
          <w:sz w:val="24"/>
          <w:highlight w:val="none"/>
        </w:rPr>
        <w:t>环境风险等级，为</w:t>
      </w:r>
      <w:r>
        <w:rPr>
          <w:rFonts w:hint="eastAsia" w:cs="Times New Roman"/>
          <w:color w:val="auto"/>
          <w:sz w:val="24"/>
          <w:highlight w:val="none"/>
          <w:lang w:eastAsia="zh-CN"/>
        </w:rPr>
        <w:t>重大</w:t>
      </w:r>
      <w:r>
        <w:rPr>
          <w:rFonts w:hint="default" w:ascii="Times New Roman" w:hAnsi="Times New Roman" w:cs="Times New Roman"/>
          <w:color w:val="auto"/>
          <w:sz w:val="24"/>
          <w:highlight w:val="none"/>
          <w:lang w:val="en-US" w:eastAsia="zh-CN"/>
        </w:rPr>
        <w:t>-</w:t>
      </w:r>
      <w:r>
        <w:rPr>
          <w:rFonts w:hint="default" w:ascii="Times New Roman" w:hAnsi="Times New Roman" w:cs="Times New Roman"/>
          <w:color w:val="auto"/>
          <w:sz w:val="24"/>
          <w:highlight w:val="none"/>
        </w:rPr>
        <w:t>大气（Q</w:t>
      </w:r>
      <w:r>
        <w:rPr>
          <w:rFonts w:hint="default" w:ascii="Times New Roman" w:hAnsi="Times New Roman" w:cs="Times New Roman"/>
          <w:color w:val="auto"/>
          <w:sz w:val="24"/>
          <w:highlight w:val="none"/>
          <w:lang w:val="en-US" w:eastAsia="zh-CN"/>
        </w:rPr>
        <w:t>3</w:t>
      </w:r>
      <w:r>
        <w:rPr>
          <w:rFonts w:hint="default" w:ascii="Times New Roman" w:hAnsi="Times New Roman" w:cs="Times New Roman"/>
          <w:color w:val="auto"/>
          <w:sz w:val="24"/>
          <w:highlight w:val="none"/>
        </w:rPr>
        <w:t>-M</w:t>
      </w:r>
      <w:r>
        <w:rPr>
          <w:rFonts w:hint="eastAsia" w:cs="Times New Roman"/>
          <w:color w:val="auto"/>
          <w:sz w:val="24"/>
          <w:highlight w:val="none"/>
          <w:lang w:val="en-US" w:eastAsia="zh-CN"/>
        </w:rPr>
        <w:t>2</w:t>
      </w:r>
      <w:r>
        <w:rPr>
          <w:rFonts w:hint="default" w:ascii="Times New Roman" w:hAnsi="Times New Roman" w:cs="Times New Roman"/>
          <w:color w:val="auto"/>
          <w:sz w:val="24"/>
          <w:highlight w:val="none"/>
        </w:rPr>
        <w:t>-E</w:t>
      </w:r>
      <w:r>
        <w:rPr>
          <w:rFonts w:hint="eastAsia" w:cs="Times New Roman"/>
          <w:color w:val="auto"/>
          <w:sz w:val="24"/>
          <w:highlight w:val="none"/>
          <w:lang w:val="en-US" w:eastAsia="zh-CN"/>
        </w:rPr>
        <w:t>2</w:t>
      </w:r>
      <w:r>
        <w:rPr>
          <w:rFonts w:hint="default" w:ascii="Times New Roman" w:hAnsi="Times New Roman" w:cs="Times New Roman"/>
          <w:color w:val="auto"/>
          <w:sz w:val="24"/>
          <w:highlight w:val="none"/>
        </w:rPr>
        <w:t>）。</w:t>
      </w:r>
    </w:p>
    <w:p w14:paraId="7D3399B2">
      <w:pPr>
        <w:pStyle w:val="7"/>
        <w:spacing w:beforeLines="0" w:afterLines="0"/>
        <w:outlineLvl w:val="1"/>
        <w:rPr>
          <w:rFonts w:hint="default" w:ascii="Times New Roman" w:hAnsi="Times New Roman" w:cs="Times New Roman"/>
          <w:color w:val="auto"/>
          <w:sz w:val="30"/>
          <w:szCs w:val="30"/>
          <w:highlight w:val="none"/>
          <w:lang w:val="en-US" w:eastAsia="zh-CN"/>
        </w:rPr>
      </w:pPr>
      <w:bookmarkStart w:id="242" w:name="_Toc16144"/>
      <w:bookmarkStart w:id="243" w:name="_Toc21072"/>
      <w:bookmarkStart w:id="244" w:name="_Toc14385"/>
      <w:r>
        <w:rPr>
          <w:rFonts w:hint="default" w:ascii="Times New Roman" w:hAnsi="Times New Roman" w:cs="Times New Roman"/>
          <w:color w:val="auto"/>
          <w:sz w:val="30"/>
          <w:szCs w:val="30"/>
          <w:highlight w:val="none"/>
          <w:lang w:val="en-US" w:eastAsia="zh-CN"/>
        </w:rPr>
        <w:t>7.2 突发水环境事件风险分级</w:t>
      </w:r>
      <w:bookmarkEnd w:id="242"/>
      <w:bookmarkEnd w:id="243"/>
      <w:bookmarkEnd w:id="244"/>
    </w:p>
    <w:p w14:paraId="489F6FFD">
      <w:pPr>
        <w:keepNext w:val="0"/>
        <w:keepLines w:val="0"/>
        <w:pageBreakBefore w:val="0"/>
        <w:widowControl w:val="0"/>
        <w:kinsoku/>
        <w:wordWrap/>
        <w:overflowPunct/>
        <w:topLinePunct w:val="0"/>
        <w:autoSpaceDE/>
        <w:autoSpaceDN/>
        <w:bidi w:val="0"/>
        <w:spacing w:before="0" w:after="0" w:line="360" w:lineRule="auto"/>
        <w:textAlignment w:val="auto"/>
        <w:outlineLvl w:val="9"/>
        <w:rPr>
          <w:rFonts w:hint="default" w:ascii="Times New Roman" w:hAnsi="Times New Roman" w:cs="Times New Roman"/>
          <w:color w:val="auto"/>
          <w:sz w:val="24"/>
          <w:szCs w:val="32"/>
          <w:highlight w:val="none"/>
        </w:rPr>
      </w:pPr>
      <w:bookmarkStart w:id="245" w:name="_Toc27367"/>
      <w:bookmarkStart w:id="246" w:name="_Toc11690"/>
      <w:bookmarkStart w:id="247" w:name="_Toc5090"/>
      <w:bookmarkStart w:id="248" w:name="_Toc3608"/>
      <w:bookmarkStart w:id="249" w:name="_Toc17806"/>
      <w:r>
        <w:rPr>
          <w:rFonts w:hint="default" w:ascii="Times New Roman" w:hAnsi="Times New Roman" w:cs="Times New Roman"/>
          <w:color w:val="auto"/>
          <w:sz w:val="24"/>
          <w:szCs w:val="32"/>
          <w:highlight w:val="none"/>
          <w:lang w:val="en-US" w:eastAsia="zh-CN"/>
        </w:rPr>
        <w:t>7.2.1</w:t>
      </w:r>
      <w:r>
        <w:rPr>
          <w:rFonts w:hint="default" w:ascii="Times New Roman" w:hAnsi="Times New Roman" w:cs="Times New Roman"/>
          <w:color w:val="auto"/>
          <w:sz w:val="24"/>
          <w:szCs w:val="32"/>
          <w:highlight w:val="none"/>
        </w:rPr>
        <w:t>计算涉</w:t>
      </w:r>
      <w:r>
        <w:rPr>
          <w:rFonts w:hint="default" w:ascii="Times New Roman" w:hAnsi="Times New Roman" w:cs="Times New Roman"/>
          <w:color w:val="auto"/>
          <w:sz w:val="24"/>
          <w:szCs w:val="32"/>
          <w:highlight w:val="none"/>
          <w:lang w:eastAsia="zh-CN"/>
        </w:rPr>
        <w:t>水</w:t>
      </w:r>
      <w:r>
        <w:rPr>
          <w:rFonts w:hint="default" w:ascii="Times New Roman" w:hAnsi="Times New Roman" w:cs="Times New Roman"/>
          <w:color w:val="auto"/>
          <w:sz w:val="24"/>
          <w:szCs w:val="32"/>
          <w:highlight w:val="none"/>
        </w:rPr>
        <w:t>风险物质数量与临界量比值（Q）</w:t>
      </w:r>
      <w:bookmarkEnd w:id="245"/>
      <w:bookmarkEnd w:id="246"/>
    </w:p>
    <w:p w14:paraId="6A9B0647">
      <w:pPr>
        <w:keepNext w:val="0"/>
        <w:keepLines w:val="0"/>
        <w:pageBreakBefore w:val="0"/>
        <w:widowControl w:val="0"/>
        <w:kinsoku/>
        <w:wordWrap/>
        <w:overflowPunct/>
        <w:topLinePunct w:val="0"/>
        <w:autoSpaceDE/>
        <w:autoSpaceDN/>
        <w:bidi w:val="0"/>
        <w:adjustRightInd w:val="0"/>
        <w:snapToGrid w:val="0"/>
        <w:spacing w:line="360" w:lineRule="auto"/>
        <w:ind w:firstLine="486"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涉水风险物质包括附录A中的第三、第四、第五、第六、第七和第八部分全部风险物质以及第一、第二部分中溶于水和遇水发生反应的风险物质，具体包括：溶于水的硒化氢、甲醛、乙二腈、二氧化氯、氯化氢、氨、环氧乙烷、甲胺、丁烷、二甲胺、一氧化二氯，砷化氢、二氧化氮、三甲胺、二氧化硫、三氟化硼、硅烷、溴化氢、氯化氰、乙胺、二甲醚，以及遇水发生反应的乙烯酮、氟、四氟化硫、三氟溴乙烯。</w:t>
      </w:r>
    </w:p>
    <w:p w14:paraId="086B9507">
      <w:pPr>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判断企业生产原料、产品、中间产品、副产品、催化剂、辅助生产物料、“三废”污染物等是否涉及水环境风险物质，计算涉水风险物质（混合或稀释的风险物质按其组分比例折算成纯物质）与其临界量的比值Q：</w:t>
      </w:r>
    </w:p>
    <w:p w14:paraId="56229582">
      <w:pPr>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(1)当企业只涉及一种环境风险物质时，该物质的数量与其临界量比值，即为Q。</w:t>
      </w:r>
    </w:p>
    <w:p w14:paraId="55E12F2F">
      <w:pPr>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(2)当企业存在多种风险物质时，则按式（1）计算：</w:t>
      </w:r>
    </w:p>
    <w:p w14:paraId="6687D87C">
      <w:pPr>
        <w:adjustRightInd w:val="0"/>
        <w:snapToGrid w:val="0"/>
        <w:spacing w:line="360" w:lineRule="auto"/>
        <w:ind w:firstLine="426" w:firstLineChars="200"/>
        <w:jc w:val="center"/>
        <w:rPr>
          <w:rFonts w:hint="default" w:ascii="Times New Roman" w:hAnsi="Times New Roman" w:cs="Times New Roman"/>
          <w:color w:val="auto"/>
          <w:sz w:val="24"/>
          <w:highlight w:val="none"/>
        </w:rPr>
      </w:pPr>
      <w:r>
        <w:rPr>
          <w:rFonts w:hint="default" w:ascii="Times New Roman" w:hAnsi="Times New Roman" w:cs="Times New Roman"/>
          <w:color w:val="auto"/>
          <w:highlight w:val="none"/>
        </w:rPr>
        <w:drawing>
          <wp:inline distT="0" distB="0" distL="114300" distR="114300">
            <wp:extent cx="1849755" cy="605790"/>
            <wp:effectExtent l="0" t="0" r="17145" b="3810"/>
            <wp:docPr id="57"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30"/>
                    <pic:cNvPicPr>
                      <a:picLocks noChangeAspect="1"/>
                    </pic:cNvPicPr>
                  </pic:nvPicPr>
                  <pic:blipFill>
                    <a:blip r:embed="rId163"/>
                    <a:stretch>
                      <a:fillRect/>
                    </a:stretch>
                  </pic:blipFill>
                  <pic:spPr>
                    <a:xfrm>
                      <a:off x="0" y="0"/>
                      <a:ext cx="1849755" cy="605790"/>
                    </a:xfrm>
                    <a:prstGeom prst="rect">
                      <a:avLst/>
                    </a:prstGeom>
                    <a:noFill/>
                    <a:ln>
                      <a:noFill/>
                    </a:ln>
                  </pic:spPr>
                </pic:pic>
              </a:graphicData>
            </a:graphic>
          </wp:inline>
        </w:drawing>
      </w:r>
    </w:p>
    <w:p w14:paraId="6EC88B4E">
      <w:pPr>
        <w:adjustRightInd w:val="0"/>
        <w:snapToGrid w:val="0"/>
        <w:spacing w:line="360" w:lineRule="auto"/>
        <w:ind w:firstLine="56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式中：</w:t>
      </w:r>
      <w:r>
        <w:rPr>
          <w:rFonts w:hint="default" w:ascii="Times New Roman" w:hAnsi="Times New Roman" w:cs="Times New Roman"/>
          <w:i/>
          <w:iCs/>
          <w:color w:val="auto"/>
          <w:sz w:val="24"/>
          <w:highlight w:val="none"/>
        </w:rPr>
        <w:t>w</w:t>
      </w:r>
      <w:r>
        <w:rPr>
          <w:rFonts w:hint="default" w:ascii="Times New Roman" w:hAnsi="Times New Roman" w:cs="Times New Roman"/>
          <w:i/>
          <w:iCs/>
          <w:color w:val="auto"/>
          <w:sz w:val="24"/>
          <w:highlight w:val="none"/>
          <w:vertAlign w:val="subscript"/>
        </w:rPr>
        <w:t>1</w:t>
      </w:r>
      <w:r>
        <w:rPr>
          <w:rFonts w:hint="default" w:ascii="Times New Roman" w:hAnsi="Times New Roman" w:cs="Times New Roman"/>
          <w:i/>
          <w:iCs/>
          <w:color w:val="auto"/>
          <w:sz w:val="24"/>
          <w:highlight w:val="none"/>
        </w:rPr>
        <w:t>，w</w:t>
      </w:r>
      <w:r>
        <w:rPr>
          <w:rFonts w:hint="default" w:ascii="Times New Roman" w:hAnsi="Times New Roman" w:cs="Times New Roman"/>
          <w:i/>
          <w:iCs/>
          <w:color w:val="auto"/>
          <w:sz w:val="24"/>
          <w:highlight w:val="none"/>
          <w:vertAlign w:val="subscript"/>
        </w:rPr>
        <w:t>2</w:t>
      </w:r>
      <w:r>
        <w:rPr>
          <w:rFonts w:hint="default" w:ascii="Times New Roman" w:hAnsi="Times New Roman" w:cs="Times New Roman"/>
          <w:i/>
          <w:iCs/>
          <w:color w:val="auto"/>
          <w:sz w:val="24"/>
          <w:highlight w:val="none"/>
        </w:rPr>
        <w:t>，…，w</w:t>
      </w:r>
      <w:r>
        <w:rPr>
          <w:rFonts w:hint="default" w:ascii="Times New Roman" w:hAnsi="Times New Roman" w:cs="Times New Roman"/>
          <w:i/>
          <w:iCs/>
          <w:color w:val="auto"/>
          <w:sz w:val="24"/>
          <w:highlight w:val="none"/>
          <w:vertAlign w:val="subscript"/>
        </w:rPr>
        <w:t>n</w:t>
      </w:r>
      <w:r>
        <w:rPr>
          <w:rFonts w:hint="default" w:ascii="Times New Roman" w:hAnsi="Times New Roman" w:cs="Times New Roman"/>
          <w:color w:val="auto"/>
          <w:sz w:val="24"/>
          <w:highlight w:val="none"/>
        </w:rPr>
        <w:t>——每种风险物质的存在量，t；</w:t>
      </w:r>
    </w:p>
    <w:p w14:paraId="066C619F">
      <w:pPr>
        <w:widowControl/>
        <w:adjustRightInd w:val="0"/>
        <w:snapToGrid w:val="0"/>
        <w:spacing w:line="360" w:lineRule="auto"/>
        <w:ind w:firstLine="1215" w:firstLineChars="500"/>
        <w:rPr>
          <w:rFonts w:hint="default" w:ascii="Times New Roman" w:hAnsi="Times New Roman" w:cs="Times New Roman"/>
          <w:color w:val="auto"/>
          <w:sz w:val="24"/>
          <w:highlight w:val="none"/>
        </w:rPr>
      </w:pPr>
      <w:r>
        <w:rPr>
          <w:rFonts w:hint="default" w:ascii="Times New Roman" w:hAnsi="Times New Roman" w:cs="Times New Roman"/>
          <w:i/>
          <w:iCs/>
          <w:color w:val="auto"/>
          <w:sz w:val="24"/>
          <w:highlight w:val="none"/>
        </w:rPr>
        <w:t>W</w:t>
      </w:r>
      <w:r>
        <w:rPr>
          <w:rFonts w:hint="default" w:ascii="Times New Roman" w:hAnsi="Times New Roman" w:cs="Times New Roman"/>
          <w:i/>
          <w:iCs/>
          <w:color w:val="auto"/>
          <w:sz w:val="24"/>
          <w:highlight w:val="none"/>
          <w:vertAlign w:val="subscript"/>
        </w:rPr>
        <w:t>1</w:t>
      </w:r>
      <w:r>
        <w:rPr>
          <w:rFonts w:hint="default" w:ascii="Times New Roman" w:hAnsi="Times New Roman" w:cs="Times New Roman"/>
          <w:i/>
          <w:iCs/>
          <w:color w:val="auto"/>
          <w:sz w:val="24"/>
          <w:highlight w:val="none"/>
        </w:rPr>
        <w:t>，W</w:t>
      </w:r>
      <w:r>
        <w:rPr>
          <w:rFonts w:hint="default" w:ascii="Times New Roman" w:hAnsi="Times New Roman" w:cs="Times New Roman"/>
          <w:i/>
          <w:iCs/>
          <w:color w:val="auto"/>
          <w:sz w:val="24"/>
          <w:highlight w:val="none"/>
          <w:vertAlign w:val="subscript"/>
        </w:rPr>
        <w:t>2</w:t>
      </w:r>
      <w:r>
        <w:rPr>
          <w:rFonts w:hint="default" w:ascii="Times New Roman" w:hAnsi="Times New Roman" w:cs="Times New Roman"/>
          <w:i/>
          <w:iCs/>
          <w:color w:val="auto"/>
          <w:sz w:val="24"/>
          <w:highlight w:val="none"/>
        </w:rPr>
        <w:t>，…，W</w:t>
      </w:r>
      <w:r>
        <w:rPr>
          <w:rFonts w:hint="default" w:ascii="Times New Roman" w:hAnsi="Times New Roman" w:cs="Times New Roman"/>
          <w:i/>
          <w:iCs/>
          <w:color w:val="auto"/>
          <w:sz w:val="24"/>
          <w:highlight w:val="none"/>
          <w:vertAlign w:val="subscript"/>
        </w:rPr>
        <w:t>n</w:t>
      </w:r>
      <w:r>
        <w:rPr>
          <w:rFonts w:hint="default" w:ascii="Times New Roman" w:hAnsi="Times New Roman" w:cs="Times New Roman"/>
          <w:color w:val="auto"/>
          <w:sz w:val="24"/>
          <w:highlight w:val="none"/>
        </w:rPr>
        <w:t>——每种风险物质的临界量，t。</w:t>
      </w:r>
    </w:p>
    <w:p w14:paraId="62F2800C">
      <w:pPr>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按照数值大小，将Q划分为4个水平：</w:t>
      </w:r>
    </w:p>
    <w:p w14:paraId="6AA2730A">
      <w:pPr>
        <w:numPr>
          <w:ilvl w:val="0"/>
          <w:numId w:val="9"/>
        </w:numPr>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Q˂1，以Q0表示，企业直接评为一般环境风险等级；</w:t>
      </w:r>
    </w:p>
    <w:p w14:paraId="5FB02A7C">
      <w:pPr>
        <w:numPr>
          <w:ilvl w:val="0"/>
          <w:numId w:val="9"/>
        </w:numPr>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1≦Q≦10，以Q1表示；</w:t>
      </w:r>
    </w:p>
    <w:p w14:paraId="655A60AB">
      <w:pPr>
        <w:numPr>
          <w:ilvl w:val="0"/>
          <w:numId w:val="9"/>
        </w:numPr>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10≦Q≦100，以Q2表示；</w:t>
      </w:r>
    </w:p>
    <w:p w14:paraId="72653AF8">
      <w:pPr>
        <w:numPr>
          <w:ilvl w:val="0"/>
          <w:numId w:val="9"/>
        </w:numPr>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Q≧100，以Q3表示；</w:t>
      </w:r>
    </w:p>
    <w:p w14:paraId="3598F084">
      <w:pPr>
        <w:keepNext w:val="0"/>
        <w:keepLines w:val="0"/>
        <w:pageBreakBefore w:val="0"/>
        <w:widowControl w:val="0"/>
        <w:kinsoku/>
        <w:wordWrap/>
        <w:overflowPunct/>
        <w:topLinePunct w:val="0"/>
        <w:autoSpaceDE w:val="0"/>
        <w:autoSpaceDN w:val="0"/>
        <w:bidi w:val="0"/>
        <w:adjustRightInd w:val="0"/>
        <w:snapToGrid w:val="0"/>
        <w:spacing w:line="360" w:lineRule="auto"/>
        <w:ind w:firstLine="486" w:firstLineChars="200"/>
        <w:jc w:val="both"/>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eastAsia="zh-CN"/>
        </w:rPr>
        <w:t>山东隆信药业有限公司</w:t>
      </w:r>
      <w:r>
        <w:rPr>
          <w:rFonts w:hint="default" w:ascii="Times New Roman" w:hAnsi="Times New Roman" w:cs="Times New Roman"/>
          <w:color w:val="auto"/>
          <w:sz w:val="24"/>
          <w:highlight w:val="none"/>
        </w:rPr>
        <w:t>内所有物质与《企业突发环境事件风险分级方法》(HJ941-2018)附录A对照，该企业涉</w:t>
      </w:r>
      <w:r>
        <w:rPr>
          <w:rFonts w:hint="default" w:ascii="Times New Roman" w:hAnsi="Times New Roman" w:cs="Times New Roman"/>
          <w:color w:val="auto"/>
          <w:sz w:val="24"/>
          <w:highlight w:val="none"/>
          <w:lang w:eastAsia="zh-CN"/>
        </w:rPr>
        <w:t>水</w:t>
      </w:r>
      <w:r>
        <w:rPr>
          <w:rFonts w:hint="default" w:ascii="Times New Roman" w:hAnsi="Times New Roman" w:cs="Times New Roman"/>
          <w:color w:val="auto"/>
          <w:sz w:val="24"/>
          <w:highlight w:val="none"/>
        </w:rPr>
        <w:t>风险物质为</w:t>
      </w:r>
      <w:r>
        <w:rPr>
          <w:rFonts w:hint="default" w:ascii="Times New Roman" w:hAnsi="Times New Roman" w:cs="Times New Roman"/>
          <w:color w:val="auto"/>
          <w:sz w:val="24"/>
          <w:szCs w:val="24"/>
          <w:highlight w:val="none"/>
          <w:lang w:eastAsia="zh-CN"/>
        </w:rPr>
        <w:t>苯酚、硫酸、甲醇</w:t>
      </w:r>
      <w:r>
        <w:rPr>
          <w:rFonts w:hint="eastAsia" w:cs="Times New Roman"/>
          <w:color w:val="auto"/>
          <w:sz w:val="24"/>
          <w:szCs w:val="24"/>
          <w:highlight w:val="none"/>
          <w:lang w:eastAsia="zh-CN"/>
        </w:rPr>
        <w:t>、氨气、氨水</w:t>
      </w:r>
      <w:r>
        <w:rPr>
          <w:rFonts w:hint="default" w:ascii="Times New Roman" w:hAnsi="Times New Roman" w:cs="Times New Roman"/>
          <w:color w:val="auto"/>
          <w:sz w:val="24"/>
          <w:highlight w:val="none"/>
        </w:rPr>
        <w:t>。</w:t>
      </w:r>
    </w:p>
    <w:p w14:paraId="5A4E7A17">
      <w:pPr>
        <w:widowControl/>
        <w:adjustRightInd w:val="0"/>
        <w:snapToGrid w:val="0"/>
        <w:spacing w:line="360" w:lineRule="auto"/>
        <w:ind w:firstLine="360"/>
        <w:jc w:val="center"/>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表</w:t>
      </w:r>
      <w:r>
        <w:rPr>
          <w:rFonts w:hint="default" w:ascii="Times New Roman" w:hAnsi="Times New Roman" w:cs="Times New Roman"/>
          <w:b/>
          <w:color w:val="auto"/>
          <w:sz w:val="24"/>
          <w:highlight w:val="none"/>
          <w:lang w:val="en-US" w:eastAsia="zh-CN"/>
        </w:rPr>
        <w:t>7.2-1</w:t>
      </w:r>
      <w:r>
        <w:rPr>
          <w:rFonts w:hint="default" w:ascii="Times New Roman" w:hAnsi="Times New Roman" w:cs="Times New Roman"/>
          <w:b/>
          <w:color w:val="auto"/>
          <w:sz w:val="24"/>
          <w:highlight w:val="none"/>
        </w:rPr>
        <w:t>环境风险物质与临界量的比值结果</w:t>
      </w:r>
    </w:p>
    <w:tbl>
      <w:tblPr>
        <w:tblStyle w:val="33"/>
        <w:tblW w:w="94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374"/>
        <w:gridCol w:w="2431"/>
        <w:gridCol w:w="2160"/>
        <w:gridCol w:w="1950"/>
        <w:gridCol w:w="1554"/>
      </w:tblGrid>
      <w:tr w14:paraId="5F4F8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3" w:hRule="atLeast"/>
          <w:jc w:val="center"/>
        </w:trPr>
        <w:tc>
          <w:tcPr>
            <w:tcW w:w="1374" w:type="dxa"/>
            <w:vAlign w:val="center"/>
          </w:tcPr>
          <w:p w14:paraId="60F5C5AF">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序号</w:t>
            </w:r>
          </w:p>
        </w:tc>
        <w:tc>
          <w:tcPr>
            <w:tcW w:w="2431" w:type="dxa"/>
            <w:vAlign w:val="center"/>
          </w:tcPr>
          <w:p w14:paraId="4936F237">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风险物质</w:t>
            </w:r>
          </w:p>
        </w:tc>
        <w:tc>
          <w:tcPr>
            <w:tcW w:w="2160" w:type="dxa"/>
            <w:vAlign w:val="center"/>
          </w:tcPr>
          <w:p w14:paraId="12786CAF">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临界量（t）</w:t>
            </w:r>
          </w:p>
        </w:tc>
        <w:tc>
          <w:tcPr>
            <w:tcW w:w="1950" w:type="dxa"/>
            <w:vAlign w:val="center"/>
          </w:tcPr>
          <w:p w14:paraId="50164CC3">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最大储量（t）</w:t>
            </w:r>
          </w:p>
        </w:tc>
        <w:tc>
          <w:tcPr>
            <w:tcW w:w="1554" w:type="dxa"/>
            <w:vAlign w:val="center"/>
          </w:tcPr>
          <w:p w14:paraId="180DB4B2">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b/>
                <w:bCs/>
                <w:color w:val="auto"/>
                <w:szCs w:val="21"/>
                <w:highlight w:val="none"/>
              </w:rPr>
            </w:pPr>
            <w:r>
              <w:rPr>
                <w:rFonts w:hint="default" w:ascii="Times New Roman" w:hAnsi="Times New Roman" w:cs="Times New Roman"/>
                <w:i/>
                <w:iCs/>
                <w:color w:val="auto"/>
                <w:sz w:val="24"/>
                <w:highlight w:val="none"/>
              </w:rPr>
              <w:t>w</w:t>
            </w:r>
            <w:r>
              <w:rPr>
                <w:rFonts w:hint="default" w:ascii="Times New Roman" w:hAnsi="Times New Roman" w:cs="Times New Roman"/>
                <w:i/>
                <w:iCs/>
                <w:color w:val="auto"/>
                <w:sz w:val="24"/>
                <w:highlight w:val="none"/>
                <w:vertAlign w:val="subscript"/>
              </w:rPr>
              <w:t>i</w:t>
            </w:r>
            <w:r>
              <w:rPr>
                <w:rFonts w:hint="default" w:ascii="Times New Roman" w:hAnsi="Times New Roman" w:cs="Times New Roman"/>
                <w:b/>
                <w:bCs/>
                <w:color w:val="auto"/>
                <w:szCs w:val="21"/>
                <w:highlight w:val="none"/>
              </w:rPr>
              <w:t>/</w:t>
            </w:r>
            <w:r>
              <w:rPr>
                <w:rFonts w:hint="default" w:ascii="Times New Roman" w:hAnsi="Times New Roman" w:cs="Times New Roman"/>
                <w:i/>
                <w:iCs/>
                <w:color w:val="auto"/>
                <w:sz w:val="24"/>
                <w:highlight w:val="none"/>
              </w:rPr>
              <w:t>W</w:t>
            </w:r>
            <w:r>
              <w:rPr>
                <w:rFonts w:hint="default" w:ascii="Times New Roman" w:hAnsi="Times New Roman" w:cs="Times New Roman"/>
                <w:i/>
                <w:iCs/>
                <w:color w:val="auto"/>
                <w:sz w:val="24"/>
                <w:highlight w:val="none"/>
                <w:vertAlign w:val="subscript"/>
              </w:rPr>
              <w:t>i</w:t>
            </w:r>
          </w:p>
        </w:tc>
      </w:tr>
      <w:tr w14:paraId="1F678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3" w:hRule="atLeast"/>
          <w:jc w:val="center"/>
        </w:trPr>
        <w:tc>
          <w:tcPr>
            <w:tcW w:w="1374" w:type="dxa"/>
            <w:vAlign w:val="center"/>
          </w:tcPr>
          <w:p w14:paraId="56C3EFC8">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2431" w:type="dxa"/>
            <w:vAlign w:val="center"/>
          </w:tcPr>
          <w:p w14:paraId="39D69DB1">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苯酚</w:t>
            </w:r>
          </w:p>
        </w:tc>
        <w:tc>
          <w:tcPr>
            <w:tcW w:w="2160" w:type="dxa"/>
            <w:vAlign w:val="center"/>
          </w:tcPr>
          <w:p w14:paraId="6C22D14C">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10</w:t>
            </w:r>
          </w:p>
        </w:tc>
        <w:tc>
          <w:tcPr>
            <w:tcW w:w="1950" w:type="dxa"/>
            <w:vAlign w:val="center"/>
          </w:tcPr>
          <w:p w14:paraId="3A136551">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3210</w:t>
            </w:r>
          </w:p>
        </w:tc>
        <w:tc>
          <w:tcPr>
            <w:tcW w:w="1554" w:type="dxa"/>
            <w:vAlign w:val="center"/>
          </w:tcPr>
          <w:p w14:paraId="43624F95">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321</w:t>
            </w:r>
          </w:p>
        </w:tc>
      </w:tr>
      <w:tr w14:paraId="296CB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3" w:hRule="atLeast"/>
          <w:jc w:val="center"/>
        </w:trPr>
        <w:tc>
          <w:tcPr>
            <w:tcW w:w="1374" w:type="dxa"/>
            <w:vAlign w:val="center"/>
          </w:tcPr>
          <w:p w14:paraId="38DC7168">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2</w:t>
            </w:r>
          </w:p>
        </w:tc>
        <w:tc>
          <w:tcPr>
            <w:tcW w:w="2431" w:type="dxa"/>
            <w:vAlign w:val="center"/>
          </w:tcPr>
          <w:p w14:paraId="767580DC">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硫酸</w:t>
            </w:r>
          </w:p>
        </w:tc>
        <w:tc>
          <w:tcPr>
            <w:tcW w:w="2160" w:type="dxa"/>
            <w:vAlign w:val="center"/>
          </w:tcPr>
          <w:p w14:paraId="5A066CCF">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10</w:t>
            </w:r>
          </w:p>
        </w:tc>
        <w:tc>
          <w:tcPr>
            <w:tcW w:w="1950" w:type="dxa"/>
            <w:vAlign w:val="center"/>
          </w:tcPr>
          <w:p w14:paraId="4141BA89">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lang w:val="en-US" w:eastAsia="zh-CN"/>
              </w:rPr>
              <w:t>1</w:t>
            </w:r>
            <w:r>
              <w:rPr>
                <w:rFonts w:hint="eastAsia" w:cs="Times New Roman"/>
                <w:color w:val="auto"/>
                <w:szCs w:val="21"/>
                <w:highlight w:val="none"/>
                <w:lang w:val="en-US" w:eastAsia="zh-CN"/>
              </w:rPr>
              <w:t>2</w:t>
            </w:r>
            <w:r>
              <w:rPr>
                <w:rFonts w:hint="default" w:ascii="Times New Roman" w:hAnsi="Times New Roman" w:cs="Times New Roman"/>
                <w:color w:val="auto"/>
                <w:szCs w:val="21"/>
                <w:highlight w:val="none"/>
                <w:lang w:val="en-US" w:eastAsia="zh-CN"/>
              </w:rPr>
              <w:t>20</w:t>
            </w:r>
          </w:p>
        </w:tc>
        <w:tc>
          <w:tcPr>
            <w:tcW w:w="1554" w:type="dxa"/>
            <w:vAlign w:val="center"/>
          </w:tcPr>
          <w:p w14:paraId="03CA7989">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1</w:t>
            </w:r>
            <w:r>
              <w:rPr>
                <w:rFonts w:hint="eastAsia" w:cs="Times New Roman"/>
                <w:color w:val="auto"/>
                <w:kern w:val="2"/>
                <w:sz w:val="21"/>
                <w:szCs w:val="21"/>
                <w:highlight w:val="none"/>
                <w:lang w:val="en-US" w:eastAsia="zh-CN" w:bidi="ar-SA"/>
              </w:rPr>
              <w:t>2</w:t>
            </w:r>
            <w:r>
              <w:rPr>
                <w:rFonts w:hint="default" w:ascii="Times New Roman" w:hAnsi="Times New Roman" w:cs="Times New Roman"/>
                <w:color w:val="auto"/>
                <w:kern w:val="2"/>
                <w:sz w:val="21"/>
                <w:szCs w:val="21"/>
                <w:highlight w:val="none"/>
                <w:lang w:val="en-US" w:eastAsia="zh-CN" w:bidi="ar-SA"/>
              </w:rPr>
              <w:t>2</w:t>
            </w:r>
          </w:p>
        </w:tc>
      </w:tr>
      <w:tr w14:paraId="24791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3" w:hRule="atLeast"/>
          <w:jc w:val="center"/>
        </w:trPr>
        <w:tc>
          <w:tcPr>
            <w:tcW w:w="1374" w:type="dxa"/>
            <w:vAlign w:val="center"/>
          </w:tcPr>
          <w:p w14:paraId="3AACB1B0">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3</w:t>
            </w:r>
          </w:p>
        </w:tc>
        <w:tc>
          <w:tcPr>
            <w:tcW w:w="2431" w:type="dxa"/>
            <w:vAlign w:val="center"/>
          </w:tcPr>
          <w:p w14:paraId="40EAA9B7">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甲醇</w:t>
            </w:r>
          </w:p>
        </w:tc>
        <w:tc>
          <w:tcPr>
            <w:tcW w:w="2160" w:type="dxa"/>
            <w:vAlign w:val="center"/>
          </w:tcPr>
          <w:p w14:paraId="0A1B7157">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kern w:val="2"/>
                <w:sz w:val="21"/>
                <w:szCs w:val="21"/>
                <w:highlight w:val="none"/>
                <w:lang w:val="en-US" w:eastAsia="zh-CN" w:bidi="ar-SA"/>
              </w:rPr>
              <w:t>10</w:t>
            </w:r>
          </w:p>
        </w:tc>
        <w:tc>
          <w:tcPr>
            <w:tcW w:w="1950" w:type="dxa"/>
            <w:vAlign w:val="center"/>
          </w:tcPr>
          <w:p w14:paraId="6B3EE59F">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237</w:t>
            </w:r>
          </w:p>
        </w:tc>
        <w:tc>
          <w:tcPr>
            <w:tcW w:w="1554" w:type="dxa"/>
            <w:vAlign w:val="center"/>
          </w:tcPr>
          <w:p w14:paraId="7ED2B2C3">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23.7</w:t>
            </w:r>
          </w:p>
        </w:tc>
      </w:tr>
      <w:tr w14:paraId="45061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3" w:hRule="atLeast"/>
          <w:jc w:val="center"/>
        </w:trPr>
        <w:tc>
          <w:tcPr>
            <w:tcW w:w="1374" w:type="dxa"/>
            <w:vAlign w:val="center"/>
          </w:tcPr>
          <w:p w14:paraId="6B6A24CA">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4</w:t>
            </w:r>
          </w:p>
        </w:tc>
        <w:tc>
          <w:tcPr>
            <w:tcW w:w="2431" w:type="dxa"/>
            <w:vAlign w:val="center"/>
          </w:tcPr>
          <w:p w14:paraId="0939CDC3">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氯气</w:t>
            </w:r>
          </w:p>
        </w:tc>
        <w:tc>
          <w:tcPr>
            <w:tcW w:w="2160" w:type="dxa"/>
            <w:vAlign w:val="center"/>
          </w:tcPr>
          <w:p w14:paraId="31DC2739">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5</w:t>
            </w:r>
          </w:p>
        </w:tc>
        <w:tc>
          <w:tcPr>
            <w:tcW w:w="1950" w:type="dxa"/>
            <w:vAlign w:val="center"/>
          </w:tcPr>
          <w:p w14:paraId="27EF0E00">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48.2</w:t>
            </w:r>
          </w:p>
        </w:tc>
        <w:tc>
          <w:tcPr>
            <w:tcW w:w="1554" w:type="dxa"/>
            <w:vAlign w:val="center"/>
          </w:tcPr>
          <w:p w14:paraId="0CA0757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9.64</w:t>
            </w:r>
          </w:p>
        </w:tc>
      </w:tr>
      <w:tr w14:paraId="5B2DF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3" w:hRule="atLeast"/>
          <w:jc w:val="center"/>
        </w:trPr>
        <w:tc>
          <w:tcPr>
            <w:tcW w:w="1374" w:type="dxa"/>
            <w:vAlign w:val="center"/>
          </w:tcPr>
          <w:p w14:paraId="12FAE1E4">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5</w:t>
            </w:r>
          </w:p>
        </w:tc>
        <w:tc>
          <w:tcPr>
            <w:tcW w:w="2431" w:type="dxa"/>
            <w:vAlign w:val="center"/>
          </w:tcPr>
          <w:p w14:paraId="04302883">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氨</w:t>
            </w:r>
          </w:p>
        </w:tc>
        <w:tc>
          <w:tcPr>
            <w:tcW w:w="2160" w:type="dxa"/>
            <w:vAlign w:val="center"/>
          </w:tcPr>
          <w:p w14:paraId="42559A00">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10</w:t>
            </w:r>
          </w:p>
        </w:tc>
        <w:tc>
          <w:tcPr>
            <w:tcW w:w="1950" w:type="dxa"/>
            <w:vAlign w:val="center"/>
          </w:tcPr>
          <w:p w14:paraId="15BA8233">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45.6</w:t>
            </w:r>
          </w:p>
        </w:tc>
        <w:tc>
          <w:tcPr>
            <w:tcW w:w="1554" w:type="dxa"/>
            <w:vAlign w:val="center"/>
          </w:tcPr>
          <w:p w14:paraId="705D3D0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4.56</w:t>
            </w:r>
          </w:p>
        </w:tc>
      </w:tr>
      <w:tr w14:paraId="070BA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3" w:hRule="atLeast"/>
          <w:jc w:val="center"/>
        </w:trPr>
        <w:tc>
          <w:tcPr>
            <w:tcW w:w="1374" w:type="dxa"/>
            <w:vAlign w:val="center"/>
          </w:tcPr>
          <w:p w14:paraId="7607FCAA">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合计</w:t>
            </w:r>
          </w:p>
        </w:tc>
        <w:tc>
          <w:tcPr>
            <w:tcW w:w="2431" w:type="dxa"/>
            <w:vAlign w:val="center"/>
          </w:tcPr>
          <w:p w14:paraId="383F85F2">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w:t>
            </w:r>
          </w:p>
        </w:tc>
        <w:tc>
          <w:tcPr>
            <w:tcW w:w="2160" w:type="dxa"/>
            <w:vAlign w:val="center"/>
          </w:tcPr>
          <w:p w14:paraId="42BF9787">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lang w:val="en-US" w:eastAsia="zh-CN"/>
              </w:rPr>
            </w:pPr>
          </w:p>
        </w:tc>
        <w:tc>
          <w:tcPr>
            <w:tcW w:w="1950" w:type="dxa"/>
            <w:vAlign w:val="center"/>
          </w:tcPr>
          <w:p w14:paraId="1C9479D0">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lang w:val="en-US" w:eastAsia="zh-CN"/>
              </w:rPr>
            </w:pPr>
          </w:p>
        </w:tc>
        <w:tc>
          <w:tcPr>
            <w:tcW w:w="1554" w:type="dxa"/>
            <w:vAlign w:val="center"/>
          </w:tcPr>
          <w:p w14:paraId="625379B4">
            <w:pPr>
              <w:keepNext w:val="0"/>
              <w:keepLines w:val="0"/>
              <w:suppressLineNumbers w:val="0"/>
              <w:spacing w:before="0" w:beforeAutospacing="0" w:after="0" w:afterAutospacing="0" w:line="320" w:lineRule="exact"/>
              <w:ind w:left="0" w:right="0"/>
              <w:jc w:val="center"/>
              <w:rPr>
                <w:rFonts w:hint="default"/>
                <w:lang w:val="en-US" w:eastAsia="zh-CN"/>
              </w:rPr>
            </w:pPr>
            <w:r>
              <w:rPr>
                <w:rFonts w:hint="eastAsia"/>
                <w:lang w:val="en-US" w:eastAsia="zh-CN"/>
              </w:rPr>
              <w:t>480.9</w:t>
            </w:r>
          </w:p>
        </w:tc>
      </w:tr>
    </w:tbl>
    <w:p w14:paraId="061D8D59">
      <w:pPr>
        <w:pageBreakBefore w:val="0"/>
        <w:kinsoku/>
        <w:wordWrap/>
        <w:overflowPunct/>
        <w:topLinePunct w:val="0"/>
        <w:autoSpaceDE/>
        <w:autoSpaceDN/>
        <w:bidi w:val="0"/>
        <w:spacing w:line="360" w:lineRule="auto"/>
        <w:ind w:firstLine="486" w:firstLineChars="200"/>
        <w:jc w:val="both"/>
        <w:textAlignment w:val="auto"/>
        <w:rPr>
          <w:sz w:val="24"/>
          <w:szCs w:val="24"/>
        </w:rPr>
      </w:pPr>
      <w:r>
        <w:rPr>
          <w:rFonts w:cs="Times New Roman"/>
          <w:sz w:val="24"/>
          <w:szCs w:val="24"/>
        </w:rPr>
        <w:t>公司涉水环境风险物质与临界量的比值</w:t>
      </w:r>
      <w:r>
        <w:rPr>
          <w:rFonts w:hint="default" w:ascii="Times New Roman" w:hAnsi="Times New Roman" w:cs="Times New Roman"/>
          <w:color w:val="auto"/>
          <w:sz w:val="24"/>
          <w:szCs w:val="24"/>
          <w:highlight w:val="none"/>
        </w:rPr>
        <w:t>Q=</w:t>
      </w:r>
      <w:r>
        <w:rPr>
          <w:rFonts w:hint="eastAsia" w:cs="Times New Roman"/>
          <w:color w:val="auto"/>
          <w:sz w:val="24"/>
          <w:szCs w:val="24"/>
          <w:highlight w:val="none"/>
          <w:lang w:val="en-US" w:eastAsia="zh-CN"/>
        </w:rPr>
        <w:t>480.9</w:t>
      </w: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highlight w:val="none"/>
        </w:rPr>
        <w:t>Q≧100</w:t>
      </w:r>
      <w:r>
        <w:rPr>
          <w:rFonts w:hint="default" w:ascii="Times New Roman" w:hAnsi="Times New Roman" w:cs="Times New Roman"/>
          <w:color w:val="auto"/>
          <w:sz w:val="24"/>
          <w:szCs w:val="24"/>
          <w:highlight w:val="none"/>
          <w:lang w:val="en-US" w:eastAsia="zh-CN"/>
        </w:rPr>
        <w:t>，</w:t>
      </w:r>
      <w:r>
        <w:rPr>
          <w:rFonts w:cs="Times New Roman"/>
          <w:sz w:val="24"/>
          <w:szCs w:val="24"/>
        </w:rPr>
        <w:t>（Q）属于第</w:t>
      </w:r>
      <w:r>
        <w:rPr>
          <w:rFonts w:hint="eastAsia" w:cs="Times New Roman"/>
          <w:sz w:val="24"/>
          <w:szCs w:val="24"/>
          <w:lang w:val="en-US" w:eastAsia="zh-CN"/>
        </w:rPr>
        <w:t>4</w:t>
      </w:r>
      <w:r>
        <w:rPr>
          <w:rFonts w:cs="Times New Roman"/>
          <w:sz w:val="24"/>
          <w:szCs w:val="24"/>
        </w:rPr>
        <w:t>类，用Q</w:t>
      </w:r>
      <w:r>
        <w:rPr>
          <w:rFonts w:hint="eastAsia" w:cs="Times New Roman"/>
          <w:sz w:val="24"/>
          <w:szCs w:val="24"/>
          <w:lang w:val="en-US" w:eastAsia="zh-CN"/>
        </w:rPr>
        <w:t>3</w:t>
      </w:r>
      <w:r>
        <w:rPr>
          <w:rFonts w:cs="Times New Roman"/>
          <w:spacing w:val="-4"/>
          <w:sz w:val="24"/>
          <w:szCs w:val="24"/>
        </w:rPr>
        <w:t>表示。</w:t>
      </w:r>
    </w:p>
    <w:p w14:paraId="6EF44B01">
      <w:pPr>
        <w:keepNext w:val="0"/>
        <w:keepLines w:val="0"/>
        <w:pageBreakBefore w:val="0"/>
        <w:widowControl w:val="0"/>
        <w:kinsoku/>
        <w:wordWrap/>
        <w:overflowPunct/>
        <w:topLinePunct w:val="0"/>
        <w:autoSpaceDE/>
        <w:autoSpaceDN/>
        <w:bidi w:val="0"/>
        <w:spacing w:before="0" w:after="0" w:line="360" w:lineRule="auto"/>
        <w:textAlignment w:val="auto"/>
        <w:outlineLvl w:val="9"/>
        <w:rPr>
          <w:rFonts w:hint="default" w:ascii="Times New Roman" w:hAnsi="Times New Roman" w:cs="Times New Roman"/>
          <w:color w:val="auto"/>
          <w:sz w:val="24"/>
          <w:szCs w:val="32"/>
          <w:highlight w:val="none"/>
          <w:lang w:val="en-US" w:eastAsia="zh-CN"/>
        </w:rPr>
      </w:pPr>
      <w:r>
        <w:rPr>
          <w:rFonts w:hint="default" w:ascii="Times New Roman" w:hAnsi="Times New Roman" w:cs="Times New Roman"/>
          <w:color w:val="auto"/>
          <w:sz w:val="24"/>
          <w:szCs w:val="32"/>
          <w:highlight w:val="none"/>
          <w:lang w:val="en-US" w:eastAsia="zh-CN"/>
        </w:rPr>
        <w:t>7.2.2生产工艺过程与水环境风险控制水平（M）评估</w:t>
      </w:r>
      <w:bookmarkEnd w:id="247"/>
      <w:bookmarkEnd w:id="248"/>
      <w:bookmarkEnd w:id="249"/>
    </w:p>
    <w:p w14:paraId="46EE406C">
      <w:pPr>
        <w:keepNext w:val="0"/>
        <w:keepLines w:val="0"/>
        <w:pageBreakBefore w:val="0"/>
        <w:widowControl w:val="0"/>
        <w:kinsoku/>
        <w:wordWrap/>
        <w:overflowPunct/>
        <w:topLinePunct w:val="0"/>
        <w:autoSpaceDE/>
        <w:autoSpaceDN/>
        <w:bidi w:val="0"/>
        <w:spacing w:before="0" w:after="0" w:line="360" w:lineRule="auto"/>
        <w:ind w:firstLine="486" w:firstLineChars="200"/>
        <w:textAlignment w:val="auto"/>
        <w:outlineLvl w:val="9"/>
        <w:rPr>
          <w:rFonts w:hint="default" w:ascii="Times New Roman" w:hAnsi="Times New Roman" w:cs="Times New Roman"/>
          <w:bCs/>
          <w:color w:val="auto"/>
          <w:kern w:val="36"/>
          <w:sz w:val="24"/>
          <w:highlight w:val="none"/>
        </w:rPr>
      </w:pPr>
      <w:r>
        <w:rPr>
          <w:rFonts w:hint="default" w:ascii="Times New Roman" w:hAnsi="Times New Roman" w:cs="Times New Roman"/>
          <w:color w:val="auto"/>
          <w:sz w:val="24"/>
          <w:szCs w:val="32"/>
          <w:highlight w:val="none"/>
          <w:lang w:val="en-US" w:eastAsia="zh-CN"/>
        </w:rPr>
        <w:t>采用评分法对企业生产工艺过程、水环境风险防控措施及突发大气环境事件发生情况</w:t>
      </w:r>
      <w:r>
        <w:rPr>
          <w:rFonts w:hint="default" w:ascii="Times New Roman" w:hAnsi="Times New Roman" w:cs="Times New Roman"/>
          <w:bCs/>
          <w:color w:val="auto"/>
          <w:kern w:val="36"/>
          <w:sz w:val="24"/>
          <w:highlight w:val="none"/>
        </w:rPr>
        <w:t>进行评估，将各项指标分值累加，确定企业生产工艺过程与水环境风险控制水平（M）。</w:t>
      </w:r>
    </w:p>
    <w:p w14:paraId="05A7D050">
      <w:pPr>
        <w:keepNext w:val="0"/>
        <w:keepLines w:val="0"/>
        <w:pageBreakBefore w:val="0"/>
        <w:kinsoku/>
        <w:wordWrap/>
        <w:overflowPunct/>
        <w:topLinePunct w:val="0"/>
        <w:autoSpaceDE/>
        <w:autoSpaceDN/>
        <w:bidi w:val="0"/>
        <w:spacing w:line="360" w:lineRule="auto"/>
        <w:textAlignment w:val="auto"/>
        <w:outlineLvl w:val="9"/>
        <w:rPr>
          <w:rFonts w:hint="default" w:ascii="Times New Roman" w:hAnsi="Times New Roman" w:cs="Times New Roman"/>
          <w:b w:val="0"/>
          <w:bCs w:val="0"/>
          <w:color w:val="auto"/>
          <w:sz w:val="24"/>
          <w:szCs w:val="24"/>
          <w:highlight w:val="none"/>
        </w:rPr>
      </w:pPr>
      <w:r>
        <w:rPr>
          <w:rFonts w:hint="default" w:ascii="Times New Roman" w:hAnsi="Times New Roman" w:cs="Times New Roman"/>
          <w:b w:val="0"/>
          <w:bCs w:val="0"/>
          <w:color w:val="auto"/>
          <w:sz w:val="24"/>
          <w:szCs w:val="24"/>
          <w:highlight w:val="none"/>
          <w:lang w:val="en-US" w:eastAsia="zh-CN"/>
        </w:rPr>
        <w:t>7.2.2.1</w:t>
      </w:r>
      <w:r>
        <w:rPr>
          <w:rFonts w:hint="default" w:ascii="Times New Roman" w:hAnsi="Times New Roman" w:cs="Times New Roman"/>
          <w:b w:val="0"/>
          <w:bCs w:val="0"/>
          <w:color w:val="auto"/>
          <w:sz w:val="24"/>
          <w:szCs w:val="24"/>
          <w:highlight w:val="none"/>
        </w:rPr>
        <w:t>生产工艺过程含有风险工艺和设备情况</w:t>
      </w:r>
    </w:p>
    <w:p w14:paraId="3191E5CB">
      <w:pPr>
        <w:keepNext w:val="0"/>
        <w:keepLines w:val="0"/>
        <w:pageBreakBefore w:val="0"/>
        <w:widowControl/>
        <w:kinsoku/>
        <w:wordWrap/>
        <w:overflowPunct/>
        <w:topLinePunct w:val="0"/>
        <w:autoSpaceDE/>
        <w:autoSpaceDN/>
        <w:bidi w:val="0"/>
        <w:adjustRightInd w:val="0"/>
        <w:snapToGrid w:val="0"/>
        <w:spacing w:line="360" w:lineRule="auto"/>
        <w:ind w:firstLine="360"/>
        <w:textAlignment w:val="auto"/>
        <w:rPr>
          <w:rFonts w:hint="default" w:ascii="Times New Roman" w:hAnsi="Times New Roman" w:cs="Times New Roman"/>
          <w:bCs/>
          <w:color w:val="auto"/>
          <w:kern w:val="36"/>
          <w:sz w:val="24"/>
          <w:highlight w:val="none"/>
        </w:rPr>
      </w:pPr>
      <w:r>
        <w:rPr>
          <w:rFonts w:hint="default" w:ascii="Times New Roman" w:hAnsi="Times New Roman" w:cs="Times New Roman"/>
          <w:bCs/>
          <w:color w:val="auto"/>
          <w:kern w:val="36"/>
          <w:sz w:val="24"/>
          <w:highlight w:val="none"/>
        </w:rPr>
        <w:t>对企业生产工艺过程含有风险工艺和设备情况的评估按照工艺单元进行，具有多套工艺单元的企业，对每套工艺单元分别评分并求和，该指标评分值最高为30分。</w:t>
      </w:r>
    </w:p>
    <w:p w14:paraId="51E49A91">
      <w:pPr>
        <w:pStyle w:val="68"/>
        <w:spacing w:line="360" w:lineRule="auto"/>
        <w:ind w:firstLine="482"/>
        <w:rPr>
          <w:rFonts w:hint="default" w:ascii="Times New Roman" w:hAnsi="Times New Roman" w:cs="Times New Roman"/>
          <w:bCs w:val="0"/>
          <w:color w:val="auto"/>
          <w:highlight w:val="none"/>
        </w:rPr>
      </w:pPr>
      <w:r>
        <w:rPr>
          <w:rFonts w:hint="default" w:ascii="Times New Roman" w:hAnsi="Times New Roman" w:cs="Times New Roman"/>
          <w:bCs w:val="0"/>
          <w:color w:val="auto"/>
          <w:highlight w:val="none"/>
        </w:rPr>
        <w:t>表</w:t>
      </w:r>
      <w:r>
        <w:rPr>
          <w:rFonts w:hint="default" w:ascii="Times New Roman" w:hAnsi="Times New Roman" w:cs="Times New Roman"/>
          <w:bCs w:val="0"/>
          <w:color w:val="auto"/>
          <w:highlight w:val="none"/>
          <w:lang w:val="en-US" w:eastAsia="zh-CN"/>
        </w:rPr>
        <w:t>7.2-2</w:t>
      </w:r>
      <w:r>
        <w:rPr>
          <w:rFonts w:hint="default" w:ascii="Times New Roman" w:hAnsi="Times New Roman" w:cs="Times New Roman"/>
          <w:bCs w:val="0"/>
          <w:color w:val="auto"/>
          <w:highlight w:val="none"/>
        </w:rPr>
        <w:t xml:space="preserve">  企业生产工艺评分依据</w:t>
      </w:r>
    </w:p>
    <w:tbl>
      <w:tblPr>
        <w:tblStyle w:val="33"/>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19"/>
        <w:gridCol w:w="1309"/>
      </w:tblGrid>
      <w:tr w14:paraId="286DE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blHeader/>
          <w:jc w:val="center"/>
        </w:trPr>
        <w:tc>
          <w:tcPr>
            <w:tcW w:w="8319" w:type="dxa"/>
            <w:vAlign w:val="center"/>
          </w:tcPr>
          <w:p w14:paraId="2C1C9679">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评估依据</w:t>
            </w:r>
          </w:p>
        </w:tc>
        <w:tc>
          <w:tcPr>
            <w:tcW w:w="1309" w:type="dxa"/>
            <w:vAlign w:val="center"/>
          </w:tcPr>
          <w:p w14:paraId="24B8A080">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分值</w:t>
            </w:r>
          </w:p>
        </w:tc>
      </w:tr>
      <w:tr w14:paraId="35037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319" w:type="dxa"/>
            <w:vAlign w:val="center"/>
          </w:tcPr>
          <w:p w14:paraId="344971D1">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涉及光气及光气化工艺、电解工艺（氯碱）、氯化工艺、硝化工艺、合成氨工艺、裂解（裂化）工艺、氟化工艺、加氢工艺、重氮化工艺、氧化工艺、过氧化工艺、胺基化工艺、磺化工艺、聚合工艺、烷基化工艺、新型煤化工工艺、电石生产工艺、偶氮化工艺</w:t>
            </w:r>
          </w:p>
        </w:tc>
        <w:tc>
          <w:tcPr>
            <w:tcW w:w="1309" w:type="dxa"/>
            <w:vAlign w:val="center"/>
          </w:tcPr>
          <w:p w14:paraId="0DB54F1C">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10/每套</w:t>
            </w:r>
          </w:p>
        </w:tc>
      </w:tr>
      <w:tr w14:paraId="2F9A8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319" w:type="dxa"/>
            <w:vAlign w:val="center"/>
          </w:tcPr>
          <w:p w14:paraId="4611FF3F">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其他高温或高压、涉及易燃易爆等物质的工艺过程</w:t>
            </w:r>
            <w:r>
              <w:rPr>
                <w:rFonts w:hint="default" w:ascii="Times New Roman" w:hAnsi="Times New Roman" w:cs="Times New Roman"/>
                <w:color w:val="auto"/>
                <w:szCs w:val="21"/>
                <w:highlight w:val="none"/>
                <w:vertAlign w:val="superscript"/>
              </w:rPr>
              <w:t>a</w:t>
            </w:r>
          </w:p>
        </w:tc>
        <w:tc>
          <w:tcPr>
            <w:tcW w:w="1309" w:type="dxa"/>
            <w:vAlign w:val="center"/>
          </w:tcPr>
          <w:p w14:paraId="31B5CEF7">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5/每套</w:t>
            </w:r>
          </w:p>
        </w:tc>
      </w:tr>
      <w:tr w14:paraId="71139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319" w:type="dxa"/>
            <w:vAlign w:val="center"/>
          </w:tcPr>
          <w:p w14:paraId="092C598A">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具有国家规定限期淘汰的工艺名录和设备</w:t>
            </w:r>
            <w:r>
              <w:rPr>
                <w:rFonts w:hint="default" w:ascii="Times New Roman" w:hAnsi="Times New Roman" w:cs="Times New Roman"/>
                <w:color w:val="auto"/>
                <w:szCs w:val="21"/>
                <w:highlight w:val="none"/>
                <w:vertAlign w:val="superscript"/>
              </w:rPr>
              <w:t>b</w:t>
            </w:r>
          </w:p>
        </w:tc>
        <w:tc>
          <w:tcPr>
            <w:tcW w:w="1309" w:type="dxa"/>
            <w:vAlign w:val="center"/>
          </w:tcPr>
          <w:p w14:paraId="48D11424">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5/每套</w:t>
            </w:r>
          </w:p>
        </w:tc>
      </w:tr>
      <w:tr w14:paraId="372EB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319" w:type="dxa"/>
            <w:vAlign w:val="center"/>
          </w:tcPr>
          <w:p w14:paraId="5186437B">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不涉及以上危险工艺过程或国家规定的禁用工艺/设备</w:t>
            </w:r>
          </w:p>
        </w:tc>
        <w:tc>
          <w:tcPr>
            <w:tcW w:w="1309" w:type="dxa"/>
            <w:vAlign w:val="center"/>
          </w:tcPr>
          <w:p w14:paraId="6ED5AFD8">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r>
      <w:tr w14:paraId="02AF1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9628" w:type="dxa"/>
            <w:gridSpan w:val="2"/>
            <w:vAlign w:val="center"/>
          </w:tcPr>
          <w:p w14:paraId="7F40A97B">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注：a高温指工艺温度≥300℃，高压指压力容器的设计压力（p）≥10.0MPa，易燃易爆物质是指按照GB30000.2至GB30000.13所确定的化学物质；b指《产业结构调整指导目录》中有淘汰期限的淘汰类落后生产工艺装备</w:t>
            </w:r>
          </w:p>
        </w:tc>
      </w:tr>
    </w:tbl>
    <w:p w14:paraId="2A6BF1E2">
      <w:pPr>
        <w:pStyle w:val="68"/>
        <w:spacing w:beforeLines="50" w:line="360" w:lineRule="auto"/>
        <w:ind w:firstLine="482"/>
        <w:rPr>
          <w:rFonts w:hint="default" w:ascii="Times New Roman" w:hAnsi="Times New Roman" w:cs="Times New Roman"/>
          <w:bCs w:val="0"/>
          <w:color w:val="auto"/>
          <w:highlight w:val="none"/>
        </w:rPr>
      </w:pPr>
      <w:r>
        <w:rPr>
          <w:rFonts w:hint="default" w:ascii="Times New Roman" w:hAnsi="Times New Roman" w:cs="Times New Roman"/>
          <w:bCs w:val="0"/>
          <w:color w:val="auto"/>
          <w:highlight w:val="none"/>
        </w:rPr>
        <w:t>表</w:t>
      </w:r>
      <w:r>
        <w:rPr>
          <w:rFonts w:hint="default" w:ascii="Times New Roman" w:hAnsi="Times New Roman" w:cs="Times New Roman"/>
          <w:bCs w:val="0"/>
          <w:color w:val="auto"/>
          <w:highlight w:val="none"/>
          <w:lang w:val="en-US" w:eastAsia="zh-CN"/>
        </w:rPr>
        <w:t>7.2-3</w:t>
      </w:r>
      <w:r>
        <w:rPr>
          <w:rFonts w:hint="default" w:ascii="Times New Roman" w:hAnsi="Times New Roman" w:cs="Times New Roman"/>
          <w:bCs w:val="0"/>
          <w:color w:val="auto"/>
          <w:highlight w:val="none"/>
        </w:rPr>
        <w:t xml:space="preserve"> 企业生产工艺评分表</w:t>
      </w:r>
    </w:p>
    <w:tbl>
      <w:tblPr>
        <w:tblStyle w:val="33"/>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42"/>
        <w:gridCol w:w="1386"/>
      </w:tblGrid>
      <w:tr w14:paraId="33BA5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blHeader/>
          <w:jc w:val="center"/>
        </w:trPr>
        <w:tc>
          <w:tcPr>
            <w:tcW w:w="8242" w:type="dxa"/>
            <w:vAlign w:val="center"/>
          </w:tcPr>
          <w:p w14:paraId="48E53E2F">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b/>
                <w:color w:val="auto"/>
                <w:szCs w:val="21"/>
              </w:rPr>
            </w:pPr>
            <w:r>
              <w:rPr>
                <w:rFonts w:hint="default" w:ascii="Times New Roman" w:hAnsi="Times New Roman" w:cs="Times New Roman"/>
                <w:b/>
                <w:color w:val="auto"/>
                <w:szCs w:val="21"/>
              </w:rPr>
              <w:t>评估依据</w:t>
            </w:r>
          </w:p>
        </w:tc>
        <w:tc>
          <w:tcPr>
            <w:tcW w:w="1386" w:type="dxa"/>
            <w:vAlign w:val="center"/>
          </w:tcPr>
          <w:p w14:paraId="73F1E7AA">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b/>
                <w:color w:val="auto"/>
                <w:szCs w:val="21"/>
              </w:rPr>
            </w:pPr>
            <w:r>
              <w:rPr>
                <w:rFonts w:hint="default" w:ascii="Times New Roman" w:hAnsi="Times New Roman" w:cs="Times New Roman"/>
                <w:b/>
                <w:color w:val="auto"/>
                <w:szCs w:val="21"/>
              </w:rPr>
              <w:t>分值</w:t>
            </w:r>
          </w:p>
        </w:tc>
      </w:tr>
      <w:tr w14:paraId="32116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242" w:type="dxa"/>
            <w:vAlign w:val="center"/>
          </w:tcPr>
          <w:p w14:paraId="4BB1E3C8">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涉及光气及光气化工艺、电解工艺（氯碱）、氯化工艺、硝化工艺、合成氨工艺、裂解（裂化）工艺、氟化工艺、加氢工艺、重氮化工艺、氧化工艺、过氧化工艺、胺基化工艺、磺化工艺、聚合工艺、烷基化工艺、新型煤化工工艺、电石生产工艺、偶氮化工艺</w:t>
            </w:r>
          </w:p>
        </w:tc>
        <w:tc>
          <w:tcPr>
            <w:tcW w:w="1386" w:type="dxa"/>
            <w:vAlign w:val="center"/>
          </w:tcPr>
          <w:p w14:paraId="125BE372">
            <w:pPr>
              <w:keepNext w:val="0"/>
              <w:keepLines w:val="0"/>
              <w:suppressLineNumbers w:val="0"/>
              <w:adjustRightInd w:val="0"/>
              <w:snapToGrid w:val="0"/>
              <w:spacing w:before="0" w:beforeAutospacing="0" w:after="0" w:afterAutospacing="0" w:line="360" w:lineRule="auto"/>
              <w:ind w:left="0" w:leftChars="0" w:right="0" w:rightChars="0"/>
              <w:jc w:val="center"/>
              <w:rPr>
                <w:rFonts w:hint="default" w:ascii="Times New Roman" w:hAnsi="Times New Roman" w:eastAsia="宋体" w:cs="Times New Roman"/>
                <w:color w:val="auto"/>
                <w:kern w:val="2"/>
                <w:sz w:val="21"/>
                <w:szCs w:val="21"/>
                <w:highlight w:val="green"/>
                <w:lang w:val="en-US" w:eastAsia="zh-CN" w:bidi="ar-SA"/>
              </w:rPr>
            </w:pPr>
            <w:r>
              <w:rPr>
                <w:rFonts w:hint="eastAsia" w:cs="Times New Roman"/>
                <w:color w:val="auto"/>
                <w:szCs w:val="21"/>
                <w:highlight w:val="none"/>
                <w:lang w:val="en-US" w:eastAsia="zh-CN"/>
              </w:rPr>
              <w:t>涉及磺化工艺分值为10，</w:t>
            </w:r>
            <w:r>
              <w:rPr>
                <w:rFonts w:hint="default" w:ascii="Times New Roman" w:hAnsi="Times New Roman" w:cs="Times New Roman"/>
                <w:color w:val="auto"/>
                <w:szCs w:val="21"/>
                <w:highlight w:val="none"/>
              </w:rPr>
              <w:t>胺基化工艺</w:t>
            </w:r>
            <w:r>
              <w:rPr>
                <w:rFonts w:hint="eastAsia" w:cs="Times New Roman"/>
                <w:color w:val="auto"/>
                <w:szCs w:val="21"/>
                <w:highlight w:val="none"/>
                <w:lang w:val="en-US" w:eastAsia="zh-CN"/>
              </w:rPr>
              <w:t>分值为10，</w:t>
            </w:r>
            <w:r>
              <w:rPr>
                <w:rFonts w:hint="default" w:ascii="Times New Roman" w:hAnsi="Times New Roman" w:cs="Times New Roman"/>
                <w:color w:val="auto"/>
                <w:szCs w:val="21"/>
                <w:highlight w:val="none"/>
              </w:rPr>
              <w:t>氯化工艺</w:t>
            </w:r>
            <w:r>
              <w:rPr>
                <w:rFonts w:hint="eastAsia" w:cs="Times New Roman"/>
                <w:color w:val="auto"/>
                <w:szCs w:val="21"/>
                <w:highlight w:val="none"/>
                <w:lang w:val="en-US" w:eastAsia="zh-CN"/>
              </w:rPr>
              <w:t>分值为10</w:t>
            </w:r>
          </w:p>
        </w:tc>
      </w:tr>
      <w:tr w14:paraId="690E1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242" w:type="dxa"/>
            <w:vAlign w:val="center"/>
          </w:tcPr>
          <w:p w14:paraId="2F443761">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其他高温或高压、涉及易燃易爆等物质的工艺过程</w:t>
            </w:r>
            <w:r>
              <w:rPr>
                <w:rFonts w:hint="default" w:ascii="Times New Roman" w:hAnsi="Times New Roman" w:cs="Times New Roman"/>
                <w:color w:val="auto"/>
                <w:szCs w:val="21"/>
                <w:highlight w:val="none"/>
                <w:vertAlign w:val="superscript"/>
              </w:rPr>
              <w:t>a</w:t>
            </w:r>
          </w:p>
        </w:tc>
        <w:tc>
          <w:tcPr>
            <w:tcW w:w="1386" w:type="dxa"/>
            <w:vAlign w:val="center"/>
          </w:tcPr>
          <w:p w14:paraId="27D266D2">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kern w:val="2"/>
                <w:sz w:val="21"/>
                <w:szCs w:val="21"/>
                <w:highlight w:val="green"/>
                <w:lang w:val="en-US" w:eastAsia="zh-CN" w:bidi="ar-SA"/>
              </w:rPr>
            </w:pPr>
            <w:r>
              <w:rPr>
                <w:rFonts w:hint="eastAsia"/>
                <w:lang w:eastAsia="zh-CN"/>
              </w:rPr>
              <w:t>甲醇</w:t>
            </w:r>
            <w:r>
              <w:rPr>
                <w:rFonts w:hint="default" w:ascii="Times New Roman" w:hAnsi="Times New Roman" w:eastAsia="宋体" w:cs="Times New Roman"/>
                <w:color w:val="auto"/>
                <w:szCs w:val="21"/>
                <w:highlight w:val="none"/>
                <w:lang w:eastAsia="zh-CN"/>
              </w:rPr>
              <w:t>分值</w:t>
            </w:r>
            <w:r>
              <w:rPr>
                <w:rFonts w:hint="eastAsia" w:cs="Times New Roman"/>
                <w:color w:val="auto"/>
                <w:szCs w:val="21"/>
                <w:highlight w:val="none"/>
                <w:lang w:val="en-US" w:eastAsia="zh-CN"/>
              </w:rPr>
              <w:t>5，氨</w:t>
            </w:r>
            <w:r>
              <w:rPr>
                <w:rFonts w:hint="default" w:ascii="Times New Roman" w:hAnsi="Times New Roman" w:eastAsia="宋体" w:cs="Times New Roman"/>
                <w:color w:val="auto"/>
                <w:szCs w:val="21"/>
                <w:highlight w:val="none"/>
                <w:lang w:eastAsia="zh-CN"/>
              </w:rPr>
              <w:t>分值</w:t>
            </w:r>
            <w:r>
              <w:rPr>
                <w:rFonts w:hint="eastAsia" w:cs="Times New Roman"/>
                <w:color w:val="auto"/>
                <w:szCs w:val="21"/>
                <w:highlight w:val="none"/>
                <w:lang w:val="en-US" w:eastAsia="zh-CN"/>
              </w:rPr>
              <w:t>5</w:t>
            </w:r>
          </w:p>
        </w:tc>
      </w:tr>
      <w:tr w14:paraId="3B7F8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242" w:type="dxa"/>
            <w:vAlign w:val="center"/>
          </w:tcPr>
          <w:p w14:paraId="30BFDECE">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具有国家规定限期淘汰的工艺名录和设备</w:t>
            </w:r>
            <w:r>
              <w:rPr>
                <w:rFonts w:hint="default" w:ascii="Times New Roman" w:hAnsi="Times New Roman" w:cs="Times New Roman"/>
                <w:color w:val="auto"/>
                <w:szCs w:val="21"/>
                <w:vertAlign w:val="superscript"/>
              </w:rPr>
              <w:t>b</w:t>
            </w:r>
          </w:p>
        </w:tc>
        <w:tc>
          <w:tcPr>
            <w:tcW w:w="1386" w:type="dxa"/>
            <w:vAlign w:val="center"/>
          </w:tcPr>
          <w:p w14:paraId="3BEE461D">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0</w:t>
            </w:r>
          </w:p>
        </w:tc>
      </w:tr>
      <w:tr w14:paraId="600FB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242" w:type="dxa"/>
            <w:vAlign w:val="center"/>
          </w:tcPr>
          <w:p w14:paraId="1637F7DE">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不涉及以上危险工艺过程或国家规定的禁用工艺/设备</w:t>
            </w:r>
          </w:p>
        </w:tc>
        <w:tc>
          <w:tcPr>
            <w:tcW w:w="1386" w:type="dxa"/>
            <w:vAlign w:val="center"/>
          </w:tcPr>
          <w:p w14:paraId="083068CE">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0</w:t>
            </w:r>
          </w:p>
        </w:tc>
      </w:tr>
    </w:tbl>
    <w:p w14:paraId="4D9C108D">
      <w:pPr>
        <w:keepNext w:val="0"/>
        <w:keepLines w:val="0"/>
        <w:pageBreakBefore w:val="0"/>
        <w:kinsoku/>
        <w:wordWrap/>
        <w:overflowPunct/>
        <w:topLinePunct w:val="0"/>
        <w:autoSpaceDE/>
        <w:autoSpaceDN/>
        <w:bidi w:val="0"/>
        <w:adjustRightInd w:val="0"/>
        <w:snapToGrid w:val="0"/>
        <w:spacing w:line="360" w:lineRule="auto"/>
        <w:textAlignment w:val="auto"/>
        <w:outlineLvl w:val="9"/>
        <w:rPr>
          <w:rFonts w:hint="default" w:ascii="Times New Roman" w:hAnsi="Times New Roman" w:cs="Times New Roman"/>
          <w:b w:val="0"/>
          <w:bCs w:val="0"/>
          <w:color w:val="auto"/>
          <w:sz w:val="24"/>
          <w:szCs w:val="24"/>
          <w:highlight w:val="none"/>
          <w:lang w:val="en-US" w:eastAsia="zh-CN"/>
        </w:rPr>
      </w:pPr>
      <w:r>
        <w:rPr>
          <w:rFonts w:hint="default" w:ascii="Times New Roman" w:hAnsi="Times New Roman" w:cs="Times New Roman"/>
          <w:b w:val="0"/>
          <w:bCs w:val="0"/>
          <w:color w:val="auto"/>
          <w:sz w:val="24"/>
          <w:szCs w:val="24"/>
          <w:highlight w:val="none"/>
          <w:lang w:val="en-US" w:eastAsia="zh-CN"/>
        </w:rPr>
        <w:t>7.2.2.2水环境风险防控措施及突发水环境事件发生情况</w:t>
      </w:r>
    </w:p>
    <w:p w14:paraId="7E38B359">
      <w:pPr>
        <w:keepNext w:val="0"/>
        <w:keepLines w:val="0"/>
        <w:pageBreakBefore w:val="0"/>
        <w:widowControl/>
        <w:kinsoku/>
        <w:wordWrap/>
        <w:overflowPunct/>
        <w:topLinePunct w:val="0"/>
        <w:autoSpaceDE/>
        <w:autoSpaceDN/>
        <w:bidi w:val="0"/>
        <w:adjustRightInd w:val="0"/>
        <w:snapToGrid w:val="0"/>
        <w:spacing w:line="360" w:lineRule="auto"/>
        <w:ind w:firstLine="363"/>
        <w:jc w:val="left"/>
        <w:textAlignment w:val="auto"/>
        <w:rPr>
          <w:rFonts w:hint="default" w:ascii="Times New Roman" w:hAnsi="Times New Roman" w:cs="Times New Roman"/>
          <w:b/>
          <w:bCs/>
          <w:color w:val="auto"/>
          <w:sz w:val="24"/>
          <w:highlight w:val="none"/>
        </w:rPr>
      </w:pPr>
      <w:r>
        <w:rPr>
          <w:rFonts w:hint="default" w:ascii="Times New Roman" w:hAnsi="Times New Roman" w:cs="Times New Roman"/>
          <w:color w:val="auto"/>
          <w:sz w:val="24"/>
          <w:highlight w:val="none"/>
        </w:rPr>
        <w:t>企业水环境风险防控措施及突发水环境事件发生情况评估指标见表</w:t>
      </w:r>
      <w:r>
        <w:rPr>
          <w:rFonts w:hint="default" w:ascii="Times New Roman" w:hAnsi="Times New Roman" w:cs="Times New Roman"/>
          <w:color w:val="auto"/>
          <w:sz w:val="24"/>
          <w:highlight w:val="none"/>
          <w:lang w:val="en-US" w:eastAsia="zh-CN"/>
        </w:rPr>
        <w:t>7.2-4</w:t>
      </w:r>
      <w:r>
        <w:rPr>
          <w:rFonts w:hint="default" w:ascii="Times New Roman" w:hAnsi="Times New Roman" w:cs="Times New Roman"/>
          <w:color w:val="auto"/>
          <w:sz w:val="24"/>
          <w:highlight w:val="none"/>
        </w:rPr>
        <w:t>对各项评估指标分别评分、计算总和，各项指标分值合计最高为70分。</w:t>
      </w:r>
    </w:p>
    <w:p w14:paraId="4AB5A1BD">
      <w:pPr>
        <w:widowControl/>
        <w:adjustRightInd w:val="0"/>
        <w:snapToGrid w:val="0"/>
        <w:spacing w:line="360" w:lineRule="auto"/>
        <w:ind w:firstLine="360"/>
        <w:jc w:val="center"/>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表</w:t>
      </w:r>
      <w:r>
        <w:rPr>
          <w:rFonts w:hint="default" w:ascii="Times New Roman" w:hAnsi="Times New Roman" w:cs="Times New Roman"/>
          <w:b/>
          <w:bCs/>
          <w:color w:val="auto"/>
          <w:sz w:val="24"/>
          <w:highlight w:val="none"/>
          <w:lang w:val="en-US" w:eastAsia="zh-CN"/>
        </w:rPr>
        <w:t>7.2-4</w:t>
      </w:r>
      <w:r>
        <w:rPr>
          <w:rFonts w:hint="default" w:ascii="Times New Roman" w:hAnsi="Times New Roman" w:cs="Times New Roman"/>
          <w:b/>
          <w:bCs/>
          <w:color w:val="auto"/>
          <w:sz w:val="24"/>
          <w:highlight w:val="none"/>
        </w:rPr>
        <w:t xml:space="preserve"> 企业水环境风险防控措施及突发水环境事件发生情况评分依据</w:t>
      </w:r>
    </w:p>
    <w:tbl>
      <w:tblPr>
        <w:tblStyle w:val="34"/>
        <w:tblW w:w="9571"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120"/>
        <w:gridCol w:w="5481"/>
        <w:gridCol w:w="720"/>
        <w:gridCol w:w="1592"/>
        <w:gridCol w:w="658"/>
      </w:tblGrid>
      <w:tr w14:paraId="37556B8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120" w:type="dxa"/>
            <w:vAlign w:val="center"/>
          </w:tcPr>
          <w:p w14:paraId="31F69BF9">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评估指标</w:t>
            </w:r>
          </w:p>
        </w:tc>
        <w:tc>
          <w:tcPr>
            <w:tcW w:w="5481" w:type="dxa"/>
            <w:vAlign w:val="center"/>
          </w:tcPr>
          <w:p w14:paraId="5DE096E7">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评估依据</w:t>
            </w:r>
          </w:p>
        </w:tc>
        <w:tc>
          <w:tcPr>
            <w:tcW w:w="720" w:type="dxa"/>
            <w:vAlign w:val="center"/>
          </w:tcPr>
          <w:p w14:paraId="59BEEA68">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分值</w:t>
            </w:r>
          </w:p>
        </w:tc>
        <w:tc>
          <w:tcPr>
            <w:tcW w:w="1592" w:type="dxa"/>
            <w:vAlign w:val="center"/>
          </w:tcPr>
          <w:p w14:paraId="2344EDC7">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企业情况</w:t>
            </w:r>
          </w:p>
        </w:tc>
        <w:tc>
          <w:tcPr>
            <w:tcW w:w="658" w:type="dxa"/>
            <w:vAlign w:val="center"/>
          </w:tcPr>
          <w:p w14:paraId="37D3E27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评估分值</w:t>
            </w:r>
          </w:p>
        </w:tc>
      </w:tr>
      <w:tr w14:paraId="173B6E3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120" w:type="dxa"/>
            <w:vMerge w:val="restart"/>
            <w:vAlign w:val="center"/>
          </w:tcPr>
          <w:p w14:paraId="51B373C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截流措施</w:t>
            </w:r>
          </w:p>
        </w:tc>
        <w:tc>
          <w:tcPr>
            <w:tcW w:w="5481" w:type="dxa"/>
            <w:vAlign w:val="center"/>
          </w:tcPr>
          <w:p w14:paraId="6FC0DBBB">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（1）环境风险单元设防渗漏、防腐蚀、防淋溶、防流失措施；且</w:t>
            </w:r>
          </w:p>
          <w:p w14:paraId="067E13A5">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（2）装置围堰与罐区防火堤（围堰）外设排水切换阀，正常情况下通向雨水系统的阀门关闭，通向事故存液池、应急事故水池、清净废水排放缓冲池或污水处理系统的阀门打开；且</w:t>
            </w:r>
          </w:p>
          <w:p w14:paraId="15E28E4D">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（3）前述措施日常管理及维护良好，有专人负责阀门切换或设置自动切换设施，保证初期雨水、泄漏物和受污染的消防水排入污水系统</w:t>
            </w:r>
          </w:p>
        </w:tc>
        <w:tc>
          <w:tcPr>
            <w:tcW w:w="720" w:type="dxa"/>
            <w:vAlign w:val="center"/>
          </w:tcPr>
          <w:p w14:paraId="7B213D5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0</w:t>
            </w:r>
          </w:p>
        </w:tc>
        <w:tc>
          <w:tcPr>
            <w:tcW w:w="1592" w:type="dxa"/>
            <w:vMerge w:val="restart"/>
            <w:vAlign w:val="center"/>
          </w:tcPr>
          <w:p w14:paraId="29A6F79E">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生产车间设有防渗漏、防腐蚀、防淋溶、防流失措施；围堰外设排水切换阀；设置有事故水池、</w:t>
            </w:r>
            <w:r>
              <w:rPr>
                <w:rFonts w:hint="default" w:ascii="Times New Roman" w:hAnsi="Times New Roman" w:cs="Times New Roman"/>
                <w:color w:val="auto"/>
                <w:szCs w:val="21"/>
                <w:highlight w:val="none"/>
                <w:lang w:eastAsia="zh-CN"/>
              </w:rPr>
              <w:t>污水收集池</w:t>
            </w:r>
            <w:r>
              <w:rPr>
                <w:rFonts w:hint="default" w:ascii="Times New Roman" w:hAnsi="Times New Roman" w:cs="Times New Roman"/>
                <w:color w:val="auto"/>
                <w:szCs w:val="21"/>
                <w:highlight w:val="none"/>
              </w:rPr>
              <w:t>等对</w:t>
            </w:r>
            <w:r>
              <w:rPr>
                <w:rFonts w:hint="default" w:ascii="Times New Roman" w:hAnsi="Times New Roman" w:cs="Times New Roman"/>
                <w:color w:val="auto"/>
                <w:szCs w:val="21"/>
                <w:highlight w:val="none"/>
                <w:lang w:eastAsia="zh-CN"/>
              </w:rPr>
              <w:t>物料</w:t>
            </w:r>
            <w:r>
              <w:rPr>
                <w:rFonts w:hint="default" w:ascii="Times New Roman" w:hAnsi="Times New Roman" w:cs="Times New Roman"/>
                <w:color w:val="auto"/>
                <w:szCs w:val="21"/>
                <w:highlight w:val="none"/>
              </w:rPr>
              <w:t>泄漏物、受污染的消防水进行收集措施；</w:t>
            </w:r>
            <w:r>
              <w:rPr>
                <w:rFonts w:hint="default" w:ascii="Times New Roman" w:hAnsi="Times New Roman" w:cs="Times New Roman"/>
                <w:color w:val="auto"/>
                <w:szCs w:val="21"/>
                <w:highlight w:val="none"/>
                <w:lang w:eastAsia="zh-CN"/>
              </w:rPr>
              <w:t>加强罐区管理，及时进行雨污切换，确保非降雨期阀门关闭</w:t>
            </w:r>
            <w:r>
              <w:rPr>
                <w:rFonts w:hint="default" w:ascii="Times New Roman" w:hAnsi="Times New Roman" w:cs="Times New Roman"/>
                <w:color w:val="auto"/>
                <w:szCs w:val="21"/>
                <w:highlight w:val="none"/>
              </w:rPr>
              <w:t>。</w:t>
            </w:r>
          </w:p>
          <w:p w14:paraId="12A36FDC">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szCs w:val="21"/>
                <w:highlight w:val="none"/>
              </w:rPr>
            </w:pPr>
          </w:p>
        </w:tc>
        <w:tc>
          <w:tcPr>
            <w:tcW w:w="658" w:type="dxa"/>
            <w:vMerge w:val="restart"/>
            <w:vAlign w:val="center"/>
          </w:tcPr>
          <w:p w14:paraId="57C51C81">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r>
      <w:tr w14:paraId="45E129C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120" w:type="dxa"/>
            <w:vMerge w:val="continue"/>
            <w:vAlign w:val="center"/>
          </w:tcPr>
          <w:p w14:paraId="324778E5">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p>
        </w:tc>
        <w:tc>
          <w:tcPr>
            <w:tcW w:w="5481" w:type="dxa"/>
            <w:vAlign w:val="center"/>
          </w:tcPr>
          <w:p w14:paraId="1F3D81F8">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有任意一个环境风险单元（包括可能发生液体泄漏或产生液体泄漏物的危险废物贮存场所）的截流措施不符合上述任意一条要求的</w:t>
            </w:r>
          </w:p>
        </w:tc>
        <w:tc>
          <w:tcPr>
            <w:tcW w:w="720" w:type="dxa"/>
            <w:vAlign w:val="center"/>
          </w:tcPr>
          <w:p w14:paraId="07E4D629">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8</w:t>
            </w:r>
          </w:p>
        </w:tc>
        <w:tc>
          <w:tcPr>
            <w:tcW w:w="1592" w:type="dxa"/>
            <w:vMerge w:val="continue"/>
            <w:vAlign w:val="center"/>
          </w:tcPr>
          <w:p w14:paraId="48E973D1">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c>
          <w:tcPr>
            <w:tcW w:w="658" w:type="dxa"/>
            <w:vMerge w:val="continue"/>
            <w:vAlign w:val="center"/>
          </w:tcPr>
          <w:p w14:paraId="35258361">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446ED73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120" w:type="dxa"/>
            <w:vMerge w:val="restart"/>
            <w:vAlign w:val="center"/>
          </w:tcPr>
          <w:p w14:paraId="7EA5CAF3">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事故废水收集措施</w:t>
            </w:r>
          </w:p>
        </w:tc>
        <w:tc>
          <w:tcPr>
            <w:tcW w:w="5481" w:type="dxa"/>
            <w:vAlign w:val="center"/>
          </w:tcPr>
          <w:p w14:paraId="5D4AD83B">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（1）按相关设计规范设置应急事故水池、事故存液池或清净废水排放缓冲池等事故排水收集设施，并根据相关设计规范、下游环境风险受体敏感程度和易发生极端天气情况，设计事故排水收集设施的容量；且</w:t>
            </w:r>
          </w:p>
          <w:p w14:paraId="00857B8C">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（2）确保事故排水收集设施在事故状态下能顺利收集泄漏物和消防水，日常保持足够的事故排水缓冲容量；且</w:t>
            </w:r>
          </w:p>
          <w:p w14:paraId="603C8CD1">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（3）通过协议单位或自建管线，能将所收集废水送至厂区内污水处理设施处理</w:t>
            </w:r>
          </w:p>
        </w:tc>
        <w:tc>
          <w:tcPr>
            <w:tcW w:w="720" w:type="dxa"/>
            <w:vAlign w:val="center"/>
          </w:tcPr>
          <w:p w14:paraId="42942319">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c>
          <w:tcPr>
            <w:tcW w:w="1592" w:type="dxa"/>
            <w:vMerge w:val="restart"/>
            <w:vAlign w:val="center"/>
          </w:tcPr>
          <w:p w14:paraId="44DB1CEC">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按相关设计规范设置了事故水池和</w:t>
            </w:r>
            <w:r>
              <w:rPr>
                <w:rFonts w:hint="default" w:ascii="Times New Roman" w:hAnsi="Times New Roman" w:cs="Times New Roman"/>
                <w:color w:val="auto"/>
                <w:szCs w:val="21"/>
                <w:highlight w:val="none"/>
                <w:lang w:eastAsia="zh-CN"/>
              </w:rPr>
              <w:t>污水收集池</w:t>
            </w:r>
            <w:r>
              <w:rPr>
                <w:rFonts w:hint="default" w:ascii="Times New Roman" w:hAnsi="Times New Roman" w:cs="Times New Roman"/>
                <w:color w:val="auto"/>
                <w:szCs w:val="21"/>
                <w:highlight w:val="none"/>
              </w:rPr>
              <w:t>，并根据下游环境风险受体敏感程度和易发生极端天气情况，设置了</w:t>
            </w:r>
            <w:r>
              <w:rPr>
                <w:rFonts w:hint="default" w:ascii="Times New Roman" w:hAnsi="Times New Roman" w:cs="Times New Roman"/>
                <w:color w:val="auto"/>
                <w:kern w:val="0"/>
                <w:sz w:val="21"/>
                <w:szCs w:val="21"/>
                <w:highlight w:val="none"/>
              </w:rPr>
              <w:t>事故水池（有效</w:t>
            </w:r>
            <w:r>
              <w:rPr>
                <w:rFonts w:hint="default" w:ascii="Times New Roman" w:hAnsi="Times New Roman" w:cs="Times New Roman"/>
                <w:color w:val="auto"/>
                <w:sz w:val="21"/>
                <w:szCs w:val="21"/>
                <w:highlight w:val="none"/>
              </w:rPr>
              <w:t>容积</w:t>
            </w:r>
            <w:r>
              <w:rPr>
                <w:rFonts w:hint="default" w:ascii="Times New Roman" w:hAnsi="Times New Roman" w:cs="Times New Roman"/>
                <w:color w:val="auto"/>
                <w:sz w:val="21"/>
                <w:szCs w:val="21"/>
                <w:highlight w:val="none"/>
                <w:lang w:val="en-US" w:eastAsia="zh-CN"/>
              </w:rPr>
              <w:t>300</w:t>
            </w:r>
            <w:r>
              <w:rPr>
                <w:rFonts w:hint="default" w:ascii="Times New Roman" w:hAnsi="Times New Roman" w:cs="Times New Roman"/>
                <w:color w:val="auto"/>
                <w:sz w:val="21"/>
                <w:szCs w:val="21"/>
                <w:highlight w:val="none"/>
              </w:rPr>
              <w:t>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w:t>
            </w:r>
            <w:r>
              <w:rPr>
                <w:rFonts w:hint="default" w:ascii="Times New Roman" w:hAnsi="Times New Roman" w:cs="Times New Roman"/>
                <w:color w:val="auto"/>
                <w:szCs w:val="21"/>
                <w:highlight w:val="none"/>
              </w:rPr>
              <w:t>，事故水池位置合理，能确保事故状态下顺利收集</w:t>
            </w:r>
            <w:r>
              <w:rPr>
                <w:rFonts w:hint="default" w:ascii="Times New Roman" w:hAnsi="Times New Roman" w:cs="Times New Roman"/>
                <w:color w:val="auto"/>
                <w:szCs w:val="21"/>
                <w:highlight w:val="none"/>
                <w:lang w:eastAsia="zh-CN"/>
              </w:rPr>
              <w:t>物料</w:t>
            </w:r>
            <w:r>
              <w:rPr>
                <w:rFonts w:hint="default" w:ascii="Times New Roman" w:hAnsi="Times New Roman" w:cs="Times New Roman"/>
                <w:color w:val="auto"/>
                <w:szCs w:val="21"/>
                <w:highlight w:val="none"/>
              </w:rPr>
              <w:t>泄漏事故水，其余车间消防废水进入</w:t>
            </w:r>
            <w:r>
              <w:rPr>
                <w:rFonts w:hint="default" w:ascii="Times New Roman" w:hAnsi="Times New Roman" w:cs="Times New Roman"/>
                <w:color w:val="auto"/>
                <w:szCs w:val="21"/>
                <w:highlight w:val="none"/>
                <w:lang w:eastAsia="zh-CN"/>
              </w:rPr>
              <w:t>污水收集池</w:t>
            </w:r>
            <w:r>
              <w:rPr>
                <w:rFonts w:hint="default" w:ascii="Times New Roman" w:hAnsi="Times New Roman" w:cs="Times New Roman"/>
                <w:color w:val="auto"/>
                <w:szCs w:val="21"/>
                <w:highlight w:val="none"/>
              </w:rPr>
              <w:t>，日常保持足够的事故排水缓冲容量；由</w:t>
            </w:r>
            <w:r>
              <w:rPr>
                <w:rFonts w:hint="default" w:ascii="Times New Roman" w:hAnsi="Times New Roman" w:cs="Times New Roman"/>
                <w:color w:val="auto"/>
                <w:szCs w:val="21"/>
                <w:highlight w:val="none"/>
                <w:lang w:eastAsia="zh-CN"/>
              </w:rPr>
              <w:t>物料泄漏</w:t>
            </w:r>
            <w:r>
              <w:rPr>
                <w:rFonts w:hint="default" w:ascii="Times New Roman" w:hAnsi="Times New Roman" w:cs="Times New Roman"/>
                <w:color w:val="auto"/>
                <w:szCs w:val="21"/>
                <w:highlight w:val="none"/>
              </w:rPr>
              <w:t>产生的存放于事故水池的事故水由罐车外运处理，收纳在</w:t>
            </w:r>
            <w:r>
              <w:rPr>
                <w:rFonts w:hint="default" w:ascii="Times New Roman" w:hAnsi="Times New Roman" w:cs="Times New Roman"/>
                <w:color w:val="auto"/>
                <w:szCs w:val="21"/>
                <w:highlight w:val="none"/>
                <w:lang w:eastAsia="zh-CN"/>
              </w:rPr>
              <w:t>污水收集池</w:t>
            </w:r>
            <w:r>
              <w:rPr>
                <w:rFonts w:hint="default" w:ascii="Times New Roman" w:hAnsi="Times New Roman" w:cs="Times New Roman"/>
                <w:color w:val="auto"/>
                <w:szCs w:val="21"/>
                <w:highlight w:val="none"/>
              </w:rPr>
              <w:t>中的其余消防废水</w:t>
            </w:r>
            <w:r>
              <w:rPr>
                <w:rFonts w:hint="default" w:ascii="Times New Roman" w:hAnsi="Times New Roman" w:cs="Times New Roman"/>
                <w:color w:val="auto"/>
                <w:szCs w:val="21"/>
                <w:highlight w:val="none"/>
                <w:lang w:eastAsia="zh-CN"/>
              </w:rPr>
              <w:t>经厂内污水处理装置预处理后通过管网排入齐鲁石化供排水厂深度处理，处理达标后经排海管线排海</w:t>
            </w:r>
            <w:r>
              <w:rPr>
                <w:rFonts w:hint="default" w:ascii="Times New Roman" w:hAnsi="Times New Roman" w:cs="Times New Roman"/>
                <w:color w:val="auto"/>
                <w:szCs w:val="21"/>
                <w:highlight w:val="none"/>
              </w:rPr>
              <w:t>。</w:t>
            </w:r>
          </w:p>
          <w:p w14:paraId="5E1A216A">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szCs w:val="21"/>
                <w:highlight w:val="none"/>
              </w:rPr>
            </w:pPr>
          </w:p>
        </w:tc>
        <w:tc>
          <w:tcPr>
            <w:tcW w:w="658" w:type="dxa"/>
            <w:vMerge w:val="restart"/>
            <w:vAlign w:val="center"/>
          </w:tcPr>
          <w:p w14:paraId="0ADF41AC">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r>
      <w:tr w14:paraId="4F952C2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120" w:type="dxa"/>
            <w:vMerge w:val="continue"/>
            <w:vAlign w:val="center"/>
          </w:tcPr>
          <w:p w14:paraId="4480280B">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p>
        </w:tc>
        <w:tc>
          <w:tcPr>
            <w:tcW w:w="5481" w:type="dxa"/>
            <w:vAlign w:val="center"/>
          </w:tcPr>
          <w:p w14:paraId="503DCD36">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有任意一个环境风险单元（包括可能发生液体泄漏或产生液体泄漏物的危险废物贮存场所）的事故排水收集措施不符合上述任意一条要求的</w:t>
            </w:r>
          </w:p>
        </w:tc>
        <w:tc>
          <w:tcPr>
            <w:tcW w:w="720" w:type="dxa"/>
            <w:vAlign w:val="center"/>
          </w:tcPr>
          <w:p w14:paraId="7C01113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8</w:t>
            </w:r>
          </w:p>
        </w:tc>
        <w:tc>
          <w:tcPr>
            <w:tcW w:w="1592" w:type="dxa"/>
            <w:vMerge w:val="continue"/>
            <w:vAlign w:val="center"/>
          </w:tcPr>
          <w:p w14:paraId="7627215B">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c>
          <w:tcPr>
            <w:tcW w:w="658" w:type="dxa"/>
            <w:vMerge w:val="continue"/>
            <w:vAlign w:val="center"/>
          </w:tcPr>
          <w:p w14:paraId="02C41EC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20C43CF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120" w:type="dxa"/>
            <w:vMerge w:val="restart"/>
            <w:vAlign w:val="center"/>
          </w:tcPr>
          <w:p w14:paraId="6EBF7BD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清净废水系统风险防控措施</w:t>
            </w:r>
          </w:p>
        </w:tc>
        <w:tc>
          <w:tcPr>
            <w:tcW w:w="5481" w:type="dxa"/>
            <w:vAlign w:val="center"/>
          </w:tcPr>
          <w:p w14:paraId="385B9A8A">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（1）不涉及清净废水；或</w:t>
            </w:r>
          </w:p>
          <w:p w14:paraId="0020E23E">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（2）厂区内清净废水均可排入废水处理系统；或清污分流，且清净废水系统具有下述所有措施：</w:t>
            </w:r>
          </w:p>
          <w:p w14:paraId="30805BD4">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①具有收集受污染的清净废水的缓冲池（或收集池），池内日常保持足够的</w:t>
            </w:r>
          </w:p>
          <w:p w14:paraId="0F8F800F">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事故排水缓冲容量；池内设有提升设施或通过自流，能将所收集物送至厂区</w:t>
            </w:r>
          </w:p>
          <w:p w14:paraId="3E560229">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内污水处理设施处理；且</w:t>
            </w:r>
          </w:p>
          <w:p w14:paraId="4BCB59ED">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②具有清净废水系统的总排口监视及关闭设施，有专人负责在紧急情况下关</w:t>
            </w:r>
          </w:p>
          <w:p w14:paraId="03852D1E">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闭清净废水总排口，防止受污染的清净废水和泄漏物进入外环境</w:t>
            </w:r>
          </w:p>
        </w:tc>
        <w:tc>
          <w:tcPr>
            <w:tcW w:w="720" w:type="dxa"/>
            <w:vAlign w:val="center"/>
          </w:tcPr>
          <w:p w14:paraId="1C67D709">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c>
          <w:tcPr>
            <w:tcW w:w="1592" w:type="dxa"/>
            <w:vMerge w:val="restart"/>
            <w:vAlign w:val="center"/>
          </w:tcPr>
          <w:p w14:paraId="76317FF5">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eastAsia="zh-CN"/>
              </w:rPr>
              <w:t>采用雨污分流制，雨水管网排放口设自动切换系统，通过自动切换系统将生产装置区及罐区的初期雨水送至初期雨水池，后期雨水排入雨水管网</w:t>
            </w:r>
            <w:r>
              <w:rPr>
                <w:rFonts w:hint="default" w:ascii="Times New Roman" w:hAnsi="Times New Roman" w:eastAsia="宋体" w:cs="Times New Roman"/>
                <w:color w:val="auto"/>
                <w:szCs w:val="21"/>
                <w:highlight w:val="none"/>
                <w:lang w:val="en-US" w:eastAsia="zh-CN"/>
              </w:rPr>
              <w:t>。</w:t>
            </w:r>
          </w:p>
          <w:p w14:paraId="6191488F">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eastAsia="zh-CN"/>
              </w:rPr>
              <w:t>厂区生活污水经化粪池暂存后与厂内产生的生产废水经厂内污水处理装置预处理后通过管网排入齐鲁石化供排水厂深度处理，处理达标后经排海管线排海</w:t>
            </w:r>
          </w:p>
          <w:p w14:paraId="14500842">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lang w:eastAsia="zh-CN"/>
              </w:rPr>
              <w:t>；</w:t>
            </w:r>
            <w:r>
              <w:rPr>
                <w:rFonts w:hint="default" w:ascii="Times New Roman" w:hAnsi="Times New Roman" w:cs="Times New Roman"/>
                <w:color w:val="auto"/>
                <w:szCs w:val="21"/>
                <w:highlight w:val="none"/>
                <w:lang w:eastAsia="zh-CN"/>
              </w:rPr>
              <w:t>加强罐区管理，及时进行雨污切换，确保非降雨期阀门关闭</w:t>
            </w:r>
            <w:r>
              <w:rPr>
                <w:rFonts w:hint="default" w:ascii="Times New Roman" w:hAnsi="Times New Roman" w:eastAsia="宋体" w:cs="Times New Roman"/>
                <w:color w:val="auto"/>
                <w:szCs w:val="21"/>
                <w:highlight w:val="none"/>
              </w:rPr>
              <w:t>。</w:t>
            </w:r>
          </w:p>
          <w:p w14:paraId="6A31BAA2">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szCs w:val="21"/>
                <w:highlight w:val="none"/>
              </w:rPr>
            </w:pPr>
          </w:p>
        </w:tc>
        <w:tc>
          <w:tcPr>
            <w:tcW w:w="658" w:type="dxa"/>
            <w:vMerge w:val="restart"/>
            <w:vAlign w:val="center"/>
          </w:tcPr>
          <w:p w14:paraId="2727D0BC">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r>
      <w:tr w14:paraId="15CAAB5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120" w:type="dxa"/>
            <w:vMerge w:val="continue"/>
            <w:vAlign w:val="center"/>
          </w:tcPr>
          <w:p w14:paraId="2DE5F6E4">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p>
        </w:tc>
        <w:tc>
          <w:tcPr>
            <w:tcW w:w="5481" w:type="dxa"/>
            <w:vAlign w:val="center"/>
          </w:tcPr>
          <w:p w14:paraId="0F0BBE93">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涉及清净废水，有任意一个环境风险单元的清净废水系统风险防控措施不符合上述（2）要求的</w:t>
            </w:r>
          </w:p>
        </w:tc>
        <w:tc>
          <w:tcPr>
            <w:tcW w:w="720" w:type="dxa"/>
            <w:vAlign w:val="center"/>
          </w:tcPr>
          <w:p w14:paraId="4EE7840C">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8</w:t>
            </w:r>
          </w:p>
        </w:tc>
        <w:tc>
          <w:tcPr>
            <w:tcW w:w="1592" w:type="dxa"/>
            <w:vMerge w:val="continue"/>
            <w:vAlign w:val="center"/>
          </w:tcPr>
          <w:p w14:paraId="6DD08DA5">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c>
          <w:tcPr>
            <w:tcW w:w="658" w:type="dxa"/>
            <w:vMerge w:val="continue"/>
            <w:vAlign w:val="center"/>
          </w:tcPr>
          <w:p w14:paraId="56DCFE63">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079A209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120" w:type="dxa"/>
            <w:vMerge w:val="restart"/>
            <w:vAlign w:val="center"/>
          </w:tcPr>
          <w:p w14:paraId="430CEA3E">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雨水排水系统风险防控措施</w:t>
            </w:r>
          </w:p>
        </w:tc>
        <w:tc>
          <w:tcPr>
            <w:tcW w:w="5481" w:type="dxa"/>
            <w:vAlign w:val="center"/>
          </w:tcPr>
          <w:p w14:paraId="19BA6EC0">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（1）厂区内雨水均进入废水处理系统；或雨污分流，且雨水排水系统具有下述所有措施：</w:t>
            </w:r>
          </w:p>
          <w:p w14:paraId="24A3F95F">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①具有收集初期雨水的收集池或雨水监控池；池出水管上设置切断阀，正常情况下阀门关闭，防止受污染的雨水外排；池内设有提升设施或通过自流，能将所收集物送至厂区内污水处理设施处理；</w:t>
            </w:r>
          </w:p>
          <w:p w14:paraId="22DD209F">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②具有雨水系统总排口（含泄洪渠）监视及关闭设施，在紧急情况下有专人负责关闭雨水系统总排口（含与清净废水共用一套排水系统情况），防止雨水、消防水和泄漏物进入外环境</w:t>
            </w:r>
          </w:p>
          <w:p w14:paraId="68748267">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（2）如果有排洪沟，排洪沟不得通过生产区和罐区，或具有防止泄漏物和受污染的消防水等流入区域排洪沟的措施</w:t>
            </w:r>
          </w:p>
        </w:tc>
        <w:tc>
          <w:tcPr>
            <w:tcW w:w="720" w:type="dxa"/>
            <w:vAlign w:val="center"/>
          </w:tcPr>
          <w:p w14:paraId="387B0133">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c>
          <w:tcPr>
            <w:tcW w:w="1592" w:type="dxa"/>
            <w:vMerge w:val="restart"/>
            <w:vAlign w:val="center"/>
          </w:tcPr>
          <w:p w14:paraId="1C9456A7">
            <w:pPr>
              <w:pStyle w:val="1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default" w:ascii="Times New Roman" w:hAnsi="Times New Roman" w:cs="Times New Roman"/>
                <w:color w:val="auto"/>
                <w:spacing w:val="-2"/>
                <w:kern w:val="0"/>
                <w:szCs w:val="21"/>
                <w:highlight w:val="none"/>
              </w:rPr>
            </w:pPr>
            <w:r>
              <w:rPr>
                <w:rFonts w:hint="default" w:ascii="Times New Roman" w:hAnsi="Times New Roman" w:eastAsia="宋体" w:cs="Times New Roman"/>
                <w:color w:val="auto"/>
                <w:szCs w:val="21"/>
                <w:highlight w:val="none"/>
              </w:rPr>
              <w:t>雨污分流；</w:t>
            </w:r>
            <w:r>
              <w:rPr>
                <w:rFonts w:hint="default" w:ascii="Times New Roman" w:hAnsi="Times New Roman" w:eastAsia="宋体" w:cs="Times New Roman"/>
                <w:color w:val="auto"/>
                <w:szCs w:val="21"/>
                <w:highlight w:val="none"/>
                <w:lang w:eastAsia="zh-CN"/>
              </w:rPr>
              <w:t>企业</w:t>
            </w:r>
            <w:r>
              <w:rPr>
                <w:rFonts w:hint="default" w:ascii="Times New Roman" w:hAnsi="Times New Roman" w:cs="Times New Roman"/>
                <w:color w:val="auto"/>
                <w:szCs w:val="21"/>
                <w:highlight w:val="none"/>
                <w:lang w:eastAsia="zh-CN"/>
              </w:rPr>
              <w:t>已</w:t>
            </w:r>
            <w:r>
              <w:rPr>
                <w:rFonts w:hint="default" w:ascii="Times New Roman" w:hAnsi="Times New Roman" w:eastAsia="宋体" w:cs="Times New Roman"/>
                <w:color w:val="auto"/>
                <w:szCs w:val="21"/>
                <w:highlight w:val="none"/>
                <w:lang w:eastAsia="zh-CN"/>
              </w:rPr>
              <w:t>需设置初期雨水收集池</w:t>
            </w:r>
            <w:r>
              <w:rPr>
                <w:rFonts w:hint="default" w:ascii="Times New Roman" w:hAnsi="Times New Roman" w:eastAsia="宋体" w:cs="Times New Roman"/>
                <w:color w:val="auto"/>
                <w:szCs w:val="21"/>
                <w:highlight w:val="none"/>
              </w:rPr>
              <w:t>；</w:t>
            </w:r>
            <w:r>
              <w:rPr>
                <w:rFonts w:hint="default" w:ascii="Times New Roman" w:hAnsi="Times New Roman" w:cs="Times New Roman"/>
                <w:color w:val="auto"/>
                <w:szCs w:val="21"/>
                <w:highlight w:val="none"/>
                <w:lang w:eastAsia="zh-CN"/>
              </w:rPr>
              <w:t>水池</w:t>
            </w:r>
            <w:r>
              <w:rPr>
                <w:rFonts w:hint="default" w:ascii="Times New Roman" w:hAnsi="Times New Roman" w:eastAsia="宋体" w:cs="Times New Roman"/>
                <w:color w:val="auto"/>
                <w:szCs w:val="21"/>
                <w:highlight w:val="none"/>
              </w:rPr>
              <w:t>出水管</w:t>
            </w:r>
            <w:r>
              <w:rPr>
                <w:rFonts w:hint="default" w:ascii="Times New Roman" w:hAnsi="Times New Roman" w:eastAsia="宋体" w:cs="Times New Roman"/>
                <w:color w:val="auto"/>
                <w:szCs w:val="21"/>
                <w:highlight w:val="none"/>
                <w:lang w:eastAsia="zh-CN"/>
              </w:rPr>
              <w:t>及</w:t>
            </w:r>
            <w:r>
              <w:rPr>
                <w:rFonts w:hint="default" w:ascii="Times New Roman" w:hAnsi="Times New Roman" w:eastAsia="宋体" w:cs="Times New Roman"/>
                <w:color w:val="auto"/>
                <w:szCs w:val="21"/>
                <w:highlight w:val="none"/>
              </w:rPr>
              <w:t>雨水系统外排总排口（含泄洪渠）监视及关闭设施</w:t>
            </w:r>
            <w:r>
              <w:rPr>
                <w:rFonts w:hint="default" w:ascii="Times New Roman" w:hAnsi="Times New Roman" w:eastAsia="宋体" w:cs="Times New Roman"/>
                <w:color w:val="auto"/>
                <w:szCs w:val="21"/>
                <w:highlight w:val="none"/>
                <w:lang w:eastAsia="zh-CN"/>
              </w:rPr>
              <w:t>，</w:t>
            </w:r>
            <w:r>
              <w:rPr>
                <w:rFonts w:hint="default" w:ascii="Times New Roman" w:hAnsi="Times New Roman" w:cs="Times New Roman"/>
                <w:color w:val="auto"/>
                <w:szCs w:val="21"/>
                <w:highlight w:val="none"/>
                <w:lang w:eastAsia="zh-CN"/>
              </w:rPr>
              <w:t>加强罐区管理，及时进行雨污切换，确保非降雨期阀门关闭</w:t>
            </w:r>
            <w:r>
              <w:rPr>
                <w:rFonts w:hint="default" w:ascii="Times New Roman" w:hAnsi="Times New Roman" w:eastAsia="宋体" w:cs="Times New Roman"/>
                <w:color w:val="auto"/>
                <w:szCs w:val="21"/>
                <w:highlight w:val="none"/>
              </w:rPr>
              <w:t>。</w:t>
            </w:r>
          </w:p>
          <w:p w14:paraId="4A73B684">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p>
          <w:p w14:paraId="3F429533">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szCs w:val="21"/>
                <w:highlight w:val="none"/>
              </w:rPr>
            </w:pPr>
          </w:p>
        </w:tc>
        <w:tc>
          <w:tcPr>
            <w:tcW w:w="658" w:type="dxa"/>
            <w:vMerge w:val="restart"/>
            <w:vAlign w:val="center"/>
          </w:tcPr>
          <w:p w14:paraId="4DBACB5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r>
      <w:tr w14:paraId="79BB372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120" w:type="dxa"/>
            <w:vMerge w:val="continue"/>
            <w:vAlign w:val="center"/>
          </w:tcPr>
          <w:p w14:paraId="76EE0A23">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p>
        </w:tc>
        <w:tc>
          <w:tcPr>
            <w:tcW w:w="5481" w:type="dxa"/>
            <w:vAlign w:val="center"/>
          </w:tcPr>
          <w:p w14:paraId="1A50329B">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不符合上述要求的</w:t>
            </w:r>
          </w:p>
        </w:tc>
        <w:tc>
          <w:tcPr>
            <w:tcW w:w="720" w:type="dxa"/>
            <w:vAlign w:val="center"/>
          </w:tcPr>
          <w:p w14:paraId="6A01D28E">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8</w:t>
            </w:r>
          </w:p>
        </w:tc>
        <w:tc>
          <w:tcPr>
            <w:tcW w:w="1592" w:type="dxa"/>
            <w:vMerge w:val="continue"/>
            <w:vAlign w:val="center"/>
          </w:tcPr>
          <w:p w14:paraId="47535134">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c>
          <w:tcPr>
            <w:tcW w:w="658" w:type="dxa"/>
            <w:vMerge w:val="continue"/>
            <w:vAlign w:val="center"/>
          </w:tcPr>
          <w:p w14:paraId="12046F13">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4145640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120" w:type="dxa"/>
            <w:vMerge w:val="restart"/>
            <w:vAlign w:val="center"/>
          </w:tcPr>
          <w:p w14:paraId="41582E51">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生产废水处理系统风险防控措施</w:t>
            </w:r>
          </w:p>
        </w:tc>
        <w:tc>
          <w:tcPr>
            <w:tcW w:w="5481" w:type="dxa"/>
            <w:vAlign w:val="center"/>
          </w:tcPr>
          <w:p w14:paraId="4BA43924">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（1）无生产废水产生或外排；或</w:t>
            </w:r>
          </w:p>
          <w:p w14:paraId="09718428">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（2）有废水外排时：</w:t>
            </w:r>
          </w:p>
          <w:p w14:paraId="58FB013D">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①受污染的循环冷却水、雨水、消防水等排入生产废水系统或独立处理系统；</w:t>
            </w:r>
          </w:p>
          <w:p w14:paraId="3AE8397F">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②生产废水排放前设监控池，能够将不合格废水送废水处理设施处理；</w:t>
            </w:r>
          </w:p>
          <w:p w14:paraId="1D0B2CE5">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③如企业受污染的清净废水或雨水进入废水处理系统处理，则废水处理系统应设置事故水缓冲设施；</w:t>
            </w:r>
          </w:p>
          <w:p w14:paraId="5C1D8EBA">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④具有生产废水总排口监视及关闭设施，有专人负责启闭，确保泄漏物、受污染的消防水、不合格废水不排出厂外</w:t>
            </w:r>
          </w:p>
        </w:tc>
        <w:tc>
          <w:tcPr>
            <w:tcW w:w="720" w:type="dxa"/>
            <w:vAlign w:val="center"/>
          </w:tcPr>
          <w:p w14:paraId="5D8BDE4A">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c>
          <w:tcPr>
            <w:tcW w:w="1592" w:type="dxa"/>
            <w:vMerge w:val="restart"/>
            <w:vAlign w:val="center"/>
          </w:tcPr>
          <w:p w14:paraId="419E4F00">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lang w:eastAsia="zh-CN"/>
              </w:rPr>
              <w:t>生活污水经化粪池暂存后与厂内产生的生产废水经厂内污水处理装置预处理后通过管网排入齐鲁石化供排水厂深度处理，处理达标后经排海管线排海</w:t>
            </w:r>
          </w:p>
          <w:p w14:paraId="20733C29">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szCs w:val="21"/>
                <w:highlight w:val="none"/>
                <w:lang w:eastAsia="zh-CN"/>
              </w:rPr>
            </w:pPr>
          </w:p>
        </w:tc>
        <w:tc>
          <w:tcPr>
            <w:tcW w:w="658" w:type="dxa"/>
            <w:vMerge w:val="restart"/>
            <w:vAlign w:val="center"/>
          </w:tcPr>
          <w:p w14:paraId="01F9B3A7">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r>
      <w:tr w14:paraId="7E09278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120" w:type="dxa"/>
            <w:vMerge w:val="continue"/>
            <w:vAlign w:val="center"/>
          </w:tcPr>
          <w:p w14:paraId="48F1F51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p>
        </w:tc>
        <w:tc>
          <w:tcPr>
            <w:tcW w:w="5481" w:type="dxa"/>
            <w:vAlign w:val="center"/>
          </w:tcPr>
          <w:p w14:paraId="2DA679AC">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涉及废水外排，且不符合上述（2）中任意一条要求的</w:t>
            </w:r>
          </w:p>
        </w:tc>
        <w:tc>
          <w:tcPr>
            <w:tcW w:w="720" w:type="dxa"/>
            <w:vAlign w:val="center"/>
          </w:tcPr>
          <w:p w14:paraId="5AA1340B">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8</w:t>
            </w:r>
          </w:p>
        </w:tc>
        <w:tc>
          <w:tcPr>
            <w:tcW w:w="1592" w:type="dxa"/>
            <w:vMerge w:val="continue"/>
            <w:vAlign w:val="center"/>
          </w:tcPr>
          <w:p w14:paraId="1018CEB9">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c>
          <w:tcPr>
            <w:tcW w:w="658" w:type="dxa"/>
            <w:vMerge w:val="continue"/>
            <w:vAlign w:val="center"/>
          </w:tcPr>
          <w:p w14:paraId="546FF04B">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4581401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120" w:type="dxa"/>
            <w:vMerge w:val="restart"/>
            <w:vAlign w:val="center"/>
          </w:tcPr>
          <w:p w14:paraId="4E0B468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废水排放去向</w:t>
            </w:r>
          </w:p>
        </w:tc>
        <w:tc>
          <w:tcPr>
            <w:tcW w:w="5481" w:type="dxa"/>
            <w:vAlign w:val="center"/>
          </w:tcPr>
          <w:p w14:paraId="7B75D48B">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无生产废水产生或外排</w:t>
            </w:r>
          </w:p>
        </w:tc>
        <w:tc>
          <w:tcPr>
            <w:tcW w:w="720" w:type="dxa"/>
            <w:vAlign w:val="center"/>
          </w:tcPr>
          <w:p w14:paraId="3E7BDED9">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c>
          <w:tcPr>
            <w:tcW w:w="1592" w:type="dxa"/>
            <w:vMerge w:val="restart"/>
            <w:vAlign w:val="center"/>
          </w:tcPr>
          <w:p w14:paraId="5F23670B">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lang w:eastAsia="zh-CN"/>
              </w:rPr>
              <w:t>生活污水经化粪池暂存后与厂内产生的生产废水经厂内污水处理装置预处理后通过管网排入齐鲁石化供排水厂深度处理，处理达标后经排海管线排海</w:t>
            </w:r>
          </w:p>
          <w:p w14:paraId="77A8D233">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p>
        </w:tc>
        <w:tc>
          <w:tcPr>
            <w:tcW w:w="658" w:type="dxa"/>
            <w:vMerge w:val="restart"/>
            <w:vAlign w:val="center"/>
          </w:tcPr>
          <w:p w14:paraId="41410B04">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lang w:val="en-US" w:eastAsia="zh-CN"/>
              </w:rPr>
              <w:t>6</w:t>
            </w:r>
          </w:p>
        </w:tc>
      </w:tr>
      <w:tr w14:paraId="0C306C7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120" w:type="dxa"/>
            <w:vMerge w:val="continue"/>
            <w:vAlign w:val="center"/>
          </w:tcPr>
          <w:p w14:paraId="0DA6CED9">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p>
        </w:tc>
        <w:tc>
          <w:tcPr>
            <w:tcW w:w="5481" w:type="dxa"/>
            <w:vAlign w:val="center"/>
          </w:tcPr>
          <w:p w14:paraId="6ED105C7">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（1）依法获取污水排入排水管网许可，进入城镇污水处理厂；或</w:t>
            </w:r>
          </w:p>
          <w:p w14:paraId="0D6172E3">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（2）进入工业废水集中处理厂；或</w:t>
            </w:r>
          </w:p>
          <w:p w14:paraId="70D26F40">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（3）进入其他单位</w:t>
            </w:r>
          </w:p>
        </w:tc>
        <w:tc>
          <w:tcPr>
            <w:tcW w:w="720" w:type="dxa"/>
            <w:vAlign w:val="center"/>
          </w:tcPr>
          <w:p w14:paraId="041AAABB">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w:t>
            </w:r>
          </w:p>
        </w:tc>
        <w:tc>
          <w:tcPr>
            <w:tcW w:w="1592" w:type="dxa"/>
            <w:vMerge w:val="continue"/>
            <w:vAlign w:val="center"/>
          </w:tcPr>
          <w:p w14:paraId="3B0DED23">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c>
          <w:tcPr>
            <w:tcW w:w="658" w:type="dxa"/>
            <w:vMerge w:val="continue"/>
            <w:vAlign w:val="center"/>
          </w:tcPr>
          <w:p w14:paraId="3ABBDBE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63F9E20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120" w:type="dxa"/>
            <w:vMerge w:val="continue"/>
            <w:vAlign w:val="center"/>
          </w:tcPr>
          <w:p w14:paraId="62DE317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p>
        </w:tc>
        <w:tc>
          <w:tcPr>
            <w:tcW w:w="5481" w:type="dxa"/>
            <w:vAlign w:val="center"/>
          </w:tcPr>
          <w:p w14:paraId="2E633F22">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（1）直接进入海域或进入江、河、湖、库等水环境；或</w:t>
            </w:r>
          </w:p>
          <w:p w14:paraId="0367117A">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（2）进入城市下水道再入江、河、湖、库或再进入海域；或</w:t>
            </w:r>
          </w:p>
          <w:p w14:paraId="186C24B0">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（3）未依法取得污水排入排水管网许可，进入城镇污水处理厂；或</w:t>
            </w:r>
          </w:p>
          <w:p w14:paraId="7A6CD5EA">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（4）直接进入污灌农田或蒸发地</w:t>
            </w:r>
          </w:p>
        </w:tc>
        <w:tc>
          <w:tcPr>
            <w:tcW w:w="720" w:type="dxa"/>
            <w:vAlign w:val="center"/>
          </w:tcPr>
          <w:p w14:paraId="5FD61BAD">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12</w:t>
            </w:r>
          </w:p>
        </w:tc>
        <w:tc>
          <w:tcPr>
            <w:tcW w:w="1592" w:type="dxa"/>
            <w:vMerge w:val="continue"/>
            <w:vAlign w:val="center"/>
          </w:tcPr>
          <w:p w14:paraId="6FEA9EDD">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c>
          <w:tcPr>
            <w:tcW w:w="658" w:type="dxa"/>
            <w:vMerge w:val="continue"/>
            <w:vAlign w:val="center"/>
          </w:tcPr>
          <w:p w14:paraId="75ADB24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5AFA4B8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120" w:type="dxa"/>
            <w:vMerge w:val="restart"/>
            <w:vAlign w:val="center"/>
          </w:tcPr>
          <w:p w14:paraId="4494216E">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厂内危险废物</w:t>
            </w:r>
          </w:p>
          <w:p w14:paraId="17A94FD8">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环境管理</w:t>
            </w:r>
          </w:p>
        </w:tc>
        <w:tc>
          <w:tcPr>
            <w:tcW w:w="5481" w:type="dxa"/>
            <w:vAlign w:val="center"/>
          </w:tcPr>
          <w:p w14:paraId="327503FB">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（1）不涉及危险废物的；或</w:t>
            </w:r>
          </w:p>
          <w:p w14:paraId="3562009A">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（2）针对危险废物分区贮存、运输、利用、处置具有完善的专业设施和风险防控措施</w:t>
            </w:r>
          </w:p>
        </w:tc>
        <w:tc>
          <w:tcPr>
            <w:tcW w:w="720" w:type="dxa"/>
            <w:vAlign w:val="center"/>
          </w:tcPr>
          <w:p w14:paraId="646FFCDF">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c>
          <w:tcPr>
            <w:tcW w:w="1592" w:type="dxa"/>
            <w:vMerge w:val="restart"/>
            <w:vAlign w:val="center"/>
          </w:tcPr>
          <w:p w14:paraId="4D981E33">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lang w:eastAsia="zh-CN"/>
              </w:rPr>
              <w:t>危险废物</w:t>
            </w:r>
            <w:r>
              <w:rPr>
                <w:rFonts w:hint="default" w:ascii="Times New Roman" w:hAnsi="Times New Roman" w:cs="Times New Roman"/>
                <w:color w:val="auto"/>
                <w:szCs w:val="21"/>
                <w:highlight w:val="none"/>
                <w:lang w:eastAsia="zh-CN"/>
              </w:rPr>
              <w:t>定期由有资质危废单位回收处理</w:t>
            </w:r>
          </w:p>
        </w:tc>
        <w:tc>
          <w:tcPr>
            <w:tcW w:w="658" w:type="dxa"/>
            <w:vMerge w:val="restart"/>
            <w:vAlign w:val="center"/>
          </w:tcPr>
          <w:p w14:paraId="7F9E6D7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r>
      <w:tr w14:paraId="6FBB030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120" w:type="dxa"/>
            <w:vMerge w:val="continue"/>
            <w:vAlign w:val="center"/>
          </w:tcPr>
          <w:p w14:paraId="58945FF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p>
        </w:tc>
        <w:tc>
          <w:tcPr>
            <w:tcW w:w="5481" w:type="dxa"/>
            <w:vAlign w:val="center"/>
          </w:tcPr>
          <w:p w14:paraId="1F5AB332">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不具备完善的危险废物贮存、运输、利用、处置设施和风险防控措施</w:t>
            </w:r>
          </w:p>
        </w:tc>
        <w:tc>
          <w:tcPr>
            <w:tcW w:w="720" w:type="dxa"/>
            <w:vAlign w:val="center"/>
          </w:tcPr>
          <w:p w14:paraId="3E21EDAE">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10</w:t>
            </w:r>
          </w:p>
        </w:tc>
        <w:tc>
          <w:tcPr>
            <w:tcW w:w="1592" w:type="dxa"/>
            <w:vMerge w:val="continue"/>
            <w:vAlign w:val="center"/>
          </w:tcPr>
          <w:p w14:paraId="4B358289">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c>
          <w:tcPr>
            <w:tcW w:w="658" w:type="dxa"/>
            <w:vMerge w:val="continue"/>
            <w:vAlign w:val="center"/>
          </w:tcPr>
          <w:p w14:paraId="463B29F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54CD0A8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120" w:type="dxa"/>
            <w:vMerge w:val="restart"/>
            <w:vAlign w:val="center"/>
          </w:tcPr>
          <w:p w14:paraId="2420446B">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近3年内突发水环境事件发生情况</w:t>
            </w:r>
          </w:p>
        </w:tc>
        <w:tc>
          <w:tcPr>
            <w:tcW w:w="5481" w:type="dxa"/>
            <w:vAlign w:val="center"/>
          </w:tcPr>
          <w:p w14:paraId="77000842">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发生过特别重大及重大等级突发水环境事件的</w:t>
            </w:r>
          </w:p>
        </w:tc>
        <w:tc>
          <w:tcPr>
            <w:tcW w:w="720" w:type="dxa"/>
            <w:vAlign w:val="center"/>
          </w:tcPr>
          <w:p w14:paraId="70D5D0E9">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8</w:t>
            </w:r>
          </w:p>
        </w:tc>
        <w:tc>
          <w:tcPr>
            <w:tcW w:w="1592" w:type="dxa"/>
            <w:vMerge w:val="restart"/>
            <w:vAlign w:val="center"/>
          </w:tcPr>
          <w:p w14:paraId="15D9F49A">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近3年内未发生突发水环境事件</w:t>
            </w:r>
          </w:p>
        </w:tc>
        <w:tc>
          <w:tcPr>
            <w:tcW w:w="658" w:type="dxa"/>
            <w:vMerge w:val="restart"/>
            <w:vAlign w:val="center"/>
          </w:tcPr>
          <w:p w14:paraId="264B90C3">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r>
      <w:tr w14:paraId="150901F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120" w:type="dxa"/>
            <w:vMerge w:val="continue"/>
            <w:vAlign w:val="center"/>
          </w:tcPr>
          <w:p w14:paraId="17BE674F">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p>
        </w:tc>
        <w:tc>
          <w:tcPr>
            <w:tcW w:w="5481" w:type="dxa"/>
            <w:vAlign w:val="center"/>
          </w:tcPr>
          <w:p w14:paraId="21D396C9">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发生过较大等级突发水环境事件的</w:t>
            </w:r>
          </w:p>
        </w:tc>
        <w:tc>
          <w:tcPr>
            <w:tcW w:w="720" w:type="dxa"/>
            <w:vAlign w:val="center"/>
          </w:tcPr>
          <w:p w14:paraId="6FA98254">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w:t>
            </w:r>
          </w:p>
        </w:tc>
        <w:tc>
          <w:tcPr>
            <w:tcW w:w="1592" w:type="dxa"/>
            <w:vMerge w:val="continue"/>
            <w:vAlign w:val="center"/>
          </w:tcPr>
          <w:p w14:paraId="68295CC3">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c>
          <w:tcPr>
            <w:tcW w:w="658" w:type="dxa"/>
            <w:vMerge w:val="continue"/>
            <w:vAlign w:val="center"/>
          </w:tcPr>
          <w:p w14:paraId="7649F698">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3520BF3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120" w:type="dxa"/>
            <w:vMerge w:val="continue"/>
            <w:vAlign w:val="center"/>
          </w:tcPr>
          <w:p w14:paraId="37691185">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p>
        </w:tc>
        <w:tc>
          <w:tcPr>
            <w:tcW w:w="5481" w:type="dxa"/>
            <w:vAlign w:val="center"/>
          </w:tcPr>
          <w:p w14:paraId="67F86D5C">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发生过一般等级突发水环境事件的</w:t>
            </w:r>
          </w:p>
        </w:tc>
        <w:tc>
          <w:tcPr>
            <w:tcW w:w="720" w:type="dxa"/>
            <w:vAlign w:val="center"/>
          </w:tcPr>
          <w:p w14:paraId="61C869A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w:t>
            </w:r>
          </w:p>
        </w:tc>
        <w:tc>
          <w:tcPr>
            <w:tcW w:w="1592" w:type="dxa"/>
            <w:vMerge w:val="continue"/>
            <w:vAlign w:val="center"/>
          </w:tcPr>
          <w:p w14:paraId="4EA2D975">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c>
          <w:tcPr>
            <w:tcW w:w="658" w:type="dxa"/>
            <w:vMerge w:val="continue"/>
            <w:vAlign w:val="center"/>
          </w:tcPr>
          <w:p w14:paraId="6681A05F">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176F56E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120" w:type="dxa"/>
            <w:vMerge w:val="continue"/>
            <w:vAlign w:val="center"/>
          </w:tcPr>
          <w:p w14:paraId="7FA60E8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p>
        </w:tc>
        <w:tc>
          <w:tcPr>
            <w:tcW w:w="5481" w:type="dxa"/>
            <w:vAlign w:val="center"/>
          </w:tcPr>
          <w:p w14:paraId="07E3D331">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未发生突发水环境事件的</w:t>
            </w:r>
          </w:p>
        </w:tc>
        <w:tc>
          <w:tcPr>
            <w:tcW w:w="720" w:type="dxa"/>
            <w:vAlign w:val="center"/>
          </w:tcPr>
          <w:p w14:paraId="2F3985FF">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0</w:t>
            </w:r>
          </w:p>
        </w:tc>
        <w:tc>
          <w:tcPr>
            <w:tcW w:w="1592" w:type="dxa"/>
            <w:vMerge w:val="continue"/>
            <w:vAlign w:val="center"/>
          </w:tcPr>
          <w:p w14:paraId="7A77444C">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c>
          <w:tcPr>
            <w:tcW w:w="658" w:type="dxa"/>
            <w:vMerge w:val="continue"/>
            <w:vAlign w:val="center"/>
          </w:tcPr>
          <w:p w14:paraId="7BAEB31A">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p>
        </w:tc>
      </w:tr>
      <w:tr w14:paraId="6C49416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8913" w:type="dxa"/>
            <w:gridSpan w:val="4"/>
            <w:vAlign w:val="center"/>
          </w:tcPr>
          <w:p w14:paraId="16F5B7B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合计</w:t>
            </w:r>
          </w:p>
        </w:tc>
        <w:tc>
          <w:tcPr>
            <w:tcW w:w="658" w:type="dxa"/>
            <w:vAlign w:val="center"/>
          </w:tcPr>
          <w:p w14:paraId="3D901611">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lang w:val="en-US" w:eastAsia="zh-CN"/>
              </w:rPr>
              <w:t>6</w:t>
            </w:r>
          </w:p>
        </w:tc>
      </w:tr>
      <w:tr w14:paraId="081CD9D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9571" w:type="dxa"/>
            <w:gridSpan w:val="5"/>
            <w:vAlign w:val="center"/>
          </w:tcPr>
          <w:p w14:paraId="7F758625">
            <w:pPr>
              <w:keepNext w:val="0"/>
              <w:keepLines w:val="0"/>
              <w:suppressLineNumbers w:val="0"/>
              <w:adjustRightInd w:val="0"/>
              <w:snapToGrid w:val="0"/>
              <w:spacing w:before="0" w:beforeAutospacing="0" w:after="0" w:afterAutospacing="0"/>
              <w:ind w:left="0" w:right="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注：本表中相关规范具体指GB 50483、GB 50160、GB 50351、GB 50747、SH 3015</w:t>
            </w:r>
          </w:p>
        </w:tc>
      </w:tr>
    </w:tbl>
    <w:p w14:paraId="44075686">
      <w:pPr>
        <w:keepNext w:val="0"/>
        <w:keepLines w:val="0"/>
        <w:pageBreakBefore w:val="0"/>
        <w:kinsoku/>
        <w:wordWrap/>
        <w:overflowPunct/>
        <w:topLinePunct w:val="0"/>
        <w:autoSpaceDE/>
        <w:autoSpaceDN/>
        <w:bidi w:val="0"/>
        <w:spacing w:line="360" w:lineRule="auto"/>
        <w:textAlignment w:val="auto"/>
        <w:outlineLvl w:val="9"/>
        <w:rPr>
          <w:rFonts w:hint="default" w:ascii="Times New Roman" w:hAnsi="Times New Roman" w:cs="Times New Roman"/>
          <w:b w:val="0"/>
          <w:bCs w:val="0"/>
          <w:color w:val="auto"/>
          <w:sz w:val="24"/>
          <w:szCs w:val="24"/>
          <w:highlight w:val="none"/>
          <w:lang w:val="en-US" w:eastAsia="zh-CN"/>
        </w:rPr>
      </w:pPr>
      <w:r>
        <w:rPr>
          <w:rFonts w:hint="default" w:ascii="Times New Roman" w:hAnsi="Times New Roman" w:cs="Times New Roman"/>
          <w:b w:val="0"/>
          <w:bCs w:val="0"/>
          <w:color w:val="auto"/>
          <w:sz w:val="24"/>
          <w:szCs w:val="24"/>
          <w:highlight w:val="none"/>
          <w:lang w:val="en-US" w:eastAsia="zh-CN"/>
        </w:rPr>
        <w:t>7.2.2.3企业生产工艺过程与水环境风险控制水平</w:t>
      </w:r>
    </w:p>
    <w:p w14:paraId="25297CB1">
      <w:pPr>
        <w:keepNext w:val="0"/>
        <w:keepLines w:val="0"/>
        <w:pageBreakBefore w:val="0"/>
        <w:widowControl/>
        <w:kinsoku/>
        <w:wordWrap/>
        <w:overflowPunct/>
        <w:topLinePunct w:val="0"/>
        <w:autoSpaceDE/>
        <w:autoSpaceDN/>
        <w:bidi w:val="0"/>
        <w:adjustRightInd w:val="0"/>
        <w:snapToGrid w:val="0"/>
        <w:spacing w:line="360" w:lineRule="auto"/>
        <w:ind w:firstLine="360"/>
        <w:jc w:val="left"/>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将企业生产工艺过程、水环境风险防控措施及突发水环境事件发生情况各项指标评估分值累加，得出生产工艺过程与水环境风险控制水平值，按照表</w:t>
      </w:r>
      <w:r>
        <w:rPr>
          <w:rFonts w:hint="default" w:ascii="Times New Roman" w:hAnsi="Times New Roman" w:cs="Times New Roman"/>
          <w:color w:val="auto"/>
          <w:sz w:val="24"/>
          <w:highlight w:val="none"/>
          <w:lang w:val="en-US" w:eastAsia="zh-CN"/>
        </w:rPr>
        <w:t>7.2-5</w:t>
      </w:r>
      <w:r>
        <w:rPr>
          <w:rFonts w:hint="default" w:ascii="Times New Roman" w:hAnsi="Times New Roman" w:cs="Times New Roman"/>
          <w:color w:val="auto"/>
          <w:sz w:val="24"/>
          <w:highlight w:val="none"/>
        </w:rPr>
        <w:t>划分为4个类型。</w:t>
      </w:r>
    </w:p>
    <w:p w14:paraId="5D258A5A">
      <w:pPr>
        <w:widowControl/>
        <w:adjustRightInd w:val="0"/>
        <w:snapToGrid w:val="0"/>
        <w:spacing w:line="360" w:lineRule="auto"/>
        <w:jc w:val="center"/>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表</w:t>
      </w:r>
      <w:r>
        <w:rPr>
          <w:rFonts w:hint="default" w:ascii="Times New Roman" w:hAnsi="Times New Roman" w:cs="Times New Roman"/>
          <w:b/>
          <w:bCs/>
          <w:color w:val="auto"/>
          <w:sz w:val="24"/>
          <w:highlight w:val="none"/>
          <w:lang w:val="en-US" w:eastAsia="zh-CN"/>
        </w:rPr>
        <w:t>7.2-5</w:t>
      </w:r>
      <w:r>
        <w:rPr>
          <w:rFonts w:hint="default" w:ascii="Times New Roman" w:hAnsi="Times New Roman" w:cs="Times New Roman"/>
          <w:b/>
          <w:bCs/>
          <w:color w:val="auto"/>
          <w:sz w:val="24"/>
          <w:highlight w:val="none"/>
        </w:rPr>
        <w:t xml:space="preserve"> 企业生产工艺过程与环境风险控制水平类型划分</w:t>
      </w:r>
    </w:p>
    <w:tbl>
      <w:tblPr>
        <w:tblStyle w:val="33"/>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15"/>
        <w:gridCol w:w="4813"/>
      </w:tblGrid>
      <w:tr w14:paraId="15EC7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815" w:type="dxa"/>
            <w:vAlign w:val="center"/>
          </w:tcPr>
          <w:p w14:paraId="72153ABF">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b/>
                <w:bCs/>
                <w:color w:val="auto"/>
                <w:szCs w:val="21"/>
                <w:highlight w:val="none"/>
              </w:rPr>
              <w:t>生产工艺过程与环境风险控制水平</w:t>
            </w:r>
            <w:r>
              <w:rPr>
                <w:rFonts w:hint="default" w:ascii="Times New Roman" w:hAnsi="Times New Roman" w:cs="Times New Roman"/>
                <w:b/>
                <w:color w:val="auto"/>
                <w:szCs w:val="21"/>
                <w:highlight w:val="none"/>
              </w:rPr>
              <w:t>值</w:t>
            </w:r>
          </w:p>
        </w:tc>
        <w:tc>
          <w:tcPr>
            <w:tcW w:w="4813" w:type="dxa"/>
            <w:vAlign w:val="center"/>
          </w:tcPr>
          <w:p w14:paraId="05C6B67B">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
                <w:color w:val="auto"/>
                <w:szCs w:val="21"/>
                <w:highlight w:val="none"/>
              </w:rPr>
            </w:pPr>
            <w:r>
              <w:rPr>
                <w:rFonts w:hint="default" w:ascii="Times New Roman" w:hAnsi="Times New Roman" w:cs="Times New Roman"/>
                <w:b/>
                <w:bCs/>
                <w:color w:val="auto"/>
                <w:szCs w:val="21"/>
                <w:highlight w:val="none"/>
              </w:rPr>
              <w:t>生产工艺过程与环境风险控制水平类型</w:t>
            </w:r>
          </w:p>
        </w:tc>
      </w:tr>
      <w:tr w14:paraId="132F2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815" w:type="dxa"/>
            <w:vAlign w:val="center"/>
          </w:tcPr>
          <w:p w14:paraId="646D43F3">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M&lt;25</w:t>
            </w:r>
          </w:p>
        </w:tc>
        <w:tc>
          <w:tcPr>
            <w:tcW w:w="4813" w:type="dxa"/>
            <w:vAlign w:val="center"/>
          </w:tcPr>
          <w:p w14:paraId="7E944230">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M1</w:t>
            </w:r>
          </w:p>
        </w:tc>
      </w:tr>
      <w:tr w14:paraId="592B7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815" w:type="dxa"/>
            <w:vAlign w:val="center"/>
          </w:tcPr>
          <w:p w14:paraId="791E7ED0">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25≤M&lt;45</w:t>
            </w:r>
          </w:p>
        </w:tc>
        <w:tc>
          <w:tcPr>
            <w:tcW w:w="4813" w:type="dxa"/>
            <w:vAlign w:val="center"/>
          </w:tcPr>
          <w:p w14:paraId="061C5D55">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M2</w:t>
            </w:r>
          </w:p>
        </w:tc>
      </w:tr>
      <w:tr w14:paraId="65E79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815" w:type="dxa"/>
            <w:vAlign w:val="center"/>
          </w:tcPr>
          <w:p w14:paraId="0897FAE2">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45≤M&lt;65</w:t>
            </w:r>
          </w:p>
        </w:tc>
        <w:tc>
          <w:tcPr>
            <w:tcW w:w="4813" w:type="dxa"/>
            <w:vAlign w:val="center"/>
          </w:tcPr>
          <w:p w14:paraId="79A0C086">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M3</w:t>
            </w:r>
          </w:p>
        </w:tc>
      </w:tr>
      <w:tr w14:paraId="6F5F8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815" w:type="dxa"/>
            <w:vAlign w:val="center"/>
          </w:tcPr>
          <w:p w14:paraId="2D0D6747">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M≥65</w:t>
            </w:r>
          </w:p>
        </w:tc>
        <w:tc>
          <w:tcPr>
            <w:tcW w:w="4813" w:type="dxa"/>
            <w:vAlign w:val="center"/>
          </w:tcPr>
          <w:p w14:paraId="18EE6A7D">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M4</w:t>
            </w:r>
          </w:p>
        </w:tc>
      </w:tr>
    </w:tbl>
    <w:p w14:paraId="1488E406">
      <w:pPr>
        <w:widowControl/>
        <w:adjustRightInd w:val="0"/>
        <w:snapToGrid w:val="0"/>
        <w:spacing w:line="360" w:lineRule="auto"/>
        <w:ind w:firstLine="486" w:firstLineChars="200"/>
        <w:rPr>
          <w:rFonts w:hint="default" w:ascii="Times New Roman" w:hAnsi="Times New Roman" w:cs="Times New Roman"/>
          <w:bCs/>
          <w:color w:val="auto"/>
          <w:kern w:val="36"/>
          <w:sz w:val="24"/>
          <w:highlight w:val="none"/>
        </w:rPr>
      </w:pPr>
      <w:r>
        <w:rPr>
          <w:rFonts w:hint="default" w:ascii="Times New Roman" w:hAnsi="Times New Roman" w:eastAsia="宋体" w:cs="Times New Roman"/>
          <w:bCs/>
          <w:color w:val="auto"/>
          <w:sz w:val="24"/>
          <w:szCs w:val="22"/>
        </w:rPr>
        <w:t>根据</w:t>
      </w:r>
      <w:r>
        <w:rPr>
          <w:rFonts w:hint="eastAsia" w:cs="Times New Roman"/>
          <w:bCs/>
          <w:color w:val="auto"/>
          <w:sz w:val="24"/>
          <w:szCs w:val="22"/>
          <w:lang w:eastAsia="zh-CN"/>
        </w:rPr>
        <w:t>水</w:t>
      </w:r>
      <w:r>
        <w:rPr>
          <w:rFonts w:hint="default" w:ascii="Times New Roman" w:hAnsi="Times New Roman" w:eastAsia="宋体" w:cs="Times New Roman"/>
          <w:bCs/>
          <w:color w:val="auto"/>
          <w:sz w:val="24"/>
          <w:szCs w:val="22"/>
        </w:rPr>
        <w:t>环境风险防控措施及突发</w:t>
      </w:r>
      <w:r>
        <w:rPr>
          <w:rFonts w:hint="eastAsia" w:cs="Times New Roman"/>
          <w:bCs/>
          <w:color w:val="auto"/>
          <w:sz w:val="24"/>
          <w:szCs w:val="22"/>
          <w:lang w:eastAsia="zh-CN"/>
        </w:rPr>
        <w:t>水</w:t>
      </w:r>
      <w:r>
        <w:rPr>
          <w:rFonts w:hint="default" w:ascii="Times New Roman" w:hAnsi="Times New Roman" w:eastAsia="宋体" w:cs="Times New Roman"/>
          <w:bCs/>
          <w:color w:val="auto"/>
          <w:sz w:val="24"/>
          <w:szCs w:val="22"/>
        </w:rPr>
        <w:t>环境事件发生情况</w:t>
      </w:r>
      <w:r>
        <w:rPr>
          <w:rFonts w:hint="eastAsia" w:ascii="Times New Roman" w:hAnsi="Times New Roman" w:eastAsia="宋体" w:cs="Times New Roman"/>
          <w:bCs/>
          <w:color w:val="auto"/>
          <w:sz w:val="24"/>
          <w:szCs w:val="22"/>
          <w:lang w:eastAsia="zh-CN"/>
        </w:rPr>
        <w:t>的分</w:t>
      </w:r>
      <w:r>
        <w:rPr>
          <w:rFonts w:hint="default" w:ascii="Times New Roman" w:hAnsi="Times New Roman" w:eastAsia="宋体" w:cs="Times New Roman"/>
          <w:bCs/>
          <w:color w:val="auto"/>
          <w:sz w:val="24"/>
          <w:szCs w:val="22"/>
        </w:rPr>
        <w:t>可知，</w:t>
      </w:r>
      <w:r>
        <w:rPr>
          <w:rFonts w:hint="eastAsia" w:ascii="Times New Roman" w:hAnsi="Times New Roman" w:eastAsia="宋体" w:cs="Times New Roman"/>
          <w:bCs/>
          <w:color w:val="auto"/>
          <w:sz w:val="24"/>
          <w:szCs w:val="22"/>
          <w:lang w:val="en-US" w:eastAsia="zh-CN"/>
        </w:rPr>
        <w:t>M为</w:t>
      </w:r>
      <w:r>
        <w:rPr>
          <w:rFonts w:hint="eastAsia" w:cs="Times New Roman"/>
          <w:bCs/>
          <w:color w:val="auto"/>
          <w:sz w:val="24"/>
          <w:szCs w:val="22"/>
          <w:lang w:val="en-US" w:eastAsia="zh-CN"/>
        </w:rPr>
        <w:t>46</w:t>
      </w:r>
      <w:r>
        <w:rPr>
          <w:rFonts w:hint="eastAsia" w:ascii="Times New Roman" w:hAnsi="Times New Roman" w:eastAsia="宋体" w:cs="Times New Roman"/>
          <w:bCs/>
          <w:color w:val="auto"/>
          <w:sz w:val="24"/>
          <w:szCs w:val="22"/>
          <w:lang w:val="en-US" w:eastAsia="zh-CN"/>
        </w:rPr>
        <w:t>分，45≤M&lt;65</w:t>
      </w:r>
      <w:r>
        <w:rPr>
          <w:rFonts w:hint="eastAsia" w:cs="Times New Roman"/>
          <w:bCs/>
          <w:color w:val="auto"/>
          <w:sz w:val="24"/>
          <w:szCs w:val="22"/>
          <w:lang w:val="en-US" w:eastAsia="zh-CN"/>
        </w:rPr>
        <w:t>，</w:t>
      </w:r>
      <w:r>
        <w:rPr>
          <w:rFonts w:hint="default" w:ascii="Times New Roman" w:hAnsi="Times New Roman" w:cs="Times New Roman"/>
          <w:bCs/>
          <w:color w:val="auto"/>
          <w:kern w:val="36"/>
          <w:sz w:val="24"/>
          <w:highlight w:val="none"/>
        </w:rPr>
        <w:t>工艺过程与环境风险控制水平为M</w:t>
      </w:r>
      <w:r>
        <w:rPr>
          <w:rFonts w:hint="eastAsia" w:cs="Times New Roman"/>
          <w:bCs/>
          <w:color w:val="auto"/>
          <w:kern w:val="36"/>
          <w:sz w:val="24"/>
          <w:highlight w:val="none"/>
          <w:lang w:val="en-US" w:eastAsia="zh-CN"/>
        </w:rPr>
        <w:t>3</w:t>
      </w:r>
      <w:r>
        <w:rPr>
          <w:rFonts w:hint="default" w:ascii="Times New Roman" w:hAnsi="Times New Roman" w:cs="Times New Roman"/>
          <w:bCs/>
          <w:color w:val="auto"/>
          <w:kern w:val="36"/>
          <w:sz w:val="24"/>
          <w:highlight w:val="none"/>
        </w:rPr>
        <w:t>类。</w:t>
      </w:r>
    </w:p>
    <w:p w14:paraId="3BE71F5A">
      <w:pPr>
        <w:keepNext w:val="0"/>
        <w:keepLines w:val="0"/>
        <w:pageBreakBefore w:val="0"/>
        <w:widowControl w:val="0"/>
        <w:kinsoku/>
        <w:wordWrap/>
        <w:overflowPunct/>
        <w:topLinePunct w:val="0"/>
        <w:autoSpaceDE/>
        <w:autoSpaceDN/>
        <w:bidi w:val="0"/>
        <w:spacing w:before="0" w:after="0" w:line="360" w:lineRule="auto"/>
        <w:textAlignment w:val="auto"/>
        <w:outlineLvl w:val="9"/>
        <w:rPr>
          <w:rFonts w:hint="default" w:ascii="Times New Roman" w:hAnsi="Times New Roman" w:cs="Times New Roman"/>
          <w:color w:val="auto"/>
          <w:sz w:val="24"/>
          <w:szCs w:val="32"/>
          <w:highlight w:val="none"/>
          <w:lang w:val="en-US" w:eastAsia="zh-CN"/>
        </w:rPr>
      </w:pPr>
      <w:bookmarkStart w:id="250" w:name="_Toc18473"/>
      <w:bookmarkStart w:id="251" w:name="_Toc1439"/>
      <w:bookmarkStart w:id="252" w:name="_Toc10026"/>
      <w:r>
        <w:rPr>
          <w:rFonts w:hint="default" w:ascii="Times New Roman" w:hAnsi="Times New Roman" w:cs="Times New Roman"/>
          <w:color w:val="auto"/>
          <w:sz w:val="24"/>
          <w:szCs w:val="32"/>
          <w:highlight w:val="none"/>
          <w:lang w:val="en-US" w:eastAsia="zh-CN"/>
        </w:rPr>
        <w:t>7.2.3水环境风险受体敏感程度（E）评估</w:t>
      </w:r>
      <w:bookmarkEnd w:id="250"/>
      <w:bookmarkEnd w:id="251"/>
      <w:bookmarkEnd w:id="252"/>
    </w:p>
    <w:p w14:paraId="156EC0CA">
      <w:pPr>
        <w:keepNext w:val="0"/>
        <w:keepLines w:val="0"/>
        <w:pageBreakBefore w:val="0"/>
        <w:widowControl w:val="0"/>
        <w:kinsoku/>
        <w:wordWrap/>
        <w:overflowPunct/>
        <w:topLinePunct w:val="0"/>
        <w:autoSpaceDE/>
        <w:autoSpaceDN/>
        <w:bidi w:val="0"/>
        <w:spacing w:before="0" w:after="0" w:line="360" w:lineRule="auto"/>
        <w:ind w:firstLine="486" w:firstLineChars="200"/>
        <w:textAlignment w:val="auto"/>
        <w:outlineLvl w:val="9"/>
        <w:rPr>
          <w:rFonts w:hint="default" w:ascii="Times New Roman" w:hAnsi="Times New Roman" w:cs="Times New Roman"/>
          <w:bCs/>
          <w:color w:val="auto"/>
          <w:sz w:val="24"/>
          <w:highlight w:val="none"/>
        </w:rPr>
      </w:pPr>
      <w:r>
        <w:rPr>
          <w:rFonts w:hint="default" w:ascii="Times New Roman" w:hAnsi="Times New Roman" w:cs="Times New Roman"/>
          <w:color w:val="auto"/>
          <w:sz w:val="24"/>
          <w:szCs w:val="32"/>
          <w:highlight w:val="none"/>
          <w:lang w:val="en-US" w:eastAsia="zh-CN"/>
        </w:rPr>
        <w:t>按照水环境风险受体敏感程度，同时考虑河流跨界的情况和可能造成土壤污染的情</w:t>
      </w:r>
      <w:r>
        <w:rPr>
          <w:rFonts w:hint="default" w:ascii="Times New Roman" w:hAnsi="Times New Roman" w:cs="Times New Roman"/>
          <w:bCs/>
          <w:color w:val="auto"/>
          <w:sz w:val="24"/>
          <w:highlight w:val="none"/>
        </w:rPr>
        <w:t>况，将水环境风险受体敏感程度划分为类型1、类型2和类型3三种类型，分别以E1、E2和E3表示，见表</w:t>
      </w:r>
      <w:r>
        <w:rPr>
          <w:rFonts w:hint="default" w:ascii="Times New Roman" w:hAnsi="Times New Roman" w:cs="Times New Roman"/>
          <w:bCs/>
          <w:color w:val="auto"/>
          <w:sz w:val="24"/>
          <w:highlight w:val="none"/>
          <w:lang w:val="en-US" w:eastAsia="zh-CN"/>
        </w:rPr>
        <w:t>7.2-6</w:t>
      </w:r>
      <w:r>
        <w:rPr>
          <w:rFonts w:hint="default" w:ascii="Times New Roman" w:hAnsi="Times New Roman" w:cs="Times New Roman"/>
          <w:bCs/>
          <w:color w:val="auto"/>
          <w:sz w:val="24"/>
          <w:highlight w:val="none"/>
        </w:rPr>
        <w:t>。</w:t>
      </w:r>
    </w:p>
    <w:p w14:paraId="1392244E">
      <w:pPr>
        <w:adjustRightInd w:val="0"/>
        <w:snapToGrid w:val="0"/>
        <w:spacing w:line="360" w:lineRule="auto"/>
        <w:ind w:firstLine="486" w:firstLineChars="200"/>
        <w:jc w:val="left"/>
        <w:rPr>
          <w:rFonts w:hint="default" w:ascii="Times New Roman" w:hAnsi="Times New Roman" w:cs="Times New Roman"/>
          <w:bCs/>
          <w:color w:val="auto"/>
          <w:sz w:val="24"/>
          <w:highlight w:val="none"/>
        </w:rPr>
      </w:pPr>
      <w:r>
        <w:rPr>
          <w:rFonts w:hint="default" w:ascii="Times New Roman" w:hAnsi="Times New Roman" w:cs="Times New Roman"/>
          <w:bCs/>
          <w:color w:val="auto"/>
          <w:sz w:val="24"/>
          <w:highlight w:val="none"/>
        </w:rPr>
        <w:t>水环境风险受体敏感程度按照类型1、类型2和类型3顺序依次降低。若企业周边存在多种敏感程度类型的水环境风险受体，则按敏感程度高者确定企业水环境风险受体敏感程度类型。</w:t>
      </w:r>
    </w:p>
    <w:p w14:paraId="467755D6">
      <w:pPr>
        <w:adjustRightInd w:val="0"/>
        <w:snapToGrid w:val="0"/>
        <w:spacing w:line="360" w:lineRule="auto"/>
        <w:ind w:firstLine="486" w:firstLineChars="200"/>
        <w:jc w:val="center"/>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表</w:t>
      </w:r>
      <w:r>
        <w:rPr>
          <w:rFonts w:hint="default" w:ascii="Times New Roman" w:hAnsi="Times New Roman" w:cs="Times New Roman"/>
          <w:b/>
          <w:color w:val="auto"/>
          <w:sz w:val="24"/>
          <w:highlight w:val="none"/>
          <w:lang w:val="en-US" w:eastAsia="zh-CN"/>
        </w:rPr>
        <w:t>7.2-6</w:t>
      </w:r>
      <w:r>
        <w:rPr>
          <w:rFonts w:hint="default" w:ascii="Times New Roman" w:hAnsi="Times New Roman" w:cs="Times New Roman"/>
          <w:b/>
          <w:color w:val="auto"/>
          <w:sz w:val="24"/>
          <w:highlight w:val="none"/>
        </w:rPr>
        <w:t xml:space="preserve">  水环境风险受体敏感程度类型划分依据</w:t>
      </w:r>
    </w:p>
    <w:tbl>
      <w:tblPr>
        <w:tblStyle w:val="33"/>
        <w:tblW w:w="92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6"/>
        <w:gridCol w:w="7947"/>
      </w:tblGrid>
      <w:tr w14:paraId="49CAC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blHeader/>
          <w:jc w:val="center"/>
        </w:trPr>
        <w:tc>
          <w:tcPr>
            <w:tcW w:w="1266" w:type="dxa"/>
            <w:vAlign w:val="center"/>
          </w:tcPr>
          <w:p w14:paraId="3CFE4DC2">
            <w:pPr>
              <w:keepNext w:val="0"/>
              <w:keepLines w:val="0"/>
              <w:suppressLineNumbers w:val="0"/>
              <w:adjustRightInd w:val="0"/>
              <w:snapToGrid w:val="0"/>
              <w:spacing w:before="0" w:beforeAutospacing="0" w:after="0" w:afterAutospacing="0" w:line="336" w:lineRule="auto"/>
              <w:ind w:left="0" w:right="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类别</w:t>
            </w:r>
          </w:p>
        </w:tc>
        <w:tc>
          <w:tcPr>
            <w:tcW w:w="7947" w:type="dxa"/>
            <w:vAlign w:val="center"/>
          </w:tcPr>
          <w:p w14:paraId="662FEAE9">
            <w:pPr>
              <w:keepNext w:val="0"/>
              <w:keepLines w:val="0"/>
              <w:suppressLineNumbers w:val="0"/>
              <w:adjustRightInd w:val="0"/>
              <w:snapToGrid w:val="0"/>
              <w:spacing w:before="0" w:beforeAutospacing="0" w:after="0" w:afterAutospacing="0" w:line="336" w:lineRule="auto"/>
              <w:ind w:left="0" w:right="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环境风险受体情况</w:t>
            </w:r>
          </w:p>
        </w:tc>
      </w:tr>
      <w:tr w14:paraId="2FC33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266" w:type="dxa"/>
            <w:vAlign w:val="center"/>
          </w:tcPr>
          <w:p w14:paraId="37AD58BE">
            <w:pPr>
              <w:keepNext w:val="0"/>
              <w:keepLines w:val="0"/>
              <w:suppressLineNumbers w:val="0"/>
              <w:adjustRightInd w:val="0"/>
              <w:snapToGrid w:val="0"/>
              <w:spacing w:before="0" w:beforeAutospacing="0" w:after="0" w:afterAutospacing="0" w:line="336" w:lineRule="auto"/>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类型1</w:t>
            </w:r>
          </w:p>
          <w:p w14:paraId="5B7CEDA6">
            <w:pPr>
              <w:keepNext w:val="0"/>
              <w:keepLines w:val="0"/>
              <w:suppressLineNumbers w:val="0"/>
              <w:adjustRightInd w:val="0"/>
              <w:snapToGrid w:val="0"/>
              <w:spacing w:before="0" w:beforeAutospacing="0" w:after="0" w:afterAutospacing="0" w:line="336" w:lineRule="auto"/>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（E1）</w:t>
            </w:r>
          </w:p>
        </w:tc>
        <w:tc>
          <w:tcPr>
            <w:tcW w:w="7947" w:type="dxa"/>
            <w:vAlign w:val="center"/>
          </w:tcPr>
          <w:p w14:paraId="6A7F1007">
            <w:pPr>
              <w:keepNext w:val="0"/>
              <w:keepLines w:val="0"/>
              <w:numPr>
                <w:ilvl w:val="0"/>
                <w:numId w:val="10"/>
              </w:numPr>
              <w:suppressLineNumbers w:val="0"/>
              <w:adjustRightInd w:val="0"/>
              <w:snapToGrid w:val="0"/>
              <w:spacing w:before="0" w:beforeAutospacing="0" w:after="0" w:afterAutospacing="0" w:line="336" w:lineRule="auto"/>
              <w:ind w:left="0" w:right="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企业雨水排口、清净废水排口、污水排口下游10公里流经范围内有如下一类或多类环境风险受体：集中式地表水、地下水饮用水水源保护区（包括一级保护区、二级保护区及准保护区）；农村及分散式饮用水水源保护区；</w:t>
            </w:r>
          </w:p>
          <w:p w14:paraId="0536E22E">
            <w:pPr>
              <w:keepNext w:val="0"/>
              <w:keepLines w:val="0"/>
              <w:suppressLineNumbers w:val="0"/>
              <w:adjustRightInd w:val="0"/>
              <w:snapToGrid w:val="0"/>
              <w:spacing w:before="0" w:beforeAutospacing="0" w:after="0" w:afterAutospacing="0" w:line="336" w:lineRule="auto"/>
              <w:ind w:left="0" w:right="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（2）废水排入受纳水体后24小时流经范围（按受纳河流最大日均流速计算）内涉及跨国界的</w:t>
            </w:r>
          </w:p>
        </w:tc>
      </w:tr>
      <w:tr w14:paraId="5AD18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266" w:type="dxa"/>
            <w:vAlign w:val="center"/>
          </w:tcPr>
          <w:p w14:paraId="5FDD4A30">
            <w:pPr>
              <w:keepNext w:val="0"/>
              <w:keepLines w:val="0"/>
              <w:suppressLineNumbers w:val="0"/>
              <w:adjustRightInd w:val="0"/>
              <w:snapToGrid w:val="0"/>
              <w:spacing w:before="0" w:beforeAutospacing="0" w:after="0" w:afterAutospacing="0" w:line="336" w:lineRule="auto"/>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类型2</w:t>
            </w:r>
          </w:p>
          <w:p w14:paraId="2B496D78">
            <w:pPr>
              <w:keepNext w:val="0"/>
              <w:keepLines w:val="0"/>
              <w:suppressLineNumbers w:val="0"/>
              <w:adjustRightInd w:val="0"/>
              <w:snapToGrid w:val="0"/>
              <w:spacing w:before="0" w:beforeAutospacing="0" w:after="0" w:afterAutospacing="0" w:line="336" w:lineRule="auto"/>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（E2）</w:t>
            </w:r>
          </w:p>
        </w:tc>
        <w:tc>
          <w:tcPr>
            <w:tcW w:w="7947" w:type="dxa"/>
            <w:vAlign w:val="center"/>
          </w:tcPr>
          <w:p w14:paraId="206AA2B7">
            <w:pPr>
              <w:keepNext w:val="0"/>
              <w:keepLines w:val="0"/>
              <w:suppressLineNumbers w:val="0"/>
              <w:adjustRightInd w:val="0"/>
              <w:snapToGrid w:val="0"/>
              <w:spacing w:before="0" w:beforeAutospacing="0" w:after="0" w:afterAutospacing="0" w:line="336" w:lineRule="auto"/>
              <w:ind w:left="0" w:right="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企业雨水排口、清净废水排口、污水排口下游10公里流经范围内有生态保护红线划定的或具有水生态服务功能的其他水生态环境敏感区和脆弱区，如国家公园，国家级和省级水产种质资源保护区，水产养殖区，天然渔场，海水浴场，盐场保护区，国家重要湿地，国家级和地方海洋自然保护区，生物多样性保护优先区域，国家级和地方级自然保护区，国家级和省级风景名胜区，世界文化和自然遗产地，国家级和省级森林公园，世界、国家和省级地质公园，基本农田保护区，基本草原；</w:t>
            </w:r>
          </w:p>
          <w:p w14:paraId="36CC0ED4">
            <w:pPr>
              <w:keepNext w:val="0"/>
              <w:keepLines w:val="0"/>
              <w:suppressLineNumbers w:val="0"/>
              <w:adjustRightInd w:val="0"/>
              <w:snapToGrid w:val="0"/>
              <w:spacing w:before="0" w:beforeAutospacing="0" w:after="0" w:afterAutospacing="0" w:line="336" w:lineRule="auto"/>
              <w:ind w:left="0" w:right="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（2）企业雨水排口、清净废水排口、污水排口下游10公里流经范围内涉及跨省界的；</w:t>
            </w:r>
          </w:p>
          <w:p w14:paraId="491892D4">
            <w:pPr>
              <w:keepNext w:val="0"/>
              <w:keepLines w:val="0"/>
              <w:suppressLineNumbers w:val="0"/>
              <w:adjustRightInd w:val="0"/>
              <w:snapToGrid w:val="0"/>
              <w:spacing w:before="0" w:beforeAutospacing="0" w:after="0" w:afterAutospacing="0" w:line="336" w:lineRule="auto"/>
              <w:ind w:left="0" w:right="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（3）企业位于溶岩地貌、泄洪区、泥石流多发等地区</w:t>
            </w:r>
          </w:p>
        </w:tc>
      </w:tr>
      <w:tr w14:paraId="66AB4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266" w:type="dxa"/>
            <w:vAlign w:val="center"/>
          </w:tcPr>
          <w:p w14:paraId="3E32E60F">
            <w:pPr>
              <w:keepNext w:val="0"/>
              <w:keepLines w:val="0"/>
              <w:suppressLineNumbers w:val="0"/>
              <w:adjustRightInd w:val="0"/>
              <w:snapToGrid w:val="0"/>
              <w:spacing w:before="0" w:beforeAutospacing="0" w:after="0" w:afterAutospacing="0" w:line="336" w:lineRule="auto"/>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类型3</w:t>
            </w:r>
          </w:p>
          <w:p w14:paraId="1968C53A">
            <w:pPr>
              <w:keepNext w:val="0"/>
              <w:keepLines w:val="0"/>
              <w:suppressLineNumbers w:val="0"/>
              <w:adjustRightInd w:val="0"/>
              <w:snapToGrid w:val="0"/>
              <w:spacing w:before="0" w:beforeAutospacing="0" w:after="0" w:afterAutospacing="0" w:line="336" w:lineRule="auto"/>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（E3）</w:t>
            </w:r>
          </w:p>
        </w:tc>
        <w:tc>
          <w:tcPr>
            <w:tcW w:w="7947" w:type="dxa"/>
            <w:vAlign w:val="center"/>
          </w:tcPr>
          <w:p w14:paraId="502E0758">
            <w:pPr>
              <w:keepNext w:val="0"/>
              <w:keepLines w:val="0"/>
              <w:suppressLineNumbers w:val="0"/>
              <w:adjustRightInd w:val="0"/>
              <w:snapToGrid w:val="0"/>
              <w:spacing w:before="0" w:beforeAutospacing="0" w:after="0" w:afterAutospacing="0" w:line="336" w:lineRule="auto"/>
              <w:ind w:left="0" w:right="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不涉及类型1和类型2情况的</w:t>
            </w:r>
          </w:p>
        </w:tc>
      </w:tr>
      <w:tr w14:paraId="26CC8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9213" w:type="dxa"/>
            <w:gridSpan w:val="2"/>
            <w:vAlign w:val="center"/>
          </w:tcPr>
          <w:p w14:paraId="6B3E9DDB">
            <w:pPr>
              <w:keepNext w:val="0"/>
              <w:keepLines w:val="0"/>
              <w:suppressLineNumbers w:val="0"/>
              <w:adjustRightInd w:val="0"/>
              <w:snapToGrid w:val="0"/>
              <w:spacing w:before="0" w:beforeAutospacing="0" w:after="0" w:afterAutospacing="0" w:line="336" w:lineRule="auto"/>
              <w:ind w:left="0" w:right="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注：本表中规定的距离范围以到各类水环境保护目标或保护区域的边界为准</w:t>
            </w:r>
          </w:p>
        </w:tc>
      </w:tr>
    </w:tbl>
    <w:p w14:paraId="39293A51">
      <w:pPr>
        <w:adjustRightInd w:val="0"/>
        <w:snapToGrid w:val="0"/>
        <w:spacing w:line="360" w:lineRule="auto"/>
        <w:ind w:firstLine="486"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判断</w:t>
      </w:r>
      <w:r>
        <w:rPr>
          <w:rFonts w:hint="default" w:ascii="Times New Roman" w:hAnsi="Times New Roman" w:cs="Times New Roman"/>
          <w:bCs/>
          <w:color w:val="auto"/>
          <w:sz w:val="24"/>
          <w:highlight w:val="none"/>
          <w:lang w:eastAsia="zh-CN"/>
        </w:rPr>
        <w:t>山东隆信药业有限公司</w:t>
      </w:r>
      <w:r>
        <w:rPr>
          <w:rFonts w:hint="default" w:ascii="Times New Roman" w:hAnsi="Times New Roman" w:cs="Times New Roman"/>
          <w:color w:val="auto"/>
          <w:sz w:val="24"/>
          <w:highlight w:val="none"/>
        </w:rPr>
        <w:t>环境风险受体类型为：类型</w:t>
      </w:r>
      <w:r>
        <w:rPr>
          <w:rFonts w:hint="default" w:ascii="Times New Roman" w:hAnsi="Times New Roman" w:cs="Times New Roman"/>
          <w:color w:val="auto"/>
          <w:sz w:val="24"/>
          <w:highlight w:val="none"/>
          <w:lang w:val="en-US" w:eastAsia="zh-CN"/>
        </w:rPr>
        <w:t>2</w:t>
      </w:r>
      <w:r>
        <w:rPr>
          <w:rFonts w:hint="default" w:ascii="Times New Roman" w:hAnsi="Times New Roman" w:cs="Times New Roman"/>
          <w:color w:val="auto"/>
          <w:sz w:val="24"/>
          <w:highlight w:val="none"/>
        </w:rPr>
        <w:t>（E</w:t>
      </w:r>
      <w:r>
        <w:rPr>
          <w:rFonts w:hint="default" w:ascii="Times New Roman" w:hAnsi="Times New Roman" w:cs="Times New Roman"/>
          <w:color w:val="auto"/>
          <w:sz w:val="24"/>
          <w:highlight w:val="none"/>
          <w:lang w:val="en-US" w:eastAsia="zh-CN"/>
        </w:rPr>
        <w:t>2</w:t>
      </w:r>
      <w:r>
        <w:rPr>
          <w:rFonts w:hint="default" w:ascii="Times New Roman" w:hAnsi="Times New Roman" w:cs="Times New Roman"/>
          <w:color w:val="auto"/>
          <w:sz w:val="24"/>
          <w:highlight w:val="none"/>
        </w:rPr>
        <w:t>）。</w:t>
      </w:r>
      <w:bookmarkEnd w:id="231"/>
      <w:bookmarkEnd w:id="232"/>
      <w:bookmarkEnd w:id="233"/>
      <w:bookmarkEnd w:id="234"/>
      <w:bookmarkStart w:id="253" w:name="_Toc23258"/>
      <w:bookmarkStart w:id="254" w:name="_Toc30162"/>
      <w:bookmarkStart w:id="255" w:name="_Toc20693"/>
      <w:bookmarkStart w:id="256" w:name="_Toc17863"/>
      <w:bookmarkStart w:id="257" w:name="_Toc25180"/>
      <w:bookmarkStart w:id="258" w:name="_Toc19726"/>
    </w:p>
    <w:p w14:paraId="518BEFB2">
      <w:pPr>
        <w:widowControl/>
        <w:adjustRightInd w:val="0"/>
        <w:snapToGrid w:val="0"/>
        <w:spacing w:line="360" w:lineRule="auto"/>
        <w:ind w:firstLine="486" w:firstLineChars="200"/>
        <w:rPr>
          <w:rFonts w:hint="default" w:ascii="Times New Roman" w:hAnsi="Times New Roman" w:cs="Times New Roman"/>
          <w:color w:val="auto"/>
          <w:sz w:val="24"/>
          <w:highlight w:val="none"/>
        </w:rPr>
      </w:pPr>
      <w:bookmarkStart w:id="259" w:name="_Toc30744"/>
      <w:bookmarkStart w:id="260" w:name="_Toc11814"/>
      <w:r>
        <w:rPr>
          <w:rFonts w:hint="default" w:ascii="Times New Roman" w:hAnsi="Times New Roman" w:cs="Times New Roman"/>
          <w:color w:val="auto"/>
          <w:sz w:val="24"/>
          <w:highlight w:val="none"/>
        </w:rPr>
        <w:t>根据企业周边水环境风险敏感程度（E）、涉水风险物质数量与临界量比值（Q）和生产工艺过程与水环境风险控制水平（M），按照表7.2-7确定企业突发水环境事件风险等级。</w:t>
      </w:r>
    </w:p>
    <w:p w14:paraId="56271563">
      <w:pPr>
        <w:widowControl/>
        <w:adjustRightInd w:val="0"/>
        <w:snapToGrid w:val="0"/>
        <w:spacing w:line="360" w:lineRule="auto"/>
        <w:jc w:val="center"/>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表7.2-7  企业生产工艺过程与水环境风险控制水平评分</w:t>
      </w:r>
    </w:p>
    <w:tbl>
      <w:tblPr>
        <w:tblStyle w:val="33"/>
        <w:tblW w:w="94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374"/>
        <w:gridCol w:w="2161"/>
        <w:gridCol w:w="1436"/>
        <w:gridCol w:w="1457"/>
        <w:gridCol w:w="1520"/>
        <w:gridCol w:w="1521"/>
      </w:tblGrid>
      <w:tr w14:paraId="01541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3" w:hRule="atLeast"/>
          <w:jc w:val="center"/>
        </w:trPr>
        <w:tc>
          <w:tcPr>
            <w:tcW w:w="1374" w:type="dxa"/>
            <w:vMerge w:val="restart"/>
            <w:vAlign w:val="center"/>
          </w:tcPr>
          <w:p w14:paraId="12D9D9C6">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环境风险受体敏感程度（E）</w:t>
            </w:r>
          </w:p>
        </w:tc>
        <w:tc>
          <w:tcPr>
            <w:tcW w:w="2161" w:type="dxa"/>
            <w:vMerge w:val="restart"/>
            <w:vAlign w:val="center"/>
          </w:tcPr>
          <w:p w14:paraId="322CB50D">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风险物质数量与临界量比值（Q）</w:t>
            </w:r>
          </w:p>
        </w:tc>
        <w:tc>
          <w:tcPr>
            <w:tcW w:w="5934" w:type="dxa"/>
            <w:gridSpan w:val="4"/>
            <w:vAlign w:val="center"/>
          </w:tcPr>
          <w:p w14:paraId="44FC72F1">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生产工艺过程与环境风险控制水平（）</w:t>
            </w:r>
          </w:p>
        </w:tc>
      </w:tr>
      <w:tr w14:paraId="5C071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3" w:hRule="atLeast"/>
          <w:jc w:val="center"/>
        </w:trPr>
        <w:tc>
          <w:tcPr>
            <w:tcW w:w="1374" w:type="dxa"/>
            <w:vMerge w:val="continue"/>
            <w:vAlign w:val="center"/>
          </w:tcPr>
          <w:p w14:paraId="64758E4B">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rPr>
            </w:pPr>
          </w:p>
        </w:tc>
        <w:tc>
          <w:tcPr>
            <w:tcW w:w="2161" w:type="dxa"/>
            <w:vMerge w:val="continue"/>
            <w:vAlign w:val="center"/>
          </w:tcPr>
          <w:p w14:paraId="62107A28">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rPr>
            </w:pPr>
          </w:p>
        </w:tc>
        <w:tc>
          <w:tcPr>
            <w:tcW w:w="1436" w:type="dxa"/>
            <w:vAlign w:val="center"/>
          </w:tcPr>
          <w:p w14:paraId="6AB4CFD4">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M1类水平</w:t>
            </w:r>
          </w:p>
        </w:tc>
        <w:tc>
          <w:tcPr>
            <w:tcW w:w="1457" w:type="dxa"/>
            <w:vAlign w:val="center"/>
          </w:tcPr>
          <w:p w14:paraId="42113203">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M2类水平</w:t>
            </w:r>
          </w:p>
        </w:tc>
        <w:tc>
          <w:tcPr>
            <w:tcW w:w="1520" w:type="dxa"/>
            <w:vAlign w:val="center"/>
          </w:tcPr>
          <w:p w14:paraId="1B0A37D8">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M3类水平</w:t>
            </w:r>
          </w:p>
        </w:tc>
        <w:tc>
          <w:tcPr>
            <w:tcW w:w="1521" w:type="dxa"/>
            <w:vAlign w:val="center"/>
          </w:tcPr>
          <w:p w14:paraId="5040CC55">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M4类水平</w:t>
            </w:r>
          </w:p>
        </w:tc>
      </w:tr>
      <w:tr w14:paraId="222F5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3" w:hRule="atLeast"/>
          <w:jc w:val="center"/>
        </w:trPr>
        <w:tc>
          <w:tcPr>
            <w:tcW w:w="1374" w:type="dxa"/>
            <w:vMerge w:val="restart"/>
            <w:vAlign w:val="center"/>
          </w:tcPr>
          <w:p w14:paraId="40079C18">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类型1（E1）</w:t>
            </w:r>
          </w:p>
        </w:tc>
        <w:tc>
          <w:tcPr>
            <w:tcW w:w="2161" w:type="dxa"/>
            <w:vAlign w:val="center"/>
          </w:tcPr>
          <w:p w14:paraId="13FA9752">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1≤Q&lt;10（Q1）</w:t>
            </w:r>
          </w:p>
        </w:tc>
        <w:tc>
          <w:tcPr>
            <w:tcW w:w="1436" w:type="dxa"/>
            <w:vAlign w:val="center"/>
          </w:tcPr>
          <w:p w14:paraId="592CBDAF">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较大</w:t>
            </w:r>
          </w:p>
        </w:tc>
        <w:tc>
          <w:tcPr>
            <w:tcW w:w="1457" w:type="dxa"/>
            <w:vAlign w:val="center"/>
          </w:tcPr>
          <w:p w14:paraId="18EC8545">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较大</w:t>
            </w:r>
          </w:p>
        </w:tc>
        <w:tc>
          <w:tcPr>
            <w:tcW w:w="1520" w:type="dxa"/>
            <w:vAlign w:val="center"/>
          </w:tcPr>
          <w:p w14:paraId="51B764B4">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重大</w:t>
            </w:r>
          </w:p>
        </w:tc>
        <w:tc>
          <w:tcPr>
            <w:tcW w:w="1521" w:type="dxa"/>
            <w:vAlign w:val="center"/>
          </w:tcPr>
          <w:p w14:paraId="15AE4E5E">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重大</w:t>
            </w:r>
          </w:p>
        </w:tc>
      </w:tr>
      <w:tr w14:paraId="7AEF4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3" w:hRule="atLeast"/>
          <w:jc w:val="center"/>
        </w:trPr>
        <w:tc>
          <w:tcPr>
            <w:tcW w:w="1374" w:type="dxa"/>
            <w:vMerge w:val="continue"/>
            <w:vAlign w:val="center"/>
          </w:tcPr>
          <w:p w14:paraId="7E7E55FD">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rPr>
            </w:pPr>
          </w:p>
        </w:tc>
        <w:tc>
          <w:tcPr>
            <w:tcW w:w="2161" w:type="dxa"/>
            <w:vAlign w:val="center"/>
          </w:tcPr>
          <w:p w14:paraId="60958DC3">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10</w:t>
            </w:r>
            <w:r>
              <w:rPr>
                <w:rFonts w:hint="default" w:ascii="Times New Roman" w:hAnsi="Times New Roman" w:cs="Times New Roman"/>
                <w:color w:val="auto"/>
                <w:szCs w:val="21"/>
                <w:highlight w:val="none"/>
              </w:rPr>
              <w:t>≤Q&lt;100（Q2）</w:t>
            </w:r>
          </w:p>
        </w:tc>
        <w:tc>
          <w:tcPr>
            <w:tcW w:w="1436" w:type="dxa"/>
            <w:vAlign w:val="center"/>
          </w:tcPr>
          <w:p w14:paraId="3B4DF239">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较大</w:t>
            </w:r>
          </w:p>
        </w:tc>
        <w:tc>
          <w:tcPr>
            <w:tcW w:w="1457" w:type="dxa"/>
            <w:vAlign w:val="center"/>
          </w:tcPr>
          <w:p w14:paraId="508F0D89">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重大</w:t>
            </w:r>
          </w:p>
        </w:tc>
        <w:tc>
          <w:tcPr>
            <w:tcW w:w="1520" w:type="dxa"/>
            <w:vAlign w:val="center"/>
          </w:tcPr>
          <w:p w14:paraId="1BEF1A87">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重大</w:t>
            </w:r>
          </w:p>
        </w:tc>
        <w:tc>
          <w:tcPr>
            <w:tcW w:w="1521" w:type="dxa"/>
            <w:vAlign w:val="center"/>
          </w:tcPr>
          <w:p w14:paraId="64B1BBBD">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重大</w:t>
            </w:r>
          </w:p>
        </w:tc>
      </w:tr>
      <w:tr w14:paraId="6EFAE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3" w:hRule="atLeast"/>
          <w:jc w:val="center"/>
        </w:trPr>
        <w:tc>
          <w:tcPr>
            <w:tcW w:w="1374" w:type="dxa"/>
            <w:vMerge w:val="continue"/>
            <w:vAlign w:val="center"/>
          </w:tcPr>
          <w:p w14:paraId="59B566CC">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rPr>
            </w:pPr>
          </w:p>
        </w:tc>
        <w:tc>
          <w:tcPr>
            <w:tcW w:w="2161" w:type="dxa"/>
            <w:vAlign w:val="center"/>
          </w:tcPr>
          <w:p w14:paraId="3B85CAE2">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Q≥100（Q3）</w:t>
            </w:r>
          </w:p>
        </w:tc>
        <w:tc>
          <w:tcPr>
            <w:tcW w:w="1436" w:type="dxa"/>
            <w:vAlign w:val="center"/>
          </w:tcPr>
          <w:p w14:paraId="3C0DC372">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重大</w:t>
            </w:r>
          </w:p>
        </w:tc>
        <w:tc>
          <w:tcPr>
            <w:tcW w:w="1457" w:type="dxa"/>
            <w:vAlign w:val="center"/>
          </w:tcPr>
          <w:p w14:paraId="555AEC68">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重大</w:t>
            </w:r>
          </w:p>
        </w:tc>
        <w:tc>
          <w:tcPr>
            <w:tcW w:w="1520" w:type="dxa"/>
            <w:vAlign w:val="center"/>
          </w:tcPr>
          <w:p w14:paraId="223CB5A8">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重大</w:t>
            </w:r>
          </w:p>
        </w:tc>
        <w:tc>
          <w:tcPr>
            <w:tcW w:w="1521" w:type="dxa"/>
            <w:vAlign w:val="center"/>
          </w:tcPr>
          <w:p w14:paraId="36632739">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重大</w:t>
            </w:r>
          </w:p>
        </w:tc>
      </w:tr>
      <w:tr w14:paraId="1226A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3" w:hRule="atLeast"/>
          <w:jc w:val="center"/>
        </w:trPr>
        <w:tc>
          <w:tcPr>
            <w:tcW w:w="1374" w:type="dxa"/>
            <w:vMerge w:val="restart"/>
            <w:vAlign w:val="center"/>
          </w:tcPr>
          <w:p w14:paraId="308688A6">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类型2（E2）</w:t>
            </w:r>
          </w:p>
        </w:tc>
        <w:tc>
          <w:tcPr>
            <w:tcW w:w="2161" w:type="dxa"/>
            <w:vAlign w:val="center"/>
          </w:tcPr>
          <w:p w14:paraId="22776782">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1≤Q&lt;10（Q1）</w:t>
            </w:r>
          </w:p>
        </w:tc>
        <w:tc>
          <w:tcPr>
            <w:tcW w:w="1436" w:type="dxa"/>
            <w:vAlign w:val="center"/>
          </w:tcPr>
          <w:p w14:paraId="0FA06354">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一般</w:t>
            </w:r>
          </w:p>
        </w:tc>
        <w:tc>
          <w:tcPr>
            <w:tcW w:w="1457" w:type="dxa"/>
            <w:vAlign w:val="center"/>
          </w:tcPr>
          <w:p w14:paraId="7140FAC6">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较大</w:t>
            </w:r>
          </w:p>
        </w:tc>
        <w:tc>
          <w:tcPr>
            <w:tcW w:w="1520" w:type="dxa"/>
            <w:vAlign w:val="center"/>
          </w:tcPr>
          <w:p w14:paraId="57196F4F">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较大</w:t>
            </w:r>
          </w:p>
        </w:tc>
        <w:tc>
          <w:tcPr>
            <w:tcW w:w="1521" w:type="dxa"/>
            <w:vAlign w:val="center"/>
          </w:tcPr>
          <w:p w14:paraId="60AF7EA2">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重大</w:t>
            </w:r>
          </w:p>
        </w:tc>
      </w:tr>
      <w:tr w14:paraId="7A40D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3" w:hRule="atLeast"/>
          <w:jc w:val="center"/>
        </w:trPr>
        <w:tc>
          <w:tcPr>
            <w:tcW w:w="1374" w:type="dxa"/>
            <w:vMerge w:val="continue"/>
            <w:vAlign w:val="center"/>
          </w:tcPr>
          <w:p w14:paraId="02298429">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rPr>
            </w:pPr>
          </w:p>
        </w:tc>
        <w:tc>
          <w:tcPr>
            <w:tcW w:w="2161" w:type="dxa"/>
            <w:vAlign w:val="center"/>
          </w:tcPr>
          <w:p w14:paraId="32FBF121">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 w:val="24"/>
                <w:highlight w:val="none"/>
              </w:rPr>
              <w:t>10</w:t>
            </w:r>
            <w:r>
              <w:rPr>
                <w:rFonts w:hint="default" w:ascii="Times New Roman" w:hAnsi="Times New Roman" w:cs="Times New Roman"/>
                <w:color w:val="auto"/>
                <w:szCs w:val="21"/>
                <w:highlight w:val="none"/>
              </w:rPr>
              <w:t>≤Q&lt;100（Q2）</w:t>
            </w:r>
          </w:p>
        </w:tc>
        <w:tc>
          <w:tcPr>
            <w:tcW w:w="1436" w:type="dxa"/>
            <w:vAlign w:val="center"/>
          </w:tcPr>
          <w:p w14:paraId="5810F592">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较大</w:t>
            </w:r>
          </w:p>
        </w:tc>
        <w:tc>
          <w:tcPr>
            <w:tcW w:w="1457" w:type="dxa"/>
            <w:vAlign w:val="center"/>
          </w:tcPr>
          <w:p w14:paraId="56579CEA">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较大</w:t>
            </w:r>
          </w:p>
        </w:tc>
        <w:tc>
          <w:tcPr>
            <w:tcW w:w="1520" w:type="dxa"/>
            <w:vAlign w:val="center"/>
          </w:tcPr>
          <w:p w14:paraId="29CD7135">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重大</w:t>
            </w:r>
          </w:p>
        </w:tc>
        <w:tc>
          <w:tcPr>
            <w:tcW w:w="1521" w:type="dxa"/>
            <w:vAlign w:val="center"/>
          </w:tcPr>
          <w:p w14:paraId="60164EF3">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重大</w:t>
            </w:r>
          </w:p>
        </w:tc>
      </w:tr>
      <w:tr w14:paraId="33FD2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3" w:hRule="atLeast"/>
          <w:jc w:val="center"/>
        </w:trPr>
        <w:tc>
          <w:tcPr>
            <w:tcW w:w="1374" w:type="dxa"/>
            <w:vMerge w:val="continue"/>
            <w:vAlign w:val="center"/>
          </w:tcPr>
          <w:p w14:paraId="2BE943E4">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rPr>
            </w:pPr>
          </w:p>
        </w:tc>
        <w:tc>
          <w:tcPr>
            <w:tcW w:w="2161" w:type="dxa"/>
            <w:vAlign w:val="center"/>
          </w:tcPr>
          <w:p w14:paraId="239BB0E6">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Q≥100（Q3）</w:t>
            </w:r>
          </w:p>
        </w:tc>
        <w:tc>
          <w:tcPr>
            <w:tcW w:w="1436" w:type="dxa"/>
            <w:vAlign w:val="center"/>
          </w:tcPr>
          <w:p w14:paraId="66B84EB7">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较大</w:t>
            </w:r>
          </w:p>
        </w:tc>
        <w:tc>
          <w:tcPr>
            <w:tcW w:w="1457" w:type="dxa"/>
            <w:vAlign w:val="center"/>
          </w:tcPr>
          <w:p w14:paraId="6A5C3C4D">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重大</w:t>
            </w:r>
          </w:p>
        </w:tc>
        <w:tc>
          <w:tcPr>
            <w:tcW w:w="1520" w:type="dxa"/>
            <w:vAlign w:val="center"/>
          </w:tcPr>
          <w:p w14:paraId="1B922E22">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重大</w:t>
            </w:r>
          </w:p>
        </w:tc>
        <w:tc>
          <w:tcPr>
            <w:tcW w:w="1521" w:type="dxa"/>
            <w:vAlign w:val="center"/>
          </w:tcPr>
          <w:p w14:paraId="6BCCAEBE">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重大</w:t>
            </w:r>
          </w:p>
        </w:tc>
      </w:tr>
      <w:tr w14:paraId="11261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3" w:hRule="atLeast"/>
          <w:jc w:val="center"/>
        </w:trPr>
        <w:tc>
          <w:tcPr>
            <w:tcW w:w="1374" w:type="dxa"/>
            <w:vMerge w:val="restart"/>
            <w:vAlign w:val="center"/>
          </w:tcPr>
          <w:p w14:paraId="104A223E">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类型3（E3）</w:t>
            </w:r>
          </w:p>
        </w:tc>
        <w:tc>
          <w:tcPr>
            <w:tcW w:w="2161" w:type="dxa"/>
            <w:vAlign w:val="center"/>
          </w:tcPr>
          <w:p w14:paraId="2C55B70F">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1≤Q&lt;10（Q1）</w:t>
            </w:r>
          </w:p>
        </w:tc>
        <w:tc>
          <w:tcPr>
            <w:tcW w:w="1436" w:type="dxa"/>
            <w:vAlign w:val="center"/>
          </w:tcPr>
          <w:p w14:paraId="07C79D2B">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一般</w:t>
            </w:r>
          </w:p>
        </w:tc>
        <w:tc>
          <w:tcPr>
            <w:tcW w:w="1457" w:type="dxa"/>
            <w:vAlign w:val="center"/>
          </w:tcPr>
          <w:p w14:paraId="3651A1C9">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一般</w:t>
            </w:r>
          </w:p>
        </w:tc>
        <w:tc>
          <w:tcPr>
            <w:tcW w:w="1520" w:type="dxa"/>
            <w:vAlign w:val="center"/>
          </w:tcPr>
          <w:p w14:paraId="4FE53DC5">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较大</w:t>
            </w:r>
          </w:p>
        </w:tc>
        <w:tc>
          <w:tcPr>
            <w:tcW w:w="1521" w:type="dxa"/>
            <w:vAlign w:val="center"/>
          </w:tcPr>
          <w:p w14:paraId="0241D6DC">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较大</w:t>
            </w:r>
          </w:p>
        </w:tc>
      </w:tr>
      <w:tr w14:paraId="12018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3" w:hRule="atLeast"/>
          <w:jc w:val="center"/>
        </w:trPr>
        <w:tc>
          <w:tcPr>
            <w:tcW w:w="1374" w:type="dxa"/>
            <w:vMerge w:val="continue"/>
            <w:vAlign w:val="center"/>
          </w:tcPr>
          <w:p w14:paraId="4EC5FD76">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rPr>
            </w:pPr>
          </w:p>
        </w:tc>
        <w:tc>
          <w:tcPr>
            <w:tcW w:w="2161" w:type="dxa"/>
            <w:vAlign w:val="center"/>
          </w:tcPr>
          <w:p w14:paraId="23CB2942">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 w:val="24"/>
                <w:highlight w:val="none"/>
              </w:rPr>
              <w:t>10</w:t>
            </w:r>
            <w:r>
              <w:rPr>
                <w:rFonts w:hint="default" w:ascii="Times New Roman" w:hAnsi="Times New Roman" w:cs="Times New Roman"/>
                <w:color w:val="auto"/>
                <w:szCs w:val="21"/>
                <w:highlight w:val="none"/>
              </w:rPr>
              <w:t>≤Q&lt;100（Q2）</w:t>
            </w:r>
          </w:p>
        </w:tc>
        <w:tc>
          <w:tcPr>
            <w:tcW w:w="1436" w:type="dxa"/>
            <w:vAlign w:val="center"/>
          </w:tcPr>
          <w:p w14:paraId="76F98E76">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一般</w:t>
            </w:r>
          </w:p>
        </w:tc>
        <w:tc>
          <w:tcPr>
            <w:tcW w:w="1457" w:type="dxa"/>
            <w:vAlign w:val="center"/>
          </w:tcPr>
          <w:p w14:paraId="3EB89F9A">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较大</w:t>
            </w:r>
          </w:p>
        </w:tc>
        <w:tc>
          <w:tcPr>
            <w:tcW w:w="1520" w:type="dxa"/>
            <w:vAlign w:val="center"/>
          </w:tcPr>
          <w:p w14:paraId="032CB307">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较大</w:t>
            </w:r>
          </w:p>
        </w:tc>
        <w:tc>
          <w:tcPr>
            <w:tcW w:w="1521" w:type="dxa"/>
            <w:vAlign w:val="center"/>
          </w:tcPr>
          <w:p w14:paraId="63660ABC">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重大</w:t>
            </w:r>
          </w:p>
        </w:tc>
      </w:tr>
      <w:tr w14:paraId="1149A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3" w:hRule="atLeast"/>
          <w:jc w:val="center"/>
        </w:trPr>
        <w:tc>
          <w:tcPr>
            <w:tcW w:w="1374" w:type="dxa"/>
            <w:vMerge w:val="continue"/>
            <w:vAlign w:val="center"/>
          </w:tcPr>
          <w:p w14:paraId="564DB114">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rPr>
            </w:pPr>
          </w:p>
        </w:tc>
        <w:tc>
          <w:tcPr>
            <w:tcW w:w="2161" w:type="dxa"/>
            <w:vAlign w:val="center"/>
          </w:tcPr>
          <w:p w14:paraId="17599E19">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Q≥100（Q3）</w:t>
            </w:r>
          </w:p>
        </w:tc>
        <w:tc>
          <w:tcPr>
            <w:tcW w:w="1436" w:type="dxa"/>
            <w:vAlign w:val="center"/>
          </w:tcPr>
          <w:p w14:paraId="5A6B6AB1">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较大</w:t>
            </w:r>
          </w:p>
        </w:tc>
        <w:tc>
          <w:tcPr>
            <w:tcW w:w="1457" w:type="dxa"/>
            <w:vAlign w:val="center"/>
          </w:tcPr>
          <w:p w14:paraId="036298B7">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较大</w:t>
            </w:r>
          </w:p>
        </w:tc>
        <w:tc>
          <w:tcPr>
            <w:tcW w:w="1520" w:type="dxa"/>
            <w:vAlign w:val="center"/>
          </w:tcPr>
          <w:p w14:paraId="1C73907A">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重大</w:t>
            </w:r>
          </w:p>
        </w:tc>
        <w:tc>
          <w:tcPr>
            <w:tcW w:w="1521" w:type="dxa"/>
            <w:vAlign w:val="center"/>
          </w:tcPr>
          <w:p w14:paraId="0AF458CD">
            <w:pPr>
              <w:keepNext w:val="0"/>
              <w:keepLines w:val="0"/>
              <w:suppressLineNumbers w:val="0"/>
              <w:spacing w:before="0" w:beforeAutospacing="0" w:after="0" w:afterAutospacing="0" w:line="320" w:lineRule="exact"/>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重大</w:t>
            </w:r>
          </w:p>
        </w:tc>
      </w:tr>
      <w:bookmarkEnd w:id="235"/>
      <w:bookmarkEnd w:id="253"/>
      <w:bookmarkEnd w:id="254"/>
      <w:bookmarkEnd w:id="255"/>
      <w:bookmarkEnd w:id="256"/>
      <w:bookmarkEnd w:id="257"/>
      <w:bookmarkEnd w:id="258"/>
      <w:bookmarkEnd w:id="259"/>
      <w:bookmarkEnd w:id="260"/>
    </w:tbl>
    <w:p w14:paraId="7C96EC84">
      <w:pPr>
        <w:widowControl/>
        <w:adjustRightInd w:val="0"/>
        <w:snapToGrid w:val="0"/>
        <w:spacing w:before="156" w:beforeLines="50" w:line="360" w:lineRule="auto"/>
        <w:ind w:firstLine="561"/>
        <w:rPr>
          <w:rStyle w:val="121"/>
          <w:rFonts w:hint="default" w:ascii="Times New Roman" w:hAnsi="Times New Roman" w:cs="Times New Roman"/>
          <w:color w:val="auto"/>
          <w:sz w:val="11"/>
          <w:szCs w:val="11"/>
          <w:highlight w:val="none"/>
        </w:rPr>
      </w:pPr>
      <w:bookmarkStart w:id="261" w:name="_Toc14538"/>
      <w:bookmarkStart w:id="262" w:name="_Toc425866221"/>
      <w:bookmarkStart w:id="263" w:name="_Toc26379"/>
      <w:r>
        <w:rPr>
          <w:rFonts w:hint="default" w:ascii="Times New Roman" w:hAnsi="Times New Roman" w:cs="Times New Roman"/>
          <w:color w:val="auto"/>
          <w:sz w:val="24"/>
          <w:highlight w:val="none"/>
        </w:rPr>
        <w:t>因此根据建设项目涉及的物质和工艺系统的危险性及其所在地的环境敏感程度，结合事故情形下环境影响途径，可知</w:t>
      </w:r>
      <w:r>
        <w:rPr>
          <w:rFonts w:hint="default" w:ascii="Times New Roman" w:hAnsi="Times New Roman" w:cs="Times New Roman"/>
          <w:color w:val="auto"/>
          <w:sz w:val="24"/>
          <w:highlight w:val="none"/>
          <w:lang w:eastAsia="zh-CN"/>
        </w:rPr>
        <w:t>山东隆信药业有限公司</w:t>
      </w:r>
      <w:r>
        <w:rPr>
          <w:rFonts w:hint="default" w:ascii="Times New Roman" w:hAnsi="Times New Roman" w:cs="Times New Roman"/>
          <w:color w:val="auto"/>
          <w:sz w:val="24"/>
          <w:highlight w:val="none"/>
        </w:rPr>
        <w:t>属于</w:t>
      </w:r>
      <w:r>
        <w:rPr>
          <w:rFonts w:hint="eastAsia" w:cs="Times New Roman"/>
          <w:color w:val="auto"/>
          <w:sz w:val="24"/>
          <w:highlight w:val="none"/>
          <w:lang w:eastAsia="zh-CN"/>
        </w:rPr>
        <w:t>重</w:t>
      </w:r>
      <w:r>
        <w:rPr>
          <w:rFonts w:hint="default" w:ascii="Times New Roman" w:hAnsi="Times New Roman" w:cs="Times New Roman"/>
          <w:color w:val="auto"/>
          <w:sz w:val="24"/>
          <w:highlight w:val="none"/>
          <w:lang w:eastAsia="zh-CN"/>
        </w:rPr>
        <w:t>大</w:t>
      </w:r>
      <w:r>
        <w:rPr>
          <w:rFonts w:hint="default" w:ascii="Times New Roman" w:hAnsi="Times New Roman" w:cs="Times New Roman"/>
          <w:color w:val="auto"/>
          <w:sz w:val="24"/>
          <w:highlight w:val="none"/>
        </w:rPr>
        <w:t>环境风险等级，为</w:t>
      </w:r>
      <w:r>
        <w:rPr>
          <w:rFonts w:hint="eastAsia" w:cs="Times New Roman"/>
          <w:color w:val="auto"/>
          <w:sz w:val="24"/>
          <w:highlight w:val="none"/>
          <w:lang w:eastAsia="zh-CN"/>
        </w:rPr>
        <w:t>重大</w:t>
      </w:r>
      <w:r>
        <w:rPr>
          <w:rFonts w:hint="default" w:ascii="Times New Roman" w:hAnsi="Times New Roman" w:cs="Times New Roman"/>
          <w:color w:val="auto"/>
          <w:sz w:val="24"/>
          <w:highlight w:val="none"/>
        </w:rPr>
        <w:t>-水（Q</w:t>
      </w:r>
      <w:r>
        <w:rPr>
          <w:rFonts w:hint="default" w:ascii="Times New Roman" w:hAnsi="Times New Roman" w:cs="Times New Roman"/>
          <w:color w:val="auto"/>
          <w:sz w:val="24"/>
          <w:highlight w:val="none"/>
          <w:lang w:val="en-US" w:eastAsia="zh-CN"/>
        </w:rPr>
        <w:t>3</w:t>
      </w:r>
      <w:r>
        <w:rPr>
          <w:rFonts w:hint="default" w:ascii="Times New Roman" w:hAnsi="Times New Roman" w:cs="Times New Roman"/>
          <w:color w:val="auto"/>
          <w:sz w:val="24"/>
          <w:highlight w:val="none"/>
        </w:rPr>
        <w:t>-M</w:t>
      </w:r>
      <w:r>
        <w:rPr>
          <w:rFonts w:hint="eastAsia" w:cs="Times New Roman"/>
          <w:color w:val="auto"/>
          <w:sz w:val="24"/>
          <w:highlight w:val="none"/>
          <w:lang w:val="en-US" w:eastAsia="zh-CN"/>
        </w:rPr>
        <w:t>3</w:t>
      </w:r>
      <w:r>
        <w:rPr>
          <w:rFonts w:hint="default" w:ascii="Times New Roman" w:hAnsi="Times New Roman" w:cs="Times New Roman"/>
          <w:color w:val="auto"/>
          <w:sz w:val="24"/>
          <w:highlight w:val="none"/>
        </w:rPr>
        <w:t>-E</w:t>
      </w:r>
      <w:r>
        <w:rPr>
          <w:rFonts w:hint="default" w:ascii="Times New Roman" w:hAnsi="Times New Roman" w:cs="Times New Roman"/>
          <w:color w:val="auto"/>
          <w:sz w:val="24"/>
          <w:highlight w:val="none"/>
          <w:lang w:val="en-US" w:eastAsia="zh-CN"/>
        </w:rPr>
        <w:t>2</w:t>
      </w:r>
      <w:r>
        <w:rPr>
          <w:rFonts w:hint="default" w:ascii="Times New Roman" w:hAnsi="Times New Roman" w:cs="Times New Roman"/>
          <w:color w:val="auto"/>
          <w:sz w:val="24"/>
          <w:highlight w:val="none"/>
        </w:rPr>
        <w:t>）。</w:t>
      </w:r>
    </w:p>
    <w:p w14:paraId="67747DFA">
      <w:pPr>
        <w:adjustRightInd w:val="0"/>
        <w:snapToGrid w:val="0"/>
        <w:spacing w:line="360" w:lineRule="auto"/>
        <w:rPr>
          <w:rFonts w:hint="default" w:ascii="Times New Roman" w:hAnsi="Times New Roman" w:cs="Times New Roman"/>
          <w:b/>
          <w:bCs/>
          <w:color w:val="auto"/>
          <w:sz w:val="24"/>
        </w:rPr>
      </w:pPr>
      <w:r>
        <w:rPr>
          <w:rFonts w:hint="default" w:ascii="Times New Roman" w:hAnsi="Times New Roman" w:cs="Times New Roman"/>
          <w:b/>
          <w:bCs/>
          <w:color w:val="auto"/>
          <w:sz w:val="24"/>
          <w:lang w:val="en-US" w:eastAsia="zh-CN"/>
        </w:rPr>
        <w:t>7.3</w:t>
      </w:r>
      <w:r>
        <w:rPr>
          <w:rFonts w:hint="default" w:ascii="Times New Roman" w:hAnsi="Times New Roman" w:cs="Times New Roman"/>
          <w:b/>
          <w:bCs/>
          <w:color w:val="auto"/>
          <w:sz w:val="24"/>
        </w:rPr>
        <w:t xml:space="preserve"> 企业环境风险等级划分</w:t>
      </w:r>
    </w:p>
    <w:p w14:paraId="4564493A">
      <w:pPr>
        <w:adjustRightInd w:val="0"/>
        <w:snapToGrid w:val="0"/>
        <w:spacing w:line="360" w:lineRule="auto"/>
        <w:ind w:firstLine="486" w:firstLineChars="200"/>
        <w:rPr>
          <w:rFonts w:hint="default"/>
        </w:rPr>
      </w:pPr>
      <w:r>
        <w:rPr>
          <w:rFonts w:hint="default" w:ascii="Times New Roman" w:hAnsi="Times New Roman" w:cs="Times New Roman"/>
          <w:color w:val="auto"/>
          <w:sz w:val="24"/>
        </w:rPr>
        <w:t>因此根据建设项目涉及的物质和工艺系统的危险性及其所在地的环境敏感程度，结合</w:t>
      </w:r>
      <w:r>
        <w:rPr>
          <w:rFonts w:hint="default" w:ascii="Times New Roman" w:hAnsi="Times New Roman" w:cs="Times New Roman"/>
          <w:color w:val="auto"/>
          <w:sz w:val="24"/>
          <w:highlight w:val="none"/>
        </w:rPr>
        <w:t>事故情形下环境影响途径，可知</w:t>
      </w:r>
      <w:r>
        <w:rPr>
          <w:rFonts w:hint="default" w:ascii="Times New Roman" w:hAnsi="Times New Roman" w:cs="Times New Roman"/>
          <w:color w:val="auto"/>
          <w:sz w:val="24"/>
          <w:highlight w:val="none"/>
          <w:lang w:eastAsia="zh-CN"/>
        </w:rPr>
        <w:t>山东隆</w:t>
      </w:r>
      <w:r>
        <w:rPr>
          <w:rFonts w:hint="eastAsia" w:cs="Times New Roman"/>
          <w:color w:val="auto"/>
          <w:sz w:val="24"/>
          <w:highlight w:val="none"/>
          <w:lang w:eastAsia="zh-CN"/>
        </w:rPr>
        <w:t>信药业</w:t>
      </w:r>
      <w:r>
        <w:rPr>
          <w:rFonts w:hint="default" w:ascii="Times New Roman" w:hAnsi="Times New Roman" w:cs="Times New Roman"/>
          <w:color w:val="auto"/>
          <w:sz w:val="24"/>
          <w:highlight w:val="none"/>
          <w:lang w:eastAsia="zh-CN"/>
        </w:rPr>
        <w:t>有限公司</w:t>
      </w:r>
      <w:r>
        <w:rPr>
          <w:rFonts w:hint="default" w:ascii="Times New Roman" w:hAnsi="Times New Roman" w:cs="Times New Roman"/>
          <w:color w:val="auto"/>
          <w:sz w:val="24"/>
          <w:highlight w:val="none"/>
        </w:rPr>
        <w:t>属于</w:t>
      </w:r>
      <w:r>
        <w:rPr>
          <w:rFonts w:hint="eastAsia" w:cs="Times New Roman"/>
          <w:color w:val="auto"/>
          <w:sz w:val="24"/>
          <w:szCs w:val="24"/>
          <w:highlight w:val="none"/>
          <w:lang w:val="en-US" w:eastAsia="zh-CN"/>
        </w:rPr>
        <w:t>重</w:t>
      </w:r>
      <w:r>
        <w:rPr>
          <w:rFonts w:hint="default" w:ascii="Times New Roman" w:hAnsi="Times New Roman" w:cs="Times New Roman"/>
          <w:color w:val="auto"/>
          <w:sz w:val="24"/>
          <w:szCs w:val="24"/>
          <w:highlight w:val="none"/>
          <w:lang w:val="en-US" w:eastAsia="zh-CN"/>
        </w:rPr>
        <w:t>大</w:t>
      </w:r>
      <w:r>
        <w:rPr>
          <w:rFonts w:hint="default" w:ascii="Times New Roman" w:hAnsi="Times New Roman" w:cs="Times New Roman"/>
          <w:color w:val="auto"/>
          <w:sz w:val="24"/>
          <w:highlight w:val="none"/>
        </w:rPr>
        <w:t>环境风险等级。</w:t>
      </w:r>
    </w:p>
    <w:p w14:paraId="76B65031">
      <w:pPr>
        <w:widowControl/>
        <w:adjustRightInd w:val="0"/>
        <w:snapToGrid w:val="0"/>
        <w:spacing w:line="360" w:lineRule="auto"/>
        <w:ind w:firstLine="560"/>
        <w:rPr>
          <w:rStyle w:val="42"/>
          <w:rFonts w:hint="default" w:ascii="Times New Roman" w:hAnsi="Times New Roman" w:cs="Times New Roman"/>
          <w:color w:val="FF0000"/>
          <w:highlight w:val="none"/>
          <w:lang w:val="en-US" w:eastAsia="zh-CN"/>
        </w:rPr>
      </w:pPr>
      <w:r>
        <w:rPr>
          <w:rFonts w:hint="default" w:ascii="Times New Roman" w:hAnsi="Times New Roman" w:cs="Times New Roman"/>
          <w:color w:val="auto"/>
          <w:sz w:val="24"/>
          <w:szCs w:val="20"/>
          <w:highlight w:val="none"/>
          <w:lang w:eastAsia="zh-CN"/>
        </w:rPr>
        <w:t>本企业为涉气和涉水环境风险物质</w:t>
      </w:r>
      <w:r>
        <w:rPr>
          <w:rFonts w:hint="default" w:ascii="Times New Roman" w:hAnsi="Times New Roman" w:cs="Times New Roman"/>
          <w:color w:val="auto"/>
          <w:sz w:val="24"/>
          <w:szCs w:val="20"/>
          <w:highlight w:val="none"/>
        </w:rPr>
        <w:t>的企业，风险等级为</w:t>
      </w:r>
      <w:r>
        <w:rPr>
          <w:rFonts w:hint="eastAsia" w:cs="Times New Roman"/>
          <w:color w:val="auto"/>
          <w:sz w:val="24"/>
          <w:szCs w:val="24"/>
          <w:highlight w:val="none"/>
          <w:lang w:val="en-US" w:eastAsia="zh-CN"/>
        </w:rPr>
        <w:t>重大</w:t>
      </w:r>
      <w:r>
        <w:rPr>
          <w:rFonts w:hint="default" w:ascii="Times New Roman" w:hAnsi="Times New Roman" w:cs="Times New Roman"/>
          <w:color w:val="auto"/>
          <w:sz w:val="24"/>
          <w:highlight w:val="none"/>
        </w:rPr>
        <w:t>[</w:t>
      </w:r>
      <w:r>
        <w:rPr>
          <w:rFonts w:hint="eastAsia" w:cs="Times New Roman"/>
          <w:color w:val="auto"/>
          <w:sz w:val="24"/>
          <w:highlight w:val="none"/>
          <w:lang w:eastAsia="zh-CN"/>
        </w:rPr>
        <w:t>重大</w:t>
      </w:r>
      <w:r>
        <w:rPr>
          <w:rFonts w:hint="eastAsia" w:cs="Times New Roman"/>
          <w:color w:val="auto"/>
          <w:sz w:val="24"/>
          <w:highlight w:val="none"/>
          <w:lang w:val="en-US" w:eastAsia="zh-CN"/>
        </w:rPr>
        <w:t>-</w:t>
      </w:r>
      <w:r>
        <w:rPr>
          <w:rFonts w:hint="default" w:ascii="Times New Roman" w:hAnsi="Times New Roman" w:cs="Times New Roman"/>
          <w:color w:val="auto"/>
          <w:sz w:val="24"/>
          <w:szCs w:val="24"/>
          <w:highlight w:val="none"/>
          <w:lang w:val="en-US" w:eastAsia="zh-CN"/>
        </w:rPr>
        <w:t>大气（Q3-M</w:t>
      </w:r>
      <w:r>
        <w:rPr>
          <w:rFonts w:hint="eastAsia" w:cs="Times New Roman"/>
          <w:color w:val="auto"/>
          <w:sz w:val="24"/>
          <w:szCs w:val="24"/>
          <w:highlight w:val="none"/>
          <w:lang w:val="en-US" w:eastAsia="zh-CN"/>
        </w:rPr>
        <w:t>2</w:t>
      </w:r>
      <w:r>
        <w:rPr>
          <w:rFonts w:hint="default" w:ascii="Times New Roman" w:hAnsi="Times New Roman" w:cs="Times New Roman"/>
          <w:color w:val="auto"/>
          <w:sz w:val="24"/>
          <w:szCs w:val="24"/>
          <w:highlight w:val="none"/>
          <w:lang w:val="en-US" w:eastAsia="zh-CN"/>
        </w:rPr>
        <w:t>-E2）+</w:t>
      </w:r>
      <w:r>
        <w:rPr>
          <w:rFonts w:hint="eastAsia" w:cs="Times New Roman"/>
          <w:color w:val="auto"/>
          <w:sz w:val="24"/>
          <w:highlight w:val="none"/>
          <w:lang w:eastAsia="zh-CN"/>
        </w:rPr>
        <w:t>重大</w:t>
      </w:r>
      <w:r>
        <w:rPr>
          <w:rFonts w:hint="eastAsia" w:cs="Times New Roman"/>
          <w:color w:val="auto"/>
          <w:sz w:val="24"/>
          <w:highlight w:val="none"/>
          <w:lang w:val="en-US" w:eastAsia="zh-CN"/>
        </w:rPr>
        <w:t>-</w:t>
      </w:r>
      <w:r>
        <w:rPr>
          <w:rFonts w:hint="default" w:ascii="Times New Roman" w:hAnsi="Times New Roman" w:cs="Times New Roman"/>
          <w:color w:val="auto"/>
          <w:sz w:val="24"/>
          <w:szCs w:val="24"/>
          <w:highlight w:val="none"/>
          <w:lang w:val="en-US" w:eastAsia="zh-CN"/>
        </w:rPr>
        <w:t>水（Q3-M</w:t>
      </w:r>
      <w:r>
        <w:rPr>
          <w:rFonts w:hint="eastAsia" w:cs="Times New Roman"/>
          <w:color w:val="auto"/>
          <w:sz w:val="24"/>
          <w:szCs w:val="24"/>
          <w:highlight w:val="none"/>
          <w:lang w:val="en-US" w:eastAsia="zh-CN"/>
        </w:rPr>
        <w:t>3</w:t>
      </w:r>
      <w:r>
        <w:rPr>
          <w:rFonts w:hint="default" w:ascii="Times New Roman" w:hAnsi="Times New Roman" w:cs="Times New Roman"/>
          <w:color w:val="auto"/>
          <w:sz w:val="24"/>
          <w:szCs w:val="24"/>
          <w:highlight w:val="none"/>
          <w:lang w:val="en-US" w:eastAsia="zh-CN"/>
        </w:rPr>
        <w:t>-E2）</w:t>
      </w:r>
      <w:r>
        <w:rPr>
          <w:rFonts w:hint="default" w:ascii="Times New Roman" w:hAnsi="Times New Roman" w:cs="Times New Roman"/>
          <w:color w:val="auto"/>
          <w:sz w:val="24"/>
          <w:highlight w:val="none"/>
        </w:rPr>
        <w:t>]。</w:t>
      </w:r>
      <w:bookmarkStart w:id="264" w:name="_Toc19795"/>
      <w:r>
        <w:rPr>
          <w:rStyle w:val="42"/>
          <w:rFonts w:hint="default" w:ascii="Times New Roman" w:hAnsi="Times New Roman" w:cs="Times New Roman"/>
          <w:color w:val="FF0000"/>
          <w:highlight w:val="none"/>
          <w:lang w:val="en-US" w:eastAsia="zh-CN"/>
        </w:rPr>
        <w:br w:type="page"/>
      </w:r>
    </w:p>
    <w:bookmarkEnd w:id="126"/>
    <w:bookmarkEnd w:id="261"/>
    <w:bookmarkEnd w:id="262"/>
    <w:bookmarkEnd w:id="263"/>
    <w:bookmarkEnd w:id="264"/>
    <w:p w14:paraId="0AC89919">
      <w:pPr>
        <w:adjustRightInd w:val="0"/>
        <w:snapToGrid w:val="0"/>
        <w:spacing w:line="360" w:lineRule="auto"/>
        <w:outlineLvl w:val="0"/>
        <w:rPr>
          <w:rFonts w:hint="default"/>
        </w:rPr>
        <w:sectPr>
          <w:headerReference r:id="rId4" w:type="default"/>
          <w:footerReference r:id="rId5" w:type="default"/>
          <w:pgSz w:w="11906" w:h="16838"/>
          <w:pgMar w:top="1417" w:right="1247" w:bottom="1417" w:left="1247" w:header="850" w:footer="992" w:gutter="0"/>
          <w:pgBorders>
            <w:top w:val="none" w:sz="0" w:space="0"/>
            <w:left w:val="none" w:sz="0" w:space="0"/>
            <w:bottom w:val="none" w:sz="0" w:space="0"/>
            <w:right w:val="none" w:sz="0" w:space="0"/>
          </w:pgBorders>
          <w:pgNumType w:fmt="decimal"/>
          <w:cols w:space="0" w:num="1"/>
          <w:rtlGutter w:val="0"/>
          <w:docGrid w:type="linesAndChars" w:linePitch="313" w:charSpace="800"/>
        </w:sectPr>
      </w:pPr>
    </w:p>
    <w:p w14:paraId="763261D0">
      <w:pPr>
        <w:widowControl/>
        <w:adjustRightInd w:val="0"/>
        <w:snapToGrid w:val="0"/>
        <w:spacing w:line="360" w:lineRule="auto"/>
        <w:jc w:val="left"/>
        <w:outlineLvl w:val="0"/>
        <w:rPr>
          <w:rFonts w:hint="default" w:ascii="Times New Roman" w:hAnsi="Times New Roman" w:eastAsia="宋体" w:cs="Times New Roman"/>
          <w:b/>
          <w:bCs/>
          <w:color w:val="auto"/>
          <w:sz w:val="32"/>
          <w:szCs w:val="32"/>
          <w:highlight w:val="none"/>
          <w:lang w:val="en-US" w:eastAsia="zh-CN"/>
        </w:rPr>
      </w:pPr>
      <w:bookmarkStart w:id="265" w:name="_Toc19503"/>
      <w:bookmarkStart w:id="266" w:name="_Toc14751"/>
      <w:bookmarkStart w:id="267" w:name="_Toc9795"/>
      <w:bookmarkStart w:id="268" w:name="_Toc7888"/>
      <w:bookmarkStart w:id="269" w:name="_Toc32405"/>
      <w:bookmarkStart w:id="270" w:name="_Toc5345"/>
      <w:bookmarkStart w:id="271" w:name="_Toc24175"/>
      <w:bookmarkStart w:id="272" w:name="_Toc29068"/>
      <w:bookmarkStart w:id="273" w:name="_Toc30095"/>
      <w:bookmarkStart w:id="274" w:name="_Toc31190"/>
      <w:bookmarkStart w:id="275" w:name="_Toc3854"/>
      <w:bookmarkStart w:id="276" w:name="_Toc22671"/>
      <w:r>
        <w:rPr>
          <w:rFonts w:hint="eastAsia" w:cs="Times New Roman"/>
          <w:b/>
          <w:bCs/>
          <w:color w:val="auto"/>
          <w:sz w:val="32"/>
          <w:szCs w:val="32"/>
          <w:highlight w:val="none"/>
          <w:lang w:val="en-US" w:eastAsia="zh-CN"/>
        </w:rPr>
        <w:t>8 附图</w:t>
      </w:r>
      <w:bookmarkEnd w:id="265"/>
    </w:p>
    <w:p w14:paraId="43970D46">
      <w:pPr>
        <w:widowControl/>
        <w:adjustRightInd w:val="0"/>
        <w:snapToGrid w:val="0"/>
        <w:spacing w:line="360" w:lineRule="auto"/>
        <w:jc w:val="left"/>
        <w:outlineLvl w:val="1"/>
        <w:rPr>
          <w:rFonts w:hint="default" w:ascii="Times New Roman" w:hAnsi="Times New Roman" w:cs="Times New Roman"/>
          <w:b/>
          <w:bCs/>
          <w:color w:val="auto"/>
          <w:sz w:val="24"/>
          <w:highlight w:val="none"/>
        </w:rPr>
      </w:pPr>
      <w:bookmarkStart w:id="277" w:name="_Toc21721"/>
      <w:r>
        <w:rPr>
          <w:rFonts w:hint="default" w:ascii="Times New Roman" w:hAnsi="Times New Roman" w:cs="Times New Roman"/>
          <w:b/>
          <w:bCs/>
          <w:color w:val="auto"/>
          <w:sz w:val="24"/>
          <w:highlight w:val="none"/>
        </w:rPr>
        <w:t>附图1 企业地理位置图</w:t>
      </w:r>
      <w:bookmarkEnd w:id="266"/>
      <w:bookmarkEnd w:id="267"/>
      <w:bookmarkEnd w:id="268"/>
      <w:bookmarkEnd w:id="269"/>
      <w:bookmarkEnd w:id="270"/>
      <w:bookmarkEnd w:id="271"/>
      <w:bookmarkEnd w:id="272"/>
      <w:bookmarkEnd w:id="273"/>
      <w:bookmarkEnd w:id="274"/>
      <w:bookmarkEnd w:id="275"/>
      <w:bookmarkEnd w:id="276"/>
      <w:bookmarkEnd w:id="277"/>
    </w:p>
    <w:p w14:paraId="4ADBE54F">
      <w:pPr>
        <w:ind w:left="-359" w:leftChars="-171"/>
        <w:rPr>
          <w:rFonts w:hint="default" w:ascii="Times New Roman" w:hAnsi="Times New Roman" w:cs="Times New Roman"/>
          <w:color w:val="FF0000"/>
          <w:highlight w:val="none"/>
        </w:rPr>
      </w:pPr>
    </w:p>
    <w:p w14:paraId="386C0BC5">
      <w:pPr>
        <w:rPr>
          <w:rFonts w:hint="default" w:ascii="Times New Roman" w:hAnsi="Times New Roman" w:cs="Times New Roman"/>
          <w:color w:val="FF0000"/>
          <w:highlight w:val="none"/>
        </w:rPr>
      </w:pPr>
    </w:p>
    <w:p w14:paraId="1A585236">
      <w:pPr>
        <w:ind w:firstLine="735" w:firstLineChars="350"/>
        <w:rPr>
          <w:rFonts w:hint="default" w:ascii="Times New Roman" w:hAnsi="Times New Roman" w:cs="Times New Roman"/>
          <w:b/>
          <w:color w:val="FF0000"/>
          <w:sz w:val="30"/>
          <w:szCs w:val="30"/>
          <w:highlight w:val="none"/>
        </w:rPr>
      </w:pPr>
      <w:r>
        <w:rPr>
          <w:rFonts w:hint="default" w:ascii="Times New Roman" w:hAnsi="Times New Roman" w:cs="Times New Roman"/>
          <w:color w:val="FF0000"/>
          <w:highlight w:val="none"/>
        </w:rPr>
        <w:drawing>
          <wp:anchor distT="0" distB="0" distL="114300" distR="114300" simplePos="0" relativeHeight="251669504" behindDoc="1" locked="0" layoutInCell="1" allowOverlap="1">
            <wp:simplePos x="0" y="0"/>
            <wp:positionH relativeFrom="column">
              <wp:posOffset>474980</wp:posOffset>
            </wp:positionH>
            <wp:positionV relativeFrom="paragraph">
              <wp:posOffset>64770</wp:posOffset>
            </wp:positionV>
            <wp:extent cx="8117840" cy="4231640"/>
            <wp:effectExtent l="0" t="0" r="16510" b="16510"/>
            <wp:wrapNone/>
            <wp:docPr id="73" name="图片 73" descr="D:\win7我的文档-桌面-收藏夹\Desktop\weizhitu.jpgweizhi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descr="D:\win7我的文档-桌面-收藏夹\Desktop\weizhitu.jpgweizhitu"/>
                    <pic:cNvPicPr>
                      <a:picLocks noChangeAspect="1" noChangeArrowheads="1"/>
                    </pic:cNvPicPr>
                  </pic:nvPicPr>
                  <pic:blipFill>
                    <a:blip r:embed="rId164"/>
                    <a:srcRect/>
                    <a:stretch>
                      <a:fillRect/>
                    </a:stretch>
                  </pic:blipFill>
                  <pic:spPr>
                    <a:xfrm>
                      <a:off x="0" y="0"/>
                      <a:ext cx="8117840" cy="4231640"/>
                    </a:xfrm>
                    <a:prstGeom prst="rect">
                      <a:avLst/>
                    </a:prstGeom>
                    <a:solidFill>
                      <a:srgbClr val="FFFFFF"/>
                    </a:solidFill>
                    <a:ln>
                      <a:noFill/>
                    </a:ln>
                  </pic:spPr>
                </pic:pic>
              </a:graphicData>
            </a:graphic>
          </wp:anchor>
        </w:drawing>
      </w:r>
    </w:p>
    <w:p w14:paraId="3E27904D">
      <w:pPr>
        <w:ind w:firstLine="1054" w:firstLineChars="350"/>
        <w:rPr>
          <w:rFonts w:hint="default" w:ascii="Times New Roman" w:hAnsi="Times New Roman" w:cs="Times New Roman"/>
          <w:b/>
          <w:color w:val="FF0000"/>
          <w:sz w:val="30"/>
          <w:szCs w:val="30"/>
          <w:highlight w:val="none"/>
        </w:rPr>
      </w:pPr>
    </w:p>
    <w:p w14:paraId="3AD5F21F">
      <w:pPr>
        <w:ind w:firstLine="1054" w:firstLineChars="350"/>
        <w:rPr>
          <w:rFonts w:hint="default" w:ascii="Times New Roman" w:hAnsi="Times New Roman" w:cs="Times New Roman"/>
          <w:b/>
          <w:color w:val="FF0000"/>
          <w:sz w:val="30"/>
          <w:szCs w:val="30"/>
          <w:highlight w:val="none"/>
        </w:rPr>
      </w:pPr>
    </w:p>
    <w:p w14:paraId="1E57B1E8">
      <w:pPr>
        <w:ind w:firstLine="1054" w:firstLineChars="350"/>
        <w:rPr>
          <w:rFonts w:hint="default" w:ascii="Times New Roman" w:hAnsi="Times New Roman" w:cs="Times New Roman"/>
          <w:b/>
          <w:color w:val="FF0000"/>
          <w:sz w:val="30"/>
          <w:szCs w:val="30"/>
          <w:highlight w:val="none"/>
        </w:rPr>
      </w:pPr>
    </w:p>
    <w:p w14:paraId="4E874857">
      <w:pPr>
        <w:ind w:firstLine="1054" w:firstLineChars="350"/>
        <w:rPr>
          <w:rFonts w:hint="default" w:ascii="Times New Roman" w:hAnsi="Times New Roman" w:cs="Times New Roman"/>
          <w:b/>
          <w:color w:val="FF0000"/>
          <w:sz w:val="30"/>
          <w:szCs w:val="30"/>
          <w:highlight w:val="none"/>
        </w:rPr>
      </w:pPr>
    </w:p>
    <w:p w14:paraId="74EAFD6B">
      <w:pPr>
        <w:ind w:firstLine="1054" w:firstLineChars="350"/>
        <w:rPr>
          <w:rFonts w:hint="default" w:ascii="Times New Roman" w:hAnsi="Times New Roman" w:cs="Times New Roman"/>
          <w:b/>
          <w:color w:val="FF0000"/>
          <w:sz w:val="30"/>
          <w:szCs w:val="30"/>
          <w:highlight w:val="none"/>
        </w:rPr>
      </w:pPr>
    </w:p>
    <w:p w14:paraId="64715F63">
      <w:pPr>
        <w:ind w:firstLine="735" w:firstLineChars="350"/>
        <w:rPr>
          <w:rFonts w:hint="default" w:ascii="Times New Roman" w:hAnsi="Times New Roman" w:cs="Times New Roman"/>
          <w:b/>
          <w:color w:val="FF0000"/>
          <w:sz w:val="30"/>
          <w:szCs w:val="30"/>
          <w:highlight w:val="none"/>
        </w:rPr>
      </w:pPr>
      <w:r>
        <w:rPr>
          <w:rFonts w:hint="default" w:ascii="Times New Roman" w:hAnsi="Times New Roman" w:cs="Times New Roman"/>
          <w:color w:val="FF0000"/>
          <w:highlight w:val="none"/>
        </w:rPr>
        <mc:AlternateContent>
          <mc:Choice Requires="wps">
            <w:drawing>
              <wp:anchor distT="0" distB="0" distL="114300" distR="114300" simplePos="0" relativeHeight="251668480" behindDoc="0" locked="0" layoutInCell="1" allowOverlap="1">
                <wp:simplePos x="0" y="0"/>
                <wp:positionH relativeFrom="column">
                  <wp:posOffset>5279390</wp:posOffset>
                </wp:positionH>
                <wp:positionV relativeFrom="paragraph">
                  <wp:posOffset>46990</wp:posOffset>
                </wp:positionV>
                <wp:extent cx="1143000" cy="396240"/>
                <wp:effectExtent l="254000" t="4445" r="12700" b="285115"/>
                <wp:wrapNone/>
                <wp:docPr id="145" name="矩形标注 145"/>
                <wp:cNvGraphicFramePr/>
                <a:graphic xmlns:a="http://schemas.openxmlformats.org/drawingml/2006/main">
                  <a:graphicData uri="http://schemas.microsoft.com/office/word/2010/wordprocessingShape">
                    <wps:wsp>
                      <wps:cNvSpPr>
                        <a:spLocks noChangeArrowheads="1"/>
                      </wps:cNvSpPr>
                      <wps:spPr bwMode="auto">
                        <a:xfrm>
                          <a:off x="0" y="0"/>
                          <a:ext cx="1143000" cy="396240"/>
                        </a:xfrm>
                        <a:prstGeom prst="wedgeRectCallout">
                          <a:avLst>
                            <a:gd name="adj1" fmla="val -69167"/>
                            <a:gd name="adj2" fmla="val 114264"/>
                          </a:avLst>
                        </a:prstGeom>
                        <a:solidFill>
                          <a:srgbClr val="FFFFFF"/>
                        </a:solidFill>
                        <a:ln w="9525">
                          <a:solidFill>
                            <a:srgbClr val="000000"/>
                          </a:solidFill>
                          <a:miter lim="800000"/>
                        </a:ln>
                      </wps:spPr>
                      <wps:txbx>
                        <w:txbxContent>
                          <w:p w14:paraId="4A7E3C2E">
                            <w:pPr>
                              <w:rPr>
                                <w:sz w:val="28"/>
                                <w:szCs w:val="28"/>
                              </w:rPr>
                            </w:pPr>
                            <w:r>
                              <w:rPr>
                                <w:rFonts w:hint="eastAsia"/>
                                <w:sz w:val="28"/>
                                <w:szCs w:val="28"/>
                              </w:rPr>
                              <w:t>项目所在地</w:t>
                            </w:r>
                          </w:p>
                        </w:txbxContent>
                      </wps:txbx>
                      <wps:bodyPr rot="0" vert="horz" wrap="square" lIns="91440" tIns="45720" rIns="91440" bIns="45720" anchor="t" anchorCtr="0" upright="1">
                        <a:noAutofit/>
                      </wps:bodyPr>
                    </wps:wsp>
                  </a:graphicData>
                </a:graphic>
              </wp:anchor>
            </w:drawing>
          </mc:Choice>
          <mc:Fallback>
            <w:pict>
              <v:shape id="_x0000_s1026" o:spid="_x0000_s1026" o:spt="61" type="#_x0000_t61" style="position:absolute;left:0pt;margin-left:415.7pt;margin-top:3.7pt;height:31.2pt;width:90pt;z-index:251668480;mso-width-relative:page;mso-height-relative:page;" fillcolor="#FFFFFF" filled="t" stroked="t" coordsize="21600,21600" o:gfxdata="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KVn0pfWAAAACQEAAA8AAAAAAAAAAQAgAAAAIgAAAGRycy9k&#10;b3ducmV2LnhtbFBLAQIUABQAAAAIAIdO4kAf+qnhdgIAAOMEAAAOAAAAAAAAAAEAIAAAACUBAABk&#10;cnMvZTJvRG9jLnhtbFBLBQYAAAAABgAGAFkBAAANBgAAAAA=&#10;" adj="-4140,35481">
                <v:fill on="t" focussize="0,0"/>
                <v:stroke color="#000000" miterlimit="8" joinstyle="miter"/>
                <v:imagedata o:title=""/>
                <o:lock v:ext="edit" aspectratio="f"/>
                <v:textbox>
                  <w:txbxContent>
                    <w:p w14:paraId="4A7E3C2E">
                      <w:pPr>
                        <w:rPr>
                          <w:sz w:val="28"/>
                          <w:szCs w:val="28"/>
                        </w:rPr>
                      </w:pPr>
                      <w:r>
                        <w:rPr>
                          <w:rFonts w:hint="eastAsia"/>
                          <w:sz w:val="28"/>
                          <w:szCs w:val="28"/>
                        </w:rPr>
                        <w:t>项目所在地</w:t>
                      </w:r>
                    </w:p>
                  </w:txbxContent>
                </v:textbox>
              </v:shape>
            </w:pict>
          </mc:Fallback>
        </mc:AlternateContent>
      </w:r>
    </w:p>
    <w:p w14:paraId="2F12269F">
      <w:pPr>
        <w:ind w:firstLine="1054" w:firstLineChars="350"/>
        <w:rPr>
          <w:rFonts w:hint="default" w:ascii="Times New Roman" w:hAnsi="Times New Roman" w:cs="Times New Roman"/>
          <w:b/>
          <w:color w:val="FF0000"/>
          <w:sz w:val="30"/>
          <w:szCs w:val="30"/>
          <w:highlight w:val="none"/>
        </w:rPr>
      </w:pPr>
    </w:p>
    <w:p w14:paraId="444B66D1">
      <w:pPr>
        <w:ind w:firstLine="1054" w:firstLineChars="350"/>
        <w:rPr>
          <w:rFonts w:hint="default" w:ascii="Times New Roman" w:hAnsi="Times New Roman" w:cs="Times New Roman"/>
          <w:b/>
          <w:color w:val="FF0000"/>
          <w:sz w:val="30"/>
          <w:szCs w:val="30"/>
          <w:highlight w:val="none"/>
        </w:rPr>
      </w:pPr>
    </w:p>
    <w:p w14:paraId="3146F6E5">
      <w:pPr>
        <w:ind w:firstLine="1054" w:firstLineChars="350"/>
        <w:rPr>
          <w:rFonts w:hint="default" w:ascii="Times New Roman" w:hAnsi="Times New Roman" w:cs="Times New Roman"/>
          <w:b/>
          <w:color w:val="FF0000"/>
          <w:sz w:val="30"/>
          <w:szCs w:val="30"/>
          <w:highlight w:val="none"/>
        </w:rPr>
      </w:pPr>
    </w:p>
    <w:p w14:paraId="7487FFA1">
      <w:pPr>
        <w:ind w:firstLine="1054" w:firstLineChars="350"/>
        <w:rPr>
          <w:rFonts w:hint="default" w:ascii="Times New Roman" w:hAnsi="Times New Roman" w:cs="Times New Roman"/>
          <w:b/>
          <w:color w:val="FF0000"/>
          <w:sz w:val="30"/>
          <w:szCs w:val="30"/>
          <w:highlight w:val="none"/>
        </w:rPr>
      </w:pPr>
    </w:p>
    <w:p w14:paraId="7DEE46A4">
      <w:pPr>
        <w:ind w:firstLine="1054" w:firstLineChars="350"/>
        <w:rPr>
          <w:rFonts w:hint="default" w:ascii="Times New Roman" w:hAnsi="Times New Roman" w:cs="Times New Roman"/>
          <w:b/>
          <w:color w:val="FF0000"/>
          <w:sz w:val="30"/>
          <w:szCs w:val="30"/>
          <w:highlight w:val="none"/>
        </w:rPr>
      </w:pPr>
    </w:p>
    <w:p w14:paraId="4D841383">
      <w:pPr>
        <w:ind w:firstLine="1054" w:firstLineChars="350"/>
        <w:rPr>
          <w:rFonts w:hint="default" w:ascii="Times New Roman" w:hAnsi="Times New Roman" w:cs="Times New Roman"/>
          <w:b/>
          <w:color w:val="FF0000"/>
          <w:sz w:val="30"/>
          <w:szCs w:val="30"/>
          <w:highlight w:val="none"/>
        </w:rPr>
      </w:pPr>
    </w:p>
    <w:p w14:paraId="07620416">
      <w:pPr>
        <w:ind w:firstLine="1054" w:firstLineChars="350"/>
        <w:rPr>
          <w:rFonts w:hint="default" w:ascii="Times New Roman" w:hAnsi="Times New Roman" w:cs="Times New Roman"/>
          <w:b/>
          <w:color w:val="FF0000"/>
          <w:sz w:val="30"/>
          <w:szCs w:val="30"/>
          <w:highlight w:val="none"/>
        </w:rPr>
      </w:pPr>
    </w:p>
    <w:p w14:paraId="5C8E49A8">
      <w:pPr>
        <w:ind w:firstLine="1054" w:firstLineChars="350"/>
        <w:rPr>
          <w:rFonts w:hint="default" w:ascii="Times New Roman" w:hAnsi="Times New Roman" w:cs="Times New Roman"/>
          <w:b/>
          <w:color w:val="FF0000"/>
          <w:sz w:val="30"/>
          <w:szCs w:val="30"/>
          <w:highlight w:val="none"/>
        </w:rPr>
      </w:pPr>
    </w:p>
    <w:p w14:paraId="03ED5DA7">
      <w:pPr>
        <w:ind w:firstLine="1054" w:firstLineChars="350"/>
        <w:rPr>
          <w:rFonts w:hint="default" w:ascii="Times New Roman" w:hAnsi="Times New Roman" w:cs="Times New Roman"/>
          <w:b/>
          <w:color w:val="FF0000"/>
          <w:sz w:val="30"/>
          <w:szCs w:val="30"/>
          <w:highlight w:val="none"/>
        </w:rPr>
      </w:pPr>
    </w:p>
    <w:p w14:paraId="5F1E69FB">
      <w:pPr>
        <w:ind w:firstLine="1054" w:firstLineChars="350"/>
        <w:rPr>
          <w:rFonts w:hint="default" w:ascii="Times New Roman" w:hAnsi="Times New Roman" w:cs="Times New Roman"/>
          <w:b/>
          <w:color w:val="FF0000"/>
          <w:sz w:val="30"/>
          <w:szCs w:val="30"/>
          <w:highlight w:val="none"/>
        </w:rPr>
      </w:pPr>
    </w:p>
    <w:p w14:paraId="1C146923">
      <w:pPr>
        <w:ind w:firstLine="1054" w:firstLineChars="350"/>
        <w:rPr>
          <w:rFonts w:hint="default" w:ascii="Times New Roman" w:hAnsi="Times New Roman" w:cs="Times New Roman"/>
          <w:b/>
          <w:color w:val="FF0000"/>
          <w:sz w:val="30"/>
          <w:szCs w:val="30"/>
          <w:highlight w:val="none"/>
        </w:rPr>
      </w:pPr>
    </w:p>
    <w:p w14:paraId="31A7F92A">
      <w:pPr>
        <w:ind w:firstLine="1054" w:firstLineChars="350"/>
        <w:rPr>
          <w:rFonts w:hint="default" w:ascii="Times New Roman" w:hAnsi="Times New Roman" w:cs="Times New Roman"/>
          <w:b/>
          <w:color w:val="FF0000"/>
          <w:sz w:val="30"/>
          <w:szCs w:val="30"/>
          <w:highlight w:val="none"/>
        </w:rPr>
      </w:pPr>
    </w:p>
    <w:p w14:paraId="3D3EE81E">
      <w:pPr>
        <w:ind w:firstLine="1054" w:firstLineChars="350"/>
        <w:rPr>
          <w:rFonts w:hint="default" w:ascii="Times New Roman" w:hAnsi="Times New Roman" w:cs="Times New Roman"/>
          <w:b/>
          <w:color w:val="FF0000"/>
          <w:sz w:val="30"/>
          <w:szCs w:val="30"/>
          <w:highlight w:val="none"/>
        </w:rPr>
      </w:pPr>
    </w:p>
    <w:p w14:paraId="02371AA7">
      <w:pPr>
        <w:jc w:val="both"/>
        <w:rPr>
          <w:rFonts w:hint="default" w:ascii="Times New Roman" w:hAnsi="Times New Roman" w:eastAsia="黑体" w:cs="Times New Roman"/>
          <w:color w:val="FF0000"/>
          <w:sz w:val="24"/>
          <w:highlight w:val="none"/>
        </w:rPr>
        <w:sectPr>
          <w:headerReference r:id="rId6" w:type="default"/>
          <w:pgSz w:w="16838" w:h="11906" w:orient="landscape"/>
          <w:pgMar w:top="1701" w:right="1417" w:bottom="1701" w:left="1417" w:header="850" w:footer="992" w:gutter="0"/>
          <w:pgBorders>
            <w:top w:val="none" w:sz="0" w:space="0"/>
            <w:left w:val="none" w:sz="0" w:space="0"/>
            <w:bottom w:val="none" w:sz="0" w:space="0"/>
            <w:right w:val="none" w:sz="0" w:space="0"/>
          </w:pgBorders>
          <w:pgNumType w:fmt="decimal"/>
          <w:cols w:space="0" w:num="1"/>
          <w:rtlGutter w:val="0"/>
          <w:docGrid w:linePitch="312" w:charSpace="0"/>
        </w:sectPr>
      </w:pPr>
    </w:p>
    <w:p w14:paraId="51095F2B">
      <w:pPr>
        <w:widowControl/>
        <w:adjustRightInd w:val="0"/>
        <w:snapToGrid w:val="0"/>
        <w:spacing w:line="360" w:lineRule="auto"/>
        <w:jc w:val="left"/>
        <w:outlineLvl w:val="1"/>
        <w:rPr>
          <w:rFonts w:hint="default" w:ascii="Times New Roman" w:hAnsi="Times New Roman" w:cs="Times New Roman"/>
          <w:b/>
          <w:bCs/>
          <w:color w:val="auto"/>
          <w:sz w:val="24"/>
          <w:highlight w:val="none"/>
        </w:rPr>
      </w:pPr>
      <w:bookmarkStart w:id="278" w:name="_Toc15097"/>
      <w:r>
        <w:rPr>
          <w:rFonts w:hint="default" w:ascii="Times New Roman" w:hAnsi="Times New Roman" w:cs="Times New Roman"/>
          <w:b/>
          <w:bCs/>
          <w:color w:val="auto"/>
          <w:highlight w:val="none"/>
        </w:rPr>
        <mc:AlternateContent>
          <mc:Choice Requires="wps">
            <w:drawing>
              <wp:anchor distT="0" distB="0" distL="114300" distR="114300" simplePos="0" relativeHeight="251665408" behindDoc="0" locked="0" layoutInCell="1" allowOverlap="1">
                <wp:simplePos x="0" y="0"/>
                <wp:positionH relativeFrom="column">
                  <wp:posOffset>2567940</wp:posOffset>
                </wp:positionH>
                <wp:positionV relativeFrom="paragraph">
                  <wp:posOffset>7927975</wp:posOffset>
                </wp:positionV>
                <wp:extent cx="1927860" cy="189865"/>
                <wp:effectExtent l="0" t="0" r="0" b="0"/>
                <wp:wrapNone/>
                <wp:docPr id="2" name="文本框 6"/>
                <wp:cNvGraphicFramePr/>
                <a:graphic xmlns:a="http://schemas.openxmlformats.org/drawingml/2006/main">
                  <a:graphicData uri="http://schemas.microsoft.com/office/word/2010/wordprocessingShape">
                    <wps:wsp>
                      <wps:cNvSpPr txBox="1"/>
                      <wps:spPr>
                        <a:xfrm>
                          <a:off x="0" y="0"/>
                          <a:ext cx="1927860" cy="189865"/>
                        </a:xfrm>
                        <a:prstGeom prst="rect">
                          <a:avLst/>
                        </a:prstGeom>
                        <a:noFill/>
                        <a:ln w="6350">
                          <a:noFill/>
                        </a:ln>
                      </wps:spPr>
                      <wps:txbx>
                        <w:txbxContent>
                          <w:p w14:paraId="7FAC1604">
                            <w:r>
                              <w:rPr>
                                <w:rFonts w:hint="eastAsia"/>
                              </w:rPr>
                              <w:t>附图</w:t>
                            </w:r>
                            <w:r>
                              <w:t xml:space="preserve">2 </w:t>
                            </w:r>
                            <w:r>
                              <w:rPr>
                                <w:rFonts w:hint="eastAsia"/>
                              </w:rPr>
                              <w:t>企业周边风险受体图</w:t>
                            </w:r>
                          </w:p>
                        </w:txbxContent>
                      </wps:txbx>
                      <wps:bodyPr upright="1"/>
                    </wps:wsp>
                  </a:graphicData>
                </a:graphic>
              </wp:anchor>
            </w:drawing>
          </mc:Choice>
          <mc:Fallback>
            <w:pict>
              <v:shape id="文本框 6" o:spid="_x0000_s1026" o:spt="202" type="#_x0000_t202" style="position:absolute;left:0pt;margin-left:202.2pt;margin-top:624.25pt;height:14.95pt;width:151.8pt;z-index:251665408;mso-width-relative:page;mso-height-relative:page;" filled="f" stroked="f" coordsize="21600,21600" o:gfxdata="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j2H0D9wAAAANAQAADwAAAAAAAAABACAAAAAiAAAAZHJzL2Rvd25yZXYueG1sUEsBAhQA&#10;FAAAAAgAh07iQFZZGyq1AQAAVwMAAA4AAAAAAAAAAQAgAAAAKwEAAGRycy9lMm9Eb2MueG1sUEsF&#10;BgAAAAAGAAYAWQEAAFIFAAAAAA==&#10;">
                <v:fill on="f" focussize="0,0"/>
                <v:stroke on="f" weight="0.5pt"/>
                <v:imagedata o:title=""/>
                <o:lock v:ext="edit" aspectratio="f"/>
                <v:textbox>
                  <w:txbxContent>
                    <w:p w14:paraId="7FAC1604">
                      <w:r>
                        <w:rPr>
                          <w:rFonts w:hint="eastAsia"/>
                        </w:rPr>
                        <w:t>附图</w:t>
                      </w:r>
                      <w:r>
                        <w:t xml:space="preserve">2 </w:t>
                      </w:r>
                      <w:r>
                        <w:rPr>
                          <w:rFonts w:hint="eastAsia"/>
                        </w:rPr>
                        <w:t>企业周边风险受体图</w:t>
                      </w:r>
                    </w:p>
                  </w:txbxContent>
                </v:textbox>
              </v:shape>
            </w:pict>
          </mc:Fallback>
        </mc:AlternateContent>
      </w:r>
      <w:bookmarkStart w:id="279" w:name="_Toc2965"/>
      <w:bookmarkStart w:id="280" w:name="_Toc5256"/>
      <w:bookmarkStart w:id="281" w:name="_Toc18406"/>
      <w:bookmarkStart w:id="282" w:name="_Toc22888"/>
      <w:bookmarkStart w:id="283" w:name="_Toc11359"/>
      <w:bookmarkStart w:id="284" w:name="_Toc4354"/>
      <w:bookmarkStart w:id="285" w:name="_Toc6512"/>
      <w:bookmarkStart w:id="286" w:name="_Toc1402"/>
      <w:bookmarkStart w:id="287" w:name="_Toc3375"/>
      <w:bookmarkStart w:id="288" w:name="_Toc10512"/>
      <w:bookmarkStart w:id="289" w:name="_Toc5601"/>
      <w:r>
        <w:rPr>
          <w:rFonts w:hint="default" w:ascii="Times New Roman" w:hAnsi="Times New Roman" w:cs="Times New Roman"/>
          <w:b/>
          <w:bCs/>
          <w:color w:val="auto"/>
          <w:sz w:val="24"/>
          <w:szCs w:val="24"/>
          <w:highlight w:val="none"/>
        </w:rPr>
        <w:t>附图2  企业周边风险受体图</w:t>
      </w:r>
      <w:bookmarkEnd w:id="279"/>
      <w:bookmarkEnd w:id="280"/>
      <w:bookmarkEnd w:id="281"/>
      <w:bookmarkEnd w:id="282"/>
      <w:bookmarkEnd w:id="283"/>
      <w:r>
        <w:rPr>
          <w:rFonts w:hint="default" w:ascii="Times New Roman" w:hAnsi="Times New Roman" w:cs="Times New Roman"/>
          <w:b/>
          <w:bCs/>
          <w:color w:val="auto"/>
          <w:sz w:val="24"/>
          <w:highlight w:val="none"/>
        </w:rPr>
        <w:t>（比例尺  1：</w:t>
      </w:r>
      <w:r>
        <w:rPr>
          <w:rFonts w:hint="default" w:ascii="Times New Roman" w:hAnsi="Times New Roman" w:cs="Times New Roman"/>
          <w:b/>
          <w:bCs/>
          <w:color w:val="auto"/>
          <w:sz w:val="24"/>
          <w:highlight w:val="none"/>
          <w:lang w:val="en-US" w:eastAsia="zh-CN"/>
        </w:rPr>
        <w:t>15</w:t>
      </w:r>
      <w:r>
        <w:rPr>
          <w:rFonts w:hint="default" w:ascii="Times New Roman" w:hAnsi="Times New Roman" w:cs="Times New Roman"/>
          <w:b/>
          <w:bCs/>
          <w:color w:val="auto"/>
          <w:sz w:val="24"/>
          <w:highlight w:val="none"/>
        </w:rPr>
        <w:t>0000）</w:t>
      </w:r>
      <w:bookmarkEnd w:id="278"/>
      <w:bookmarkEnd w:id="284"/>
      <w:bookmarkEnd w:id="285"/>
      <w:bookmarkEnd w:id="286"/>
      <w:bookmarkEnd w:id="287"/>
    </w:p>
    <w:p w14:paraId="3B8942D2">
      <w:pPr>
        <w:pStyle w:val="7"/>
        <w:jc w:val="center"/>
        <w:rPr>
          <w:rFonts w:hint="eastAsia" w:ascii="Times New Roman" w:hAnsi="Times New Roman" w:eastAsia="宋体" w:cs="Times New Roman"/>
          <w:color w:val="FF0000"/>
          <w:sz w:val="24"/>
          <w:szCs w:val="24"/>
          <w:highlight w:val="none"/>
          <w:lang w:eastAsia="zh-CN"/>
        </w:rPr>
      </w:pPr>
      <w:bookmarkStart w:id="290" w:name="_Toc6066"/>
      <w:r>
        <w:rPr>
          <w:rFonts w:hint="eastAsia" w:ascii="Times New Roman" w:hAnsi="Times New Roman" w:eastAsia="宋体" w:cs="Times New Roman"/>
          <w:color w:val="FF0000"/>
          <w:sz w:val="24"/>
          <w:szCs w:val="24"/>
          <w:highlight w:val="none"/>
          <w:lang w:eastAsia="zh-CN"/>
        </w:rPr>
        <w:drawing>
          <wp:inline distT="0" distB="0" distL="114300" distR="114300">
            <wp:extent cx="7620000" cy="3990975"/>
            <wp:effectExtent l="0" t="0" r="0" b="9525"/>
            <wp:docPr id="12" name="图片 12" descr="企业周边受体图-隆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企业周边受体图-隆信"/>
                    <pic:cNvPicPr>
                      <a:picLocks noChangeAspect="1"/>
                    </pic:cNvPicPr>
                  </pic:nvPicPr>
                  <pic:blipFill>
                    <a:blip r:embed="rId165"/>
                    <a:stretch>
                      <a:fillRect/>
                    </a:stretch>
                  </pic:blipFill>
                  <pic:spPr>
                    <a:xfrm>
                      <a:off x="0" y="0"/>
                      <a:ext cx="7620000" cy="3990975"/>
                    </a:xfrm>
                    <a:prstGeom prst="rect">
                      <a:avLst/>
                    </a:prstGeom>
                  </pic:spPr>
                </pic:pic>
              </a:graphicData>
            </a:graphic>
          </wp:inline>
        </w:drawing>
      </w:r>
      <w:bookmarkEnd w:id="290"/>
    </w:p>
    <w:p w14:paraId="73EF3B77">
      <w:pPr>
        <w:widowControl/>
        <w:jc w:val="left"/>
        <w:rPr>
          <w:rFonts w:hint="default" w:ascii="Times New Roman" w:hAnsi="Times New Roman" w:cs="Times New Roman"/>
          <w:color w:val="FF0000"/>
          <w:highlight w:val="none"/>
        </w:rPr>
      </w:pPr>
    </w:p>
    <w:p w14:paraId="7AA47C3B">
      <w:pPr>
        <w:rPr>
          <w:rFonts w:hint="default" w:ascii="Times New Roman" w:hAnsi="Times New Roman" w:cs="Times New Roman"/>
          <w:color w:val="FF0000"/>
          <w:highlight w:val="none"/>
        </w:rPr>
      </w:pPr>
    </w:p>
    <w:p w14:paraId="3C309A0F">
      <w:pPr>
        <w:widowControl/>
        <w:adjustRightInd w:val="0"/>
        <w:snapToGrid w:val="0"/>
        <w:jc w:val="left"/>
        <w:outlineLvl w:val="0"/>
        <w:rPr>
          <w:rFonts w:hint="default" w:ascii="Times New Roman" w:hAnsi="Times New Roman" w:cs="Times New Roman"/>
          <w:b/>
          <w:bCs/>
          <w:color w:val="FF0000"/>
          <w:sz w:val="24"/>
          <w:highlight w:val="none"/>
        </w:rPr>
        <w:sectPr>
          <w:headerReference r:id="rId7" w:type="default"/>
          <w:footerReference r:id="rId8" w:type="default"/>
          <w:pgSz w:w="16838" w:h="11906" w:orient="landscape"/>
          <w:pgMar w:top="1701" w:right="1417" w:bottom="1701" w:left="1417" w:header="850" w:footer="992" w:gutter="0"/>
          <w:pgBorders>
            <w:top w:val="none" w:sz="0" w:space="0"/>
            <w:left w:val="none" w:sz="0" w:space="0"/>
            <w:bottom w:val="none" w:sz="0" w:space="0"/>
            <w:right w:val="none" w:sz="0" w:space="0"/>
          </w:pgBorders>
          <w:pgNumType w:fmt="decimal"/>
          <w:cols w:space="0" w:num="1"/>
          <w:rtlGutter w:val="0"/>
          <w:docGrid w:linePitch="313" w:charSpace="0"/>
        </w:sectPr>
      </w:pPr>
      <w:bookmarkStart w:id="291" w:name="_Toc24236"/>
      <w:bookmarkStart w:id="292" w:name="_Toc11453"/>
    </w:p>
    <w:bookmarkEnd w:id="288"/>
    <w:bookmarkEnd w:id="289"/>
    <w:bookmarkEnd w:id="291"/>
    <w:bookmarkEnd w:id="292"/>
    <w:p w14:paraId="3B00B5B0">
      <w:pPr>
        <w:pStyle w:val="2"/>
        <w:adjustRightInd w:val="0"/>
        <w:snapToGrid w:val="0"/>
        <w:spacing w:after="0"/>
        <w:ind w:left="0" w:leftChars="0" w:firstLine="0" w:firstLineChars="0"/>
        <w:jc w:val="left"/>
        <w:outlineLvl w:val="1"/>
        <w:rPr>
          <w:rFonts w:hint="default" w:ascii="Times New Roman" w:hAnsi="Times New Roman" w:eastAsia="宋体" w:cs="Times New Roman"/>
          <w:color w:val="auto"/>
          <w:sz w:val="24"/>
          <w:highlight w:val="none"/>
          <w:lang w:eastAsia="zh-CN"/>
        </w:rPr>
      </w:pPr>
      <w:bookmarkStart w:id="293" w:name="_Toc26092"/>
      <w:bookmarkStart w:id="294" w:name="_Toc5924"/>
      <w:bookmarkStart w:id="295" w:name="_Toc18656"/>
      <w:r>
        <w:rPr>
          <w:rFonts w:hint="default" w:ascii="Times New Roman" w:hAnsi="Times New Roman" w:cs="Times New Roman"/>
          <w:b/>
          <w:bCs/>
          <w:color w:val="auto"/>
          <w:sz w:val="24"/>
          <w:highlight w:val="none"/>
        </w:rPr>
        <w:t>附图</w:t>
      </w:r>
      <w:r>
        <w:rPr>
          <w:rFonts w:hint="default" w:ascii="Times New Roman" w:hAnsi="Times New Roman" w:cs="Times New Roman"/>
          <w:b/>
          <w:bCs/>
          <w:color w:val="auto"/>
          <w:sz w:val="24"/>
          <w:highlight w:val="none"/>
          <w:lang w:val="en-US" w:eastAsia="zh-CN"/>
        </w:rPr>
        <w:t xml:space="preserve">3 </w:t>
      </w:r>
      <w:r>
        <w:rPr>
          <w:rFonts w:hint="default" w:ascii="Times New Roman" w:hAnsi="Times New Roman" w:cs="Times New Roman"/>
          <w:b/>
          <w:bCs/>
          <w:color w:val="auto"/>
          <w:sz w:val="24"/>
          <w:highlight w:val="none"/>
          <w:lang w:eastAsia="zh-CN"/>
        </w:rPr>
        <w:t>厂区平面图</w:t>
      </w:r>
      <w:bookmarkEnd w:id="293"/>
    </w:p>
    <w:p w14:paraId="107DEC22">
      <w:pPr>
        <w:pStyle w:val="2"/>
        <w:ind w:left="0" w:leftChars="0" w:firstLine="0" w:firstLineChars="0"/>
        <w:rPr>
          <w:rFonts w:hint="default" w:ascii="Times New Roman" w:hAnsi="Times New Roman" w:eastAsia="宋体" w:cs="Times New Roman"/>
          <w:b/>
          <w:bCs/>
          <w:color w:val="FF0000"/>
          <w:sz w:val="24"/>
          <w:highlight w:val="none"/>
          <w:lang w:eastAsia="zh-CN"/>
        </w:rPr>
      </w:pPr>
    </w:p>
    <w:p w14:paraId="268F024D">
      <w:pPr>
        <w:rPr>
          <w:rFonts w:hint="default" w:ascii="Times New Roman" w:hAnsi="Times New Roman" w:eastAsia="宋体" w:cs="Times New Roman"/>
          <w:b/>
          <w:bCs/>
          <w:color w:val="FF0000"/>
          <w:sz w:val="24"/>
          <w:highlight w:val="none"/>
          <w:lang w:eastAsia="zh-CN"/>
        </w:rPr>
      </w:pPr>
      <w:r>
        <w:rPr>
          <w:rFonts w:hint="default" w:ascii="Times New Roman" w:hAnsi="Times New Roman" w:eastAsia="宋体" w:cs="Times New Roman"/>
          <w:b/>
          <w:bCs/>
          <w:color w:val="FF0000"/>
          <w:sz w:val="24"/>
          <w:highlight w:val="none"/>
          <w:lang w:eastAsia="zh-CN"/>
        </w:rPr>
        <w:drawing>
          <wp:anchor distT="0" distB="0" distL="114300" distR="114300" simplePos="0" relativeHeight="251673600" behindDoc="0" locked="0" layoutInCell="1" allowOverlap="1">
            <wp:simplePos x="0" y="0"/>
            <wp:positionH relativeFrom="column">
              <wp:posOffset>0</wp:posOffset>
            </wp:positionH>
            <wp:positionV relativeFrom="page">
              <wp:posOffset>1348740</wp:posOffset>
            </wp:positionV>
            <wp:extent cx="5022215" cy="7111365"/>
            <wp:effectExtent l="0" t="0" r="6985" b="13335"/>
            <wp:wrapSquare wrapText="bothSides"/>
            <wp:docPr id="14" name="图片 14" descr="事故处理管网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事故处理管网图"/>
                    <pic:cNvPicPr>
                      <a:picLocks noChangeAspect="1"/>
                    </pic:cNvPicPr>
                  </pic:nvPicPr>
                  <pic:blipFill>
                    <a:blip r:embed="rId166"/>
                    <a:stretch>
                      <a:fillRect/>
                    </a:stretch>
                  </pic:blipFill>
                  <pic:spPr>
                    <a:xfrm>
                      <a:off x="0" y="0"/>
                      <a:ext cx="5022215" cy="7111365"/>
                    </a:xfrm>
                    <a:prstGeom prst="rect">
                      <a:avLst/>
                    </a:prstGeom>
                  </pic:spPr>
                </pic:pic>
              </a:graphicData>
            </a:graphic>
          </wp:anchor>
        </w:drawing>
      </w:r>
    </w:p>
    <w:p w14:paraId="71498E22">
      <w:pPr>
        <w:pStyle w:val="2"/>
        <w:rPr>
          <w:rFonts w:hint="default"/>
          <w:lang w:eastAsia="zh-CN"/>
        </w:rPr>
      </w:pPr>
    </w:p>
    <w:bookmarkEnd w:id="294"/>
    <w:bookmarkEnd w:id="295"/>
    <w:p w14:paraId="4A0F758B">
      <w:pPr>
        <w:pStyle w:val="2"/>
        <w:adjustRightInd w:val="0"/>
        <w:snapToGrid w:val="0"/>
        <w:spacing w:after="0"/>
        <w:ind w:left="0" w:leftChars="0" w:firstLine="0" w:firstLineChars="0"/>
        <w:jc w:val="left"/>
        <w:outlineLvl w:val="9"/>
        <w:rPr>
          <w:rFonts w:hint="default" w:ascii="Times New Roman" w:hAnsi="Times New Roman" w:cs="Times New Roman"/>
          <w:b/>
          <w:bCs/>
          <w:color w:val="auto"/>
          <w:sz w:val="24"/>
          <w:highlight w:val="none"/>
        </w:rPr>
      </w:pPr>
    </w:p>
    <w:p w14:paraId="6B3066CD">
      <w:pPr>
        <w:pStyle w:val="2"/>
        <w:adjustRightInd w:val="0"/>
        <w:snapToGrid w:val="0"/>
        <w:spacing w:after="0"/>
        <w:ind w:left="0" w:leftChars="0" w:firstLine="0" w:firstLineChars="0"/>
        <w:jc w:val="left"/>
        <w:outlineLvl w:val="9"/>
        <w:rPr>
          <w:rFonts w:hint="default" w:ascii="Times New Roman" w:hAnsi="Times New Roman" w:cs="Times New Roman"/>
          <w:b/>
          <w:bCs/>
          <w:color w:val="auto"/>
          <w:sz w:val="24"/>
          <w:highlight w:val="none"/>
        </w:rPr>
      </w:pPr>
    </w:p>
    <w:p w14:paraId="3F2AC0C3">
      <w:pPr>
        <w:pStyle w:val="2"/>
        <w:adjustRightInd w:val="0"/>
        <w:snapToGrid w:val="0"/>
        <w:spacing w:after="0"/>
        <w:ind w:left="0" w:leftChars="0" w:firstLine="0" w:firstLineChars="0"/>
        <w:jc w:val="left"/>
        <w:outlineLvl w:val="9"/>
        <w:rPr>
          <w:rFonts w:hint="default" w:ascii="Times New Roman" w:hAnsi="Times New Roman" w:cs="Times New Roman"/>
          <w:b/>
          <w:bCs/>
          <w:color w:val="auto"/>
          <w:sz w:val="24"/>
          <w:highlight w:val="none"/>
        </w:rPr>
      </w:pPr>
    </w:p>
    <w:p w14:paraId="0FE3232F">
      <w:pPr>
        <w:pStyle w:val="2"/>
        <w:adjustRightInd w:val="0"/>
        <w:snapToGrid w:val="0"/>
        <w:spacing w:after="0"/>
        <w:ind w:left="0" w:leftChars="0" w:firstLine="0" w:firstLineChars="0"/>
        <w:jc w:val="left"/>
        <w:outlineLvl w:val="9"/>
        <w:rPr>
          <w:rFonts w:hint="default" w:ascii="Times New Roman" w:hAnsi="Times New Roman" w:cs="Times New Roman"/>
          <w:b/>
          <w:bCs/>
          <w:color w:val="auto"/>
          <w:sz w:val="24"/>
          <w:highlight w:val="none"/>
        </w:rPr>
      </w:pPr>
    </w:p>
    <w:p w14:paraId="136F874E">
      <w:pPr>
        <w:pStyle w:val="2"/>
        <w:adjustRightInd w:val="0"/>
        <w:snapToGrid w:val="0"/>
        <w:spacing w:after="0"/>
        <w:ind w:left="0" w:leftChars="0" w:firstLine="0" w:firstLineChars="0"/>
        <w:jc w:val="left"/>
        <w:outlineLvl w:val="9"/>
        <w:rPr>
          <w:rFonts w:hint="default" w:ascii="Times New Roman" w:hAnsi="Times New Roman" w:cs="Times New Roman"/>
          <w:b/>
          <w:bCs/>
          <w:color w:val="auto"/>
          <w:sz w:val="24"/>
          <w:highlight w:val="none"/>
        </w:rPr>
      </w:pPr>
    </w:p>
    <w:p w14:paraId="206F7D5F">
      <w:pPr>
        <w:pStyle w:val="2"/>
        <w:adjustRightInd w:val="0"/>
        <w:snapToGrid w:val="0"/>
        <w:spacing w:after="0"/>
        <w:ind w:left="0" w:leftChars="0" w:firstLine="0" w:firstLineChars="0"/>
        <w:jc w:val="left"/>
        <w:outlineLvl w:val="9"/>
        <w:rPr>
          <w:rFonts w:hint="default" w:ascii="Times New Roman" w:hAnsi="Times New Roman" w:cs="Times New Roman"/>
          <w:b/>
          <w:bCs/>
          <w:color w:val="auto"/>
          <w:sz w:val="24"/>
          <w:highlight w:val="none"/>
        </w:rPr>
      </w:pPr>
    </w:p>
    <w:p w14:paraId="33E6C291">
      <w:pPr>
        <w:pStyle w:val="2"/>
        <w:adjustRightInd w:val="0"/>
        <w:snapToGrid w:val="0"/>
        <w:spacing w:after="0"/>
        <w:ind w:left="0" w:leftChars="0" w:firstLine="0" w:firstLineChars="0"/>
        <w:jc w:val="left"/>
        <w:outlineLvl w:val="9"/>
        <w:rPr>
          <w:rFonts w:hint="default" w:ascii="Times New Roman" w:hAnsi="Times New Roman" w:cs="Times New Roman"/>
          <w:b/>
          <w:bCs/>
          <w:color w:val="auto"/>
          <w:sz w:val="24"/>
          <w:highlight w:val="none"/>
        </w:rPr>
      </w:pPr>
    </w:p>
    <w:p w14:paraId="0CE7C9C2">
      <w:pPr>
        <w:pStyle w:val="2"/>
        <w:adjustRightInd w:val="0"/>
        <w:snapToGrid w:val="0"/>
        <w:spacing w:after="0"/>
        <w:ind w:left="0" w:leftChars="0" w:firstLine="0" w:firstLineChars="0"/>
        <w:jc w:val="left"/>
        <w:outlineLvl w:val="9"/>
        <w:rPr>
          <w:rFonts w:hint="default" w:ascii="Times New Roman" w:hAnsi="Times New Roman" w:cs="Times New Roman"/>
          <w:b/>
          <w:bCs/>
          <w:color w:val="auto"/>
          <w:sz w:val="24"/>
          <w:highlight w:val="none"/>
        </w:rPr>
      </w:pPr>
    </w:p>
    <w:p w14:paraId="51C4C842">
      <w:pPr>
        <w:pStyle w:val="2"/>
        <w:adjustRightInd w:val="0"/>
        <w:snapToGrid w:val="0"/>
        <w:spacing w:after="0"/>
        <w:ind w:left="0" w:leftChars="0" w:firstLine="0" w:firstLineChars="0"/>
        <w:jc w:val="left"/>
        <w:outlineLvl w:val="9"/>
        <w:rPr>
          <w:rFonts w:hint="default" w:ascii="Times New Roman" w:hAnsi="Times New Roman" w:cs="Times New Roman"/>
          <w:b/>
          <w:bCs/>
          <w:color w:val="auto"/>
          <w:sz w:val="24"/>
          <w:highlight w:val="none"/>
        </w:rPr>
      </w:pPr>
    </w:p>
    <w:p w14:paraId="468DFE8A">
      <w:pPr>
        <w:pStyle w:val="2"/>
        <w:adjustRightInd w:val="0"/>
        <w:snapToGrid w:val="0"/>
        <w:spacing w:after="0"/>
        <w:ind w:left="0" w:leftChars="0" w:firstLine="0" w:firstLineChars="0"/>
        <w:jc w:val="left"/>
        <w:outlineLvl w:val="9"/>
        <w:rPr>
          <w:rFonts w:hint="default" w:ascii="Times New Roman" w:hAnsi="Times New Roman" w:cs="Times New Roman"/>
          <w:b/>
          <w:bCs/>
          <w:color w:val="auto"/>
          <w:sz w:val="24"/>
          <w:highlight w:val="none"/>
        </w:rPr>
      </w:pPr>
    </w:p>
    <w:p w14:paraId="7FD8416A">
      <w:pPr>
        <w:pStyle w:val="2"/>
        <w:adjustRightInd w:val="0"/>
        <w:snapToGrid w:val="0"/>
        <w:spacing w:after="0"/>
        <w:ind w:left="0" w:leftChars="0" w:firstLine="0" w:firstLineChars="0"/>
        <w:jc w:val="left"/>
        <w:outlineLvl w:val="9"/>
        <w:rPr>
          <w:rFonts w:hint="default" w:ascii="Times New Roman" w:hAnsi="Times New Roman" w:cs="Times New Roman"/>
          <w:b/>
          <w:bCs/>
          <w:color w:val="auto"/>
          <w:sz w:val="24"/>
          <w:highlight w:val="none"/>
        </w:rPr>
      </w:pPr>
    </w:p>
    <w:p w14:paraId="68B89C08">
      <w:pPr>
        <w:pStyle w:val="2"/>
        <w:adjustRightInd w:val="0"/>
        <w:snapToGrid w:val="0"/>
        <w:spacing w:after="0"/>
        <w:ind w:left="0" w:leftChars="0" w:firstLine="0" w:firstLineChars="0"/>
        <w:jc w:val="left"/>
        <w:outlineLvl w:val="9"/>
        <w:rPr>
          <w:rFonts w:hint="default" w:ascii="Times New Roman" w:hAnsi="Times New Roman" w:cs="Times New Roman"/>
          <w:b/>
          <w:bCs/>
          <w:color w:val="auto"/>
          <w:sz w:val="24"/>
          <w:highlight w:val="none"/>
        </w:rPr>
      </w:pPr>
    </w:p>
    <w:p w14:paraId="00D16AF4">
      <w:pPr>
        <w:pStyle w:val="2"/>
        <w:adjustRightInd w:val="0"/>
        <w:snapToGrid w:val="0"/>
        <w:spacing w:after="0"/>
        <w:ind w:left="0" w:leftChars="0" w:firstLine="0" w:firstLineChars="0"/>
        <w:jc w:val="left"/>
        <w:outlineLvl w:val="9"/>
        <w:rPr>
          <w:rFonts w:hint="default" w:ascii="Times New Roman" w:hAnsi="Times New Roman" w:cs="Times New Roman"/>
          <w:b/>
          <w:bCs/>
          <w:color w:val="auto"/>
          <w:sz w:val="24"/>
          <w:highlight w:val="none"/>
        </w:rPr>
      </w:pPr>
    </w:p>
    <w:p w14:paraId="3E32D3C7">
      <w:pPr>
        <w:pStyle w:val="2"/>
        <w:adjustRightInd w:val="0"/>
        <w:snapToGrid w:val="0"/>
        <w:spacing w:after="0"/>
        <w:ind w:left="0" w:leftChars="0" w:firstLine="0" w:firstLineChars="0"/>
        <w:jc w:val="left"/>
        <w:outlineLvl w:val="9"/>
        <w:rPr>
          <w:rFonts w:hint="default" w:ascii="Times New Roman" w:hAnsi="Times New Roman" w:cs="Times New Roman"/>
          <w:b/>
          <w:bCs/>
          <w:color w:val="auto"/>
          <w:sz w:val="24"/>
          <w:highlight w:val="none"/>
        </w:rPr>
      </w:pPr>
    </w:p>
    <w:p w14:paraId="1539BDBF">
      <w:pPr>
        <w:pStyle w:val="2"/>
        <w:adjustRightInd w:val="0"/>
        <w:snapToGrid w:val="0"/>
        <w:spacing w:after="0"/>
        <w:ind w:left="0" w:leftChars="0" w:firstLine="0" w:firstLineChars="0"/>
        <w:jc w:val="left"/>
        <w:outlineLvl w:val="9"/>
        <w:rPr>
          <w:rFonts w:hint="default" w:ascii="Times New Roman" w:hAnsi="Times New Roman" w:cs="Times New Roman"/>
          <w:b/>
          <w:bCs/>
          <w:color w:val="auto"/>
          <w:sz w:val="24"/>
          <w:highlight w:val="none"/>
        </w:rPr>
      </w:pPr>
    </w:p>
    <w:p w14:paraId="409347BA">
      <w:pPr>
        <w:pStyle w:val="2"/>
        <w:adjustRightInd w:val="0"/>
        <w:snapToGrid w:val="0"/>
        <w:spacing w:after="0"/>
        <w:ind w:left="0" w:leftChars="0" w:firstLine="0" w:firstLineChars="0"/>
        <w:jc w:val="left"/>
        <w:outlineLvl w:val="9"/>
        <w:rPr>
          <w:rFonts w:hint="default" w:ascii="Times New Roman" w:hAnsi="Times New Roman" w:cs="Times New Roman"/>
          <w:b/>
          <w:bCs/>
          <w:color w:val="auto"/>
          <w:sz w:val="24"/>
          <w:highlight w:val="none"/>
        </w:rPr>
      </w:pPr>
    </w:p>
    <w:p w14:paraId="6D5F30E3">
      <w:pPr>
        <w:pStyle w:val="2"/>
        <w:adjustRightInd w:val="0"/>
        <w:snapToGrid w:val="0"/>
        <w:spacing w:after="0"/>
        <w:ind w:left="0" w:leftChars="0" w:firstLine="0" w:firstLineChars="0"/>
        <w:jc w:val="left"/>
        <w:outlineLvl w:val="9"/>
        <w:rPr>
          <w:rFonts w:hint="default" w:ascii="Times New Roman" w:hAnsi="Times New Roman" w:cs="Times New Roman"/>
          <w:b/>
          <w:bCs/>
          <w:color w:val="auto"/>
          <w:sz w:val="24"/>
          <w:highlight w:val="none"/>
        </w:rPr>
      </w:pPr>
    </w:p>
    <w:p w14:paraId="415448A1">
      <w:pPr>
        <w:pStyle w:val="2"/>
        <w:adjustRightInd w:val="0"/>
        <w:snapToGrid w:val="0"/>
        <w:spacing w:after="0"/>
        <w:ind w:left="0" w:leftChars="0" w:firstLine="0" w:firstLineChars="0"/>
        <w:jc w:val="left"/>
        <w:outlineLvl w:val="9"/>
        <w:rPr>
          <w:rFonts w:hint="default" w:ascii="Times New Roman" w:hAnsi="Times New Roman" w:cs="Times New Roman"/>
          <w:b/>
          <w:bCs/>
          <w:color w:val="auto"/>
          <w:sz w:val="24"/>
          <w:highlight w:val="none"/>
        </w:rPr>
      </w:pPr>
    </w:p>
    <w:p w14:paraId="2E736CA6">
      <w:pPr>
        <w:pStyle w:val="2"/>
        <w:adjustRightInd w:val="0"/>
        <w:snapToGrid w:val="0"/>
        <w:spacing w:after="0"/>
        <w:ind w:left="0" w:leftChars="0" w:firstLine="0" w:firstLineChars="0"/>
        <w:jc w:val="left"/>
        <w:outlineLvl w:val="9"/>
        <w:rPr>
          <w:rFonts w:hint="default" w:ascii="Times New Roman" w:hAnsi="Times New Roman" w:cs="Times New Roman"/>
          <w:b/>
          <w:bCs/>
          <w:color w:val="auto"/>
          <w:sz w:val="24"/>
          <w:highlight w:val="none"/>
        </w:rPr>
      </w:pPr>
    </w:p>
    <w:p w14:paraId="26517CBA">
      <w:pPr>
        <w:pStyle w:val="2"/>
        <w:adjustRightInd w:val="0"/>
        <w:snapToGrid w:val="0"/>
        <w:spacing w:after="0"/>
        <w:ind w:left="0" w:leftChars="0" w:firstLine="0" w:firstLineChars="0"/>
        <w:jc w:val="left"/>
        <w:outlineLvl w:val="9"/>
        <w:rPr>
          <w:rFonts w:hint="default" w:ascii="Times New Roman" w:hAnsi="Times New Roman" w:cs="Times New Roman"/>
          <w:b/>
          <w:bCs/>
          <w:color w:val="auto"/>
          <w:sz w:val="24"/>
          <w:highlight w:val="none"/>
        </w:rPr>
      </w:pPr>
    </w:p>
    <w:p w14:paraId="2B5E7785">
      <w:pPr>
        <w:pStyle w:val="2"/>
        <w:adjustRightInd w:val="0"/>
        <w:snapToGrid w:val="0"/>
        <w:spacing w:after="0"/>
        <w:ind w:left="0" w:leftChars="0" w:firstLine="0" w:firstLineChars="0"/>
        <w:jc w:val="left"/>
        <w:outlineLvl w:val="9"/>
        <w:rPr>
          <w:rFonts w:hint="default" w:ascii="Times New Roman" w:hAnsi="Times New Roman" w:cs="Times New Roman"/>
          <w:b/>
          <w:bCs/>
          <w:color w:val="auto"/>
          <w:sz w:val="24"/>
          <w:highlight w:val="none"/>
        </w:rPr>
      </w:pPr>
    </w:p>
    <w:p w14:paraId="5D1DC852">
      <w:pPr>
        <w:pStyle w:val="2"/>
        <w:adjustRightInd w:val="0"/>
        <w:snapToGrid w:val="0"/>
        <w:spacing w:after="0"/>
        <w:ind w:left="0" w:leftChars="0" w:firstLine="0" w:firstLineChars="0"/>
        <w:jc w:val="left"/>
        <w:outlineLvl w:val="9"/>
        <w:rPr>
          <w:rFonts w:hint="default" w:ascii="Times New Roman" w:hAnsi="Times New Roman" w:cs="Times New Roman"/>
          <w:b/>
          <w:bCs/>
          <w:color w:val="auto"/>
          <w:sz w:val="24"/>
          <w:highlight w:val="none"/>
        </w:rPr>
      </w:pPr>
    </w:p>
    <w:p w14:paraId="735C1D39">
      <w:pPr>
        <w:pStyle w:val="2"/>
        <w:adjustRightInd w:val="0"/>
        <w:snapToGrid w:val="0"/>
        <w:spacing w:after="0"/>
        <w:ind w:left="0" w:leftChars="0" w:firstLine="0" w:firstLineChars="0"/>
        <w:jc w:val="left"/>
        <w:outlineLvl w:val="9"/>
        <w:rPr>
          <w:rFonts w:hint="default" w:ascii="Times New Roman" w:hAnsi="Times New Roman" w:cs="Times New Roman"/>
          <w:b/>
          <w:bCs/>
          <w:color w:val="auto"/>
          <w:sz w:val="24"/>
          <w:highlight w:val="none"/>
        </w:rPr>
      </w:pPr>
    </w:p>
    <w:p w14:paraId="2A0D8BAD">
      <w:pPr>
        <w:pStyle w:val="2"/>
        <w:adjustRightInd w:val="0"/>
        <w:snapToGrid w:val="0"/>
        <w:spacing w:after="0"/>
        <w:ind w:left="0" w:leftChars="0" w:firstLine="0" w:firstLineChars="0"/>
        <w:jc w:val="left"/>
        <w:outlineLvl w:val="9"/>
        <w:rPr>
          <w:rFonts w:hint="default" w:ascii="Times New Roman" w:hAnsi="Times New Roman" w:cs="Times New Roman"/>
          <w:b/>
          <w:bCs/>
          <w:color w:val="auto"/>
          <w:sz w:val="24"/>
          <w:highlight w:val="none"/>
        </w:rPr>
      </w:pPr>
    </w:p>
    <w:p w14:paraId="792280D4">
      <w:pPr>
        <w:pStyle w:val="2"/>
        <w:adjustRightInd w:val="0"/>
        <w:snapToGrid w:val="0"/>
        <w:spacing w:after="0"/>
        <w:ind w:left="0" w:leftChars="0" w:firstLine="0" w:firstLineChars="0"/>
        <w:jc w:val="left"/>
        <w:outlineLvl w:val="9"/>
        <w:rPr>
          <w:rFonts w:hint="default" w:ascii="Times New Roman" w:hAnsi="Times New Roman" w:cs="Times New Roman"/>
          <w:b/>
          <w:bCs/>
          <w:color w:val="auto"/>
          <w:sz w:val="24"/>
          <w:highlight w:val="none"/>
        </w:rPr>
      </w:pPr>
    </w:p>
    <w:p w14:paraId="53ECD1C4">
      <w:pPr>
        <w:pStyle w:val="2"/>
        <w:adjustRightInd w:val="0"/>
        <w:snapToGrid w:val="0"/>
        <w:spacing w:after="0"/>
        <w:ind w:left="0" w:leftChars="0" w:firstLine="0" w:firstLineChars="0"/>
        <w:jc w:val="left"/>
        <w:outlineLvl w:val="9"/>
        <w:rPr>
          <w:rFonts w:hint="default" w:ascii="Times New Roman" w:hAnsi="Times New Roman" w:cs="Times New Roman"/>
          <w:b/>
          <w:bCs/>
          <w:color w:val="auto"/>
          <w:sz w:val="24"/>
          <w:highlight w:val="none"/>
        </w:rPr>
      </w:pPr>
    </w:p>
    <w:p w14:paraId="16CE5C6D">
      <w:pPr>
        <w:pStyle w:val="2"/>
        <w:adjustRightInd w:val="0"/>
        <w:snapToGrid w:val="0"/>
        <w:spacing w:after="0"/>
        <w:ind w:left="0" w:leftChars="0" w:firstLine="0" w:firstLineChars="0"/>
        <w:jc w:val="left"/>
        <w:outlineLvl w:val="9"/>
        <w:rPr>
          <w:rFonts w:hint="default" w:ascii="Times New Roman" w:hAnsi="Times New Roman" w:cs="Times New Roman"/>
          <w:b/>
          <w:bCs/>
          <w:color w:val="auto"/>
          <w:sz w:val="24"/>
          <w:highlight w:val="none"/>
        </w:rPr>
      </w:pPr>
    </w:p>
    <w:p w14:paraId="7C61436B">
      <w:pPr>
        <w:pStyle w:val="2"/>
        <w:adjustRightInd w:val="0"/>
        <w:snapToGrid w:val="0"/>
        <w:spacing w:after="0"/>
        <w:ind w:left="0" w:leftChars="0" w:firstLine="0" w:firstLineChars="0"/>
        <w:jc w:val="left"/>
        <w:outlineLvl w:val="9"/>
        <w:rPr>
          <w:rFonts w:hint="default" w:ascii="Times New Roman" w:hAnsi="Times New Roman" w:cs="Times New Roman"/>
          <w:b/>
          <w:bCs/>
          <w:color w:val="auto"/>
          <w:sz w:val="24"/>
          <w:highlight w:val="none"/>
        </w:rPr>
      </w:pPr>
    </w:p>
    <w:p w14:paraId="487CE809">
      <w:pPr>
        <w:pStyle w:val="2"/>
        <w:adjustRightInd w:val="0"/>
        <w:snapToGrid w:val="0"/>
        <w:spacing w:after="0"/>
        <w:ind w:left="0" w:leftChars="0" w:firstLine="0" w:firstLineChars="0"/>
        <w:jc w:val="left"/>
        <w:outlineLvl w:val="9"/>
        <w:rPr>
          <w:rFonts w:hint="default" w:ascii="Times New Roman" w:hAnsi="Times New Roman" w:cs="Times New Roman"/>
          <w:b/>
          <w:bCs/>
          <w:color w:val="auto"/>
          <w:sz w:val="24"/>
          <w:highlight w:val="none"/>
        </w:rPr>
      </w:pPr>
    </w:p>
    <w:p w14:paraId="47231903">
      <w:pPr>
        <w:pStyle w:val="2"/>
        <w:adjustRightInd w:val="0"/>
        <w:snapToGrid w:val="0"/>
        <w:spacing w:after="0"/>
        <w:ind w:left="0" w:leftChars="0" w:firstLine="0" w:firstLineChars="0"/>
        <w:jc w:val="left"/>
        <w:outlineLvl w:val="9"/>
        <w:rPr>
          <w:rFonts w:hint="default" w:ascii="Times New Roman" w:hAnsi="Times New Roman" w:cs="Times New Roman"/>
          <w:b/>
          <w:bCs/>
          <w:color w:val="auto"/>
          <w:sz w:val="24"/>
          <w:highlight w:val="none"/>
        </w:rPr>
      </w:pPr>
    </w:p>
    <w:p w14:paraId="0FDD0089">
      <w:pPr>
        <w:pStyle w:val="2"/>
        <w:adjustRightInd w:val="0"/>
        <w:snapToGrid w:val="0"/>
        <w:spacing w:after="0"/>
        <w:ind w:left="0" w:leftChars="0" w:firstLine="0" w:firstLineChars="0"/>
        <w:jc w:val="left"/>
        <w:outlineLvl w:val="9"/>
        <w:rPr>
          <w:rFonts w:hint="default" w:ascii="Times New Roman" w:hAnsi="Times New Roman" w:cs="Times New Roman"/>
          <w:b/>
          <w:bCs/>
          <w:color w:val="auto"/>
          <w:sz w:val="24"/>
          <w:highlight w:val="none"/>
        </w:rPr>
      </w:pPr>
    </w:p>
    <w:p w14:paraId="4750B54C">
      <w:pPr>
        <w:pStyle w:val="2"/>
        <w:adjustRightInd w:val="0"/>
        <w:snapToGrid w:val="0"/>
        <w:spacing w:after="0"/>
        <w:ind w:left="0" w:leftChars="0" w:firstLine="0" w:firstLineChars="0"/>
        <w:jc w:val="left"/>
        <w:outlineLvl w:val="9"/>
        <w:rPr>
          <w:rFonts w:hint="default" w:ascii="Times New Roman" w:hAnsi="Times New Roman" w:cs="Times New Roman"/>
          <w:b/>
          <w:bCs/>
          <w:color w:val="auto"/>
          <w:sz w:val="24"/>
          <w:highlight w:val="none"/>
        </w:rPr>
      </w:pPr>
    </w:p>
    <w:p w14:paraId="23CB4C6A">
      <w:pPr>
        <w:pStyle w:val="2"/>
        <w:adjustRightInd w:val="0"/>
        <w:snapToGrid w:val="0"/>
        <w:spacing w:after="0"/>
        <w:ind w:left="0" w:leftChars="0" w:firstLine="0" w:firstLineChars="0"/>
        <w:jc w:val="left"/>
        <w:outlineLvl w:val="9"/>
        <w:rPr>
          <w:rFonts w:hint="default" w:ascii="Times New Roman" w:hAnsi="Times New Roman" w:cs="Times New Roman"/>
          <w:b/>
          <w:bCs/>
          <w:color w:val="auto"/>
          <w:sz w:val="24"/>
          <w:highlight w:val="none"/>
        </w:rPr>
      </w:pPr>
    </w:p>
    <w:p w14:paraId="13FB519B">
      <w:pPr>
        <w:pStyle w:val="2"/>
        <w:adjustRightInd w:val="0"/>
        <w:snapToGrid w:val="0"/>
        <w:spacing w:after="0"/>
        <w:ind w:left="0" w:leftChars="0" w:firstLine="0" w:firstLineChars="0"/>
        <w:jc w:val="left"/>
        <w:outlineLvl w:val="9"/>
        <w:rPr>
          <w:rFonts w:hint="default" w:ascii="Times New Roman" w:hAnsi="Times New Roman" w:cs="Times New Roman"/>
          <w:b/>
          <w:bCs/>
          <w:color w:val="auto"/>
          <w:sz w:val="24"/>
          <w:highlight w:val="none"/>
        </w:rPr>
      </w:pPr>
    </w:p>
    <w:p w14:paraId="1C4057C8">
      <w:pPr>
        <w:pStyle w:val="2"/>
        <w:adjustRightInd w:val="0"/>
        <w:snapToGrid w:val="0"/>
        <w:spacing w:after="0"/>
        <w:ind w:left="0" w:leftChars="0" w:firstLine="0" w:firstLineChars="0"/>
        <w:jc w:val="left"/>
        <w:outlineLvl w:val="9"/>
        <w:rPr>
          <w:rFonts w:hint="default" w:ascii="Times New Roman" w:hAnsi="Times New Roman" w:cs="Times New Roman"/>
          <w:b/>
          <w:bCs/>
          <w:color w:val="auto"/>
          <w:sz w:val="24"/>
          <w:highlight w:val="none"/>
        </w:rPr>
      </w:pPr>
    </w:p>
    <w:p w14:paraId="5F99726C">
      <w:pPr>
        <w:pStyle w:val="2"/>
        <w:adjustRightInd w:val="0"/>
        <w:snapToGrid w:val="0"/>
        <w:spacing w:after="0"/>
        <w:ind w:left="0" w:leftChars="0" w:firstLine="0" w:firstLineChars="0"/>
        <w:jc w:val="left"/>
        <w:outlineLvl w:val="9"/>
        <w:rPr>
          <w:rFonts w:hint="default" w:ascii="Times New Roman" w:hAnsi="Times New Roman" w:cs="Times New Roman"/>
          <w:b/>
          <w:bCs/>
          <w:color w:val="auto"/>
          <w:sz w:val="24"/>
          <w:highlight w:val="none"/>
        </w:rPr>
      </w:pPr>
    </w:p>
    <w:p w14:paraId="0FAD8ACB">
      <w:pPr>
        <w:pStyle w:val="2"/>
        <w:adjustRightInd w:val="0"/>
        <w:snapToGrid w:val="0"/>
        <w:spacing w:after="0"/>
        <w:ind w:left="0" w:leftChars="0" w:firstLine="0" w:firstLineChars="0"/>
        <w:jc w:val="left"/>
        <w:outlineLvl w:val="9"/>
        <w:rPr>
          <w:rFonts w:hint="default" w:ascii="Times New Roman" w:hAnsi="Times New Roman" w:cs="Times New Roman"/>
          <w:b/>
          <w:bCs/>
          <w:color w:val="auto"/>
          <w:sz w:val="24"/>
          <w:highlight w:val="none"/>
        </w:rPr>
      </w:pPr>
    </w:p>
    <w:p w14:paraId="1A231657">
      <w:pPr>
        <w:pStyle w:val="2"/>
        <w:adjustRightInd w:val="0"/>
        <w:snapToGrid w:val="0"/>
        <w:spacing w:after="0"/>
        <w:ind w:left="0" w:leftChars="0" w:firstLine="0" w:firstLineChars="0"/>
        <w:jc w:val="left"/>
        <w:outlineLvl w:val="9"/>
        <w:rPr>
          <w:rFonts w:hint="default" w:ascii="Times New Roman" w:hAnsi="Times New Roman" w:cs="Times New Roman"/>
          <w:b/>
          <w:bCs/>
          <w:color w:val="auto"/>
          <w:sz w:val="24"/>
          <w:highlight w:val="none"/>
        </w:rPr>
      </w:pPr>
    </w:p>
    <w:p w14:paraId="43A358B2">
      <w:pPr>
        <w:pStyle w:val="2"/>
        <w:adjustRightInd w:val="0"/>
        <w:snapToGrid w:val="0"/>
        <w:spacing w:after="0"/>
        <w:ind w:left="0" w:leftChars="0" w:firstLine="0" w:firstLineChars="0"/>
        <w:jc w:val="left"/>
        <w:outlineLvl w:val="9"/>
        <w:rPr>
          <w:rFonts w:hint="default" w:ascii="Times New Roman" w:hAnsi="Times New Roman" w:cs="Times New Roman"/>
          <w:b/>
          <w:bCs/>
          <w:color w:val="auto"/>
          <w:sz w:val="24"/>
          <w:highlight w:val="none"/>
        </w:rPr>
      </w:pPr>
    </w:p>
    <w:p w14:paraId="1BB40346">
      <w:pPr>
        <w:pStyle w:val="2"/>
        <w:adjustRightInd w:val="0"/>
        <w:snapToGrid w:val="0"/>
        <w:spacing w:after="0"/>
        <w:ind w:left="0" w:leftChars="0" w:firstLine="0" w:firstLineChars="0"/>
        <w:jc w:val="left"/>
        <w:outlineLvl w:val="9"/>
        <w:rPr>
          <w:rFonts w:hint="default" w:ascii="Times New Roman" w:hAnsi="Times New Roman" w:cs="Times New Roman"/>
          <w:b/>
          <w:bCs/>
          <w:color w:val="auto"/>
          <w:sz w:val="24"/>
          <w:highlight w:val="none"/>
        </w:rPr>
      </w:pPr>
    </w:p>
    <w:p w14:paraId="296210BC">
      <w:pPr>
        <w:pStyle w:val="2"/>
        <w:adjustRightInd w:val="0"/>
        <w:snapToGrid w:val="0"/>
        <w:spacing w:after="0"/>
        <w:ind w:left="0" w:leftChars="0" w:firstLine="0" w:firstLineChars="0"/>
        <w:jc w:val="left"/>
        <w:outlineLvl w:val="9"/>
        <w:rPr>
          <w:rFonts w:hint="default" w:ascii="Times New Roman" w:hAnsi="Times New Roman" w:cs="Times New Roman"/>
          <w:b/>
          <w:bCs/>
          <w:color w:val="auto"/>
          <w:sz w:val="24"/>
          <w:highlight w:val="none"/>
        </w:rPr>
      </w:pPr>
    </w:p>
    <w:p w14:paraId="70937190">
      <w:pPr>
        <w:pStyle w:val="2"/>
        <w:adjustRightInd w:val="0"/>
        <w:snapToGrid w:val="0"/>
        <w:spacing w:after="0"/>
        <w:ind w:left="0" w:leftChars="0" w:firstLine="0" w:firstLineChars="0"/>
        <w:jc w:val="left"/>
        <w:outlineLvl w:val="9"/>
        <w:rPr>
          <w:rFonts w:hint="default" w:ascii="Times New Roman" w:hAnsi="Times New Roman" w:cs="Times New Roman"/>
          <w:b/>
          <w:bCs/>
          <w:color w:val="auto"/>
          <w:sz w:val="24"/>
          <w:highlight w:val="none"/>
        </w:rPr>
      </w:pPr>
    </w:p>
    <w:p w14:paraId="399EE43F">
      <w:pPr>
        <w:pStyle w:val="2"/>
        <w:adjustRightInd w:val="0"/>
        <w:snapToGrid w:val="0"/>
        <w:spacing w:after="0"/>
        <w:ind w:left="0" w:leftChars="0" w:firstLine="0" w:firstLineChars="0"/>
        <w:jc w:val="left"/>
        <w:outlineLvl w:val="9"/>
        <w:rPr>
          <w:rFonts w:hint="default" w:ascii="Times New Roman" w:hAnsi="Times New Roman" w:cs="Times New Roman"/>
          <w:b/>
          <w:bCs/>
          <w:color w:val="auto"/>
          <w:sz w:val="24"/>
          <w:highlight w:val="none"/>
        </w:rPr>
      </w:pPr>
    </w:p>
    <w:p w14:paraId="3FED1FF5">
      <w:pPr>
        <w:pStyle w:val="2"/>
        <w:adjustRightInd w:val="0"/>
        <w:snapToGrid w:val="0"/>
        <w:spacing w:after="0"/>
        <w:ind w:left="0" w:leftChars="0" w:firstLine="0" w:firstLineChars="0"/>
        <w:jc w:val="left"/>
        <w:outlineLvl w:val="9"/>
        <w:rPr>
          <w:rFonts w:hint="default" w:ascii="Times New Roman" w:hAnsi="Times New Roman" w:cs="Times New Roman"/>
          <w:b/>
          <w:bCs/>
          <w:color w:val="auto"/>
          <w:sz w:val="24"/>
          <w:highlight w:val="none"/>
        </w:rPr>
      </w:pPr>
    </w:p>
    <w:p w14:paraId="4F847412">
      <w:pPr>
        <w:pStyle w:val="2"/>
        <w:adjustRightInd w:val="0"/>
        <w:snapToGrid w:val="0"/>
        <w:spacing w:after="0"/>
        <w:ind w:left="0" w:leftChars="0" w:firstLine="0" w:firstLineChars="0"/>
        <w:jc w:val="left"/>
        <w:outlineLvl w:val="9"/>
        <w:rPr>
          <w:rFonts w:hint="default" w:ascii="Times New Roman" w:hAnsi="Times New Roman" w:cs="Times New Roman"/>
          <w:b/>
          <w:bCs/>
          <w:color w:val="auto"/>
          <w:sz w:val="24"/>
          <w:highlight w:val="none"/>
        </w:rPr>
      </w:pPr>
    </w:p>
    <w:p w14:paraId="1C275EE3">
      <w:pPr>
        <w:pStyle w:val="2"/>
        <w:adjustRightInd w:val="0"/>
        <w:snapToGrid w:val="0"/>
        <w:spacing w:after="0"/>
        <w:ind w:left="0" w:leftChars="0" w:firstLine="0" w:firstLineChars="0"/>
        <w:jc w:val="left"/>
        <w:outlineLvl w:val="1"/>
        <w:rPr>
          <w:rFonts w:hint="default" w:ascii="Times New Roman" w:hAnsi="Times New Roman" w:cs="Times New Roman"/>
          <w:color w:val="auto"/>
          <w:sz w:val="24"/>
          <w:highlight w:val="none"/>
        </w:rPr>
      </w:pPr>
      <w:bookmarkStart w:id="296" w:name="_Toc22782"/>
      <w:r>
        <w:rPr>
          <w:rFonts w:hint="default" w:ascii="Times New Roman" w:hAnsi="Times New Roman" w:cs="Times New Roman"/>
          <w:b/>
          <w:bCs/>
          <w:color w:val="auto"/>
          <w:sz w:val="24"/>
          <w:highlight w:val="none"/>
        </w:rPr>
        <w:t>附图</w:t>
      </w:r>
      <w:r>
        <w:rPr>
          <w:rFonts w:hint="eastAsia" w:ascii="Times New Roman" w:hAnsi="Times New Roman" w:cs="Times New Roman"/>
          <w:b/>
          <w:bCs/>
          <w:color w:val="auto"/>
          <w:sz w:val="24"/>
          <w:highlight w:val="none"/>
          <w:lang w:val="en-US" w:eastAsia="zh-CN"/>
        </w:rPr>
        <w:t>4</w:t>
      </w:r>
      <w:r>
        <w:rPr>
          <w:rFonts w:hint="default" w:ascii="Times New Roman" w:hAnsi="Times New Roman" w:cs="Times New Roman"/>
          <w:b/>
          <w:bCs/>
          <w:color w:val="auto"/>
          <w:sz w:val="24"/>
          <w:highlight w:val="none"/>
        </w:rPr>
        <w:t xml:space="preserve"> </w:t>
      </w:r>
      <w:r>
        <w:rPr>
          <w:rFonts w:hint="default" w:ascii="Times New Roman" w:hAnsi="Times New Roman" w:cs="Times New Roman"/>
          <w:b/>
          <w:bCs/>
          <w:color w:val="auto"/>
          <w:sz w:val="24"/>
          <w:highlight w:val="none"/>
          <w:lang w:eastAsia="zh-CN"/>
        </w:rPr>
        <w:t>应急逃生路线</w:t>
      </w:r>
      <w:r>
        <w:rPr>
          <w:rFonts w:hint="eastAsia" w:cs="Times New Roman"/>
          <w:b/>
          <w:bCs/>
          <w:color w:val="auto"/>
          <w:sz w:val="24"/>
          <w:highlight w:val="none"/>
          <w:lang w:eastAsia="zh-CN"/>
        </w:rPr>
        <w:t>、应急物资柜</w:t>
      </w:r>
      <w:bookmarkEnd w:id="296"/>
    </w:p>
    <w:p w14:paraId="324BA612">
      <w:pPr>
        <w:pStyle w:val="2"/>
        <w:ind w:left="0" w:leftChars="0" w:firstLine="0" w:firstLineChars="0"/>
        <w:rPr>
          <w:rFonts w:hint="default" w:ascii="Times New Roman" w:hAnsi="Times New Roman" w:cs="Times New Roman"/>
          <w:b/>
          <w:bCs/>
          <w:color w:val="FF0000"/>
          <w:sz w:val="24"/>
          <w:highlight w:val="none"/>
          <w:lang w:eastAsia="zh-CN"/>
        </w:rPr>
      </w:pPr>
    </w:p>
    <w:p w14:paraId="107C4129">
      <w:pPr>
        <w:rPr>
          <w:rFonts w:hint="default"/>
          <w:lang w:eastAsia="zh-CN"/>
        </w:rPr>
      </w:pPr>
      <w:r>
        <w:rPr>
          <w:rFonts w:hint="default"/>
          <w:lang w:eastAsia="zh-CN"/>
        </w:rPr>
        <w:drawing>
          <wp:inline distT="0" distB="0" distL="114300" distR="114300">
            <wp:extent cx="4648200" cy="6576060"/>
            <wp:effectExtent l="0" t="0" r="0" b="15240"/>
            <wp:docPr id="18" name="图片 18" descr="a90f6c932d7c3538b330932996b72c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a90f6c932d7c3538b330932996b72cc2"/>
                    <pic:cNvPicPr>
                      <a:picLocks noChangeAspect="1"/>
                    </pic:cNvPicPr>
                  </pic:nvPicPr>
                  <pic:blipFill>
                    <a:blip r:embed="rId167"/>
                    <a:stretch>
                      <a:fillRect/>
                    </a:stretch>
                  </pic:blipFill>
                  <pic:spPr>
                    <a:xfrm>
                      <a:off x="0" y="0"/>
                      <a:ext cx="4648200" cy="6576060"/>
                    </a:xfrm>
                    <a:prstGeom prst="rect">
                      <a:avLst/>
                    </a:prstGeom>
                  </pic:spPr>
                </pic:pic>
              </a:graphicData>
            </a:graphic>
          </wp:inline>
        </w:drawing>
      </w:r>
    </w:p>
    <w:p w14:paraId="5B0B7B36">
      <w:pPr>
        <w:bidi w:val="0"/>
        <w:rPr>
          <w:rFonts w:hint="default" w:ascii="Times New Roman" w:hAnsi="Times New Roman" w:eastAsia="宋体" w:cs="Times New Roman"/>
          <w:kern w:val="2"/>
          <w:sz w:val="21"/>
          <w:szCs w:val="24"/>
          <w:lang w:val="en-US" w:eastAsia="zh-CN" w:bidi="ar-SA"/>
        </w:rPr>
      </w:pPr>
    </w:p>
    <w:p w14:paraId="60188041">
      <w:pPr>
        <w:bidi w:val="0"/>
        <w:rPr>
          <w:rFonts w:hint="default"/>
          <w:lang w:val="en-US" w:eastAsia="zh-CN"/>
        </w:rPr>
      </w:pPr>
    </w:p>
    <w:p w14:paraId="4785EAB1">
      <w:pPr>
        <w:bidi w:val="0"/>
        <w:rPr>
          <w:rFonts w:hint="default"/>
          <w:lang w:val="en-US" w:eastAsia="zh-CN"/>
        </w:rPr>
      </w:pPr>
    </w:p>
    <w:p w14:paraId="5CB8C319">
      <w:pPr>
        <w:bidi w:val="0"/>
        <w:rPr>
          <w:rFonts w:hint="default"/>
          <w:lang w:val="en-US" w:eastAsia="zh-CN"/>
        </w:rPr>
      </w:pPr>
    </w:p>
    <w:p w14:paraId="2DC2DAD7">
      <w:pPr>
        <w:bidi w:val="0"/>
        <w:rPr>
          <w:rFonts w:hint="default"/>
          <w:lang w:val="en-US" w:eastAsia="zh-CN"/>
        </w:rPr>
      </w:pPr>
    </w:p>
    <w:p w14:paraId="2F340F7B">
      <w:pPr>
        <w:bidi w:val="0"/>
        <w:rPr>
          <w:rFonts w:hint="default"/>
          <w:lang w:val="en-US" w:eastAsia="zh-CN"/>
        </w:rPr>
      </w:pPr>
    </w:p>
    <w:p w14:paraId="1828C95C">
      <w:pPr>
        <w:bidi w:val="0"/>
        <w:rPr>
          <w:rFonts w:hint="default"/>
          <w:lang w:val="en-US" w:eastAsia="zh-CN"/>
        </w:rPr>
      </w:pPr>
    </w:p>
    <w:p w14:paraId="303F501E">
      <w:pPr>
        <w:bidi w:val="0"/>
        <w:rPr>
          <w:rFonts w:hint="default"/>
          <w:lang w:val="en-US" w:eastAsia="zh-CN"/>
        </w:rPr>
      </w:pPr>
    </w:p>
    <w:p w14:paraId="2FE7DD0F">
      <w:pPr>
        <w:bidi w:val="0"/>
        <w:rPr>
          <w:rFonts w:hint="default"/>
          <w:lang w:val="en-US" w:eastAsia="zh-CN"/>
        </w:rPr>
      </w:pPr>
    </w:p>
    <w:p w14:paraId="42531B43">
      <w:pPr>
        <w:bidi w:val="0"/>
        <w:rPr>
          <w:rFonts w:hint="default"/>
          <w:lang w:val="en-US" w:eastAsia="zh-CN"/>
        </w:rPr>
      </w:pPr>
    </w:p>
    <w:p w14:paraId="78A85EBD">
      <w:pPr>
        <w:bidi w:val="0"/>
        <w:rPr>
          <w:rFonts w:hint="default"/>
          <w:lang w:val="en-US" w:eastAsia="zh-CN"/>
        </w:rPr>
      </w:pPr>
    </w:p>
    <w:p w14:paraId="3730DE62">
      <w:pPr>
        <w:bidi w:val="0"/>
        <w:rPr>
          <w:rFonts w:hint="default"/>
          <w:lang w:val="en-US" w:eastAsia="zh-CN"/>
        </w:rPr>
      </w:pPr>
    </w:p>
    <w:p w14:paraId="75D6761C">
      <w:pPr>
        <w:rPr>
          <w:rFonts w:hint="default"/>
          <w:lang w:val="en-US" w:eastAsia="zh-CN"/>
        </w:rPr>
      </w:pPr>
    </w:p>
    <w:p w14:paraId="413F3AFF">
      <w:pPr>
        <w:pStyle w:val="2"/>
        <w:keepNext w:val="0"/>
        <w:keepLines w:val="0"/>
        <w:pageBreakBefore w:val="0"/>
        <w:widowControl w:val="0"/>
        <w:kinsoku/>
        <w:wordWrap/>
        <w:overflowPunct/>
        <w:topLinePunct w:val="0"/>
        <w:autoSpaceDE/>
        <w:autoSpaceDN/>
        <w:bidi w:val="0"/>
        <w:adjustRightInd w:val="0"/>
        <w:snapToGrid w:val="0"/>
        <w:spacing w:after="0"/>
        <w:ind w:left="0" w:leftChars="0" w:firstLine="0" w:firstLineChars="0"/>
        <w:jc w:val="left"/>
        <w:textAlignment w:val="auto"/>
        <w:outlineLvl w:val="1"/>
        <w:rPr>
          <w:rFonts w:hint="eastAsia" w:ascii="Times New Roman" w:hAnsi="Times New Roman" w:eastAsia="宋体" w:cs="Times New Roman"/>
          <w:b/>
          <w:bCs/>
          <w:color w:val="auto"/>
          <w:sz w:val="24"/>
          <w:highlight w:val="none"/>
          <w:lang w:val="en-US" w:eastAsia="zh-CN"/>
        </w:rPr>
      </w:pPr>
      <w:bookmarkStart w:id="297" w:name="_Toc1470"/>
      <w:r>
        <w:rPr>
          <w:rFonts w:hint="eastAsia" w:ascii="Times New Roman" w:hAnsi="Times New Roman" w:eastAsia="宋体" w:cs="Times New Roman"/>
          <w:b/>
          <w:bCs/>
          <w:color w:val="auto"/>
          <w:sz w:val="24"/>
          <w:highlight w:val="none"/>
          <w:lang w:eastAsia="zh-CN"/>
        </w:rPr>
        <w:t>附图</w:t>
      </w:r>
      <w:r>
        <w:rPr>
          <w:rFonts w:hint="eastAsia" w:ascii="Times New Roman" w:hAnsi="Times New Roman" w:eastAsia="宋体" w:cs="Times New Roman"/>
          <w:b/>
          <w:bCs/>
          <w:color w:val="auto"/>
          <w:sz w:val="24"/>
          <w:highlight w:val="none"/>
          <w:lang w:val="en-US" w:eastAsia="zh-CN"/>
        </w:rPr>
        <w:t>5 应急检测协议</w:t>
      </w:r>
      <w:bookmarkEnd w:id="297"/>
    </w:p>
    <w:p w14:paraId="1E76CF44">
      <w:pPr>
        <w:pStyle w:val="2"/>
        <w:ind w:left="0" w:leftChars="0" w:firstLine="0" w:firstLineChars="0"/>
        <w:rPr>
          <w:rFonts w:hint="default"/>
          <w:lang w:val="en-US" w:eastAsia="zh-CN"/>
        </w:rPr>
      </w:pPr>
    </w:p>
    <w:p w14:paraId="15928EE4">
      <w:pPr>
        <w:rPr>
          <w:rFonts w:hint="default"/>
          <w:lang w:val="en-US" w:eastAsia="zh-CN"/>
        </w:rPr>
      </w:pPr>
    </w:p>
    <w:p w14:paraId="51249049">
      <w:pPr>
        <w:rPr>
          <w:rFonts w:hint="default"/>
          <w:lang w:val="en-US" w:eastAsia="zh-CN"/>
        </w:rPr>
      </w:pPr>
      <w:r>
        <w:drawing>
          <wp:anchor distT="0" distB="0" distL="114300" distR="114300" simplePos="0" relativeHeight="251675648" behindDoc="0" locked="0" layoutInCell="1" allowOverlap="1">
            <wp:simplePos x="0" y="0"/>
            <wp:positionH relativeFrom="column">
              <wp:posOffset>95250</wp:posOffset>
            </wp:positionH>
            <wp:positionV relativeFrom="page">
              <wp:posOffset>1736725</wp:posOffset>
            </wp:positionV>
            <wp:extent cx="5062220" cy="6441440"/>
            <wp:effectExtent l="0" t="0" r="5080" b="16510"/>
            <wp:wrapSquare wrapText="bothSides"/>
            <wp:docPr id="16"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99"/>
                    <pic:cNvPicPr>
                      <a:picLocks noChangeAspect="1"/>
                    </pic:cNvPicPr>
                  </pic:nvPicPr>
                  <pic:blipFill>
                    <a:blip r:embed="rId168"/>
                    <a:stretch>
                      <a:fillRect/>
                    </a:stretch>
                  </pic:blipFill>
                  <pic:spPr>
                    <a:xfrm>
                      <a:off x="0" y="0"/>
                      <a:ext cx="5062220" cy="6441440"/>
                    </a:xfrm>
                    <a:prstGeom prst="rect">
                      <a:avLst/>
                    </a:prstGeom>
                    <a:noFill/>
                    <a:ln>
                      <a:noFill/>
                    </a:ln>
                  </pic:spPr>
                </pic:pic>
              </a:graphicData>
            </a:graphic>
          </wp:anchor>
        </w:drawing>
      </w:r>
    </w:p>
    <w:p w14:paraId="6FFE790B">
      <w:pPr>
        <w:rPr>
          <w:rFonts w:hint="default"/>
          <w:lang w:val="en-US" w:eastAsia="zh-CN"/>
        </w:rPr>
      </w:pPr>
    </w:p>
    <w:p w14:paraId="6794586D">
      <w:pPr>
        <w:rPr>
          <w:rFonts w:hint="default"/>
          <w:lang w:val="en-US" w:eastAsia="zh-CN"/>
        </w:rPr>
      </w:pPr>
    </w:p>
    <w:p w14:paraId="65B85759">
      <w:pPr>
        <w:rPr>
          <w:rFonts w:hint="default"/>
          <w:lang w:val="en-US" w:eastAsia="zh-CN"/>
        </w:rPr>
      </w:pPr>
    </w:p>
    <w:p w14:paraId="1B3B8704">
      <w:pPr>
        <w:rPr>
          <w:rFonts w:hint="default"/>
          <w:lang w:val="en-US" w:eastAsia="zh-CN"/>
        </w:rPr>
      </w:pPr>
    </w:p>
    <w:p w14:paraId="3AE4BFB6">
      <w:pPr>
        <w:rPr>
          <w:rFonts w:hint="default"/>
          <w:lang w:val="en-US" w:eastAsia="zh-CN"/>
        </w:rPr>
      </w:pPr>
    </w:p>
    <w:p w14:paraId="73E06A59">
      <w:pPr>
        <w:rPr>
          <w:rFonts w:hint="default"/>
          <w:lang w:val="en-US" w:eastAsia="zh-CN"/>
        </w:rPr>
      </w:pPr>
    </w:p>
    <w:p w14:paraId="501A0ABB">
      <w:pPr>
        <w:rPr>
          <w:rFonts w:hint="default"/>
          <w:lang w:val="en-US" w:eastAsia="zh-CN"/>
        </w:rPr>
      </w:pPr>
    </w:p>
    <w:p w14:paraId="7F0441D2">
      <w:pPr>
        <w:rPr>
          <w:rFonts w:hint="default"/>
          <w:lang w:val="en-US" w:eastAsia="zh-CN"/>
        </w:rPr>
      </w:pPr>
    </w:p>
    <w:p w14:paraId="64932062">
      <w:pPr>
        <w:rPr>
          <w:rFonts w:hint="default"/>
          <w:lang w:val="en-US" w:eastAsia="zh-CN"/>
        </w:rPr>
      </w:pPr>
    </w:p>
    <w:p w14:paraId="65AA0D70">
      <w:pPr>
        <w:pStyle w:val="2"/>
        <w:ind w:left="0" w:leftChars="0" w:firstLine="0" w:firstLineChars="0"/>
        <w:rPr>
          <w:rFonts w:hint="default"/>
          <w:lang w:val="en-US" w:eastAsia="zh-CN"/>
        </w:rPr>
      </w:pPr>
      <w:r>
        <w:rPr>
          <w:rFonts w:hint="default"/>
          <w:lang w:val="en-US" w:eastAsia="zh-CN"/>
        </w:rPr>
        <w:drawing>
          <wp:inline distT="0" distB="0" distL="114300" distR="114300">
            <wp:extent cx="4897120" cy="7998460"/>
            <wp:effectExtent l="0" t="0" r="17780" b="2540"/>
            <wp:docPr id="8" name="图片 8" descr="9ded9834af8abfd1df1c3831962725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9ded9834af8abfd1df1c3831962725d2"/>
                    <pic:cNvPicPr>
                      <a:picLocks noChangeAspect="1"/>
                    </pic:cNvPicPr>
                  </pic:nvPicPr>
                  <pic:blipFill>
                    <a:blip r:embed="rId169"/>
                    <a:stretch>
                      <a:fillRect/>
                    </a:stretch>
                  </pic:blipFill>
                  <pic:spPr>
                    <a:xfrm>
                      <a:off x="0" y="0"/>
                      <a:ext cx="4897120" cy="7998460"/>
                    </a:xfrm>
                    <a:prstGeom prst="rect">
                      <a:avLst/>
                    </a:prstGeom>
                  </pic:spPr>
                </pic:pic>
              </a:graphicData>
            </a:graphic>
          </wp:inline>
        </w:drawing>
      </w:r>
    </w:p>
    <w:p w14:paraId="317E23E5">
      <w:pPr>
        <w:rPr>
          <w:rFonts w:hint="default"/>
          <w:lang w:val="en-US" w:eastAsia="zh-CN"/>
        </w:rPr>
      </w:pPr>
    </w:p>
    <w:p w14:paraId="455DA522">
      <w:pPr>
        <w:rPr>
          <w:rFonts w:hint="default"/>
          <w:lang w:val="en-US" w:eastAsia="zh-CN"/>
        </w:rPr>
      </w:pPr>
    </w:p>
    <w:p w14:paraId="5B9645FD">
      <w:pPr>
        <w:pStyle w:val="128"/>
        <w:keepNext w:val="0"/>
        <w:keepLines w:val="0"/>
        <w:pageBreakBefore w:val="0"/>
        <w:widowControl w:val="0"/>
        <w:kinsoku/>
        <w:wordWrap/>
        <w:overflowPunct/>
        <w:topLinePunct w:val="0"/>
        <w:autoSpaceDE/>
        <w:autoSpaceDN/>
        <w:bidi w:val="0"/>
        <w:adjustRightInd/>
        <w:snapToGrid/>
        <w:ind w:left="0" w:leftChars="0" w:firstLine="0" w:firstLineChars="0"/>
        <w:textAlignment w:val="auto"/>
        <w:outlineLvl w:val="1"/>
        <w:rPr>
          <w:rFonts w:hint="eastAsia"/>
          <w:b/>
          <w:bCs w:val="0"/>
          <w:lang w:eastAsia="zh-CN"/>
        </w:rPr>
      </w:pPr>
      <w:bookmarkStart w:id="298" w:name="_Toc20492"/>
      <w:bookmarkStart w:id="299" w:name="_Toc25288"/>
    </w:p>
    <w:p w14:paraId="46BE0700">
      <w:pPr>
        <w:pStyle w:val="128"/>
        <w:keepNext w:val="0"/>
        <w:keepLines w:val="0"/>
        <w:pageBreakBefore w:val="0"/>
        <w:widowControl w:val="0"/>
        <w:kinsoku/>
        <w:wordWrap/>
        <w:overflowPunct/>
        <w:topLinePunct w:val="0"/>
        <w:autoSpaceDE/>
        <w:autoSpaceDN/>
        <w:bidi w:val="0"/>
        <w:adjustRightInd/>
        <w:snapToGrid/>
        <w:ind w:left="0" w:leftChars="0" w:firstLine="0" w:firstLineChars="0"/>
        <w:textAlignment w:val="auto"/>
        <w:outlineLvl w:val="1"/>
        <w:rPr>
          <w:rFonts w:hint="eastAsia"/>
          <w:b/>
          <w:bCs w:val="0"/>
          <w:lang w:eastAsia="zh-CN"/>
        </w:rPr>
      </w:pPr>
    </w:p>
    <w:p w14:paraId="42706643">
      <w:pPr>
        <w:pStyle w:val="128"/>
        <w:keepNext w:val="0"/>
        <w:keepLines w:val="0"/>
        <w:pageBreakBefore w:val="0"/>
        <w:widowControl w:val="0"/>
        <w:kinsoku/>
        <w:wordWrap/>
        <w:overflowPunct/>
        <w:topLinePunct w:val="0"/>
        <w:autoSpaceDE/>
        <w:autoSpaceDN/>
        <w:bidi w:val="0"/>
        <w:adjustRightInd/>
        <w:snapToGrid/>
        <w:ind w:left="0" w:leftChars="0" w:firstLine="0" w:firstLineChars="0"/>
        <w:textAlignment w:val="auto"/>
        <w:outlineLvl w:val="1"/>
        <w:rPr>
          <w:rFonts w:hint="eastAsia"/>
          <w:b/>
          <w:bCs w:val="0"/>
          <w:lang w:val="en-US" w:eastAsia="zh-CN"/>
        </w:rPr>
      </w:pPr>
      <w:r>
        <w:rPr>
          <w:rFonts w:hint="eastAsia"/>
          <w:b/>
          <w:bCs w:val="0"/>
          <w:lang w:eastAsia="zh-CN"/>
        </w:rPr>
        <w:t>附件</w:t>
      </w:r>
      <w:r>
        <w:rPr>
          <w:rFonts w:hint="eastAsia"/>
          <w:b/>
          <w:bCs w:val="0"/>
          <w:lang w:val="en-US" w:eastAsia="zh-CN"/>
        </w:rPr>
        <w:t>6应急互救协议</w:t>
      </w:r>
      <w:bookmarkEnd w:id="298"/>
      <w:bookmarkEnd w:id="299"/>
    </w:p>
    <w:p w14:paraId="79CFDC28"/>
    <w:p w14:paraId="3AED318D">
      <w:pPr>
        <w:bidi w:val="0"/>
        <w:rPr>
          <w:rFonts w:hint="default" w:ascii="Times New Roman" w:hAnsi="Times New Roman" w:eastAsia="宋体" w:cs="Times New Roman"/>
          <w:kern w:val="2"/>
          <w:sz w:val="21"/>
          <w:szCs w:val="24"/>
          <w:lang w:val="en-US" w:eastAsia="zh-CN" w:bidi="ar-SA"/>
        </w:rPr>
      </w:pPr>
    </w:p>
    <w:p w14:paraId="7A770583">
      <w:pPr>
        <w:bidi w:val="0"/>
        <w:rPr>
          <w:rFonts w:hint="default"/>
          <w:lang w:val="en-US" w:eastAsia="zh-CN"/>
        </w:rPr>
      </w:pPr>
      <w:r>
        <w:drawing>
          <wp:anchor distT="0" distB="0" distL="114300" distR="114300" simplePos="0" relativeHeight="251676672" behindDoc="0" locked="0" layoutInCell="1" allowOverlap="1">
            <wp:simplePos x="0" y="0"/>
            <wp:positionH relativeFrom="column">
              <wp:posOffset>-47625</wp:posOffset>
            </wp:positionH>
            <wp:positionV relativeFrom="page">
              <wp:posOffset>1920875</wp:posOffset>
            </wp:positionV>
            <wp:extent cx="5594985" cy="6900545"/>
            <wp:effectExtent l="0" t="0" r="5715" b="14605"/>
            <wp:wrapSquare wrapText="bothSides"/>
            <wp:docPr id="17"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00"/>
                    <pic:cNvPicPr>
                      <a:picLocks noChangeAspect="1"/>
                    </pic:cNvPicPr>
                  </pic:nvPicPr>
                  <pic:blipFill>
                    <a:blip r:embed="rId170"/>
                    <a:stretch>
                      <a:fillRect/>
                    </a:stretch>
                  </pic:blipFill>
                  <pic:spPr>
                    <a:xfrm>
                      <a:off x="0" y="0"/>
                      <a:ext cx="5594985" cy="6900545"/>
                    </a:xfrm>
                    <a:prstGeom prst="rect">
                      <a:avLst/>
                    </a:prstGeom>
                    <a:noFill/>
                    <a:ln>
                      <a:noFill/>
                    </a:ln>
                  </pic:spPr>
                </pic:pic>
              </a:graphicData>
            </a:graphic>
          </wp:anchor>
        </w:drawing>
      </w:r>
    </w:p>
    <w:p w14:paraId="1091115E">
      <w:pPr>
        <w:bidi w:val="0"/>
        <w:rPr>
          <w:rFonts w:hint="default"/>
          <w:lang w:val="en-US" w:eastAsia="zh-CN"/>
        </w:rPr>
      </w:pPr>
    </w:p>
    <w:p w14:paraId="6243D30A">
      <w:pPr>
        <w:bidi w:val="0"/>
        <w:rPr>
          <w:rFonts w:hint="default"/>
          <w:lang w:val="en-US" w:eastAsia="zh-CN"/>
        </w:rPr>
      </w:pPr>
    </w:p>
    <w:p w14:paraId="64B1449D">
      <w:pPr>
        <w:bidi w:val="0"/>
        <w:rPr>
          <w:rFonts w:hint="default"/>
          <w:lang w:val="en-US" w:eastAsia="zh-CN"/>
        </w:rPr>
      </w:pPr>
    </w:p>
    <w:p w14:paraId="21945133">
      <w:pPr>
        <w:bidi w:val="0"/>
        <w:rPr>
          <w:rFonts w:hint="default"/>
          <w:lang w:val="en-US" w:eastAsia="zh-CN"/>
        </w:rPr>
      </w:pPr>
    </w:p>
    <w:p w14:paraId="6D1072C2">
      <w:pPr>
        <w:tabs>
          <w:tab w:val="left" w:pos="645"/>
        </w:tabs>
        <w:bidi w:val="0"/>
        <w:jc w:val="left"/>
        <w:rPr>
          <w:rFonts w:hint="eastAsia"/>
          <w:lang w:val="en-US" w:eastAsia="zh-CN"/>
        </w:rPr>
      </w:pPr>
      <w:r>
        <w:rPr>
          <w:rFonts w:hint="eastAsia"/>
          <w:lang w:val="en-US" w:eastAsia="zh-CN"/>
        </w:rPr>
        <w:tab/>
      </w:r>
    </w:p>
    <w:p w14:paraId="67A5203F">
      <w:pPr>
        <w:pStyle w:val="2"/>
        <w:rPr>
          <w:rFonts w:hint="eastAsia"/>
          <w:lang w:val="en-US" w:eastAsia="zh-CN"/>
        </w:rPr>
      </w:pPr>
    </w:p>
    <w:p w14:paraId="059B4922">
      <w:pPr>
        <w:pStyle w:val="128"/>
        <w:keepNext w:val="0"/>
        <w:keepLines w:val="0"/>
        <w:pageBreakBefore w:val="0"/>
        <w:widowControl w:val="0"/>
        <w:kinsoku/>
        <w:wordWrap/>
        <w:overflowPunct/>
        <w:topLinePunct w:val="0"/>
        <w:autoSpaceDE/>
        <w:autoSpaceDN/>
        <w:bidi w:val="0"/>
        <w:adjustRightInd/>
        <w:snapToGrid/>
        <w:ind w:left="0" w:leftChars="0" w:firstLine="0" w:firstLineChars="0"/>
        <w:textAlignment w:val="auto"/>
        <w:outlineLvl w:val="1"/>
        <w:rPr>
          <w:rFonts w:hint="eastAsia" w:eastAsia="宋体"/>
          <w:b/>
          <w:bCs w:val="0"/>
          <w:lang w:val="en-US" w:eastAsia="zh-CN"/>
        </w:rPr>
      </w:pPr>
      <w:bookmarkStart w:id="300" w:name="_Toc6182"/>
      <w:r>
        <w:rPr>
          <w:rFonts w:hint="eastAsia" w:eastAsia="宋体"/>
          <w:b/>
          <w:bCs w:val="0"/>
          <w:lang w:val="en-US" w:eastAsia="zh-CN"/>
        </w:rPr>
        <w:t>附图7 互救单位应急物资</w:t>
      </w:r>
      <w:bookmarkEnd w:id="300"/>
    </w:p>
    <w:tbl>
      <w:tblPr>
        <w:tblStyle w:val="33"/>
        <w:tblW w:w="97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2"/>
        <w:gridCol w:w="101"/>
        <w:gridCol w:w="1353"/>
        <w:gridCol w:w="282"/>
        <w:gridCol w:w="1338"/>
        <w:gridCol w:w="159"/>
        <w:gridCol w:w="561"/>
        <w:gridCol w:w="128"/>
        <w:gridCol w:w="1549"/>
        <w:gridCol w:w="109"/>
        <w:gridCol w:w="971"/>
        <w:gridCol w:w="24"/>
        <w:gridCol w:w="1776"/>
        <w:gridCol w:w="43"/>
      </w:tblGrid>
      <w:tr w14:paraId="63CB7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blHeader/>
          <w:jc w:val="center"/>
        </w:trPr>
        <w:tc>
          <w:tcPr>
            <w:tcW w:w="9736" w:type="dxa"/>
            <w:gridSpan w:val="14"/>
            <w:tcBorders>
              <w:top w:val="single" w:color="auto" w:sz="4" w:space="0"/>
              <w:left w:val="single" w:color="auto" w:sz="4" w:space="0"/>
              <w:bottom w:val="single" w:color="auto" w:sz="4" w:space="0"/>
              <w:right w:val="single" w:color="auto" w:sz="4" w:space="0"/>
            </w:tcBorders>
            <w:noWrap w:val="0"/>
            <w:vAlign w:val="center"/>
          </w:tcPr>
          <w:p w14:paraId="155FE7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糠醇车间</w:t>
            </w:r>
          </w:p>
        </w:tc>
      </w:tr>
      <w:tr w14:paraId="50E70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blHeader/>
          <w:jc w:val="center"/>
        </w:trPr>
        <w:tc>
          <w:tcPr>
            <w:tcW w:w="1342" w:type="dxa"/>
            <w:tcBorders>
              <w:top w:val="single" w:color="auto" w:sz="4" w:space="0"/>
              <w:left w:val="single" w:color="auto" w:sz="4" w:space="0"/>
              <w:bottom w:val="single" w:color="auto" w:sz="4" w:space="0"/>
              <w:right w:val="single" w:color="auto" w:sz="4" w:space="0"/>
            </w:tcBorders>
            <w:noWrap w:val="0"/>
            <w:vAlign w:val="center"/>
          </w:tcPr>
          <w:p w14:paraId="297BE3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物资名称</w:t>
            </w:r>
          </w:p>
        </w:tc>
        <w:tc>
          <w:tcPr>
            <w:tcW w:w="1454" w:type="dxa"/>
            <w:gridSpan w:val="2"/>
            <w:tcBorders>
              <w:top w:val="single" w:color="auto" w:sz="4" w:space="0"/>
              <w:left w:val="single" w:color="auto" w:sz="4" w:space="0"/>
              <w:bottom w:val="single" w:color="auto" w:sz="4" w:space="0"/>
              <w:right w:val="single" w:color="auto" w:sz="4" w:space="0"/>
            </w:tcBorders>
            <w:noWrap w:val="0"/>
            <w:vAlign w:val="center"/>
          </w:tcPr>
          <w:p w14:paraId="1691C7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物资类型</w:t>
            </w:r>
          </w:p>
        </w:tc>
        <w:tc>
          <w:tcPr>
            <w:tcW w:w="1620" w:type="dxa"/>
            <w:gridSpan w:val="2"/>
            <w:tcBorders>
              <w:top w:val="single" w:color="auto" w:sz="4" w:space="0"/>
              <w:left w:val="single" w:color="auto" w:sz="4" w:space="0"/>
              <w:bottom w:val="single" w:color="auto" w:sz="4" w:space="0"/>
              <w:right w:val="single" w:color="auto" w:sz="4" w:space="0"/>
            </w:tcBorders>
            <w:noWrap w:val="0"/>
            <w:vAlign w:val="center"/>
          </w:tcPr>
          <w:p w14:paraId="7ED46B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性能</w:t>
            </w:r>
          </w:p>
        </w:tc>
        <w:tc>
          <w:tcPr>
            <w:tcW w:w="720" w:type="dxa"/>
            <w:gridSpan w:val="2"/>
            <w:tcBorders>
              <w:top w:val="single" w:color="auto" w:sz="4" w:space="0"/>
              <w:left w:val="single" w:color="auto" w:sz="4" w:space="0"/>
              <w:bottom w:val="single" w:color="auto" w:sz="4" w:space="0"/>
              <w:right w:val="single" w:color="auto" w:sz="4" w:space="0"/>
            </w:tcBorders>
            <w:noWrap w:val="0"/>
            <w:vAlign w:val="center"/>
          </w:tcPr>
          <w:p w14:paraId="3BB13C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数量</w:t>
            </w:r>
          </w:p>
        </w:tc>
        <w:tc>
          <w:tcPr>
            <w:tcW w:w="1677" w:type="dxa"/>
            <w:gridSpan w:val="2"/>
            <w:tcBorders>
              <w:top w:val="single" w:color="auto" w:sz="4" w:space="0"/>
              <w:left w:val="single" w:color="auto" w:sz="4" w:space="0"/>
              <w:bottom w:val="single" w:color="auto" w:sz="4" w:space="0"/>
              <w:right w:val="single" w:color="auto" w:sz="4" w:space="0"/>
            </w:tcBorders>
            <w:noWrap w:val="0"/>
            <w:vAlign w:val="center"/>
          </w:tcPr>
          <w:p w14:paraId="7D96A9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存放地点</w:t>
            </w:r>
          </w:p>
        </w:tc>
        <w:tc>
          <w:tcPr>
            <w:tcW w:w="1080" w:type="dxa"/>
            <w:gridSpan w:val="2"/>
            <w:tcBorders>
              <w:top w:val="single" w:color="auto" w:sz="4" w:space="0"/>
              <w:left w:val="single" w:color="auto" w:sz="4" w:space="0"/>
              <w:bottom w:val="single" w:color="auto" w:sz="4" w:space="0"/>
              <w:right w:val="single" w:color="auto" w:sz="4" w:space="0"/>
            </w:tcBorders>
            <w:noWrap w:val="0"/>
            <w:vAlign w:val="center"/>
          </w:tcPr>
          <w:p w14:paraId="0AAB28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管理人</w:t>
            </w:r>
          </w:p>
        </w:tc>
        <w:tc>
          <w:tcPr>
            <w:tcW w:w="1843" w:type="dxa"/>
            <w:gridSpan w:val="3"/>
            <w:tcBorders>
              <w:top w:val="single" w:color="auto" w:sz="4" w:space="0"/>
              <w:left w:val="single" w:color="auto" w:sz="4" w:space="0"/>
              <w:bottom w:val="single" w:color="auto" w:sz="4" w:space="0"/>
              <w:right w:val="single" w:color="auto" w:sz="4" w:space="0"/>
            </w:tcBorders>
            <w:noWrap w:val="0"/>
            <w:vAlign w:val="center"/>
          </w:tcPr>
          <w:p w14:paraId="63EC6C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联系电话</w:t>
            </w:r>
          </w:p>
        </w:tc>
      </w:tr>
      <w:tr w14:paraId="3CF25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342" w:type="dxa"/>
            <w:tcBorders>
              <w:top w:val="single" w:color="auto" w:sz="4" w:space="0"/>
              <w:left w:val="single" w:color="auto" w:sz="4" w:space="0"/>
              <w:bottom w:val="single" w:color="auto" w:sz="4" w:space="0"/>
              <w:right w:val="single" w:color="auto" w:sz="4" w:space="0"/>
            </w:tcBorders>
            <w:noWrap w:val="0"/>
            <w:vAlign w:val="center"/>
          </w:tcPr>
          <w:p w14:paraId="255BD7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空气呼吸器</w:t>
            </w:r>
          </w:p>
        </w:tc>
        <w:tc>
          <w:tcPr>
            <w:tcW w:w="1454" w:type="dxa"/>
            <w:gridSpan w:val="2"/>
            <w:tcBorders>
              <w:top w:val="single" w:color="auto" w:sz="4" w:space="0"/>
              <w:left w:val="single" w:color="auto" w:sz="4" w:space="0"/>
              <w:bottom w:val="single" w:color="auto" w:sz="4" w:space="0"/>
              <w:right w:val="single" w:color="auto" w:sz="4" w:space="0"/>
            </w:tcBorders>
            <w:noWrap w:val="0"/>
            <w:vAlign w:val="center"/>
          </w:tcPr>
          <w:p w14:paraId="1EC83C0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RHZKF6.8/30</w:t>
            </w:r>
          </w:p>
        </w:tc>
        <w:tc>
          <w:tcPr>
            <w:tcW w:w="1620" w:type="dxa"/>
            <w:gridSpan w:val="2"/>
            <w:tcBorders>
              <w:top w:val="single" w:color="auto" w:sz="4" w:space="0"/>
              <w:left w:val="single" w:color="auto" w:sz="4" w:space="0"/>
              <w:bottom w:val="single" w:color="auto" w:sz="4" w:space="0"/>
              <w:right w:val="single" w:color="auto" w:sz="4" w:space="0"/>
            </w:tcBorders>
            <w:noWrap w:val="0"/>
            <w:vAlign w:val="center"/>
          </w:tcPr>
          <w:p w14:paraId="29EA10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应急、救护</w:t>
            </w:r>
          </w:p>
        </w:tc>
        <w:tc>
          <w:tcPr>
            <w:tcW w:w="720" w:type="dxa"/>
            <w:gridSpan w:val="2"/>
            <w:tcBorders>
              <w:top w:val="single" w:color="auto" w:sz="4" w:space="0"/>
              <w:left w:val="single" w:color="auto" w:sz="4" w:space="0"/>
              <w:bottom w:val="single" w:color="auto" w:sz="4" w:space="0"/>
              <w:right w:val="single" w:color="auto" w:sz="4" w:space="0"/>
            </w:tcBorders>
            <w:noWrap w:val="0"/>
            <w:vAlign w:val="center"/>
          </w:tcPr>
          <w:p w14:paraId="5C4CB2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w:t>
            </w:r>
          </w:p>
        </w:tc>
        <w:tc>
          <w:tcPr>
            <w:tcW w:w="1677" w:type="dxa"/>
            <w:gridSpan w:val="2"/>
            <w:tcBorders>
              <w:top w:val="single" w:color="auto" w:sz="4" w:space="0"/>
              <w:left w:val="single" w:color="auto" w:sz="4" w:space="0"/>
              <w:bottom w:val="single" w:color="auto" w:sz="4" w:space="0"/>
              <w:right w:val="single" w:color="auto" w:sz="4" w:space="0"/>
            </w:tcBorders>
            <w:noWrap w:val="0"/>
            <w:vAlign w:val="center"/>
          </w:tcPr>
          <w:p w14:paraId="167163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控制室</w:t>
            </w:r>
          </w:p>
        </w:tc>
        <w:tc>
          <w:tcPr>
            <w:tcW w:w="1080" w:type="dxa"/>
            <w:gridSpan w:val="2"/>
            <w:tcBorders>
              <w:top w:val="single" w:color="auto" w:sz="4" w:space="0"/>
              <w:left w:val="single" w:color="auto" w:sz="4" w:space="0"/>
              <w:right w:val="single" w:color="auto" w:sz="4" w:space="0"/>
            </w:tcBorders>
            <w:noWrap w:val="0"/>
            <w:vAlign w:val="center"/>
          </w:tcPr>
          <w:p w14:paraId="46E8E44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马忠庆</w:t>
            </w:r>
          </w:p>
        </w:tc>
        <w:tc>
          <w:tcPr>
            <w:tcW w:w="1843" w:type="dxa"/>
            <w:gridSpan w:val="3"/>
            <w:tcBorders>
              <w:top w:val="single" w:color="auto" w:sz="4" w:space="0"/>
              <w:left w:val="single" w:color="auto" w:sz="4" w:space="0"/>
              <w:right w:val="single" w:color="auto" w:sz="4" w:space="0"/>
            </w:tcBorders>
            <w:noWrap w:val="0"/>
            <w:vAlign w:val="center"/>
          </w:tcPr>
          <w:p w14:paraId="62760FC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18615123190</w:t>
            </w:r>
          </w:p>
        </w:tc>
      </w:tr>
      <w:tr w14:paraId="0D937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342" w:type="dxa"/>
            <w:tcBorders>
              <w:top w:val="single" w:color="auto" w:sz="4" w:space="0"/>
              <w:left w:val="single" w:color="auto" w:sz="4" w:space="0"/>
              <w:bottom w:val="single" w:color="auto" w:sz="4" w:space="0"/>
              <w:right w:val="single" w:color="auto" w:sz="4" w:space="0"/>
            </w:tcBorders>
            <w:noWrap w:val="0"/>
            <w:vAlign w:val="center"/>
          </w:tcPr>
          <w:p w14:paraId="5E7400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简易防化服</w:t>
            </w:r>
          </w:p>
        </w:tc>
        <w:tc>
          <w:tcPr>
            <w:tcW w:w="1454" w:type="dxa"/>
            <w:gridSpan w:val="2"/>
            <w:tcBorders>
              <w:top w:val="single" w:color="auto" w:sz="4" w:space="0"/>
              <w:left w:val="single" w:color="auto" w:sz="4" w:space="0"/>
              <w:bottom w:val="single" w:color="auto" w:sz="4" w:space="0"/>
              <w:right w:val="single" w:color="auto" w:sz="4" w:space="0"/>
            </w:tcBorders>
            <w:noWrap w:val="0"/>
            <w:vAlign w:val="center"/>
          </w:tcPr>
          <w:p w14:paraId="64B7DB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RHF-1</w:t>
            </w:r>
          </w:p>
        </w:tc>
        <w:tc>
          <w:tcPr>
            <w:tcW w:w="1620" w:type="dxa"/>
            <w:gridSpan w:val="2"/>
            <w:tcBorders>
              <w:top w:val="single" w:color="auto" w:sz="4" w:space="0"/>
              <w:left w:val="single" w:color="auto" w:sz="4" w:space="0"/>
              <w:bottom w:val="single" w:color="auto" w:sz="4" w:space="0"/>
              <w:right w:val="single" w:color="auto" w:sz="4" w:space="0"/>
            </w:tcBorders>
            <w:noWrap w:val="0"/>
            <w:vAlign w:val="center"/>
          </w:tcPr>
          <w:p w14:paraId="58236BC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应急、救护</w:t>
            </w:r>
          </w:p>
        </w:tc>
        <w:tc>
          <w:tcPr>
            <w:tcW w:w="720" w:type="dxa"/>
            <w:gridSpan w:val="2"/>
            <w:tcBorders>
              <w:top w:val="single" w:color="auto" w:sz="4" w:space="0"/>
              <w:left w:val="single" w:color="auto" w:sz="4" w:space="0"/>
              <w:bottom w:val="single" w:color="auto" w:sz="4" w:space="0"/>
              <w:right w:val="single" w:color="auto" w:sz="4" w:space="0"/>
            </w:tcBorders>
            <w:noWrap w:val="0"/>
            <w:vAlign w:val="center"/>
          </w:tcPr>
          <w:p w14:paraId="062DC3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w:t>
            </w:r>
          </w:p>
        </w:tc>
        <w:tc>
          <w:tcPr>
            <w:tcW w:w="1677" w:type="dxa"/>
            <w:gridSpan w:val="2"/>
            <w:tcBorders>
              <w:top w:val="single" w:color="auto" w:sz="4" w:space="0"/>
              <w:left w:val="single" w:color="auto" w:sz="4" w:space="0"/>
              <w:bottom w:val="single" w:color="auto" w:sz="4" w:space="0"/>
              <w:right w:val="single" w:color="auto" w:sz="4" w:space="0"/>
            </w:tcBorders>
            <w:noWrap w:val="0"/>
            <w:vAlign w:val="center"/>
          </w:tcPr>
          <w:p w14:paraId="4CD85A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控制室</w:t>
            </w:r>
          </w:p>
        </w:tc>
        <w:tc>
          <w:tcPr>
            <w:tcW w:w="1080" w:type="dxa"/>
            <w:gridSpan w:val="2"/>
            <w:tcBorders>
              <w:left w:val="single" w:color="auto" w:sz="4" w:space="0"/>
              <w:right w:val="single" w:color="auto" w:sz="4" w:space="0"/>
            </w:tcBorders>
            <w:noWrap w:val="0"/>
            <w:vAlign w:val="center"/>
          </w:tcPr>
          <w:p w14:paraId="595E4DC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马忠庆</w:t>
            </w:r>
          </w:p>
        </w:tc>
        <w:tc>
          <w:tcPr>
            <w:tcW w:w="1843" w:type="dxa"/>
            <w:gridSpan w:val="3"/>
            <w:tcBorders>
              <w:left w:val="single" w:color="auto" w:sz="4" w:space="0"/>
              <w:right w:val="single" w:color="auto" w:sz="4" w:space="0"/>
            </w:tcBorders>
            <w:noWrap w:val="0"/>
            <w:vAlign w:val="center"/>
          </w:tcPr>
          <w:p w14:paraId="7BC8D3B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18615123190</w:t>
            </w:r>
          </w:p>
        </w:tc>
      </w:tr>
      <w:tr w14:paraId="4885B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342" w:type="dxa"/>
            <w:tcBorders>
              <w:top w:val="single" w:color="auto" w:sz="4" w:space="0"/>
              <w:left w:val="single" w:color="auto" w:sz="4" w:space="0"/>
              <w:bottom w:val="single" w:color="auto" w:sz="4" w:space="0"/>
              <w:right w:val="single" w:color="auto" w:sz="4" w:space="0"/>
            </w:tcBorders>
            <w:noWrap w:val="0"/>
            <w:vAlign w:val="center"/>
          </w:tcPr>
          <w:p w14:paraId="4058E6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防毒面具</w:t>
            </w:r>
          </w:p>
        </w:tc>
        <w:tc>
          <w:tcPr>
            <w:tcW w:w="1454" w:type="dxa"/>
            <w:gridSpan w:val="2"/>
            <w:tcBorders>
              <w:top w:val="single" w:color="auto" w:sz="4" w:space="0"/>
              <w:left w:val="single" w:color="auto" w:sz="4" w:space="0"/>
              <w:bottom w:val="single" w:color="auto" w:sz="4" w:space="0"/>
              <w:right w:val="single" w:color="auto" w:sz="4" w:space="0"/>
            </w:tcBorders>
            <w:noWrap w:val="0"/>
            <w:vAlign w:val="center"/>
          </w:tcPr>
          <w:p w14:paraId="70B6D7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长管</w:t>
            </w:r>
          </w:p>
        </w:tc>
        <w:tc>
          <w:tcPr>
            <w:tcW w:w="1620" w:type="dxa"/>
            <w:gridSpan w:val="2"/>
            <w:tcBorders>
              <w:top w:val="single" w:color="auto" w:sz="4" w:space="0"/>
              <w:left w:val="single" w:color="auto" w:sz="4" w:space="0"/>
              <w:bottom w:val="single" w:color="auto" w:sz="4" w:space="0"/>
              <w:right w:val="single" w:color="auto" w:sz="4" w:space="0"/>
            </w:tcBorders>
            <w:noWrap w:val="0"/>
            <w:vAlign w:val="center"/>
          </w:tcPr>
          <w:p w14:paraId="32903F5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应急、救护</w:t>
            </w:r>
          </w:p>
        </w:tc>
        <w:tc>
          <w:tcPr>
            <w:tcW w:w="720" w:type="dxa"/>
            <w:gridSpan w:val="2"/>
            <w:tcBorders>
              <w:top w:val="single" w:color="auto" w:sz="4" w:space="0"/>
              <w:left w:val="single" w:color="auto" w:sz="4" w:space="0"/>
              <w:bottom w:val="single" w:color="auto" w:sz="4" w:space="0"/>
              <w:right w:val="single" w:color="auto" w:sz="4" w:space="0"/>
            </w:tcBorders>
            <w:noWrap w:val="0"/>
            <w:vAlign w:val="center"/>
          </w:tcPr>
          <w:p w14:paraId="0B8C76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w:t>
            </w:r>
          </w:p>
        </w:tc>
        <w:tc>
          <w:tcPr>
            <w:tcW w:w="1677" w:type="dxa"/>
            <w:gridSpan w:val="2"/>
            <w:tcBorders>
              <w:top w:val="single" w:color="auto" w:sz="4" w:space="0"/>
              <w:left w:val="single" w:color="auto" w:sz="4" w:space="0"/>
              <w:bottom w:val="single" w:color="auto" w:sz="4" w:space="0"/>
              <w:right w:val="single" w:color="auto" w:sz="4" w:space="0"/>
            </w:tcBorders>
            <w:noWrap w:val="0"/>
            <w:vAlign w:val="center"/>
          </w:tcPr>
          <w:p w14:paraId="686BD9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控制室</w:t>
            </w:r>
          </w:p>
        </w:tc>
        <w:tc>
          <w:tcPr>
            <w:tcW w:w="1080" w:type="dxa"/>
            <w:gridSpan w:val="2"/>
            <w:tcBorders>
              <w:left w:val="single" w:color="auto" w:sz="4" w:space="0"/>
              <w:right w:val="single" w:color="auto" w:sz="4" w:space="0"/>
            </w:tcBorders>
            <w:noWrap w:val="0"/>
            <w:vAlign w:val="center"/>
          </w:tcPr>
          <w:p w14:paraId="5CB95C7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马忠庆</w:t>
            </w:r>
          </w:p>
        </w:tc>
        <w:tc>
          <w:tcPr>
            <w:tcW w:w="1843" w:type="dxa"/>
            <w:gridSpan w:val="3"/>
            <w:tcBorders>
              <w:left w:val="single" w:color="auto" w:sz="4" w:space="0"/>
              <w:right w:val="single" w:color="auto" w:sz="4" w:space="0"/>
            </w:tcBorders>
            <w:noWrap w:val="0"/>
            <w:vAlign w:val="center"/>
          </w:tcPr>
          <w:p w14:paraId="56C8F7E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18615123190</w:t>
            </w:r>
          </w:p>
        </w:tc>
      </w:tr>
      <w:tr w14:paraId="022A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342" w:type="dxa"/>
            <w:tcBorders>
              <w:top w:val="single" w:color="auto" w:sz="4" w:space="0"/>
              <w:left w:val="single" w:color="auto" w:sz="4" w:space="0"/>
              <w:bottom w:val="single" w:color="auto" w:sz="4" w:space="0"/>
              <w:right w:val="single" w:color="auto" w:sz="4" w:space="0"/>
            </w:tcBorders>
            <w:noWrap w:val="0"/>
            <w:vAlign w:val="center"/>
          </w:tcPr>
          <w:p w14:paraId="003779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防毒口罩</w:t>
            </w:r>
          </w:p>
        </w:tc>
        <w:tc>
          <w:tcPr>
            <w:tcW w:w="1454" w:type="dxa"/>
            <w:gridSpan w:val="2"/>
            <w:tcBorders>
              <w:top w:val="single" w:color="auto" w:sz="4" w:space="0"/>
              <w:left w:val="single" w:color="auto" w:sz="4" w:space="0"/>
              <w:bottom w:val="single" w:color="auto" w:sz="4" w:space="0"/>
              <w:right w:val="single" w:color="auto" w:sz="4" w:space="0"/>
            </w:tcBorders>
            <w:noWrap w:val="0"/>
            <w:vAlign w:val="center"/>
          </w:tcPr>
          <w:p w14:paraId="12D20B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半面罩</w:t>
            </w:r>
          </w:p>
        </w:tc>
        <w:tc>
          <w:tcPr>
            <w:tcW w:w="1620" w:type="dxa"/>
            <w:gridSpan w:val="2"/>
            <w:tcBorders>
              <w:top w:val="single" w:color="auto" w:sz="4" w:space="0"/>
              <w:left w:val="single" w:color="auto" w:sz="4" w:space="0"/>
              <w:bottom w:val="single" w:color="auto" w:sz="4" w:space="0"/>
              <w:right w:val="single" w:color="auto" w:sz="4" w:space="0"/>
            </w:tcBorders>
            <w:noWrap w:val="0"/>
            <w:vAlign w:val="center"/>
          </w:tcPr>
          <w:p w14:paraId="003794C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应急、救护</w:t>
            </w:r>
          </w:p>
        </w:tc>
        <w:tc>
          <w:tcPr>
            <w:tcW w:w="720" w:type="dxa"/>
            <w:gridSpan w:val="2"/>
            <w:tcBorders>
              <w:top w:val="single" w:color="auto" w:sz="4" w:space="0"/>
              <w:left w:val="single" w:color="auto" w:sz="4" w:space="0"/>
              <w:bottom w:val="single" w:color="auto" w:sz="4" w:space="0"/>
              <w:right w:val="single" w:color="auto" w:sz="4" w:space="0"/>
            </w:tcBorders>
            <w:noWrap w:val="0"/>
            <w:vAlign w:val="center"/>
          </w:tcPr>
          <w:p w14:paraId="75CFC0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w:t>
            </w:r>
          </w:p>
        </w:tc>
        <w:tc>
          <w:tcPr>
            <w:tcW w:w="1677" w:type="dxa"/>
            <w:gridSpan w:val="2"/>
            <w:tcBorders>
              <w:top w:val="single" w:color="auto" w:sz="4" w:space="0"/>
              <w:left w:val="single" w:color="auto" w:sz="4" w:space="0"/>
              <w:bottom w:val="single" w:color="auto" w:sz="4" w:space="0"/>
              <w:right w:val="single" w:color="auto" w:sz="4" w:space="0"/>
            </w:tcBorders>
            <w:noWrap w:val="0"/>
            <w:vAlign w:val="center"/>
          </w:tcPr>
          <w:p w14:paraId="334A15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控制室</w:t>
            </w:r>
          </w:p>
        </w:tc>
        <w:tc>
          <w:tcPr>
            <w:tcW w:w="1080" w:type="dxa"/>
            <w:gridSpan w:val="2"/>
            <w:tcBorders>
              <w:left w:val="single" w:color="auto" w:sz="4" w:space="0"/>
              <w:right w:val="single" w:color="auto" w:sz="4" w:space="0"/>
            </w:tcBorders>
            <w:noWrap w:val="0"/>
            <w:vAlign w:val="center"/>
          </w:tcPr>
          <w:p w14:paraId="5CE492B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马忠庆</w:t>
            </w:r>
          </w:p>
        </w:tc>
        <w:tc>
          <w:tcPr>
            <w:tcW w:w="1843" w:type="dxa"/>
            <w:gridSpan w:val="3"/>
            <w:tcBorders>
              <w:left w:val="single" w:color="auto" w:sz="4" w:space="0"/>
              <w:right w:val="single" w:color="auto" w:sz="4" w:space="0"/>
            </w:tcBorders>
            <w:noWrap w:val="0"/>
            <w:vAlign w:val="center"/>
          </w:tcPr>
          <w:p w14:paraId="723DA8C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18615123190</w:t>
            </w:r>
          </w:p>
        </w:tc>
      </w:tr>
      <w:tr w14:paraId="6A6B1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342" w:type="dxa"/>
            <w:tcBorders>
              <w:top w:val="single" w:color="auto" w:sz="4" w:space="0"/>
              <w:left w:val="single" w:color="auto" w:sz="4" w:space="0"/>
              <w:bottom w:val="single" w:color="auto" w:sz="4" w:space="0"/>
              <w:right w:val="single" w:color="auto" w:sz="4" w:space="0"/>
            </w:tcBorders>
            <w:noWrap w:val="0"/>
            <w:vAlign w:val="center"/>
          </w:tcPr>
          <w:p w14:paraId="244865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消防栓</w:t>
            </w:r>
          </w:p>
        </w:tc>
        <w:tc>
          <w:tcPr>
            <w:tcW w:w="1454" w:type="dxa"/>
            <w:gridSpan w:val="2"/>
            <w:tcBorders>
              <w:top w:val="single" w:color="auto" w:sz="4" w:space="0"/>
              <w:left w:val="single" w:color="auto" w:sz="4" w:space="0"/>
              <w:bottom w:val="single" w:color="auto" w:sz="4" w:space="0"/>
              <w:right w:val="single" w:color="auto" w:sz="4" w:space="0"/>
            </w:tcBorders>
            <w:noWrap w:val="0"/>
            <w:vAlign w:val="center"/>
          </w:tcPr>
          <w:p w14:paraId="0BFB9C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SS100-65-1.6</w:t>
            </w:r>
          </w:p>
        </w:tc>
        <w:tc>
          <w:tcPr>
            <w:tcW w:w="1620" w:type="dxa"/>
            <w:gridSpan w:val="2"/>
            <w:tcBorders>
              <w:top w:val="single" w:color="auto" w:sz="4" w:space="0"/>
              <w:left w:val="single" w:color="auto" w:sz="4" w:space="0"/>
              <w:bottom w:val="single" w:color="auto" w:sz="4" w:space="0"/>
              <w:right w:val="single" w:color="auto" w:sz="4" w:space="0"/>
            </w:tcBorders>
            <w:noWrap w:val="0"/>
            <w:vAlign w:val="center"/>
          </w:tcPr>
          <w:p w14:paraId="08ACA3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消防灭火</w:t>
            </w:r>
          </w:p>
        </w:tc>
        <w:tc>
          <w:tcPr>
            <w:tcW w:w="720" w:type="dxa"/>
            <w:gridSpan w:val="2"/>
            <w:tcBorders>
              <w:top w:val="single" w:color="auto" w:sz="4" w:space="0"/>
              <w:left w:val="single" w:color="auto" w:sz="4" w:space="0"/>
              <w:bottom w:val="single" w:color="auto" w:sz="4" w:space="0"/>
              <w:right w:val="single" w:color="auto" w:sz="4" w:space="0"/>
            </w:tcBorders>
            <w:noWrap w:val="0"/>
            <w:vAlign w:val="center"/>
          </w:tcPr>
          <w:p w14:paraId="110D50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w:t>
            </w:r>
          </w:p>
        </w:tc>
        <w:tc>
          <w:tcPr>
            <w:tcW w:w="1677" w:type="dxa"/>
            <w:gridSpan w:val="2"/>
            <w:tcBorders>
              <w:top w:val="single" w:color="auto" w:sz="4" w:space="0"/>
              <w:left w:val="single" w:color="auto" w:sz="4" w:space="0"/>
              <w:bottom w:val="single" w:color="auto" w:sz="4" w:space="0"/>
              <w:right w:val="single" w:color="auto" w:sz="4" w:space="0"/>
            </w:tcBorders>
            <w:noWrap w:val="0"/>
            <w:vAlign w:val="center"/>
          </w:tcPr>
          <w:p w14:paraId="5F977A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现场</w:t>
            </w:r>
          </w:p>
        </w:tc>
        <w:tc>
          <w:tcPr>
            <w:tcW w:w="1080" w:type="dxa"/>
            <w:gridSpan w:val="2"/>
            <w:tcBorders>
              <w:left w:val="single" w:color="auto" w:sz="4" w:space="0"/>
              <w:right w:val="single" w:color="auto" w:sz="4" w:space="0"/>
            </w:tcBorders>
            <w:noWrap w:val="0"/>
            <w:vAlign w:val="center"/>
          </w:tcPr>
          <w:p w14:paraId="5675A21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马忠庆</w:t>
            </w:r>
          </w:p>
        </w:tc>
        <w:tc>
          <w:tcPr>
            <w:tcW w:w="1843" w:type="dxa"/>
            <w:gridSpan w:val="3"/>
            <w:tcBorders>
              <w:left w:val="single" w:color="auto" w:sz="4" w:space="0"/>
              <w:right w:val="single" w:color="auto" w:sz="4" w:space="0"/>
            </w:tcBorders>
            <w:noWrap w:val="0"/>
            <w:vAlign w:val="center"/>
          </w:tcPr>
          <w:p w14:paraId="6DE9BDE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18615123190</w:t>
            </w:r>
          </w:p>
        </w:tc>
      </w:tr>
      <w:tr w14:paraId="25D47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342" w:type="dxa"/>
            <w:tcBorders>
              <w:top w:val="single" w:color="auto" w:sz="4" w:space="0"/>
              <w:left w:val="single" w:color="auto" w:sz="4" w:space="0"/>
              <w:bottom w:val="single" w:color="auto" w:sz="4" w:space="0"/>
              <w:right w:val="single" w:color="auto" w:sz="4" w:space="0"/>
            </w:tcBorders>
            <w:noWrap w:val="0"/>
            <w:vAlign w:val="center"/>
          </w:tcPr>
          <w:p w14:paraId="567FDB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消防泵</w:t>
            </w:r>
          </w:p>
        </w:tc>
        <w:tc>
          <w:tcPr>
            <w:tcW w:w="1454" w:type="dxa"/>
            <w:gridSpan w:val="2"/>
            <w:tcBorders>
              <w:top w:val="single" w:color="auto" w:sz="4" w:space="0"/>
              <w:left w:val="single" w:color="auto" w:sz="4" w:space="0"/>
              <w:bottom w:val="single" w:color="auto" w:sz="4" w:space="0"/>
              <w:right w:val="single" w:color="auto" w:sz="4" w:space="0"/>
            </w:tcBorders>
            <w:noWrap w:val="0"/>
            <w:vAlign w:val="center"/>
          </w:tcPr>
          <w:p w14:paraId="7EC0BE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XBD5/30-100</w:t>
            </w:r>
          </w:p>
        </w:tc>
        <w:tc>
          <w:tcPr>
            <w:tcW w:w="1620" w:type="dxa"/>
            <w:gridSpan w:val="2"/>
            <w:tcBorders>
              <w:top w:val="single" w:color="auto" w:sz="4" w:space="0"/>
              <w:left w:val="single" w:color="auto" w:sz="4" w:space="0"/>
              <w:bottom w:val="single" w:color="auto" w:sz="4" w:space="0"/>
              <w:right w:val="single" w:color="auto" w:sz="4" w:space="0"/>
            </w:tcBorders>
            <w:noWrap w:val="0"/>
            <w:vAlign w:val="center"/>
          </w:tcPr>
          <w:p w14:paraId="08AAEA5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消防灭火</w:t>
            </w:r>
          </w:p>
        </w:tc>
        <w:tc>
          <w:tcPr>
            <w:tcW w:w="720" w:type="dxa"/>
            <w:gridSpan w:val="2"/>
            <w:tcBorders>
              <w:top w:val="single" w:color="auto" w:sz="4" w:space="0"/>
              <w:left w:val="single" w:color="auto" w:sz="4" w:space="0"/>
              <w:bottom w:val="single" w:color="auto" w:sz="4" w:space="0"/>
              <w:right w:val="single" w:color="auto" w:sz="4" w:space="0"/>
            </w:tcBorders>
            <w:noWrap w:val="0"/>
            <w:vAlign w:val="center"/>
          </w:tcPr>
          <w:p w14:paraId="69853D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w:t>
            </w:r>
          </w:p>
        </w:tc>
        <w:tc>
          <w:tcPr>
            <w:tcW w:w="1677" w:type="dxa"/>
            <w:gridSpan w:val="2"/>
            <w:tcBorders>
              <w:top w:val="single" w:color="auto" w:sz="4" w:space="0"/>
              <w:left w:val="single" w:color="auto" w:sz="4" w:space="0"/>
              <w:bottom w:val="single" w:color="auto" w:sz="4" w:space="0"/>
              <w:right w:val="single" w:color="auto" w:sz="4" w:space="0"/>
            </w:tcBorders>
            <w:noWrap w:val="0"/>
            <w:vAlign w:val="center"/>
          </w:tcPr>
          <w:p w14:paraId="711910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循环水池</w:t>
            </w:r>
          </w:p>
        </w:tc>
        <w:tc>
          <w:tcPr>
            <w:tcW w:w="1080" w:type="dxa"/>
            <w:gridSpan w:val="2"/>
            <w:tcBorders>
              <w:left w:val="single" w:color="auto" w:sz="4" w:space="0"/>
              <w:right w:val="single" w:color="auto" w:sz="4" w:space="0"/>
            </w:tcBorders>
            <w:noWrap w:val="0"/>
            <w:vAlign w:val="center"/>
          </w:tcPr>
          <w:p w14:paraId="631DB77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马忠庆</w:t>
            </w:r>
          </w:p>
        </w:tc>
        <w:tc>
          <w:tcPr>
            <w:tcW w:w="1843" w:type="dxa"/>
            <w:gridSpan w:val="3"/>
            <w:tcBorders>
              <w:left w:val="single" w:color="auto" w:sz="4" w:space="0"/>
              <w:right w:val="single" w:color="auto" w:sz="4" w:space="0"/>
            </w:tcBorders>
            <w:noWrap w:val="0"/>
            <w:vAlign w:val="center"/>
          </w:tcPr>
          <w:p w14:paraId="286F736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18615123190</w:t>
            </w:r>
          </w:p>
        </w:tc>
      </w:tr>
      <w:tr w14:paraId="1E933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342" w:type="dxa"/>
            <w:tcBorders>
              <w:top w:val="single" w:color="auto" w:sz="4" w:space="0"/>
              <w:left w:val="single" w:color="auto" w:sz="4" w:space="0"/>
              <w:bottom w:val="single" w:color="auto" w:sz="4" w:space="0"/>
              <w:right w:val="single" w:color="auto" w:sz="4" w:space="0"/>
            </w:tcBorders>
            <w:noWrap w:val="0"/>
            <w:vAlign w:val="center"/>
          </w:tcPr>
          <w:p w14:paraId="6731AB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干粉灭火器</w:t>
            </w:r>
          </w:p>
        </w:tc>
        <w:tc>
          <w:tcPr>
            <w:tcW w:w="1454" w:type="dxa"/>
            <w:gridSpan w:val="2"/>
            <w:tcBorders>
              <w:top w:val="single" w:color="auto" w:sz="4" w:space="0"/>
              <w:left w:val="single" w:color="auto" w:sz="4" w:space="0"/>
              <w:bottom w:val="single" w:color="auto" w:sz="4" w:space="0"/>
              <w:right w:val="single" w:color="auto" w:sz="4" w:space="0"/>
            </w:tcBorders>
            <w:noWrap w:val="0"/>
            <w:vAlign w:val="center"/>
          </w:tcPr>
          <w:p w14:paraId="0B8A49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MFZ∕ABC8</w:t>
            </w:r>
          </w:p>
        </w:tc>
        <w:tc>
          <w:tcPr>
            <w:tcW w:w="1620" w:type="dxa"/>
            <w:gridSpan w:val="2"/>
            <w:tcBorders>
              <w:top w:val="single" w:color="auto" w:sz="4" w:space="0"/>
              <w:left w:val="single" w:color="auto" w:sz="4" w:space="0"/>
              <w:bottom w:val="single" w:color="auto" w:sz="4" w:space="0"/>
              <w:right w:val="single" w:color="auto" w:sz="4" w:space="0"/>
            </w:tcBorders>
            <w:noWrap w:val="0"/>
            <w:vAlign w:val="center"/>
          </w:tcPr>
          <w:p w14:paraId="1903CED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消防灭火，检测在有效期内</w:t>
            </w:r>
          </w:p>
        </w:tc>
        <w:tc>
          <w:tcPr>
            <w:tcW w:w="720" w:type="dxa"/>
            <w:gridSpan w:val="2"/>
            <w:tcBorders>
              <w:top w:val="single" w:color="auto" w:sz="4" w:space="0"/>
              <w:left w:val="single" w:color="auto" w:sz="4" w:space="0"/>
              <w:bottom w:val="single" w:color="auto" w:sz="4" w:space="0"/>
              <w:right w:val="single" w:color="auto" w:sz="4" w:space="0"/>
            </w:tcBorders>
            <w:noWrap w:val="0"/>
            <w:vAlign w:val="center"/>
          </w:tcPr>
          <w:p w14:paraId="7C8D59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w:t>
            </w:r>
          </w:p>
        </w:tc>
        <w:tc>
          <w:tcPr>
            <w:tcW w:w="1677" w:type="dxa"/>
            <w:gridSpan w:val="2"/>
            <w:tcBorders>
              <w:top w:val="single" w:color="auto" w:sz="4" w:space="0"/>
              <w:left w:val="single" w:color="auto" w:sz="4" w:space="0"/>
              <w:bottom w:val="single" w:color="auto" w:sz="4" w:space="0"/>
              <w:right w:val="single" w:color="auto" w:sz="4" w:space="0"/>
            </w:tcBorders>
            <w:noWrap w:val="0"/>
            <w:vAlign w:val="center"/>
          </w:tcPr>
          <w:p w14:paraId="5B9D17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装置区</w:t>
            </w:r>
          </w:p>
        </w:tc>
        <w:tc>
          <w:tcPr>
            <w:tcW w:w="1080" w:type="dxa"/>
            <w:gridSpan w:val="2"/>
            <w:tcBorders>
              <w:left w:val="single" w:color="auto" w:sz="4" w:space="0"/>
              <w:right w:val="single" w:color="auto" w:sz="4" w:space="0"/>
            </w:tcBorders>
            <w:noWrap w:val="0"/>
            <w:vAlign w:val="center"/>
          </w:tcPr>
          <w:p w14:paraId="2281AE5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马忠庆</w:t>
            </w:r>
          </w:p>
        </w:tc>
        <w:tc>
          <w:tcPr>
            <w:tcW w:w="1843" w:type="dxa"/>
            <w:gridSpan w:val="3"/>
            <w:tcBorders>
              <w:left w:val="single" w:color="auto" w:sz="4" w:space="0"/>
              <w:right w:val="single" w:color="auto" w:sz="4" w:space="0"/>
            </w:tcBorders>
            <w:noWrap w:val="0"/>
            <w:vAlign w:val="center"/>
          </w:tcPr>
          <w:p w14:paraId="16859C6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18615123190</w:t>
            </w:r>
          </w:p>
        </w:tc>
      </w:tr>
      <w:tr w14:paraId="12339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342" w:type="dxa"/>
            <w:tcBorders>
              <w:top w:val="single" w:color="auto" w:sz="4" w:space="0"/>
              <w:left w:val="single" w:color="auto" w:sz="4" w:space="0"/>
              <w:bottom w:val="single" w:color="auto" w:sz="4" w:space="0"/>
              <w:right w:val="single" w:color="auto" w:sz="4" w:space="0"/>
            </w:tcBorders>
            <w:noWrap w:val="0"/>
            <w:vAlign w:val="center"/>
          </w:tcPr>
          <w:p w14:paraId="17F036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推车式干粉灭火器</w:t>
            </w:r>
          </w:p>
        </w:tc>
        <w:tc>
          <w:tcPr>
            <w:tcW w:w="1454" w:type="dxa"/>
            <w:gridSpan w:val="2"/>
            <w:tcBorders>
              <w:top w:val="single" w:color="auto" w:sz="4" w:space="0"/>
              <w:left w:val="single" w:color="auto" w:sz="4" w:space="0"/>
              <w:bottom w:val="single" w:color="auto" w:sz="4" w:space="0"/>
              <w:right w:val="single" w:color="auto" w:sz="4" w:space="0"/>
            </w:tcBorders>
            <w:noWrap w:val="0"/>
            <w:vAlign w:val="center"/>
          </w:tcPr>
          <w:p w14:paraId="7B639B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MFTZ/ABC35</w:t>
            </w:r>
          </w:p>
        </w:tc>
        <w:tc>
          <w:tcPr>
            <w:tcW w:w="1620" w:type="dxa"/>
            <w:gridSpan w:val="2"/>
            <w:tcBorders>
              <w:top w:val="single" w:color="auto" w:sz="4" w:space="0"/>
              <w:left w:val="single" w:color="auto" w:sz="4" w:space="0"/>
              <w:bottom w:val="single" w:color="auto" w:sz="4" w:space="0"/>
              <w:right w:val="single" w:color="auto" w:sz="4" w:space="0"/>
            </w:tcBorders>
            <w:noWrap w:val="0"/>
            <w:vAlign w:val="center"/>
          </w:tcPr>
          <w:p w14:paraId="413CF40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消防灭火，检测在有效期内</w:t>
            </w:r>
          </w:p>
        </w:tc>
        <w:tc>
          <w:tcPr>
            <w:tcW w:w="720" w:type="dxa"/>
            <w:gridSpan w:val="2"/>
            <w:tcBorders>
              <w:top w:val="single" w:color="auto" w:sz="4" w:space="0"/>
              <w:left w:val="single" w:color="auto" w:sz="4" w:space="0"/>
              <w:bottom w:val="single" w:color="auto" w:sz="4" w:space="0"/>
              <w:right w:val="single" w:color="auto" w:sz="4" w:space="0"/>
            </w:tcBorders>
            <w:noWrap w:val="0"/>
            <w:vAlign w:val="center"/>
          </w:tcPr>
          <w:p w14:paraId="333DBA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w:t>
            </w:r>
          </w:p>
        </w:tc>
        <w:tc>
          <w:tcPr>
            <w:tcW w:w="1677" w:type="dxa"/>
            <w:gridSpan w:val="2"/>
            <w:tcBorders>
              <w:top w:val="single" w:color="auto" w:sz="4" w:space="0"/>
              <w:left w:val="single" w:color="auto" w:sz="4" w:space="0"/>
              <w:bottom w:val="single" w:color="auto" w:sz="4" w:space="0"/>
              <w:right w:val="single" w:color="auto" w:sz="4" w:space="0"/>
            </w:tcBorders>
            <w:noWrap w:val="0"/>
            <w:vAlign w:val="center"/>
          </w:tcPr>
          <w:p w14:paraId="572A1A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装置区、罐区</w:t>
            </w:r>
          </w:p>
        </w:tc>
        <w:tc>
          <w:tcPr>
            <w:tcW w:w="1080" w:type="dxa"/>
            <w:gridSpan w:val="2"/>
            <w:tcBorders>
              <w:left w:val="single" w:color="auto" w:sz="4" w:space="0"/>
              <w:right w:val="single" w:color="auto" w:sz="4" w:space="0"/>
            </w:tcBorders>
            <w:noWrap w:val="0"/>
            <w:vAlign w:val="center"/>
          </w:tcPr>
          <w:p w14:paraId="591AA86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马忠庆</w:t>
            </w:r>
          </w:p>
        </w:tc>
        <w:tc>
          <w:tcPr>
            <w:tcW w:w="1843" w:type="dxa"/>
            <w:gridSpan w:val="3"/>
            <w:tcBorders>
              <w:left w:val="single" w:color="auto" w:sz="4" w:space="0"/>
              <w:right w:val="single" w:color="auto" w:sz="4" w:space="0"/>
            </w:tcBorders>
            <w:noWrap w:val="0"/>
            <w:vAlign w:val="center"/>
          </w:tcPr>
          <w:p w14:paraId="68480DC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18615123190</w:t>
            </w:r>
          </w:p>
        </w:tc>
      </w:tr>
      <w:tr w14:paraId="11502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342" w:type="dxa"/>
            <w:tcBorders>
              <w:top w:val="single" w:color="auto" w:sz="4" w:space="0"/>
              <w:left w:val="single" w:color="auto" w:sz="4" w:space="0"/>
              <w:bottom w:val="single" w:color="auto" w:sz="4" w:space="0"/>
              <w:right w:val="single" w:color="auto" w:sz="4" w:space="0"/>
            </w:tcBorders>
            <w:noWrap w:val="0"/>
            <w:vAlign w:val="center"/>
          </w:tcPr>
          <w:p w14:paraId="7AB710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二氧化碳灭火器</w:t>
            </w:r>
          </w:p>
        </w:tc>
        <w:tc>
          <w:tcPr>
            <w:tcW w:w="1454" w:type="dxa"/>
            <w:gridSpan w:val="2"/>
            <w:tcBorders>
              <w:top w:val="single" w:color="auto" w:sz="4" w:space="0"/>
              <w:left w:val="single" w:color="auto" w:sz="4" w:space="0"/>
              <w:bottom w:val="single" w:color="auto" w:sz="4" w:space="0"/>
              <w:right w:val="single" w:color="auto" w:sz="4" w:space="0"/>
            </w:tcBorders>
            <w:noWrap w:val="0"/>
            <w:vAlign w:val="center"/>
          </w:tcPr>
          <w:p w14:paraId="691AFE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shd w:val="clear" w:color="auto" w:fill="FFFFFF"/>
              </w:rPr>
              <w:t>MT/2</w:t>
            </w:r>
          </w:p>
        </w:tc>
        <w:tc>
          <w:tcPr>
            <w:tcW w:w="1620" w:type="dxa"/>
            <w:gridSpan w:val="2"/>
            <w:tcBorders>
              <w:top w:val="single" w:color="auto" w:sz="4" w:space="0"/>
              <w:left w:val="single" w:color="auto" w:sz="4" w:space="0"/>
              <w:bottom w:val="single" w:color="auto" w:sz="4" w:space="0"/>
              <w:right w:val="single" w:color="auto" w:sz="4" w:space="0"/>
            </w:tcBorders>
            <w:noWrap w:val="0"/>
            <w:vAlign w:val="center"/>
          </w:tcPr>
          <w:p w14:paraId="05B78DB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消防灭火，检测在有效期内</w:t>
            </w:r>
          </w:p>
        </w:tc>
        <w:tc>
          <w:tcPr>
            <w:tcW w:w="720" w:type="dxa"/>
            <w:gridSpan w:val="2"/>
            <w:tcBorders>
              <w:top w:val="single" w:color="auto" w:sz="4" w:space="0"/>
              <w:left w:val="single" w:color="auto" w:sz="4" w:space="0"/>
              <w:bottom w:val="single" w:color="auto" w:sz="4" w:space="0"/>
              <w:right w:val="single" w:color="auto" w:sz="4" w:space="0"/>
            </w:tcBorders>
            <w:noWrap w:val="0"/>
            <w:vAlign w:val="center"/>
          </w:tcPr>
          <w:p w14:paraId="56A8DF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w:t>
            </w:r>
          </w:p>
        </w:tc>
        <w:tc>
          <w:tcPr>
            <w:tcW w:w="1677" w:type="dxa"/>
            <w:gridSpan w:val="2"/>
            <w:tcBorders>
              <w:top w:val="single" w:color="auto" w:sz="4" w:space="0"/>
              <w:left w:val="single" w:color="auto" w:sz="4" w:space="0"/>
              <w:bottom w:val="single" w:color="auto" w:sz="4" w:space="0"/>
              <w:right w:val="single" w:color="auto" w:sz="4" w:space="0"/>
            </w:tcBorders>
            <w:noWrap w:val="0"/>
            <w:vAlign w:val="center"/>
          </w:tcPr>
          <w:p w14:paraId="5CBE4F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化验室</w:t>
            </w:r>
          </w:p>
        </w:tc>
        <w:tc>
          <w:tcPr>
            <w:tcW w:w="1080" w:type="dxa"/>
            <w:gridSpan w:val="2"/>
            <w:tcBorders>
              <w:left w:val="single" w:color="auto" w:sz="4" w:space="0"/>
              <w:right w:val="single" w:color="auto" w:sz="4" w:space="0"/>
            </w:tcBorders>
            <w:noWrap w:val="0"/>
            <w:vAlign w:val="center"/>
          </w:tcPr>
          <w:p w14:paraId="39C7495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马忠庆</w:t>
            </w:r>
          </w:p>
        </w:tc>
        <w:tc>
          <w:tcPr>
            <w:tcW w:w="1843" w:type="dxa"/>
            <w:gridSpan w:val="3"/>
            <w:tcBorders>
              <w:left w:val="single" w:color="auto" w:sz="4" w:space="0"/>
              <w:right w:val="single" w:color="auto" w:sz="4" w:space="0"/>
            </w:tcBorders>
            <w:noWrap w:val="0"/>
            <w:vAlign w:val="center"/>
          </w:tcPr>
          <w:p w14:paraId="77485EE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18615123190</w:t>
            </w:r>
          </w:p>
        </w:tc>
      </w:tr>
      <w:tr w14:paraId="4FAF1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342" w:type="dxa"/>
            <w:tcBorders>
              <w:top w:val="single" w:color="auto" w:sz="4" w:space="0"/>
              <w:left w:val="single" w:color="auto" w:sz="4" w:space="0"/>
              <w:bottom w:val="single" w:color="auto" w:sz="4" w:space="0"/>
              <w:right w:val="single" w:color="auto" w:sz="4" w:space="0"/>
            </w:tcBorders>
            <w:noWrap w:val="0"/>
            <w:vAlign w:val="center"/>
          </w:tcPr>
          <w:p w14:paraId="605D5A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消防沙</w:t>
            </w:r>
          </w:p>
        </w:tc>
        <w:tc>
          <w:tcPr>
            <w:tcW w:w="1454" w:type="dxa"/>
            <w:gridSpan w:val="2"/>
            <w:tcBorders>
              <w:top w:val="single" w:color="auto" w:sz="4" w:space="0"/>
              <w:left w:val="single" w:color="auto" w:sz="4" w:space="0"/>
              <w:bottom w:val="single" w:color="auto" w:sz="4" w:space="0"/>
              <w:right w:val="single" w:color="auto" w:sz="4" w:space="0"/>
            </w:tcBorders>
            <w:noWrap w:val="0"/>
            <w:vAlign w:val="center"/>
          </w:tcPr>
          <w:p w14:paraId="1E72C9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2立方米</w:t>
            </w:r>
          </w:p>
        </w:tc>
        <w:tc>
          <w:tcPr>
            <w:tcW w:w="1620" w:type="dxa"/>
            <w:gridSpan w:val="2"/>
            <w:tcBorders>
              <w:top w:val="single" w:color="auto" w:sz="4" w:space="0"/>
              <w:left w:val="single" w:color="auto" w:sz="4" w:space="0"/>
              <w:bottom w:val="single" w:color="auto" w:sz="4" w:space="0"/>
              <w:right w:val="single" w:color="auto" w:sz="4" w:space="0"/>
            </w:tcBorders>
            <w:noWrap w:val="0"/>
            <w:vAlign w:val="center"/>
          </w:tcPr>
          <w:p w14:paraId="2728191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消防灭火</w:t>
            </w:r>
          </w:p>
        </w:tc>
        <w:tc>
          <w:tcPr>
            <w:tcW w:w="720" w:type="dxa"/>
            <w:gridSpan w:val="2"/>
            <w:tcBorders>
              <w:top w:val="single" w:color="auto" w:sz="4" w:space="0"/>
              <w:left w:val="single" w:color="auto" w:sz="4" w:space="0"/>
              <w:bottom w:val="single" w:color="auto" w:sz="4" w:space="0"/>
              <w:right w:val="single" w:color="auto" w:sz="4" w:space="0"/>
            </w:tcBorders>
            <w:noWrap w:val="0"/>
            <w:vAlign w:val="center"/>
          </w:tcPr>
          <w:p w14:paraId="73911B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w:t>
            </w:r>
          </w:p>
        </w:tc>
        <w:tc>
          <w:tcPr>
            <w:tcW w:w="1677" w:type="dxa"/>
            <w:gridSpan w:val="2"/>
            <w:tcBorders>
              <w:top w:val="single" w:color="auto" w:sz="4" w:space="0"/>
              <w:left w:val="single" w:color="auto" w:sz="4" w:space="0"/>
              <w:bottom w:val="single" w:color="auto" w:sz="4" w:space="0"/>
              <w:right w:val="single" w:color="auto" w:sz="4" w:space="0"/>
            </w:tcBorders>
            <w:noWrap w:val="0"/>
            <w:vAlign w:val="center"/>
          </w:tcPr>
          <w:p w14:paraId="2C4BC1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装置区</w:t>
            </w:r>
          </w:p>
        </w:tc>
        <w:tc>
          <w:tcPr>
            <w:tcW w:w="1080" w:type="dxa"/>
            <w:gridSpan w:val="2"/>
            <w:tcBorders>
              <w:left w:val="single" w:color="auto" w:sz="4" w:space="0"/>
              <w:right w:val="single" w:color="auto" w:sz="4" w:space="0"/>
            </w:tcBorders>
            <w:noWrap w:val="0"/>
            <w:vAlign w:val="center"/>
          </w:tcPr>
          <w:p w14:paraId="66220AF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马忠庆</w:t>
            </w:r>
          </w:p>
        </w:tc>
        <w:tc>
          <w:tcPr>
            <w:tcW w:w="1843" w:type="dxa"/>
            <w:gridSpan w:val="3"/>
            <w:tcBorders>
              <w:left w:val="single" w:color="auto" w:sz="4" w:space="0"/>
              <w:right w:val="single" w:color="auto" w:sz="4" w:space="0"/>
            </w:tcBorders>
            <w:noWrap w:val="0"/>
            <w:vAlign w:val="center"/>
          </w:tcPr>
          <w:p w14:paraId="6DAE433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18615123190</w:t>
            </w:r>
          </w:p>
        </w:tc>
      </w:tr>
      <w:tr w14:paraId="4B2C1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342" w:type="dxa"/>
            <w:tcBorders>
              <w:top w:val="single" w:color="auto" w:sz="4" w:space="0"/>
              <w:left w:val="single" w:color="auto" w:sz="4" w:space="0"/>
              <w:bottom w:val="single" w:color="auto" w:sz="4" w:space="0"/>
              <w:right w:val="single" w:color="auto" w:sz="4" w:space="0"/>
            </w:tcBorders>
            <w:noWrap w:val="0"/>
            <w:vAlign w:val="center"/>
          </w:tcPr>
          <w:p w14:paraId="2DE600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洗眼器、淋洗器</w:t>
            </w:r>
          </w:p>
        </w:tc>
        <w:tc>
          <w:tcPr>
            <w:tcW w:w="1454" w:type="dxa"/>
            <w:gridSpan w:val="2"/>
            <w:tcBorders>
              <w:top w:val="single" w:color="auto" w:sz="4" w:space="0"/>
              <w:left w:val="single" w:color="auto" w:sz="4" w:space="0"/>
              <w:bottom w:val="single" w:color="auto" w:sz="4" w:space="0"/>
              <w:right w:val="single" w:color="auto" w:sz="4" w:space="0"/>
            </w:tcBorders>
            <w:noWrap w:val="0"/>
            <w:vAlign w:val="center"/>
          </w:tcPr>
          <w:p w14:paraId="312E4C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复合型</w:t>
            </w:r>
          </w:p>
        </w:tc>
        <w:tc>
          <w:tcPr>
            <w:tcW w:w="1620" w:type="dxa"/>
            <w:gridSpan w:val="2"/>
            <w:tcBorders>
              <w:top w:val="single" w:color="auto" w:sz="4" w:space="0"/>
              <w:left w:val="single" w:color="auto" w:sz="4" w:space="0"/>
              <w:bottom w:val="single" w:color="auto" w:sz="4" w:space="0"/>
              <w:right w:val="single" w:color="auto" w:sz="4" w:space="0"/>
            </w:tcBorders>
            <w:noWrap w:val="0"/>
            <w:vAlign w:val="center"/>
          </w:tcPr>
          <w:p w14:paraId="349085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应急冲洗</w:t>
            </w:r>
          </w:p>
        </w:tc>
        <w:tc>
          <w:tcPr>
            <w:tcW w:w="720" w:type="dxa"/>
            <w:gridSpan w:val="2"/>
            <w:tcBorders>
              <w:top w:val="single" w:color="auto" w:sz="4" w:space="0"/>
              <w:left w:val="single" w:color="auto" w:sz="4" w:space="0"/>
              <w:bottom w:val="single" w:color="auto" w:sz="4" w:space="0"/>
              <w:right w:val="single" w:color="auto" w:sz="4" w:space="0"/>
            </w:tcBorders>
            <w:noWrap w:val="0"/>
            <w:vAlign w:val="center"/>
          </w:tcPr>
          <w:p w14:paraId="632772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w:t>
            </w:r>
          </w:p>
        </w:tc>
        <w:tc>
          <w:tcPr>
            <w:tcW w:w="1677" w:type="dxa"/>
            <w:gridSpan w:val="2"/>
            <w:tcBorders>
              <w:top w:val="single" w:color="auto" w:sz="4" w:space="0"/>
              <w:left w:val="single" w:color="auto" w:sz="4" w:space="0"/>
              <w:bottom w:val="single" w:color="auto" w:sz="4" w:space="0"/>
              <w:right w:val="single" w:color="auto" w:sz="4" w:space="0"/>
            </w:tcBorders>
            <w:noWrap w:val="0"/>
            <w:vAlign w:val="center"/>
          </w:tcPr>
          <w:p w14:paraId="23D643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现场</w:t>
            </w:r>
          </w:p>
        </w:tc>
        <w:tc>
          <w:tcPr>
            <w:tcW w:w="1080" w:type="dxa"/>
            <w:gridSpan w:val="2"/>
            <w:tcBorders>
              <w:left w:val="single" w:color="auto" w:sz="4" w:space="0"/>
              <w:right w:val="single" w:color="auto" w:sz="4" w:space="0"/>
            </w:tcBorders>
            <w:noWrap w:val="0"/>
            <w:vAlign w:val="center"/>
          </w:tcPr>
          <w:p w14:paraId="1DA7EC2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马忠庆</w:t>
            </w:r>
          </w:p>
        </w:tc>
        <w:tc>
          <w:tcPr>
            <w:tcW w:w="1843" w:type="dxa"/>
            <w:gridSpan w:val="3"/>
            <w:tcBorders>
              <w:left w:val="single" w:color="auto" w:sz="4" w:space="0"/>
              <w:right w:val="single" w:color="auto" w:sz="4" w:space="0"/>
            </w:tcBorders>
            <w:noWrap w:val="0"/>
            <w:vAlign w:val="center"/>
          </w:tcPr>
          <w:p w14:paraId="55323D3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18615123190</w:t>
            </w:r>
          </w:p>
        </w:tc>
      </w:tr>
      <w:tr w14:paraId="11D18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342" w:type="dxa"/>
            <w:tcBorders>
              <w:top w:val="single" w:color="auto" w:sz="4" w:space="0"/>
              <w:left w:val="single" w:color="auto" w:sz="4" w:space="0"/>
              <w:bottom w:val="single" w:color="auto" w:sz="4" w:space="0"/>
              <w:right w:val="single" w:color="auto" w:sz="4" w:space="0"/>
            </w:tcBorders>
            <w:noWrap w:val="0"/>
            <w:vAlign w:val="center"/>
          </w:tcPr>
          <w:p w14:paraId="5A31B2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消防水炮</w:t>
            </w:r>
          </w:p>
        </w:tc>
        <w:tc>
          <w:tcPr>
            <w:tcW w:w="1454" w:type="dxa"/>
            <w:gridSpan w:val="2"/>
            <w:tcBorders>
              <w:top w:val="single" w:color="auto" w:sz="4" w:space="0"/>
              <w:left w:val="single" w:color="auto" w:sz="4" w:space="0"/>
              <w:bottom w:val="single" w:color="auto" w:sz="4" w:space="0"/>
              <w:right w:val="single" w:color="auto" w:sz="4" w:space="0"/>
            </w:tcBorders>
            <w:noWrap w:val="0"/>
            <w:vAlign w:val="center"/>
          </w:tcPr>
          <w:p w14:paraId="7386EF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PS30-50</w:t>
            </w:r>
          </w:p>
        </w:tc>
        <w:tc>
          <w:tcPr>
            <w:tcW w:w="1620" w:type="dxa"/>
            <w:gridSpan w:val="2"/>
            <w:tcBorders>
              <w:top w:val="single" w:color="auto" w:sz="4" w:space="0"/>
              <w:left w:val="single" w:color="auto" w:sz="4" w:space="0"/>
              <w:bottom w:val="single" w:color="auto" w:sz="4" w:space="0"/>
              <w:right w:val="single" w:color="auto" w:sz="4" w:space="0"/>
            </w:tcBorders>
            <w:noWrap w:val="0"/>
            <w:vAlign w:val="center"/>
          </w:tcPr>
          <w:p w14:paraId="21ED19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消防灭火</w:t>
            </w:r>
          </w:p>
        </w:tc>
        <w:tc>
          <w:tcPr>
            <w:tcW w:w="720" w:type="dxa"/>
            <w:gridSpan w:val="2"/>
            <w:tcBorders>
              <w:top w:val="single" w:color="auto" w:sz="4" w:space="0"/>
              <w:left w:val="single" w:color="auto" w:sz="4" w:space="0"/>
              <w:bottom w:val="single" w:color="auto" w:sz="4" w:space="0"/>
              <w:right w:val="single" w:color="auto" w:sz="4" w:space="0"/>
            </w:tcBorders>
            <w:noWrap w:val="0"/>
            <w:vAlign w:val="center"/>
          </w:tcPr>
          <w:p w14:paraId="160F45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w:t>
            </w:r>
          </w:p>
        </w:tc>
        <w:tc>
          <w:tcPr>
            <w:tcW w:w="1677" w:type="dxa"/>
            <w:gridSpan w:val="2"/>
            <w:tcBorders>
              <w:top w:val="single" w:color="auto" w:sz="4" w:space="0"/>
              <w:left w:val="single" w:color="auto" w:sz="4" w:space="0"/>
              <w:bottom w:val="single" w:color="auto" w:sz="4" w:space="0"/>
              <w:right w:val="single" w:color="auto" w:sz="4" w:space="0"/>
            </w:tcBorders>
            <w:noWrap w:val="0"/>
            <w:vAlign w:val="center"/>
          </w:tcPr>
          <w:p w14:paraId="4B89B6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现场</w:t>
            </w:r>
          </w:p>
        </w:tc>
        <w:tc>
          <w:tcPr>
            <w:tcW w:w="1080" w:type="dxa"/>
            <w:gridSpan w:val="2"/>
            <w:tcBorders>
              <w:left w:val="single" w:color="auto" w:sz="4" w:space="0"/>
              <w:right w:val="single" w:color="auto" w:sz="4" w:space="0"/>
            </w:tcBorders>
            <w:noWrap w:val="0"/>
            <w:vAlign w:val="center"/>
          </w:tcPr>
          <w:p w14:paraId="7DE92BD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马忠庆</w:t>
            </w:r>
          </w:p>
        </w:tc>
        <w:tc>
          <w:tcPr>
            <w:tcW w:w="1843" w:type="dxa"/>
            <w:gridSpan w:val="3"/>
            <w:tcBorders>
              <w:left w:val="single" w:color="auto" w:sz="4" w:space="0"/>
              <w:right w:val="single" w:color="auto" w:sz="4" w:space="0"/>
            </w:tcBorders>
            <w:noWrap w:val="0"/>
            <w:vAlign w:val="center"/>
          </w:tcPr>
          <w:p w14:paraId="7A82ABC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18615123190</w:t>
            </w:r>
          </w:p>
        </w:tc>
      </w:tr>
      <w:tr w14:paraId="25BEA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342" w:type="dxa"/>
            <w:tcBorders>
              <w:top w:val="single" w:color="auto" w:sz="4" w:space="0"/>
              <w:left w:val="single" w:color="auto" w:sz="4" w:space="0"/>
              <w:bottom w:val="single" w:color="auto" w:sz="4" w:space="0"/>
              <w:right w:val="single" w:color="auto" w:sz="4" w:space="0"/>
            </w:tcBorders>
            <w:noWrap w:val="0"/>
            <w:vAlign w:val="center"/>
          </w:tcPr>
          <w:p w14:paraId="6B9E04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可燃气体报警仪</w:t>
            </w:r>
          </w:p>
        </w:tc>
        <w:tc>
          <w:tcPr>
            <w:tcW w:w="1454" w:type="dxa"/>
            <w:gridSpan w:val="2"/>
            <w:tcBorders>
              <w:top w:val="single" w:color="auto" w:sz="4" w:space="0"/>
              <w:left w:val="single" w:color="auto" w:sz="4" w:space="0"/>
              <w:bottom w:val="single" w:color="auto" w:sz="4" w:space="0"/>
              <w:right w:val="single" w:color="auto" w:sz="4" w:space="0"/>
            </w:tcBorders>
            <w:noWrap w:val="0"/>
            <w:vAlign w:val="center"/>
          </w:tcPr>
          <w:p w14:paraId="10B18D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QT-300</w:t>
            </w:r>
          </w:p>
        </w:tc>
        <w:tc>
          <w:tcPr>
            <w:tcW w:w="1620" w:type="dxa"/>
            <w:gridSpan w:val="2"/>
            <w:tcBorders>
              <w:top w:val="single" w:color="auto" w:sz="4" w:space="0"/>
              <w:left w:val="single" w:color="auto" w:sz="4" w:space="0"/>
              <w:bottom w:val="single" w:color="auto" w:sz="4" w:space="0"/>
              <w:right w:val="single" w:color="auto" w:sz="4" w:space="0"/>
            </w:tcBorders>
            <w:noWrap w:val="0"/>
            <w:vAlign w:val="center"/>
          </w:tcPr>
          <w:p w14:paraId="1018D9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报警、检测在有效期内</w:t>
            </w:r>
          </w:p>
        </w:tc>
        <w:tc>
          <w:tcPr>
            <w:tcW w:w="720" w:type="dxa"/>
            <w:gridSpan w:val="2"/>
            <w:tcBorders>
              <w:top w:val="single" w:color="auto" w:sz="4" w:space="0"/>
              <w:left w:val="single" w:color="auto" w:sz="4" w:space="0"/>
              <w:bottom w:val="single" w:color="auto" w:sz="4" w:space="0"/>
              <w:right w:val="single" w:color="auto" w:sz="4" w:space="0"/>
            </w:tcBorders>
            <w:noWrap w:val="0"/>
            <w:vAlign w:val="center"/>
          </w:tcPr>
          <w:p w14:paraId="3AD685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w:t>
            </w:r>
          </w:p>
        </w:tc>
        <w:tc>
          <w:tcPr>
            <w:tcW w:w="1677" w:type="dxa"/>
            <w:gridSpan w:val="2"/>
            <w:tcBorders>
              <w:top w:val="single" w:color="auto" w:sz="4" w:space="0"/>
              <w:left w:val="single" w:color="auto" w:sz="4" w:space="0"/>
              <w:bottom w:val="single" w:color="auto" w:sz="4" w:space="0"/>
              <w:right w:val="single" w:color="auto" w:sz="4" w:space="0"/>
            </w:tcBorders>
            <w:noWrap w:val="0"/>
            <w:vAlign w:val="center"/>
          </w:tcPr>
          <w:p w14:paraId="0DE381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现场</w:t>
            </w:r>
          </w:p>
        </w:tc>
        <w:tc>
          <w:tcPr>
            <w:tcW w:w="1080" w:type="dxa"/>
            <w:gridSpan w:val="2"/>
            <w:tcBorders>
              <w:left w:val="single" w:color="auto" w:sz="4" w:space="0"/>
              <w:bottom w:val="single" w:color="auto" w:sz="4" w:space="0"/>
              <w:right w:val="single" w:color="auto" w:sz="4" w:space="0"/>
            </w:tcBorders>
            <w:noWrap w:val="0"/>
            <w:vAlign w:val="center"/>
          </w:tcPr>
          <w:p w14:paraId="20A6A39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马忠庆</w:t>
            </w:r>
          </w:p>
        </w:tc>
        <w:tc>
          <w:tcPr>
            <w:tcW w:w="1843" w:type="dxa"/>
            <w:gridSpan w:val="3"/>
            <w:tcBorders>
              <w:left w:val="single" w:color="auto" w:sz="4" w:space="0"/>
              <w:bottom w:val="single" w:color="auto" w:sz="4" w:space="0"/>
              <w:right w:val="single" w:color="auto" w:sz="4" w:space="0"/>
            </w:tcBorders>
            <w:noWrap w:val="0"/>
            <w:vAlign w:val="center"/>
          </w:tcPr>
          <w:p w14:paraId="1956B25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18615123190</w:t>
            </w:r>
          </w:p>
        </w:tc>
      </w:tr>
      <w:tr w14:paraId="6F229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342" w:type="dxa"/>
            <w:tcBorders>
              <w:top w:val="single" w:color="auto" w:sz="4" w:space="0"/>
              <w:left w:val="single" w:color="auto" w:sz="4" w:space="0"/>
              <w:bottom w:val="single" w:color="auto" w:sz="4" w:space="0"/>
              <w:right w:val="single" w:color="auto" w:sz="4" w:space="0"/>
            </w:tcBorders>
            <w:noWrap w:val="0"/>
            <w:vAlign w:val="center"/>
          </w:tcPr>
          <w:p w14:paraId="0BEAA9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围堰</w:t>
            </w:r>
          </w:p>
        </w:tc>
        <w:tc>
          <w:tcPr>
            <w:tcW w:w="1454" w:type="dxa"/>
            <w:gridSpan w:val="2"/>
            <w:tcBorders>
              <w:top w:val="single" w:color="auto" w:sz="4" w:space="0"/>
              <w:left w:val="single" w:color="auto" w:sz="4" w:space="0"/>
              <w:bottom w:val="single" w:color="auto" w:sz="4" w:space="0"/>
              <w:right w:val="single" w:color="auto" w:sz="4" w:space="0"/>
            </w:tcBorders>
            <w:noWrap w:val="0"/>
            <w:vAlign w:val="center"/>
          </w:tcPr>
          <w:p w14:paraId="4BC0AA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1620" w:type="dxa"/>
            <w:gridSpan w:val="2"/>
            <w:tcBorders>
              <w:top w:val="single" w:color="auto" w:sz="4" w:space="0"/>
              <w:left w:val="single" w:color="auto" w:sz="4" w:space="0"/>
              <w:bottom w:val="single" w:color="auto" w:sz="4" w:space="0"/>
              <w:right w:val="single" w:color="auto" w:sz="4" w:space="0"/>
            </w:tcBorders>
            <w:noWrap w:val="0"/>
            <w:vAlign w:val="center"/>
          </w:tcPr>
          <w:p w14:paraId="3AD0F9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防溢流</w:t>
            </w:r>
          </w:p>
        </w:tc>
        <w:tc>
          <w:tcPr>
            <w:tcW w:w="720" w:type="dxa"/>
            <w:gridSpan w:val="2"/>
            <w:tcBorders>
              <w:top w:val="single" w:color="auto" w:sz="4" w:space="0"/>
              <w:left w:val="single" w:color="auto" w:sz="4" w:space="0"/>
              <w:bottom w:val="single" w:color="auto" w:sz="4" w:space="0"/>
              <w:right w:val="single" w:color="auto" w:sz="4" w:space="0"/>
            </w:tcBorders>
            <w:noWrap w:val="0"/>
            <w:vAlign w:val="center"/>
          </w:tcPr>
          <w:p w14:paraId="486D2B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w:t>
            </w:r>
          </w:p>
        </w:tc>
        <w:tc>
          <w:tcPr>
            <w:tcW w:w="1677" w:type="dxa"/>
            <w:gridSpan w:val="2"/>
            <w:tcBorders>
              <w:top w:val="single" w:color="auto" w:sz="4" w:space="0"/>
              <w:left w:val="single" w:color="auto" w:sz="4" w:space="0"/>
              <w:bottom w:val="single" w:color="auto" w:sz="4" w:space="0"/>
              <w:right w:val="single" w:color="auto" w:sz="4" w:space="0"/>
            </w:tcBorders>
            <w:noWrap w:val="0"/>
            <w:vAlign w:val="center"/>
          </w:tcPr>
          <w:p w14:paraId="495E73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装置区、罐区</w:t>
            </w:r>
          </w:p>
        </w:tc>
        <w:tc>
          <w:tcPr>
            <w:tcW w:w="1080" w:type="dxa"/>
            <w:gridSpan w:val="2"/>
            <w:tcBorders>
              <w:top w:val="single" w:color="auto" w:sz="4" w:space="0"/>
              <w:left w:val="single" w:color="auto" w:sz="4" w:space="0"/>
              <w:bottom w:val="single" w:color="auto" w:sz="4" w:space="0"/>
              <w:right w:val="single" w:color="auto" w:sz="4" w:space="0"/>
            </w:tcBorders>
            <w:noWrap w:val="0"/>
            <w:vAlign w:val="center"/>
          </w:tcPr>
          <w:p w14:paraId="2AAE091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马忠庆</w:t>
            </w:r>
          </w:p>
        </w:tc>
        <w:tc>
          <w:tcPr>
            <w:tcW w:w="1843" w:type="dxa"/>
            <w:gridSpan w:val="3"/>
            <w:tcBorders>
              <w:top w:val="single" w:color="auto" w:sz="4" w:space="0"/>
              <w:left w:val="single" w:color="auto" w:sz="4" w:space="0"/>
              <w:bottom w:val="single" w:color="auto" w:sz="4" w:space="0"/>
              <w:right w:val="single" w:color="auto" w:sz="4" w:space="0"/>
            </w:tcBorders>
            <w:noWrap w:val="0"/>
            <w:vAlign w:val="center"/>
          </w:tcPr>
          <w:p w14:paraId="62A1C8D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18615123190</w:t>
            </w:r>
          </w:p>
        </w:tc>
      </w:tr>
      <w:tr w14:paraId="6E2AF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342" w:type="dxa"/>
            <w:tcBorders>
              <w:top w:val="single" w:color="auto" w:sz="4" w:space="0"/>
              <w:left w:val="single" w:color="auto" w:sz="4" w:space="0"/>
              <w:bottom w:val="single" w:color="auto" w:sz="4" w:space="0"/>
              <w:right w:val="single" w:color="auto" w:sz="4" w:space="0"/>
            </w:tcBorders>
            <w:noWrap w:val="0"/>
            <w:vAlign w:val="center"/>
          </w:tcPr>
          <w:p w14:paraId="5137C5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事故水池</w:t>
            </w:r>
          </w:p>
        </w:tc>
        <w:tc>
          <w:tcPr>
            <w:tcW w:w="1454" w:type="dxa"/>
            <w:gridSpan w:val="2"/>
            <w:tcBorders>
              <w:top w:val="single" w:color="auto" w:sz="4" w:space="0"/>
              <w:left w:val="single" w:color="auto" w:sz="4" w:space="0"/>
              <w:bottom w:val="single" w:color="auto" w:sz="4" w:space="0"/>
              <w:right w:val="single" w:color="auto" w:sz="4" w:space="0"/>
            </w:tcBorders>
            <w:noWrap w:val="0"/>
            <w:vAlign w:val="center"/>
          </w:tcPr>
          <w:p w14:paraId="383828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2</w:t>
            </w:r>
            <w:r>
              <w:rPr>
                <w:rFonts w:hint="eastAsia" w:ascii="Times New Roman" w:hAnsi="Times New Roman" w:eastAsia="宋体" w:cs="Times New Roman"/>
                <w:color w:val="auto"/>
                <w:sz w:val="21"/>
                <w:szCs w:val="21"/>
                <w:lang w:val="en-US" w:eastAsia="zh-CN"/>
              </w:rPr>
              <w:t>6</w:t>
            </w:r>
            <w:r>
              <w:rPr>
                <w:rFonts w:hint="default" w:ascii="Times New Roman" w:hAnsi="Times New Roman" w:eastAsia="宋体" w:cs="Times New Roman"/>
                <w:color w:val="auto"/>
                <w:sz w:val="21"/>
                <w:szCs w:val="21"/>
              </w:rPr>
              <w:t>0立方米</w:t>
            </w:r>
          </w:p>
        </w:tc>
        <w:tc>
          <w:tcPr>
            <w:tcW w:w="1620" w:type="dxa"/>
            <w:gridSpan w:val="2"/>
            <w:tcBorders>
              <w:top w:val="single" w:color="auto" w:sz="4" w:space="0"/>
              <w:left w:val="single" w:color="auto" w:sz="4" w:space="0"/>
              <w:bottom w:val="single" w:color="auto" w:sz="4" w:space="0"/>
              <w:right w:val="single" w:color="auto" w:sz="4" w:space="0"/>
            </w:tcBorders>
            <w:noWrap w:val="0"/>
            <w:vAlign w:val="center"/>
          </w:tcPr>
          <w:p w14:paraId="57732D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事故水收集</w:t>
            </w:r>
          </w:p>
        </w:tc>
        <w:tc>
          <w:tcPr>
            <w:tcW w:w="720" w:type="dxa"/>
            <w:gridSpan w:val="2"/>
            <w:tcBorders>
              <w:top w:val="single" w:color="auto" w:sz="4" w:space="0"/>
              <w:left w:val="single" w:color="auto" w:sz="4" w:space="0"/>
              <w:bottom w:val="single" w:color="auto" w:sz="4" w:space="0"/>
              <w:right w:val="single" w:color="auto" w:sz="4" w:space="0"/>
            </w:tcBorders>
            <w:noWrap w:val="0"/>
            <w:vAlign w:val="center"/>
          </w:tcPr>
          <w:p w14:paraId="1FAC17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eastAsia="zh-CN"/>
              </w:rPr>
            </w:pPr>
            <w:r>
              <w:rPr>
                <w:rFonts w:hint="eastAsia" w:cs="Times New Roman"/>
                <w:color w:val="auto"/>
                <w:sz w:val="21"/>
                <w:szCs w:val="21"/>
                <w:lang w:val="en-US" w:eastAsia="zh-CN"/>
              </w:rPr>
              <w:t>1</w:t>
            </w:r>
          </w:p>
        </w:tc>
        <w:tc>
          <w:tcPr>
            <w:tcW w:w="1677" w:type="dxa"/>
            <w:gridSpan w:val="2"/>
            <w:tcBorders>
              <w:top w:val="single" w:color="auto" w:sz="4" w:space="0"/>
              <w:left w:val="single" w:color="auto" w:sz="4" w:space="0"/>
              <w:bottom w:val="single" w:color="auto" w:sz="4" w:space="0"/>
              <w:right w:val="single" w:color="auto" w:sz="4" w:space="0"/>
            </w:tcBorders>
            <w:noWrap w:val="0"/>
            <w:vAlign w:val="center"/>
          </w:tcPr>
          <w:p w14:paraId="5C36AB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隆信厂区东北侧（公用）</w:t>
            </w:r>
          </w:p>
        </w:tc>
        <w:tc>
          <w:tcPr>
            <w:tcW w:w="1080" w:type="dxa"/>
            <w:gridSpan w:val="2"/>
            <w:tcBorders>
              <w:top w:val="single" w:color="auto" w:sz="4" w:space="0"/>
              <w:left w:val="single" w:color="auto" w:sz="4" w:space="0"/>
              <w:bottom w:val="single" w:color="auto" w:sz="4" w:space="0"/>
              <w:right w:val="single" w:color="auto" w:sz="4" w:space="0"/>
            </w:tcBorders>
            <w:noWrap w:val="0"/>
            <w:vAlign w:val="center"/>
          </w:tcPr>
          <w:p w14:paraId="29D385B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eastAsia" w:cs="Times New Roman"/>
                <w:color w:val="auto"/>
                <w:sz w:val="21"/>
                <w:szCs w:val="21"/>
                <w:lang w:eastAsia="zh-CN"/>
              </w:rPr>
              <w:t>刘畅恒</w:t>
            </w:r>
          </w:p>
        </w:tc>
        <w:tc>
          <w:tcPr>
            <w:tcW w:w="1843" w:type="dxa"/>
            <w:gridSpan w:val="3"/>
            <w:tcBorders>
              <w:top w:val="single" w:color="auto" w:sz="4" w:space="0"/>
              <w:left w:val="single" w:color="auto" w:sz="4" w:space="0"/>
              <w:bottom w:val="single" w:color="auto" w:sz="4" w:space="0"/>
              <w:right w:val="single" w:color="auto" w:sz="4" w:space="0"/>
            </w:tcBorders>
            <w:noWrap w:val="0"/>
            <w:vAlign w:val="center"/>
          </w:tcPr>
          <w:p w14:paraId="2939791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13280689988</w:t>
            </w:r>
          </w:p>
        </w:tc>
      </w:tr>
      <w:tr w14:paraId="05678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300" w:hRule="atLeast"/>
          <w:tblHeader/>
          <w:jc w:val="center"/>
        </w:trPr>
        <w:tc>
          <w:tcPr>
            <w:tcW w:w="9693" w:type="dxa"/>
            <w:gridSpan w:val="13"/>
            <w:tcBorders>
              <w:top w:val="single" w:color="auto" w:sz="4" w:space="0"/>
              <w:left w:val="single" w:color="auto" w:sz="4" w:space="0"/>
              <w:bottom w:val="single" w:color="auto" w:sz="4" w:space="0"/>
              <w:right w:val="single" w:color="auto" w:sz="4" w:space="0"/>
            </w:tcBorders>
            <w:noWrap w:val="0"/>
            <w:vAlign w:val="center"/>
          </w:tcPr>
          <w:p w14:paraId="6C01F1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lang w:eastAsia="zh-CN"/>
              </w:rPr>
              <w:t>二甲基呋喃</w:t>
            </w:r>
            <w:r>
              <w:rPr>
                <w:rFonts w:hint="default" w:ascii="Times New Roman" w:hAnsi="Times New Roman" w:eastAsia="宋体" w:cs="Times New Roman"/>
                <w:b/>
                <w:color w:val="auto"/>
                <w:sz w:val="21"/>
                <w:szCs w:val="21"/>
              </w:rPr>
              <w:t>车间</w:t>
            </w:r>
          </w:p>
        </w:tc>
      </w:tr>
      <w:tr w14:paraId="3A3B4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300" w:hRule="atLeast"/>
          <w:tblHeader/>
          <w:jc w:val="center"/>
        </w:trPr>
        <w:tc>
          <w:tcPr>
            <w:tcW w:w="1443" w:type="dxa"/>
            <w:gridSpan w:val="2"/>
            <w:tcBorders>
              <w:top w:val="single" w:color="auto" w:sz="4" w:space="0"/>
              <w:left w:val="single" w:color="auto" w:sz="4" w:space="0"/>
              <w:bottom w:val="single" w:color="auto" w:sz="4" w:space="0"/>
              <w:right w:val="single" w:color="auto" w:sz="4" w:space="0"/>
            </w:tcBorders>
            <w:noWrap w:val="0"/>
            <w:vAlign w:val="center"/>
          </w:tcPr>
          <w:p w14:paraId="4E29A0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物资名称</w:t>
            </w:r>
          </w:p>
        </w:tc>
        <w:tc>
          <w:tcPr>
            <w:tcW w:w="1635" w:type="dxa"/>
            <w:gridSpan w:val="2"/>
            <w:tcBorders>
              <w:top w:val="single" w:color="auto" w:sz="4" w:space="0"/>
              <w:left w:val="single" w:color="auto" w:sz="4" w:space="0"/>
              <w:bottom w:val="single" w:color="auto" w:sz="4" w:space="0"/>
              <w:right w:val="single" w:color="auto" w:sz="4" w:space="0"/>
            </w:tcBorders>
            <w:noWrap w:val="0"/>
            <w:vAlign w:val="center"/>
          </w:tcPr>
          <w:p w14:paraId="23CC25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物资类型</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14:paraId="223D12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性能</w:t>
            </w:r>
          </w:p>
        </w:tc>
        <w:tc>
          <w:tcPr>
            <w:tcW w:w="689" w:type="dxa"/>
            <w:gridSpan w:val="2"/>
            <w:tcBorders>
              <w:top w:val="single" w:color="auto" w:sz="4" w:space="0"/>
              <w:left w:val="single" w:color="auto" w:sz="4" w:space="0"/>
              <w:bottom w:val="single" w:color="auto" w:sz="4" w:space="0"/>
              <w:right w:val="single" w:color="auto" w:sz="4" w:space="0"/>
            </w:tcBorders>
            <w:noWrap w:val="0"/>
            <w:vAlign w:val="center"/>
          </w:tcPr>
          <w:p w14:paraId="30FCEC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数量</w:t>
            </w:r>
          </w:p>
        </w:tc>
        <w:tc>
          <w:tcPr>
            <w:tcW w:w="1658" w:type="dxa"/>
            <w:gridSpan w:val="2"/>
            <w:tcBorders>
              <w:top w:val="single" w:color="auto" w:sz="4" w:space="0"/>
              <w:left w:val="single" w:color="auto" w:sz="4" w:space="0"/>
              <w:bottom w:val="single" w:color="auto" w:sz="4" w:space="0"/>
              <w:right w:val="single" w:color="auto" w:sz="4" w:space="0"/>
            </w:tcBorders>
            <w:noWrap w:val="0"/>
            <w:vAlign w:val="center"/>
          </w:tcPr>
          <w:p w14:paraId="246F0A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存放地点</w:t>
            </w:r>
          </w:p>
        </w:tc>
        <w:tc>
          <w:tcPr>
            <w:tcW w:w="995" w:type="dxa"/>
            <w:gridSpan w:val="2"/>
            <w:tcBorders>
              <w:top w:val="single" w:color="auto" w:sz="4" w:space="0"/>
              <w:left w:val="single" w:color="auto" w:sz="4" w:space="0"/>
              <w:bottom w:val="single" w:color="auto" w:sz="4" w:space="0"/>
              <w:right w:val="single" w:color="auto" w:sz="4" w:space="0"/>
            </w:tcBorders>
            <w:noWrap w:val="0"/>
            <w:vAlign w:val="center"/>
          </w:tcPr>
          <w:p w14:paraId="6644EC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管理人</w:t>
            </w:r>
          </w:p>
        </w:tc>
        <w:tc>
          <w:tcPr>
            <w:tcW w:w="1776" w:type="dxa"/>
            <w:tcBorders>
              <w:top w:val="single" w:color="auto" w:sz="4" w:space="0"/>
              <w:left w:val="single" w:color="auto" w:sz="4" w:space="0"/>
              <w:bottom w:val="single" w:color="auto" w:sz="4" w:space="0"/>
              <w:right w:val="single" w:color="auto" w:sz="4" w:space="0"/>
            </w:tcBorders>
            <w:noWrap w:val="0"/>
            <w:vAlign w:val="center"/>
          </w:tcPr>
          <w:p w14:paraId="2FBED4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联系电话</w:t>
            </w:r>
          </w:p>
        </w:tc>
      </w:tr>
      <w:tr w14:paraId="3AD3A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330" w:hRule="atLeast"/>
          <w:jc w:val="center"/>
        </w:trPr>
        <w:tc>
          <w:tcPr>
            <w:tcW w:w="1443" w:type="dxa"/>
            <w:gridSpan w:val="2"/>
            <w:tcBorders>
              <w:top w:val="single" w:color="auto" w:sz="4" w:space="0"/>
              <w:left w:val="single" w:color="auto" w:sz="4" w:space="0"/>
              <w:bottom w:val="single" w:color="auto" w:sz="4" w:space="0"/>
              <w:right w:val="single" w:color="auto" w:sz="4" w:space="0"/>
            </w:tcBorders>
            <w:noWrap w:val="0"/>
            <w:vAlign w:val="center"/>
          </w:tcPr>
          <w:p w14:paraId="5DFC92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空气呼吸器</w:t>
            </w:r>
          </w:p>
        </w:tc>
        <w:tc>
          <w:tcPr>
            <w:tcW w:w="1635" w:type="dxa"/>
            <w:gridSpan w:val="2"/>
            <w:tcBorders>
              <w:top w:val="single" w:color="auto" w:sz="4" w:space="0"/>
              <w:left w:val="single" w:color="auto" w:sz="4" w:space="0"/>
              <w:bottom w:val="single" w:color="auto" w:sz="4" w:space="0"/>
              <w:right w:val="single" w:color="auto" w:sz="4" w:space="0"/>
            </w:tcBorders>
            <w:noWrap w:val="0"/>
            <w:vAlign w:val="center"/>
          </w:tcPr>
          <w:p w14:paraId="722F929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RHZKF6.8/30</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14:paraId="36EDC8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应急、救护</w:t>
            </w:r>
          </w:p>
        </w:tc>
        <w:tc>
          <w:tcPr>
            <w:tcW w:w="689" w:type="dxa"/>
            <w:gridSpan w:val="2"/>
            <w:tcBorders>
              <w:top w:val="single" w:color="auto" w:sz="4" w:space="0"/>
              <w:left w:val="single" w:color="auto" w:sz="4" w:space="0"/>
              <w:bottom w:val="single" w:color="auto" w:sz="4" w:space="0"/>
              <w:right w:val="single" w:color="auto" w:sz="4" w:space="0"/>
            </w:tcBorders>
            <w:noWrap w:val="0"/>
            <w:vAlign w:val="center"/>
          </w:tcPr>
          <w:p w14:paraId="7BDF4B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w:t>
            </w:r>
          </w:p>
        </w:tc>
        <w:tc>
          <w:tcPr>
            <w:tcW w:w="1658" w:type="dxa"/>
            <w:gridSpan w:val="2"/>
            <w:tcBorders>
              <w:top w:val="single" w:color="auto" w:sz="4" w:space="0"/>
              <w:left w:val="single" w:color="auto" w:sz="4" w:space="0"/>
              <w:bottom w:val="single" w:color="auto" w:sz="4" w:space="0"/>
              <w:right w:val="single" w:color="auto" w:sz="4" w:space="0"/>
            </w:tcBorders>
            <w:noWrap w:val="0"/>
            <w:vAlign w:val="center"/>
          </w:tcPr>
          <w:p w14:paraId="4EE2E0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控制室</w:t>
            </w:r>
          </w:p>
        </w:tc>
        <w:tc>
          <w:tcPr>
            <w:tcW w:w="995" w:type="dxa"/>
            <w:gridSpan w:val="2"/>
            <w:tcBorders>
              <w:top w:val="single" w:color="auto" w:sz="4" w:space="0"/>
              <w:left w:val="single" w:color="auto" w:sz="4" w:space="0"/>
              <w:right w:val="single" w:color="auto" w:sz="4" w:space="0"/>
            </w:tcBorders>
            <w:noWrap w:val="0"/>
            <w:vAlign w:val="center"/>
          </w:tcPr>
          <w:p w14:paraId="00B8E2D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邹勇</w:t>
            </w:r>
          </w:p>
        </w:tc>
        <w:tc>
          <w:tcPr>
            <w:tcW w:w="1776" w:type="dxa"/>
            <w:tcBorders>
              <w:top w:val="single" w:color="auto" w:sz="4" w:space="0"/>
              <w:left w:val="single" w:color="auto" w:sz="4" w:space="0"/>
              <w:right w:val="single" w:color="auto" w:sz="4" w:space="0"/>
            </w:tcBorders>
            <w:noWrap w:val="0"/>
            <w:vAlign w:val="center"/>
          </w:tcPr>
          <w:p w14:paraId="0A07D8A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18615123181</w:t>
            </w:r>
          </w:p>
        </w:tc>
      </w:tr>
      <w:tr w14:paraId="77C57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330" w:hRule="atLeast"/>
          <w:jc w:val="center"/>
        </w:trPr>
        <w:tc>
          <w:tcPr>
            <w:tcW w:w="1443" w:type="dxa"/>
            <w:gridSpan w:val="2"/>
            <w:tcBorders>
              <w:top w:val="single" w:color="auto" w:sz="4" w:space="0"/>
              <w:left w:val="single" w:color="auto" w:sz="4" w:space="0"/>
              <w:bottom w:val="single" w:color="auto" w:sz="4" w:space="0"/>
              <w:right w:val="single" w:color="auto" w:sz="4" w:space="0"/>
            </w:tcBorders>
            <w:noWrap w:val="0"/>
            <w:vAlign w:val="center"/>
          </w:tcPr>
          <w:p w14:paraId="6EBC84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防毒面具</w:t>
            </w:r>
          </w:p>
        </w:tc>
        <w:tc>
          <w:tcPr>
            <w:tcW w:w="1635" w:type="dxa"/>
            <w:gridSpan w:val="2"/>
            <w:tcBorders>
              <w:top w:val="single" w:color="auto" w:sz="4" w:space="0"/>
              <w:left w:val="single" w:color="auto" w:sz="4" w:space="0"/>
              <w:bottom w:val="single" w:color="auto" w:sz="4" w:space="0"/>
              <w:right w:val="single" w:color="auto" w:sz="4" w:space="0"/>
            </w:tcBorders>
            <w:noWrap w:val="0"/>
            <w:vAlign w:val="center"/>
          </w:tcPr>
          <w:p w14:paraId="055D68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长管</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14:paraId="082A7BD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应急、救护</w:t>
            </w:r>
          </w:p>
        </w:tc>
        <w:tc>
          <w:tcPr>
            <w:tcW w:w="689" w:type="dxa"/>
            <w:gridSpan w:val="2"/>
            <w:tcBorders>
              <w:top w:val="single" w:color="auto" w:sz="4" w:space="0"/>
              <w:left w:val="single" w:color="auto" w:sz="4" w:space="0"/>
              <w:bottom w:val="single" w:color="auto" w:sz="4" w:space="0"/>
              <w:right w:val="single" w:color="auto" w:sz="4" w:space="0"/>
            </w:tcBorders>
            <w:noWrap w:val="0"/>
            <w:vAlign w:val="center"/>
          </w:tcPr>
          <w:p w14:paraId="708740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w:t>
            </w:r>
          </w:p>
        </w:tc>
        <w:tc>
          <w:tcPr>
            <w:tcW w:w="1658" w:type="dxa"/>
            <w:gridSpan w:val="2"/>
            <w:tcBorders>
              <w:top w:val="single" w:color="auto" w:sz="4" w:space="0"/>
              <w:left w:val="single" w:color="auto" w:sz="4" w:space="0"/>
              <w:bottom w:val="single" w:color="auto" w:sz="4" w:space="0"/>
              <w:right w:val="single" w:color="auto" w:sz="4" w:space="0"/>
            </w:tcBorders>
            <w:noWrap w:val="0"/>
            <w:vAlign w:val="center"/>
          </w:tcPr>
          <w:p w14:paraId="517C8F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控制室</w:t>
            </w:r>
          </w:p>
        </w:tc>
        <w:tc>
          <w:tcPr>
            <w:tcW w:w="995" w:type="dxa"/>
            <w:gridSpan w:val="2"/>
            <w:tcBorders>
              <w:left w:val="single" w:color="auto" w:sz="4" w:space="0"/>
              <w:right w:val="single" w:color="auto" w:sz="4" w:space="0"/>
            </w:tcBorders>
            <w:noWrap w:val="0"/>
            <w:vAlign w:val="center"/>
          </w:tcPr>
          <w:p w14:paraId="3E0D067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邹勇</w:t>
            </w:r>
          </w:p>
        </w:tc>
        <w:tc>
          <w:tcPr>
            <w:tcW w:w="1776" w:type="dxa"/>
            <w:tcBorders>
              <w:left w:val="single" w:color="auto" w:sz="4" w:space="0"/>
              <w:right w:val="single" w:color="auto" w:sz="4" w:space="0"/>
            </w:tcBorders>
            <w:noWrap w:val="0"/>
            <w:vAlign w:val="center"/>
          </w:tcPr>
          <w:p w14:paraId="6DBB491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18615123181</w:t>
            </w:r>
          </w:p>
        </w:tc>
      </w:tr>
      <w:tr w14:paraId="4A4E9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330" w:hRule="atLeast"/>
          <w:jc w:val="center"/>
        </w:trPr>
        <w:tc>
          <w:tcPr>
            <w:tcW w:w="1443" w:type="dxa"/>
            <w:gridSpan w:val="2"/>
            <w:tcBorders>
              <w:top w:val="single" w:color="auto" w:sz="4" w:space="0"/>
              <w:left w:val="single" w:color="auto" w:sz="4" w:space="0"/>
              <w:bottom w:val="single" w:color="auto" w:sz="4" w:space="0"/>
              <w:right w:val="single" w:color="auto" w:sz="4" w:space="0"/>
            </w:tcBorders>
            <w:noWrap w:val="0"/>
            <w:vAlign w:val="center"/>
          </w:tcPr>
          <w:p w14:paraId="299EE0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防毒口罩</w:t>
            </w:r>
          </w:p>
        </w:tc>
        <w:tc>
          <w:tcPr>
            <w:tcW w:w="1635" w:type="dxa"/>
            <w:gridSpan w:val="2"/>
            <w:tcBorders>
              <w:top w:val="single" w:color="auto" w:sz="4" w:space="0"/>
              <w:left w:val="single" w:color="auto" w:sz="4" w:space="0"/>
              <w:bottom w:val="single" w:color="auto" w:sz="4" w:space="0"/>
              <w:right w:val="single" w:color="auto" w:sz="4" w:space="0"/>
            </w:tcBorders>
            <w:noWrap w:val="0"/>
            <w:vAlign w:val="center"/>
          </w:tcPr>
          <w:p w14:paraId="35340F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半面罩</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14:paraId="51283FC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应急、救护</w:t>
            </w:r>
          </w:p>
        </w:tc>
        <w:tc>
          <w:tcPr>
            <w:tcW w:w="689" w:type="dxa"/>
            <w:gridSpan w:val="2"/>
            <w:tcBorders>
              <w:top w:val="single" w:color="auto" w:sz="4" w:space="0"/>
              <w:left w:val="single" w:color="auto" w:sz="4" w:space="0"/>
              <w:bottom w:val="single" w:color="auto" w:sz="4" w:space="0"/>
              <w:right w:val="single" w:color="auto" w:sz="4" w:space="0"/>
            </w:tcBorders>
            <w:noWrap w:val="0"/>
            <w:vAlign w:val="center"/>
          </w:tcPr>
          <w:p w14:paraId="2AE8E4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w:t>
            </w:r>
          </w:p>
        </w:tc>
        <w:tc>
          <w:tcPr>
            <w:tcW w:w="1658" w:type="dxa"/>
            <w:gridSpan w:val="2"/>
            <w:tcBorders>
              <w:top w:val="single" w:color="auto" w:sz="4" w:space="0"/>
              <w:left w:val="single" w:color="auto" w:sz="4" w:space="0"/>
              <w:bottom w:val="single" w:color="auto" w:sz="4" w:space="0"/>
              <w:right w:val="single" w:color="auto" w:sz="4" w:space="0"/>
            </w:tcBorders>
            <w:noWrap w:val="0"/>
            <w:vAlign w:val="center"/>
          </w:tcPr>
          <w:p w14:paraId="262662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控制室</w:t>
            </w:r>
          </w:p>
        </w:tc>
        <w:tc>
          <w:tcPr>
            <w:tcW w:w="995" w:type="dxa"/>
            <w:gridSpan w:val="2"/>
            <w:tcBorders>
              <w:left w:val="single" w:color="auto" w:sz="4" w:space="0"/>
              <w:right w:val="single" w:color="auto" w:sz="4" w:space="0"/>
            </w:tcBorders>
            <w:noWrap w:val="0"/>
            <w:vAlign w:val="center"/>
          </w:tcPr>
          <w:p w14:paraId="3028A8E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邹勇</w:t>
            </w:r>
          </w:p>
        </w:tc>
        <w:tc>
          <w:tcPr>
            <w:tcW w:w="1776" w:type="dxa"/>
            <w:tcBorders>
              <w:left w:val="single" w:color="auto" w:sz="4" w:space="0"/>
              <w:right w:val="single" w:color="auto" w:sz="4" w:space="0"/>
            </w:tcBorders>
            <w:noWrap w:val="0"/>
            <w:vAlign w:val="center"/>
          </w:tcPr>
          <w:p w14:paraId="70BB72A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18615123181</w:t>
            </w:r>
          </w:p>
        </w:tc>
      </w:tr>
      <w:tr w14:paraId="177C9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330" w:hRule="atLeast"/>
          <w:jc w:val="center"/>
        </w:trPr>
        <w:tc>
          <w:tcPr>
            <w:tcW w:w="1443" w:type="dxa"/>
            <w:gridSpan w:val="2"/>
            <w:tcBorders>
              <w:top w:val="single" w:color="auto" w:sz="4" w:space="0"/>
              <w:left w:val="single" w:color="auto" w:sz="4" w:space="0"/>
              <w:bottom w:val="single" w:color="auto" w:sz="4" w:space="0"/>
              <w:right w:val="single" w:color="auto" w:sz="4" w:space="0"/>
            </w:tcBorders>
            <w:noWrap w:val="0"/>
            <w:vAlign w:val="center"/>
          </w:tcPr>
          <w:p w14:paraId="22207D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消防栓</w:t>
            </w:r>
          </w:p>
        </w:tc>
        <w:tc>
          <w:tcPr>
            <w:tcW w:w="1635" w:type="dxa"/>
            <w:gridSpan w:val="2"/>
            <w:tcBorders>
              <w:top w:val="single" w:color="auto" w:sz="4" w:space="0"/>
              <w:left w:val="single" w:color="auto" w:sz="4" w:space="0"/>
              <w:bottom w:val="single" w:color="auto" w:sz="4" w:space="0"/>
              <w:right w:val="single" w:color="auto" w:sz="4" w:space="0"/>
            </w:tcBorders>
            <w:noWrap w:val="0"/>
            <w:vAlign w:val="center"/>
          </w:tcPr>
          <w:p w14:paraId="34E16B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SS100-65-1.6</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14:paraId="72EA02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消防灭火</w:t>
            </w:r>
          </w:p>
        </w:tc>
        <w:tc>
          <w:tcPr>
            <w:tcW w:w="689" w:type="dxa"/>
            <w:gridSpan w:val="2"/>
            <w:tcBorders>
              <w:top w:val="single" w:color="auto" w:sz="4" w:space="0"/>
              <w:left w:val="single" w:color="auto" w:sz="4" w:space="0"/>
              <w:bottom w:val="single" w:color="auto" w:sz="4" w:space="0"/>
              <w:right w:val="single" w:color="auto" w:sz="4" w:space="0"/>
            </w:tcBorders>
            <w:noWrap w:val="0"/>
            <w:vAlign w:val="center"/>
          </w:tcPr>
          <w:p w14:paraId="42E80F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w:t>
            </w:r>
          </w:p>
        </w:tc>
        <w:tc>
          <w:tcPr>
            <w:tcW w:w="1658" w:type="dxa"/>
            <w:gridSpan w:val="2"/>
            <w:tcBorders>
              <w:top w:val="single" w:color="auto" w:sz="4" w:space="0"/>
              <w:left w:val="single" w:color="auto" w:sz="4" w:space="0"/>
              <w:bottom w:val="single" w:color="auto" w:sz="4" w:space="0"/>
              <w:right w:val="single" w:color="auto" w:sz="4" w:space="0"/>
            </w:tcBorders>
            <w:noWrap w:val="0"/>
            <w:vAlign w:val="center"/>
          </w:tcPr>
          <w:p w14:paraId="4DED3F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装置区</w:t>
            </w:r>
          </w:p>
        </w:tc>
        <w:tc>
          <w:tcPr>
            <w:tcW w:w="995" w:type="dxa"/>
            <w:gridSpan w:val="2"/>
            <w:tcBorders>
              <w:left w:val="single" w:color="auto" w:sz="4" w:space="0"/>
              <w:right w:val="single" w:color="auto" w:sz="4" w:space="0"/>
            </w:tcBorders>
            <w:noWrap w:val="0"/>
            <w:vAlign w:val="center"/>
          </w:tcPr>
          <w:p w14:paraId="04719C9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邹勇</w:t>
            </w:r>
          </w:p>
        </w:tc>
        <w:tc>
          <w:tcPr>
            <w:tcW w:w="1776" w:type="dxa"/>
            <w:tcBorders>
              <w:left w:val="single" w:color="auto" w:sz="4" w:space="0"/>
              <w:right w:val="single" w:color="auto" w:sz="4" w:space="0"/>
            </w:tcBorders>
            <w:noWrap w:val="0"/>
            <w:vAlign w:val="center"/>
          </w:tcPr>
          <w:p w14:paraId="28BF887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18615123181</w:t>
            </w:r>
          </w:p>
        </w:tc>
      </w:tr>
      <w:tr w14:paraId="078D2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330" w:hRule="atLeast"/>
          <w:jc w:val="center"/>
        </w:trPr>
        <w:tc>
          <w:tcPr>
            <w:tcW w:w="1443" w:type="dxa"/>
            <w:gridSpan w:val="2"/>
            <w:tcBorders>
              <w:top w:val="single" w:color="auto" w:sz="4" w:space="0"/>
              <w:left w:val="single" w:color="auto" w:sz="4" w:space="0"/>
              <w:bottom w:val="single" w:color="auto" w:sz="4" w:space="0"/>
              <w:right w:val="single" w:color="auto" w:sz="4" w:space="0"/>
            </w:tcBorders>
            <w:noWrap w:val="0"/>
            <w:vAlign w:val="center"/>
          </w:tcPr>
          <w:p w14:paraId="659304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消防泵</w:t>
            </w:r>
          </w:p>
        </w:tc>
        <w:tc>
          <w:tcPr>
            <w:tcW w:w="1635" w:type="dxa"/>
            <w:gridSpan w:val="2"/>
            <w:tcBorders>
              <w:top w:val="single" w:color="auto" w:sz="4" w:space="0"/>
              <w:left w:val="single" w:color="auto" w:sz="4" w:space="0"/>
              <w:bottom w:val="single" w:color="auto" w:sz="4" w:space="0"/>
              <w:right w:val="single" w:color="auto" w:sz="4" w:space="0"/>
            </w:tcBorders>
            <w:noWrap w:val="0"/>
            <w:vAlign w:val="center"/>
          </w:tcPr>
          <w:p w14:paraId="64FED9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XBD5/30-100</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14:paraId="498D51E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消防灭火</w:t>
            </w:r>
          </w:p>
        </w:tc>
        <w:tc>
          <w:tcPr>
            <w:tcW w:w="689" w:type="dxa"/>
            <w:gridSpan w:val="2"/>
            <w:tcBorders>
              <w:top w:val="single" w:color="auto" w:sz="4" w:space="0"/>
              <w:left w:val="single" w:color="auto" w:sz="4" w:space="0"/>
              <w:bottom w:val="single" w:color="auto" w:sz="4" w:space="0"/>
              <w:right w:val="single" w:color="auto" w:sz="4" w:space="0"/>
            </w:tcBorders>
            <w:noWrap w:val="0"/>
            <w:vAlign w:val="center"/>
          </w:tcPr>
          <w:p w14:paraId="020A36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w:t>
            </w:r>
          </w:p>
        </w:tc>
        <w:tc>
          <w:tcPr>
            <w:tcW w:w="1658" w:type="dxa"/>
            <w:gridSpan w:val="2"/>
            <w:tcBorders>
              <w:top w:val="single" w:color="auto" w:sz="4" w:space="0"/>
              <w:left w:val="single" w:color="auto" w:sz="4" w:space="0"/>
              <w:bottom w:val="single" w:color="auto" w:sz="4" w:space="0"/>
              <w:right w:val="single" w:color="auto" w:sz="4" w:space="0"/>
            </w:tcBorders>
            <w:noWrap w:val="0"/>
            <w:vAlign w:val="center"/>
          </w:tcPr>
          <w:p w14:paraId="146674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与糠醇装置共用</w:t>
            </w:r>
          </w:p>
        </w:tc>
        <w:tc>
          <w:tcPr>
            <w:tcW w:w="995" w:type="dxa"/>
            <w:gridSpan w:val="2"/>
            <w:tcBorders>
              <w:left w:val="single" w:color="auto" w:sz="4" w:space="0"/>
              <w:right w:val="single" w:color="auto" w:sz="4" w:space="0"/>
            </w:tcBorders>
            <w:noWrap w:val="0"/>
            <w:vAlign w:val="center"/>
          </w:tcPr>
          <w:p w14:paraId="1CCCB6C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邹勇</w:t>
            </w:r>
          </w:p>
        </w:tc>
        <w:tc>
          <w:tcPr>
            <w:tcW w:w="1776" w:type="dxa"/>
            <w:tcBorders>
              <w:left w:val="single" w:color="auto" w:sz="4" w:space="0"/>
              <w:right w:val="single" w:color="auto" w:sz="4" w:space="0"/>
            </w:tcBorders>
            <w:noWrap w:val="0"/>
            <w:vAlign w:val="center"/>
          </w:tcPr>
          <w:p w14:paraId="3F6275A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18615123181</w:t>
            </w:r>
          </w:p>
        </w:tc>
      </w:tr>
      <w:tr w14:paraId="4AB6B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330" w:hRule="atLeast"/>
          <w:jc w:val="center"/>
        </w:trPr>
        <w:tc>
          <w:tcPr>
            <w:tcW w:w="1443" w:type="dxa"/>
            <w:gridSpan w:val="2"/>
            <w:tcBorders>
              <w:top w:val="single" w:color="auto" w:sz="4" w:space="0"/>
              <w:left w:val="single" w:color="auto" w:sz="4" w:space="0"/>
              <w:bottom w:val="single" w:color="auto" w:sz="4" w:space="0"/>
              <w:right w:val="single" w:color="auto" w:sz="4" w:space="0"/>
            </w:tcBorders>
            <w:noWrap w:val="0"/>
            <w:vAlign w:val="center"/>
          </w:tcPr>
          <w:p w14:paraId="671925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干粉灭火器</w:t>
            </w:r>
          </w:p>
        </w:tc>
        <w:tc>
          <w:tcPr>
            <w:tcW w:w="1635" w:type="dxa"/>
            <w:gridSpan w:val="2"/>
            <w:tcBorders>
              <w:top w:val="single" w:color="auto" w:sz="4" w:space="0"/>
              <w:left w:val="single" w:color="auto" w:sz="4" w:space="0"/>
              <w:bottom w:val="single" w:color="auto" w:sz="4" w:space="0"/>
              <w:right w:val="single" w:color="auto" w:sz="4" w:space="0"/>
            </w:tcBorders>
            <w:noWrap w:val="0"/>
            <w:vAlign w:val="center"/>
          </w:tcPr>
          <w:p w14:paraId="698B28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MFZ∕ABC8</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14:paraId="33B541D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消防灭火，检测在有效期内</w:t>
            </w:r>
          </w:p>
        </w:tc>
        <w:tc>
          <w:tcPr>
            <w:tcW w:w="689" w:type="dxa"/>
            <w:gridSpan w:val="2"/>
            <w:tcBorders>
              <w:top w:val="single" w:color="auto" w:sz="4" w:space="0"/>
              <w:left w:val="single" w:color="auto" w:sz="4" w:space="0"/>
              <w:bottom w:val="single" w:color="auto" w:sz="4" w:space="0"/>
              <w:right w:val="single" w:color="auto" w:sz="4" w:space="0"/>
            </w:tcBorders>
            <w:noWrap w:val="0"/>
            <w:vAlign w:val="center"/>
          </w:tcPr>
          <w:p w14:paraId="39626C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w:t>
            </w:r>
          </w:p>
        </w:tc>
        <w:tc>
          <w:tcPr>
            <w:tcW w:w="1658" w:type="dxa"/>
            <w:gridSpan w:val="2"/>
            <w:tcBorders>
              <w:top w:val="single" w:color="auto" w:sz="4" w:space="0"/>
              <w:left w:val="single" w:color="auto" w:sz="4" w:space="0"/>
              <w:bottom w:val="single" w:color="auto" w:sz="4" w:space="0"/>
              <w:right w:val="single" w:color="auto" w:sz="4" w:space="0"/>
            </w:tcBorders>
            <w:noWrap w:val="0"/>
            <w:vAlign w:val="center"/>
          </w:tcPr>
          <w:p w14:paraId="1D6EE8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装置区、罐区</w:t>
            </w:r>
          </w:p>
        </w:tc>
        <w:tc>
          <w:tcPr>
            <w:tcW w:w="995" w:type="dxa"/>
            <w:gridSpan w:val="2"/>
            <w:tcBorders>
              <w:left w:val="single" w:color="auto" w:sz="4" w:space="0"/>
              <w:right w:val="single" w:color="auto" w:sz="4" w:space="0"/>
            </w:tcBorders>
            <w:noWrap w:val="0"/>
            <w:vAlign w:val="center"/>
          </w:tcPr>
          <w:p w14:paraId="5BFC445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邹勇</w:t>
            </w:r>
          </w:p>
        </w:tc>
        <w:tc>
          <w:tcPr>
            <w:tcW w:w="1776" w:type="dxa"/>
            <w:tcBorders>
              <w:left w:val="single" w:color="auto" w:sz="4" w:space="0"/>
              <w:right w:val="single" w:color="auto" w:sz="4" w:space="0"/>
            </w:tcBorders>
            <w:noWrap w:val="0"/>
            <w:vAlign w:val="center"/>
          </w:tcPr>
          <w:p w14:paraId="5DD9B18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18615123181</w:t>
            </w:r>
          </w:p>
        </w:tc>
      </w:tr>
      <w:tr w14:paraId="44736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330" w:hRule="atLeast"/>
          <w:jc w:val="center"/>
        </w:trPr>
        <w:tc>
          <w:tcPr>
            <w:tcW w:w="1443" w:type="dxa"/>
            <w:gridSpan w:val="2"/>
            <w:tcBorders>
              <w:top w:val="single" w:color="auto" w:sz="4" w:space="0"/>
              <w:left w:val="single" w:color="auto" w:sz="4" w:space="0"/>
              <w:bottom w:val="single" w:color="auto" w:sz="4" w:space="0"/>
              <w:right w:val="single" w:color="auto" w:sz="4" w:space="0"/>
            </w:tcBorders>
            <w:noWrap w:val="0"/>
            <w:vAlign w:val="center"/>
          </w:tcPr>
          <w:p w14:paraId="2E6428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推车式干粉灭火器</w:t>
            </w:r>
          </w:p>
        </w:tc>
        <w:tc>
          <w:tcPr>
            <w:tcW w:w="1635" w:type="dxa"/>
            <w:gridSpan w:val="2"/>
            <w:tcBorders>
              <w:top w:val="single" w:color="auto" w:sz="4" w:space="0"/>
              <w:left w:val="single" w:color="auto" w:sz="4" w:space="0"/>
              <w:bottom w:val="single" w:color="auto" w:sz="4" w:space="0"/>
              <w:right w:val="single" w:color="auto" w:sz="4" w:space="0"/>
            </w:tcBorders>
            <w:noWrap w:val="0"/>
            <w:vAlign w:val="center"/>
          </w:tcPr>
          <w:p w14:paraId="0DD657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MFTZ/ABC35</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14:paraId="5B8C48D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消防灭火，检测在有效期内</w:t>
            </w:r>
          </w:p>
        </w:tc>
        <w:tc>
          <w:tcPr>
            <w:tcW w:w="689" w:type="dxa"/>
            <w:gridSpan w:val="2"/>
            <w:tcBorders>
              <w:top w:val="single" w:color="auto" w:sz="4" w:space="0"/>
              <w:left w:val="single" w:color="auto" w:sz="4" w:space="0"/>
              <w:bottom w:val="single" w:color="auto" w:sz="4" w:space="0"/>
              <w:right w:val="single" w:color="auto" w:sz="4" w:space="0"/>
            </w:tcBorders>
            <w:noWrap w:val="0"/>
            <w:vAlign w:val="center"/>
          </w:tcPr>
          <w:p w14:paraId="5A96F0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w:t>
            </w:r>
          </w:p>
        </w:tc>
        <w:tc>
          <w:tcPr>
            <w:tcW w:w="1658" w:type="dxa"/>
            <w:gridSpan w:val="2"/>
            <w:tcBorders>
              <w:top w:val="single" w:color="auto" w:sz="4" w:space="0"/>
              <w:left w:val="single" w:color="auto" w:sz="4" w:space="0"/>
              <w:bottom w:val="single" w:color="auto" w:sz="4" w:space="0"/>
              <w:right w:val="single" w:color="auto" w:sz="4" w:space="0"/>
            </w:tcBorders>
            <w:noWrap w:val="0"/>
            <w:vAlign w:val="center"/>
          </w:tcPr>
          <w:p w14:paraId="3998F7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装置区、罐区</w:t>
            </w:r>
          </w:p>
        </w:tc>
        <w:tc>
          <w:tcPr>
            <w:tcW w:w="995" w:type="dxa"/>
            <w:gridSpan w:val="2"/>
            <w:tcBorders>
              <w:left w:val="single" w:color="auto" w:sz="4" w:space="0"/>
              <w:right w:val="single" w:color="auto" w:sz="4" w:space="0"/>
            </w:tcBorders>
            <w:noWrap w:val="0"/>
            <w:vAlign w:val="center"/>
          </w:tcPr>
          <w:p w14:paraId="5FF2889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邹勇</w:t>
            </w:r>
          </w:p>
        </w:tc>
        <w:tc>
          <w:tcPr>
            <w:tcW w:w="1776" w:type="dxa"/>
            <w:tcBorders>
              <w:left w:val="single" w:color="auto" w:sz="4" w:space="0"/>
              <w:right w:val="single" w:color="auto" w:sz="4" w:space="0"/>
            </w:tcBorders>
            <w:noWrap w:val="0"/>
            <w:vAlign w:val="center"/>
          </w:tcPr>
          <w:p w14:paraId="7DCE36D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18615123181</w:t>
            </w:r>
          </w:p>
        </w:tc>
      </w:tr>
      <w:tr w14:paraId="5493A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330" w:hRule="atLeast"/>
          <w:jc w:val="center"/>
        </w:trPr>
        <w:tc>
          <w:tcPr>
            <w:tcW w:w="1443" w:type="dxa"/>
            <w:gridSpan w:val="2"/>
            <w:tcBorders>
              <w:top w:val="single" w:color="auto" w:sz="4" w:space="0"/>
              <w:left w:val="single" w:color="auto" w:sz="4" w:space="0"/>
              <w:bottom w:val="single" w:color="auto" w:sz="4" w:space="0"/>
              <w:right w:val="single" w:color="auto" w:sz="4" w:space="0"/>
            </w:tcBorders>
            <w:noWrap w:val="0"/>
            <w:vAlign w:val="center"/>
          </w:tcPr>
          <w:p w14:paraId="10B30C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二氧化碳灭火器</w:t>
            </w:r>
          </w:p>
        </w:tc>
        <w:tc>
          <w:tcPr>
            <w:tcW w:w="1635" w:type="dxa"/>
            <w:gridSpan w:val="2"/>
            <w:tcBorders>
              <w:top w:val="single" w:color="auto" w:sz="4" w:space="0"/>
              <w:left w:val="single" w:color="auto" w:sz="4" w:space="0"/>
              <w:bottom w:val="single" w:color="auto" w:sz="4" w:space="0"/>
              <w:right w:val="single" w:color="auto" w:sz="4" w:space="0"/>
            </w:tcBorders>
            <w:noWrap w:val="0"/>
            <w:vAlign w:val="center"/>
          </w:tcPr>
          <w:p w14:paraId="6C7A78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shd w:val="clear" w:color="auto" w:fill="FFFFFF"/>
              </w:rPr>
              <w:t>MT/2</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14:paraId="0A0DC0F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消防灭火，检测在有效期内</w:t>
            </w:r>
          </w:p>
        </w:tc>
        <w:tc>
          <w:tcPr>
            <w:tcW w:w="689" w:type="dxa"/>
            <w:gridSpan w:val="2"/>
            <w:tcBorders>
              <w:top w:val="single" w:color="auto" w:sz="4" w:space="0"/>
              <w:left w:val="single" w:color="auto" w:sz="4" w:space="0"/>
              <w:bottom w:val="single" w:color="auto" w:sz="4" w:space="0"/>
              <w:right w:val="single" w:color="auto" w:sz="4" w:space="0"/>
            </w:tcBorders>
            <w:noWrap w:val="0"/>
            <w:vAlign w:val="center"/>
          </w:tcPr>
          <w:p w14:paraId="050C90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w:t>
            </w:r>
          </w:p>
        </w:tc>
        <w:tc>
          <w:tcPr>
            <w:tcW w:w="1658" w:type="dxa"/>
            <w:gridSpan w:val="2"/>
            <w:tcBorders>
              <w:top w:val="single" w:color="auto" w:sz="4" w:space="0"/>
              <w:left w:val="single" w:color="auto" w:sz="4" w:space="0"/>
              <w:bottom w:val="single" w:color="auto" w:sz="4" w:space="0"/>
              <w:right w:val="single" w:color="auto" w:sz="4" w:space="0"/>
            </w:tcBorders>
            <w:noWrap w:val="0"/>
            <w:vAlign w:val="center"/>
          </w:tcPr>
          <w:p w14:paraId="67DB09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控制室、配电室</w:t>
            </w:r>
          </w:p>
        </w:tc>
        <w:tc>
          <w:tcPr>
            <w:tcW w:w="995" w:type="dxa"/>
            <w:gridSpan w:val="2"/>
            <w:tcBorders>
              <w:left w:val="single" w:color="auto" w:sz="4" w:space="0"/>
              <w:right w:val="single" w:color="auto" w:sz="4" w:space="0"/>
            </w:tcBorders>
            <w:noWrap w:val="0"/>
            <w:vAlign w:val="center"/>
          </w:tcPr>
          <w:p w14:paraId="2D275AB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邹勇</w:t>
            </w:r>
          </w:p>
        </w:tc>
        <w:tc>
          <w:tcPr>
            <w:tcW w:w="1776" w:type="dxa"/>
            <w:tcBorders>
              <w:left w:val="single" w:color="auto" w:sz="4" w:space="0"/>
              <w:right w:val="single" w:color="auto" w:sz="4" w:space="0"/>
            </w:tcBorders>
            <w:noWrap w:val="0"/>
            <w:vAlign w:val="center"/>
          </w:tcPr>
          <w:p w14:paraId="40878CB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18615123181</w:t>
            </w:r>
          </w:p>
        </w:tc>
      </w:tr>
      <w:tr w14:paraId="151AF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330" w:hRule="atLeast"/>
          <w:jc w:val="center"/>
        </w:trPr>
        <w:tc>
          <w:tcPr>
            <w:tcW w:w="1443" w:type="dxa"/>
            <w:gridSpan w:val="2"/>
            <w:tcBorders>
              <w:top w:val="single" w:color="auto" w:sz="4" w:space="0"/>
              <w:left w:val="single" w:color="auto" w:sz="4" w:space="0"/>
              <w:bottom w:val="single" w:color="auto" w:sz="4" w:space="0"/>
              <w:right w:val="single" w:color="auto" w:sz="4" w:space="0"/>
            </w:tcBorders>
            <w:noWrap w:val="0"/>
            <w:vAlign w:val="center"/>
          </w:tcPr>
          <w:p w14:paraId="63CEB2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消防沙</w:t>
            </w:r>
          </w:p>
        </w:tc>
        <w:tc>
          <w:tcPr>
            <w:tcW w:w="1635" w:type="dxa"/>
            <w:gridSpan w:val="2"/>
            <w:tcBorders>
              <w:top w:val="single" w:color="auto" w:sz="4" w:space="0"/>
              <w:left w:val="single" w:color="auto" w:sz="4" w:space="0"/>
              <w:bottom w:val="single" w:color="auto" w:sz="4" w:space="0"/>
              <w:right w:val="single" w:color="auto" w:sz="4" w:space="0"/>
            </w:tcBorders>
            <w:noWrap w:val="0"/>
            <w:vAlign w:val="center"/>
          </w:tcPr>
          <w:p w14:paraId="08C865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2立方米</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14:paraId="7E0B53C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消防灭火</w:t>
            </w:r>
          </w:p>
        </w:tc>
        <w:tc>
          <w:tcPr>
            <w:tcW w:w="689" w:type="dxa"/>
            <w:gridSpan w:val="2"/>
            <w:tcBorders>
              <w:top w:val="single" w:color="auto" w:sz="4" w:space="0"/>
              <w:left w:val="single" w:color="auto" w:sz="4" w:space="0"/>
              <w:bottom w:val="single" w:color="auto" w:sz="4" w:space="0"/>
              <w:right w:val="single" w:color="auto" w:sz="4" w:space="0"/>
            </w:tcBorders>
            <w:noWrap w:val="0"/>
            <w:vAlign w:val="center"/>
          </w:tcPr>
          <w:p w14:paraId="174D9F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1.5</w:t>
            </w:r>
          </w:p>
        </w:tc>
        <w:tc>
          <w:tcPr>
            <w:tcW w:w="1658" w:type="dxa"/>
            <w:gridSpan w:val="2"/>
            <w:tcBorders>
              <w:top w:val="single" w:color="auto" w:sz="4" w:space="0"/>
              <w:left w:val="single" w:color="auto" w:sz="4" w:space="0"/>
              <w:bottom w:val="single" w:color="auto" w:sz="4" w:space="0"/>
              <w:right w:val="single" w:color="auto" w:sz="4" w:space="0"/>
            </w:tcBorders>
            <w:noWrap w:val="0"/>
            <w:vAlign w:val="center"/>
          </w:tcPr>
          <w:p w14:paraId="5407A0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锅炉房</w:t>
            </w:r>
          </w:p>
        </w:tc>
        <w:tc>
          <w:tcPr>
            <w:tcW w:w="995" w:type="dxa"/>
            <w:gridSpan w:val="2"/>
            <w:tcBorders>
              <w:left w:val="single" w:color="auto" w:sz="4" w:space="0"/>
              <w:right w:val="single" w:color="auto" w:sz="4" w:space="0"/>
            </w:tcBorders>
            <w:noWrap w:val="0"/>
            <w:vAlign w:val="center"/>
          </w:tcPr>
          <w:p w14:paraId="45266C3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邹勇</w:t>
            </w:r>
          </w:p>
        </w:tc>
        <w:tc>
          <w:tcPr>
            <w:tcW w:w="1776" w:type="dxa"/>
            <w:tcBorders>
              <w:left w:val="single" w:color="auto" w:sz="4" w:space="0"/>
              <w:right w:val="single" w:color="auto" w:sz="4" w:space="0"/>
            </w:tcBorders>
            <w:noWrap w:val="0"/>
            <w:vAlign w:val="center"/>
          </w:tcPr>
          <w:p w14:paraId="2DCA6DC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18615123181</w:t>
            </w:r>
          </w:p>
        </w:tc>
      </w:tr>
      <w:tr w14:paraId="09E85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330" w:hRule="atLeast"/>
          <w:jc w:val="center"/>
        </w:trPr>
        <w:tc>
          <w:tcPr>
            <w:tcW w:w="1443" w:type="dxa"/>
            <w:gridSpan w:val="2"/>
            <w:tcBorders>
              <w:top w:val="single" w:color="auto" w:sz="4" w:space="0"/>
              <w:left w:val="single" w:color="auto" w:sz="4" w:space="0"/>
              <w:bottom w:val="single" w:color="auto" w:sz="4" w:space="0"/>
              <w:right w:val="single" w:color="auto" w:sz="4" w:space="0"/>
            </w:tcBorders>
            <w:noWrap w:val="0"/>
            <w:vAlign w:val="center"/>
          </w:tcPr>
          <w:p w14:paraId="2B8194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洗眼器、淋洗器</w:t>
            </w:r>
          </w:p>
        </w:tc>
        <w:tc>
          <w:tcPr>
            <w:tcW w:w="1635" w:type="dxa"/>
            <w:gridSpan w:val="2"/>
            <w:tcBorders>
              <w:top w:val="single" w:color="auto" w:sz="4" w:space="0"/>
              <w:left w:val="single" w:color="auto" w:sz="4" w:space="0"/>
              <w:bottom w:val="single" w:color="auto" w:sz="4" w:space="0"/>
              <w:right w:val="single" w:color="auto" w:sz="4" w:space="0"/>
            </w:tcBorders>
            <w:noWrap w:val="0"/>
            <w:vAlign w:val="center"/>
          </w:tcPr>
          <w:p w14:paraId="4152D9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复合型</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14:paraId="085CFB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应急冲洗</w:t>
            </w:r>
          </w:p>
        </w:tc>
        <w:tc>
          <w:tcPr>
            <w:tcW w:w="689" w:type="dxa"/>
            <w:gridSpan w:val="2"/>
            <w:tcBorders>
              <w:top w:val="single" w:color="auto" w:sz="4" w:space="0"/>
              <w:left w:val="single" w:color="auto" w:sz="4" w:space="0"/>
              <w:bottom w:val="single" w:color="auto" w:sz="4" w:space="0"/>
              <w:right w:val="single" w:color="auto" w:sz="4" w:space="0"/>
            </w:tcBorders>
            <w:noWrap w:val="0"/>
            <w:vAlign w:val="center"/>
          </w:tcPr>
          <w:p w14:paraId="55527E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w:t>
            </w:r>
          </w:p>
        </w:tc>
        <w:tc>
          <w:tcPr>
            <w:tcW w:w="1658" w:type="dxa"/>
            <w:gridSpan w:val="2"/>
            <w:tcBorders>
              <w:top w:val="single" w:color="auto" w:sz="4" w:space="0"/>
              <w:left w:val="single" w:color="auto" w:sz="4" w:space="0"/>
              <w:bottom w:val="single" w:color="auto" w:sz="4" w:space="0"/>
              <w:right w:val="single" w:color="auto" w:sz="4" w:space="0"/>
            </w:tcBorders>
            <w:noWrap w:val="0"/>
            <w:vAlign w:val="center"/>
          </w:tcPr>
          <w:p w14:paraId="3F7FA0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装置区</w:t>
            </w:r>
          </w:p>
        </w:tc>
        <w:tc>
          <w:tcPr>
            <w:tcW w:w="995" w:type="dxa"/>
            <w:gridSpan w:val="2"/>
            <w:tcBorders>
              <w:left w:val="single" w:color="auto" w:sz="4" w:space="0"/>
              <w:right w:val="single" w:color="auto" w:sz="4" w:space="0"/>
            </w:tcBorders>
            <w:noWrap w:val="0"/>
            <w:vAlign w:val="center"/>
          </w:tcPr>
          <w:p w14:paraId="5FFBDC4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邹勇</w:t>
            </w:r>
          </w:p>
        </w:tc>
        <w:tc>
          <w:tcPr>
            <w:tcW w:w="1776" w:type="dxa"/>
            <w:tcBorders>
              <w:left w:val="single" w:color="auto" w:sz="4" w:space="0"/>
              <w:right w:val="single" w:color="auto" w:sz="4" w:space="0"/>
            </w:tcBorders>
            <w:noWrap w:val="0"/>
            <w:vAlign w:val="center"/>
          </w:tcPr>
          <w:p w14:paraId="319D5BA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18615123181</w:t>
            </w:r>
          </w:p>
        </w:tc>
      </w:tr>
      <w:tr w14:paraId="449CB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330" w:hRule="atLeast"/>
          <w:jc w:val="center"/>
        </w:trPr>
        <w:tc>
          <w:tcPr>
            <w:tcW w:w="1443" w:type="dxa"/>
            <w:gridSpan w:val="2"/>
            <w:tcBorders>
              <w:top w:val="single" w:color="auto" w:sz="4" w:space="0"/>
              <w:left w:val="single" w:color="auto" w:sz="4" w:space="0"/>
              <w:bottom w:val="single" w:color="auto" w:sz="4" w:space="0"/>
              <w:right w:val="single" w:color="auto" w:sz="4" w:space="0"/>
            </w:tcBorders>
            <w:noWrap w:val="0"/>
            <w:vAlign w:val="center"/>
          </w:tcPr>
          <w:p w14:paraId="739D64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消防水炮</w:t>
            </w:r>
          </w:p>
        </w:tc>
        <w:tc>
          <w:tcPr>
            <w:tcW w:w="1635" w:type="dxa"/>
            <w:gridSpan w:val="2"/>
            <w:tcBorders>
              <w:top w:val="single" w:color="auto" w:sz="4" w:space="0"/>
              <w:left w:val="single" w:color="auto" w:sz="4" w:space="0"/>
              <w:bottom w:val="single" w:color="auto" w:sz="4" w:space="0"/>
              <w:right w:val="single" w:color="auto" w:sz="4" w:space="0"/>
            </w:tcBorders>
            <w:noWrap w:val="0"/>
            <w:vAlign w:val="center"/>
          </w:tcPr>
          <w:p w14:paraId="090C5A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PS30-50</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14:paraId="5BEE22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消防灭火</w:t>
            </w:r>
          </w:p>
        </w:tc>
        <w:tc>
          <w:tcPr>
            <w:tcW w:w="689" w:type="dxa"/>
            <w:gridSpan w:val="2"/>
            <w:tcBorders>
              <w:top w:val="single" w:color="auto" w:sz="4" w:space="0"/>
              <w:left w:val="single" w:color="auto" w:sz="4" w:space="0"/>
              <w:bottom w:val="single" w:color="auto" w:sz="4" w:space="0"/>
              <w:right w:val="single" w:color="auto" w:sz="4" w:space="0"/>
            </w:tcBorders>
            <w:noWrap w:val="0"/>
            <w:vAlign w:val="center"/>
          </w:tcPr>
          <w:p w14:paraId="476131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w:t>
            </w:r>
          </w:p>
        </w:tc>
        <w:tc>
          <w:tcPr>
            <w:tcW w:w="1658" w:type="dxa"/>
            <w:gridSpan w:val="2"/>
            <w:tcBorders>
              <w:top w:val="single" w:color="auto" w:sz="4" w:space="0"/>
              <w:left w:val="single" w:color="auto" w:sz="4" w:space="0"/>
              <w:bottom w:val="single" w:color="auto" w:sz="4" w:space="0"/>
              <w:right w:val="single" w:color="auto" w:sz="4" w:space="0"/>
            </w:tcBorders>
            <w:noWrap w:val="0"/>
            <w:vAlign w:val="center"/>
          </w:tcPr>
          <w:p w14:paraId="69C52E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装置区</w:t>
            </w:r>
          </w:p>
        </w:tc>
        <w:tc>
          <w:tcPr>
            <w:tcW w:w="995" w:type="dxa"/>
            <w:gridSpan w:val="2"/>
            <w:tcBorders>
              <w:left w:val="single" w:color="auto" w:sz="4" w:space="0"/>
              <w:right w:val="single" w:color="auto" w:sz="4" w:space="0"/>
            </w:tcBorders>
            <w:noWrap w:val="0"/>
            <w:vAlign w:val="center"/>
          </w:tcPr>
          <w:p w14:paraId="2184CD2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邹勇</w:t>
            </w:r>
          </w:p>
        </w:tc>
        <w:tc>
          <w:tcPr>
            <w:tcW w:w="1776" w:type="dxa"/>
            <w:tcBorders>
              <w:left w:val="single" w:color="auto" w:sz="4" w:space="0"/>
              <w:right w:val="single" w:color="auto" w:sz="4" w:space="0"/>
            </w:tcBorders>
            <w:noWrap w:val="0"/>
            <w:vAlign w:val="center"/>
          </w:tcPr>
          <w:p w14:paraId="55FC271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18615123181</w:t>
            </w:r>
          </w:p>
        </w:tc>
      </w:tr>
      <w:tr w14:paraId="77538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330" w:hRule="atLeast"/>
          <w:jc w:val="center"/>
        </w:trPr>
        <w:tc>
          <w:tcPr>
            <w:tcW w:w="1443" w:type="dxa"/>
            <w:gridSpan w:val="2"/>
            <w:tcBorders>
              <w:top w:val="single" w:color="auto" w:sz="4" w:space="0"/>
              <w:left w:val="single" w:color="auto" w:sz="4" w:space="0"/>
              <w:bottom w:val="single" w:color="auto" w:sz="4" w:space="0"/>
              <w:right w:val="single" w:color="auto" w:sz="4" w:space="0"/>
            </w:tcBorders>
            <w:noWrap w:val="0"/>
            <w:vAlign w:val="center"/>
          </w:tcPr>
          <w:p w14:paraId="3643FC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可燃气体报警仪</w:t>
            </w:r>
          </w:p>
        </w:tc>
        <w:tc>
          <w:tcPr>
            <w:tcW w:w="1635" w:type="dxa"/>
            <w:gridSpan w:val="2"/>
            <w:tcBorders>
              <w:top w:val="single" w:color="auto" w:sz="4" w:space="0"/>
              <w:left w:val="single" w:color="auto" w:sz="4" w:space="0"/>
              <w:bottom w:val="single" w:color="auto" w:sz="4" w:space="0"/>
              <w:right w:val="single" w:color="auto" w:sz="4" w:space="0"/>
            </w:tcBorders>
            <w:noWrap w:val="0"/>
            <w:vAlign w:val="center"/>
          </w:tcPr>
          <w:p w14:paraId="24EB09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QT-300</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14:paraId="22DE99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报警、检测在有效期内</w:t>
            </w:r>
          </w:p>
        </w:tc>
        <w:tc>
          <w:tcPr>
            <w:tcW w:w="689" w:type="dxa"/>
            <w:gridSpan w:val="2"/>
            <w:tcBorders>
              <w:top w:val="single" w:color="auto" w:sz="4" w:space="0"/>
              <w:left w:val="single" w:color="auto" w:sz="4" w:space="0"/>
              <w:bottom w:val="single" w:color="auto" w:sz="4" w:space="0"/>
              <w:right w:val="single" w:color="auto" w:sz="4" w:space="0"/>
            </w:tcBorders>
            <w:noWrap w:val="0"/>
            <w:vAlign w:val="center"/>
          </w:tcPr>
          <w:p w14:paraId="32C24A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9</w:t>
            </w:r>
          </w:p>
        </w:tc>
        <w:tc>
          <w:tcPr>
            <w:tcW w:w="1658" w:type="dxa"/>
            <w:gridSpan w:val="2"/>
            <w:tcBorders>
              <w:top w:val="single" w:color="auto" w:sz="4" w:space="0"/>
              <w:left w:val="single" w:color="auto" w:sz="4" w:space="0"/>
              <w:bottom w:val="single" w:color="auto" w:sz="4" w:space="0"/>
              <w:right w:val="single" w:color="auto" w:sz="4" w:space="0"/>
            </w:tcBorders>
            <w:noWrap w:val="0"/>
            <w:vAlign w:val="center"/>
          </w:tcPr>
          <w:p w14:paraId="66D3B6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装置区、罐区</w:t>
            </w:r>
          </w:p>
        </w:tc>
        <w:tc>
          <w:tcPr>
            <w:tcW w:w="995" w:type="dxa"/>
            <w:gridSpan w:val="2"/>
            <w:tcBorders>
              <w:left w:val="single" w:color="auto" w:sz="4" w:space="0"/>
              <w:bottom w:val="single" w:color="auto" w:sz="4" w:space="0"/>
              <w:right w:val="single" w:color="auto" w:sz="4" w:space="0"/>
            </w:tcBorders>
            <w:noWrap w:val="0"/>
            <w:vAlign w:val="center"/>
          </w:tcPr>
          <w:p w14:paraId="1E39945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邹勇</w:t>
            </w:r>
          </w:p>
        </w:tc>
        <w:tc>
          <w:tcPr>
            <w:tcW w:w="1776" w:type="dxa"/>
            <w:tcBorders>
              <w:left w:val="single" w:color="auto" w:sz="4" w:space="0"/>
              <w:bottom w:val="single" w:color="auto" w:sz="4" w:space="0"/>
              <w:right w:val="single" w:color="auto" w:sz="4" w:space="0"/>
            </w:tcBorders>
            <w:noWrap w:val="0"/>
            <w:vAlign w:val="center"/>
          </w:tcPr>
          <w:p w14:paraId="53BA58D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18615123181</w:t>
            </w:r>
          </w:p>
        </w:tc>
      </w:tr>
      <w:tr w14:paraId="216BD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330" w:hRule="atLeast"/>
          <w:jc w:val="center"/>
        </w:trPr>
        <w:tc>
          <w:tcPr>
            <w:tcW w:w="1443" w:type="dxa"/>
            <w:gridSpan w:val="2"/>
            <w:tcBorders>
              <w:top w:val="single" w:color="auto" w:sz="4" w:space="0"/>
              <w:left w:val="single" w:color="auto" w:sz="4" w:space="0"/>
              <w:bottom w:val="single" w:color="auto" w:sz="4" w:space="0"/>
              <w:right w:val="single" w:color="auto" w:sz="4" w:space="0"/>
            </w:tcBorders>
            <w:noWrap w:val="0"/>
            <w:vAlign w:val="center"/>
          </w:tcPr>
          <w:p w14:paraId="0BEB4D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围堰</w:t>
            </w:r>
          </w:p>
        </w:tc>
        <w:tc>
          <w:tcPr>
            <w:tcW w:w="1635" w:type="dxa"/>
            <w:gridSpan w:val="2"/>
            <w:tcBorders>
              <w:top w:val="single" w:color="auto" w:sz="4" w:space="0"/>
              <w:left w:val="single" w:color="auto" w:sz="4" w:space="0"/>
              <w:bottom w:val="single" w:color="auto" w:sz="4" w:space="0"/>
              <w:right w:val="single" w:color="auto" w:sz="4" w:space="0"/>
            </w:tcBorders>
            <w:noWrap w:val="0"/>
            <w:vAlign w:val="center"/>
          </w:tcPr>
          <w:p w14:paraId="5A2640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14:paraId="06E115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防溢流</w:t>
            </w:r>
          </w:p>
        </w:tc>
        <w:tc>
          <w:tcPr>
            <w:tcW w:w="689" w:type="dxa"/>
            <w:gridSpan w:val="2"/>
            <w:tcBorders>
              <w:top w:val="single" w:color="auto" w:sz="4" w:space="0"/>
              <w:left w:val="single" w:color="auto" w:sz="4" w:space="0"/>
              <w:bottom w:val="single" w:color="auto" w:sz="4" w:space="0"/>
              <w:right w:val="single" w:color="auto" w:sz="4" w:space="0"/>
            </w:tcBorders>
            <w:noWrap w:val="0"/>
            <w:vAlign w:val="center"/>
          </w:tcPr>
          <w:p w14:paraId="13B3C9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w:t>
            </w:r>
          </w:p>
        </w:tc>
        <w:tc>
          <w:tcPr>
            <w:tcW w:w="1658" w:type="dxa"/>
            <w:gridSpan w:val="2"/>
            <w:tcBorders>
              <w:top w:val="single" w:color="auto" w:sz="4" w:space="0"/>
              <w:left w:val="single" w:color="auto" w:sz="4" w:space="0"/>
              <w:bottom w:val="single" w:color="auto" w:sz="4" w:space="0"/>
              <w:right w:val="single" w:color="auto" w:sz="4" w:space="0"/>
            </w:tcBorders>
            <w:noWrap w:val="0"/>
            <w:vAlign w:val="center"/>
          </w:tcPr>
          <w:p w14:paraId="79B364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装置区、罐区</w:t>
            </w:r>
          </w:p>
        </w:tc>
        <w:tc>
          <w:tcPr>
            <w:tcW w:w="995" w:type="dxa"/>
            <w:gridSpan w:val="2"/>
            <w:tcBorders>
              <w:top w:val="single" w:color="auto" w:sz="4" w:space="0"/>
              <w:left w:val="single" w:color="auto" w:sz="4" w:space="0"/>
              <w:bottom w:val="single" w:color="auto" w:sz="4" w:space="0"/>
              <w:right w:val="single" w:color="auto" w:sz="4" w:space="0"/>
            </w:tcBorders>
            <w:noWrap w:val="0"/>
            <w:vAlign w:val="center"/>
          </w:tcPr>
          <w:p w14:paraId="5531D95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邹勇</w:t>
            </w:r>
          </w:p>
        </w:tc>
        <w:tc>
          <w:tcPr>
            <w:tcW w:w="1776" w:type="dxa"/>
            <w:tcBorders>
              <w:top w:val="single" w:color="auto" w:sz="4" w:space="0"/>
              <w:left w:val="single" w:color="auto" w:sz="4" w:space="0"/>
              <w:bottom w:val="single" w:color="auto" w:sz="4" w:space="0"/>
              <w:right w:val="single" w:color="auto" w:sz="4" w:space="0"/>
            </w:tcBorders>
            <w:noWrap w:val="0"/>
            <w:vAlign w:val="center"/>
          </w:tcPr>
          <w:p w14:paraId="57C7D03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18615123181</w:t>
            </w:r>
          </w:p>
        </w:tc>
      </w:tr>
      <w:tr w14:paraId="263FB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330" w:hRule="atLeast"/>
          <w:jc w:val="center"/>
        </w:trPr>
        <w:tc>
          <w:tcPr>
            <w:tcW w:w="1443" w:type="dxa"/>
            <w:gridSpan w:val="2"/>
            <w:tcBorders>
              <w:top w:val="single" w:color="auto" w:sz="4" w:space="0"/>
              <w:left w:val="single" w:color="auto" w:sz="4" w:space="0"/>
              <w:bottom w:val="single" w:color="auto" w:sz="4" w:space="0"/>
              <w:right w:val="single" w:color="auto" w:sz="4" w:space="0"/>
            </w:tcBorders>
            <w:noWrap w:val="0"/>
            <w:vAlign w:val="center"/>
          </w:tcPr>
          <w:p w14:paraId="3746ED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事故水池</w:t>
            </w:r>
          </w:p>
        </w:tc>
        <w:tc>
          <w:tcPr>
            <w:tcW w:w="1635" w:type="dxa"/>
            <w:gridSpan w:val="2"/>
            <w:tcBorders>
              <w:top w:val="single" w:color="auto" w:sz="4" w:space="0"/>
              <w:left w:val="single" w:color="auto" w:sz="4" w:space="0"/>
              <w:bottom w:val="single" w:color="auto" w:sz="4" w:space="0"/>
              <w:right w:val="single" w:color="auto" w:sz="4" w:space="0"/>
            </w:tcBorders>
            <w:noWrap w:val="0"/>
            <w:vAlign w:val="center"/>
          </w:tcPr>
          <w:p w14:paraId="48CAED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2</w:t>
            </w:r>
            <w:r>
              <w:rPr>
                <w:rFonts w:hint="default" w:ascii="Times New Roman" w:hAnsi="Times New Roman" w:eastAsia="宋体" w:cs="Times New Roman"/>
                <w:color w:val="auto"/>
                <w:sz w:val="21"/>
                <w:szCs w:val="21"/>
              </w:rPr>
              <w:t>60立方米</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14:paraId="71B27E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事故水收集</w:t>
            </w:r>
          </w:p>
        </w:tc>
        <w:tc>
          <w:tcPr>
            <w:tcW w:w="689" w:type="dxa"/>
            <w:gridSpan w:val="2"/>
            <w:tcBorders>
              <w:top w:val="single" w:color="auto" w:sz="4" w:space="0"/>
              <w:left w:val="single" w:color="auto" w:sz="4" w:space="0"/>
              <w:bottom w:val="single" w:color="auto" w:sz="4" w:space="0"/>
              <w:right w:val="single" w:color="auto" w:sz="4" w:space="0"/>
            </w:tcBorders>
            <w:noWrap w:val="0"/>
            <w:vAlign w:val="center"/>
          </w:tcPr>
          <w:p w14:paraId="199E17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z w:val="21"/>
                <w:szCs w:val="21"/>
                <w:lang w:eastAsia="zh-CN"/>
              </w:rPr>
            </w:pPr>
            <w:r>
              <w:rPr>
                <w:rFonts w:hint="eastAsia" w:cs="Times New Roman"/>
                <w:color w:val="auto"/>
                <w:sz w:val="21"/>
                <w:szCs w:val="21"/>
                <w:lang w:val="en-US" w:eastAsia="zh-CN"/>
              </w:rPr>
              <w:t>1</w:t>
            </w:r>
          </w:p>
        </w:tc>
        <w:tc>
          <w:tcPr>
            <w:tcW w:w="1658" w:type="dxa"/>
            <w:gridSpan w:val="2"/>
            <w:tcBorders>
              <w:top w:val="single" w:color="auto" w:sz="4" w:space="0"/>
              <w:left w:val="single" w:color="auto" w:sz="4" w:space="0"/>
              <w:bottom w:val="single" w:color="auto" w:sz="4" w:space="0"/>
              <w:right w:val="single" w:color="auto" w:sz="4" w:space="0"/>
            </w:tcBorders>
            <w:noWrap w:val="0"/>
            <w:vAlign w:val="center"/>
          </w:tcPr>
          <w:p w14:paraId="08A410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隆信厂区东南侧（公用）</w:t>
            </w:r>
          </w:p>
        </w:tc>
        <w:tc>
          <w:tcPr>
            <w:tcW w:w="995" w:type="dxa"/>
            <w:gridSpan w:val="2"/>
            <w:tcBorders>
              <w:top w:val="single" w:color="auto" w:sz="4" w:space="0"/>
              <w:left w:val="single" w:color="auto" w:sz="4" w:space="0"/>
              <w:bottom w:val="single" w:color="auto" w:sz="4" w:space="0"/>
              <w:right w:val="single" w:color="auto" w:sz="4" w:space="0"/>
            </w:tcBorders>
            <w:noWrap w:val="0"/>
            <w:vAlign w:val="center"/>
          </w:tcPr>
          <w:p w14:paraId="7822F25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z w:val="21"/>
                <w:szCs w:val="21"/>
                <w:lang w:eastAsia="zh-CN"/>
              </w:rPr>
            </w:pPr>
            <w:r>
              <w:rPr>
                <w:rFonts w:hint="eastAsia" w:cs="Times New Roman"/>
                <w:color w:val="auto"/>
                <w:sz w:val="21"/>
                <w:szCs w:val="21"/>
                <w:lang w:eastAsia="zh-CN"/>
              </w:rPr>
              <w:t>刘畅恒</w:t>
            </w:r>
          </w:p>
        </w:tc>
        <w:tc>
          <w:tcPr>
            <w:tcW w:w="1776" w:type="dxa"/>
            <w:tcBorders>
              <w:top w:val="single" w:color="auto" w:sz="4" w:space="0"/>
              <w:left w:val="single" w:color="auto" w:sz="4" w:space="0"/>
              <w:bottom w:val="single" w:color="auto" w:sz="4" w:space="0"/>
              <w:right w:val="single" w:color="auto" w:sz="4" w:space="0"/>
            </w:tcBorders>
            <w:noWrap w:val="0"/>
            <w:vAlign w:val="center"/>
          </w:tcPr>
          <w:p w14:paraId="5CA5D9E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13280689988</w:t>
            </w:r>
          </w:p>
        </w:tc>
      </w:tr>
      <w:tr w14:paraId="40AC0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330" w:hRule="atLeast"/>
          <w:jc w:val="center"/>
        </w:trPr>
        <w:tc>
          <w:tcPr>
            <w:tcW w:w="9693" w:type="dxa"/>
            <w:gridSpan w:val="13"/>
            <w:tcBorders>
              <w:top w:val="single" w:color="auto" w:sz="4" w:space="0"/>
              <w:left w:val="single" w:color="auto" w:sz="4" w:space="0"/>
              <w:bottom w:val="single" w:color="auto" w:sz="4" w:space="0"/>
              <w:right w:val="single" w:color="auto" w:sz="4" w:space="0"/>
            </w:tcBorders>
            <w:noWrap w:val="0"/>
            <w:vAlign w:val="center"/>
          </w:tcPr>
          <w:p w14:paraId="4411C4D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b/>
                <w:bCs/>
                <w:color w:val="auto"/>
                <w:sz w:val="21"/>
                <w:szCs w:val="21"/>
                <w:lang w:val="en-US" w:eastAsia="zh-CN"/>
              </w:rPr>
              <w:t>共用</w:t>
            </w:r>
          </w:p>
        </w:tc>
      </w:tr>
      <w:tr w14:paraId="07A02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824" w:hRule="atLeast"/>
          <w:jc w:val="center"/>
        </w:trPr>
        <w:tc>
          <w:tcPr>
            <w:tcW w:w="1443" w:type="dxa"/>
            <w:gridSpan w:val="2"/>
            <w:tcBorders>
              <w:top w:val="single" w:color="auto" w:sz="4" w:space="0"/>
              <w:left w:val="single" w:color="auto" w:sz="4" w:space="0"/>
              <w:bottom w:val="single" w:color="auto" w:sz="4" w:space="0"/>
              <w:right w:val="single" w:color="auto" w:sz="4" w:space="0"/>
            </w:tcBorders>
            <w:noWrap w:val="0"/>
            <w:vAlign w:val="center"/>
          </w:tcPr>
          <w:p w14:paraId="2EA3975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eastAsia="zh-CN"/>
              </w:rPr>
              <w:t>沙袋</w:t>
            </w:r>
          </w:p>
        </w:tc>
        <w:tc>
          <w:tcPr>
            <w:tcW w:w="1635" w:type="dxa"/>
            <w:gridSpan w:val="2"/>
            <w:tcBorders>
              <w:top w:val="single" w:color="auto" w:sz="4" w:space="0"/>
              <w:left w:val="single" w:color="auto" w:sz="4" w:space="0"/>
              <w:bottom w:val="single" w:color="auto" w:sz="4" w:space="0"/>
              <w:right w:val="single" w:color="auto" w:sz="4" w:space="0"/>
            </w:tcBorders>
            <w:noWrap w:val="0"/>
            <w:vAlign w:val="center"/>
          </w:tcPr>
          <w:p w14:paraId="07FACED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14:paraId="2ACA30C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安全</w:t>
            </w:r>
          </w:p>
        </w:tc>
        <w:tc>
          <w:tcPr>
            <w:tcW w:w="689" w:type="dxa"/>
            <w:gridSpan w:val="2"/>
            <w:tcBorders>
              <w:top w:val="single" w:color="auto" w:sz="4" w:space="0"/>
              <w:left w:val="single" w:color="auto" w:sz="4" w:space="0"/>
              <w:bottom w:val="single" w:color="auto" w:sz="4" w:space="0"/>
              <w:right w:val="single" w:color="auto" w:sz="4" w:space="0"/>
            </w:tcBorders>
            <w:noWrap w:val="0"/>
            <w:vAlign w:val="center"/>
          </w:tcPr>
          <w:p w14:paraId="1FF2D84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200条</w:t>
            </w:r>
          </w:p>
        </w:tc>
        <w:tc>
          <w:tcPr>
            <w:tcW w:w="1658" w:type="dxa"/>
            <w:gridSpan w:val="2"/>
            <w:tcBorders>
              <w:top w:val="single" w:color="auto" w:sz="4" w:space="0"/>
              <w:left w:val="single" w:color="auto" w:sz="4" w:space="0"/>
              <w:bottom w:val="single" w:color="auto" w:sz="4" w:space="0"/>
              <w:right w:val="single" w:color="auto" w:sz="4" w:space="0"/>
            </w:tcBorders>
            <w:noWrap w:val="0"/>
            <w:vAlign w:val="center"/>
          </w:tcPr>
          <w:p w14:paraId="705B92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装置区</w:t>
            </w:r>
          </w:p>
        </w:tc>
        <w:tc>
          <w:tcPr>
            <w:tcW w:w="995" w:type="dxa"/>
            <w:gridSpan w:val="2"/>
            <w:tcBorders>
              <w:top w:val="single" w:color="auto" w:sz="4" w:space="0"/>
              <w:left w:val="single" w:color="auto" w:sz="4" w:space="0"/>
              <w:bottom w:val="single" w:color="auto" w:sz="4" w:space="0"/>
              <w:right w:val="single" w:color="auto" w:sz="4" w:space="0"/>
            </w:tcBorders>
            <w:noWrap w:val="0"/>
            <w:vAlign w:val="center"/>
          </w:tcPr>
          <w:p w14:paraId="4AA68AC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邹勇</w:t>
            </w:r>
          </w:p>
        </w:tc>
        <w:tc>
          <w:tcPr>
            <w:tcW w:w="1776" w:type="dxa"/>
            <w:tcBorders>
              <w:top w:val="single" w:color="auto" w:sz="4" w:space="0"/>
              <w:left w:val="single" w:color="auto" w:sz="4" w:space="0"/>
              <w:bottom w:val="single" w:color="auto" w:sz="4" w:space="0"/>
              <w:right w:val="single" w:color="auto" w:sz="4" w:space="0"/>
            </w:tcBorders>
            <w:noWrap w:val="0"/>
            <w:vAlign w:val="center"/>
          </w:tcPr>
          <w:p w14:paraId="5409761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18615123181</w:t>
            </w:r>
          </w:p>
        </w:tc>
      </w:tr>
      <w:tr w14:paraId="31E83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330" w:hRule="atLeast"/>
          <w:jc w:val="center"/>
        </w:trPr>
        <w:tc>
          <w:tcPr>
            <w:tcW w:w="1443" w:type="dxa"/>
            <w:gridSpan w:val="2"/>
            <w:tcBorders>
              <w:top w:val="single" w:color="auto" w:sz="4" w:space="0"/>
              <w:left w:val="single" w:color="auto" w:sz="4" w:space="0"/>
              <w:bottom w:val="single" w:color="auto" w:sz="4" w:space="0"/>
              <w:right w:val="single" w:color="auto" w:sz="4" w:space="0"/>
            </w:tcBorders>
            <w:noWrap w:val="0"/>
            <w:vAlign w:val="center"/>
          </w:tcPr>
          <w:p w14:paraId="41245FF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eastAsia="zh-CN"/>
              </w:rPr>
              <w:t>吸油毡</w:t>
            </w:r>
          </w:p>
        </w:tc>
        <w:tc>
          <w:tcPr>
            <w:tcW w:w="1635" w:type="dxa"/>
            <w:gridSpan w:val="2"/>
            <w:tcBorders>
              <w:top w:val="single" w:color="auto" w:sz="4" w:space="0"/>
              <w:left w:val="single" w:color="auto" w:sz="4" w:space="0"/>
              <w:bottom w:val="single" w:color="auto" w:sz="4" w:space="0"/>
              <w:right w:val="single" w:color="auto" w:sz="4" w:space="0"/>
            </w:tcBorders>
            <w:noWrap w:val="0"/>
            <w:vAlign w:val="center"/>
          </w:tcPr>
          <w:p w14:paraId="15984AF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14:paraId="0139537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安全</w:t>
            </w:r>
          </w:p>
        </w:tc>
        <w:tc>
          <w:tcPr>
            <w:tcW w:w="689" w:type="dxa"/>
            <w:gridSpan w:val="2"/>
            <w:tcBorders>
              <w:top w:val="single" w:color="auto" w:sz="4" w:space="0"/>
              <w:left w:val="single" w:color="auto" w:sz="4" w:space="0"/>
              <w:bottom w:val="single" w:color="auto" w:sz="4" w:space="0"/>
              <w:right w:val="single" w:color="auto" w:sz="4" w:space="0"/>
            </w:tcBorders>
            <w:noWrap w:val="0"/>
            <w:vAlign w:val="center"/>
          </w:tcPr>
          <w:p w14:paraId="2E5CEB4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5m</w:t>
            </w:r>
            <w:r>
              <w:rPr>
                <w:rFonts w:hint="default" w:ascii="Times New Roman" w:hAnsi="Times New Roman" w:eastAsia="宋体" w:cs="Times New Roman"/>
                <w:color w:val="auto"/>
                <w:kern w:val="0"/>
                <w:sz w:val="21"/>
                <w:szCs w:val="21"/>
                <w:highlight w:val="none"/>
                <w:vertAlign w:val="superscript"/>
                <w:lang w:val="en-US" w:eastAsia="zh-CN"/>
              </w:rPr>
              <w:t>2</w:t>
            </w:r>
          </w:p>
        </w:tc>
        <w:tc>
          <w:tcPr>
            <w:tcW w:w="1658" w:type="dxa"/>
            <w:gridSpan w:val="2"/>
            <w:tcBorders>
              <w:top w:val="single" w:color="auto" w:sz="4" w:space="0"/>
              <w:left w:val="single" w:color="auto" w:sz="4" w:space="0"/>
              <w:bottom w:val="single" w:color="auto" w:sz="4" w:space="0"/>
              <w:right w:val="single" w:color="auto" w:sz="4" w:space="0"/>
            </w:tcBorders>
            <w:noWrap w:val="0"/>
            <w:vAlign w:val="center"/>
          </w:tcPr>
          <w:p w14:paraId="521F2A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装置区</w:t>
            </w:r>
          </w:p>
        </w:tc>
        <w:tc>
          <w:tcPr>
            <w:tcW w:w="995" w:type="dxa"/>
            <w:gridSpan w:val="2"/>
            <w:tcBorders>
              <w:top w:val="single" w:color="auto" w:sz="4" w:space="0"/>
              <w:left w:val="single" w:color="auto" w:sz="4" w:space="0"/>
              <w:bottom w:val="single" w:color="auto" w:sz="4" w:space="0"/>
              <w:right w:val="single" w:color="auto" w:sz="4" w:space="0"/>
            </w:tcBorders>
            <w:noWrap w:val="0"/>
            <w:vAlign w:val="center"/>
          </w:tcPr>
          <w:p w14:paraId="38501F0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邹勇</w:t>
            </w:r>
          </w:p>
        </w:tc>
        <w:tc>
          <w:tcPr>
            <w:tcW w:w="1776" w:type="dxa"/>
            <w:tcBorders>
              <w:top w:val="single" w:color="auto" w:sz="4" w:space="0"/>
              <w:left w:val="single" w:color="auto" w:sz="4" w:space="0"/>
              <w:bottom w:val="single" w:color="auto" w:sz="4" w:space="0"/>
              <w:right w:val="single" w:color="auto" w:sz="4" w:space="0"/>
            </w:tcBorders>
            <w:noWrap w:val="0"/>
            <w:vAlign w:val="center"/>
          </w:tcPr>
          <w:p w14:paraId="1F20D8C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18615123181</w:t>
            </w:r>
          </w:p>
        </w:tc>
      </w:tr>
      <w:tr w14:paraId="36309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330" w:hRule="atLeast"/>
          <w:jc w:val="center"/>
        </w:trPr>
        <w:tc>
          <w:tcPr>
            <w:tcW w:w="1443" w:type="dxa"/>
            <w:gridSpan w:val="2"/>
            <w:tcBorders>
              <w:top w:val="single" w:color="auto" w:sz="4" w:space="0"/>
              <w:left w:val="single" w:color="auto" w:sz="4" w:space="0"/>
              <w:bottom w:val="single" w:color="auto" w:sz="4" w:space="0"/>
              <w:right w:val="single" w:color="auto" w:sz="4" w:space="0"/>
            </w:tcBorders>
            <w:noWrap w:val="0"/>
            <w:vAlign w:val="center"/>
          </w:tcPr>
          <w:p w14:paraId="13FD093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eastAsia="zh-CN"/>
              </w:rPr>
              <w:t>塑料布</w:t>
            </w:r>
          </w:p>
        </w:tc>
        <w:tc>
          <w:tcPr>
            <w:tcW w:w="1635" w:type="dxa"/>
            <w:gridSpan w:val="2"/>
            <w:tcBorders>
              <w:top w:val="single" w:color="auto" w:sz="4" w:space="0"/>
              <w:left w:val="single" w:color="auto" w:sz="4" w:space="0"/>
              <w:bottom w:val="single" w:color="auto" w:sz="4" w:space="0"/>
              <w:right w:val="single" w:color="auto" w:sz="4" w:space="0"/>
            </w:tcBorders>
            <w:noWrap w:val="0"/>
            <w:vAlign w:val="center"/>
          </w:tcPr>
          <w:p w14:paraId="7472CC6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14:paraId="59606D5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安全</w:t>
            </w:r>
          </w:p>
        </w:tc>
        <w:tc>
          <w:tcPr>
            <w:tcW w:w="689" w:type="dxa"/>
            <w:gridSpan w:val="2"/>
            <w:tcBorders>
              <w:top w:val="single" w:color="auto" w:sz="4" w:space="0"/>
              <w:left w:val="single" w:color="auto" w:sz="4" w:space="0"/>
              <w:bottom w:val="single" w:color="auto" w:sz="4" w:space="0"/>
              <w:right w:val="single" w:color="auto" w:sz="4" w:space="0"/>
            </w:tcBorders>
            <w:noWrap w:val="0"/>
            <w:vAlign w:val="center"/>
          </w:tcPr>
          <w:p w14:paraId="380BAD2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10m</w:t>
            </w:r>
            <w:r>
              <w:rPr>
                <w:rFonts w:hint="default" w:ascii="Times New Roman" w:hAnsi="Times New Roman" w:eastAsia="宋体" w:cs="Times New Roman"/>
                <w:color w:val="auto"/>
                <w:kern w:val="0"/>
                <w:sz w:val="21"/>
                <w:szCs w:val="21"/>
                <w:highlight w:val="none"/>
                <w:vertAlign w:val="superscript"/>
                <w:lang w:val="en-US" w:eastAsia="zh-CN"/>
              </w:rPr>
              <w:t>2</w:t>
            </w:r>
          </w:p>
        </w:tc>
        <w:tc>
          <w:tcPr>
            <w:tcW w:w="1658" w:type="dxa"/>
            <w:gridSpan w:val="2"/>
            <w:tcBorders>
              <w:top w:val="single" w:color="auto" w:sz="4" w:space="0"/>
              <w:left w:val="single" w:color="auto" w:sz="4" w:space="0"/>
              <w:bottom w:val="single" w:color="auto" w:sz="4" w:space="0"/>
              <w:right w:val="single" w:color="auto" w:sz="4" w:space="0"/>
            </w:tcBorders>
            <w:noWrap w:val="0"/>
            <w:vAlign w:val="center"/>
          </w:tcPr>
          <w:p w14:paraId="1ABFA0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装置区</w:t>
            </w:r>
          </w:p>
        </w:tc>
        <w:tc>
          <w:tcPr>
            <w:tcW w:w="995" w:type="dxa"/>
            <w:gridSpan w:val="2"/>
            <w:tcBorders>
              <w:top w:val="single" w:color="auto" w:sz="4" w:space="0"/>
              <w:left w:val="single" w:color="auto" w:sz="4" w:space="0"/>
              <w:bottom w:val="single" w:color="auto" w:sz="4" w:space="0"/>
              <w:right w:val="single" w:color="auto" w:sz="4" w:space="0"/>
            </w:tcBorders>
            <w:noWrap w:val="0"/>
            <w:vAlign w:val="center"/>
          </w:tcPr>
          <w:p w14:paraId="34F7D05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邹勇</w:t>
            </w:r>
          </w:p>
        </w:tc>
        <w:tc>
          <w:tcPr>
            <w:tcW w:w="1776" w:type="dxa"/>
            <w:tcBorders>
              <w:top w:val="single" w:color="auto" w:sz="4" w:space="0"/>
              <w:left w:val="single" w:color="auto" w:sz="4" w:space="0"/>
              <w:bottom w:val="single" w:color="auto" w:sz="4" w:space="0"/>
              <w:right w:val="single" w:color="auto" w:sz="4" w:space="0"/>
            </w:tcBorders>
            <w:noWrap w:val="0"/>
            <w:vAlign w:val="center"/>
          </w:tcPr>
          <w:p w14:paraId="737FD5C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18615123181</w:t>
            </w:r>
          </w:p>
        </w:tc>
      </w:tr>
      <w:tr w14:paraId="110C7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330" w:hRule="atLeast"/>
          <w:jc w:val="center"/>
        </w:trPr>
        <w:tc>
          <w:tcPr>
            <w:tcW w:w="1443" w:type="dxa"/>
            <w:gridSpan w:val="2"/>
            <w:tcBorders>
              <w:top w:val="single" w:color="auto" w:sz="4" w:space="0"/>
              <w:left w:val="single" w:color="auto" w:sz="4" w:space="0"/>
              <w:bottom w:val="single" w:color="auto" w:sz="4" w:space="0"/>
              <w:right w:val="single" w:color="auto" w:sz="4" w:space="0"/>
            </w:tcBorders>
            <w:noWrap w:val="0"/>
            <w:vAlign w:val="center"/>
          </w:tcPr>
          <w:p w14:paraId="280EE87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eastAsia="zh-CN"/>
              </w:rPr>
              <w:t>粘合剂</w:t>
            </w:r>
          </w:p>
        </w:tc>
        <w:tc>
          <w:tcPr>
            <w:tcW w:w="1635" w:type="dxa"/>
            <w:gridSpan w:val="2"/>
            <w:tcBorders>
              <w:top w:val="single" w:color="auto" w:sz="4" w:space="0"/>
              <w:left w:val="single" w:color="auto" w:sz="4" w:space="0"/>
              <w:bottom w:val="single" w:color="auto" w:sz="4" w:space="0"/>
              <w:right w:val="single" w:color="auto" w:sz="4" w:space="0"/>
            </w:tcBorders>
            <w:noWrap w:val="0"/>
            <w:vAlign w:val="center"/>
          </w:tcPr>
          <w:p w14:paraId="406F67A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14:paraId="76970EB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安全</w:t>
            </w:r>
          </w:p>
        </w:tc>
        <w:tc>
          <w:tcPr>
            <w:tcW w:w="689" w:type="dxa"/>
            <w:gridSpan w:val="2"/>
            <w:tcBorders>
              <w:top w:val="single" w:color="auto" w:sz="4" w:space="0"/>
              <w:left w:val="single" w:color="auto" w:sz="4" w:space="0"/>
              <w:bottom w:val="single" w:color="auto" w:sz="4" w:space="0"/>
              <w:right w:val="single" w:color="auto" w:sz="4" w:space="0"/>
            </w:tcBorders>
            <w:noWrap w:val="0"/>
            <w:vAlign w:val="center"/>
          </w:tcPr>
          <w:p w14:paraId="3EBBE26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2盒</w:t>
            </w:r>
          </w:p>
        </w:tc>
        <w:tc>
          <w:tcPr>
            <w:tcW w:w="1658" w:type="dxa"/>
            <w:gridSpan w:val="2"/>
            <w:tcBorders>
              <w:top w:val="single" w:color="auto" w:sz="4" w:space="0"/>
              <w:left w:val="single" w:color="auto" w:sz="4" w:space="0"/>
              <w:bottom w:val="single" w:color="auto" w:sz="4" w:space="0"/>
              <w:right w:val="single" w:color="auto" w:sz="4" w:space="0"/>
            </w:tcBorders>
            <w:noWrap w:val="0"/>
            <w:vAlign w:val="center"/>
          </w:tcPr>
          <w:p w14:paraId="4DBB03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装置区</w:t>
            </w:r>
          </w:p>
        </w:tc>
        <w:tc>
          <w:tcPr>
            <w:tcW w:w="995" w:type="dxa"/>
            <w:gridSpan w:val="2"/>
            <w:tcBorders>
              <w:top w:val="single" w:color="auto" w:sz="4" w:space="0"/>
              <w:left w:val="single" w:color="auto" w:sz="4" w:space="0"/>
              <w:bottom w:val="single" w:color="auto" w:sz="4" w:space="0"/>
              <w:right w:val="single" w:color="auto" w:sz="4" w:space="0"/>
            </w:tcBorders>
            <w:noWrap w:val="0"/>
            <w:vAlign w:val="center"/>
          </w:tcPr>
          <w:p w14:paraId="4237A61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邹勇</w:t>
            </w:r>
          </w:p>
        </w:tc>
        <w:tc>
          <w:tcPr>
            <w:tcW w:w="1776" w:type="dxa"/>
            <w:tcBorders>
              <w:top w:val="single" w:color="auto" w:sz="4" w:space="0"/>
              <w:left w:val="single" w:color="auto" w:sz="4" w:space="0"/>
              <w:bottom w:val="single" w:color="auto" w:sz="4" w:space="0"/>
              <w:right w:val="single" w:color="auto" w:sz="4" w:space="0"/>
            </w:tcBorders>
            <w:noWrap w:val="0"/>
            <w:vAlign w:val="center"/>
          </w:tcPr>
          <w:p w14:paraId="399E437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18615123181</w:t>
            </w:r>
          </w:p>
        </w:tc>
      </w:tr>
      <w:tr w14:paraId="652D5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330" w:hRule="atLeast"/>
          <w:jc w:val="center"/>
        </w:trPr>
        <w:tc>
          <w:tcPr>
            <w:tcW w:w="1443" w:type="dxa"/>
            <w:gridSpan w:val="2"/>
            <w:tcBorders>
              <w:top w:val="single" w:color="auto" w:sz="4" w:space="0"/>
              <w:left w:val="single" w:color="auto" w:sz="4" w:space="0"/>
              <w:bottom w:val="single" w:color="auto" w:sz="4" w:space="0"/>
              <w:right w:val="single" w:color="auto" w:sz="4" w:space="0"/>
            </w:tcBorders>
            <w:noWrap w:val="0"/>
            <w:vAlign w:val="center"/>
          </w:tcPr>
          <w:p w14:paraId="16B5191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堵漏胶泥</w:t>
            </w:r>
          </w:p>
        </w:tc>
        <w:tc>
          <w:tcPr>
            <w:tcW w:w="1635" w:type="dxa"/>
            <w:gridSpan w:val="2"/>
            <w:tcBorders>
              <w:top w:val="single" w:color="auto" w:sz="4" w:space="0"/>
              <w:left w:val="single" w:color="auto" w:sz="4" w:space="0"/>
              <w:bottom w:val="single" w:color="auto" w:sz="4" w:space="0"/>
              <w:right w:val="single" w:color="auto" w:sz="4" w:space="0"/>
            </w:tcBorders>
            <w:noWrap w:val="0"/>
            <w:vAlign w:val="center"/>
          </w:tcPr>
          <w:p w14:paraId="5169CC8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14:paraId="43FEF23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安全</w:t>
            </w:r>
          </w:p>
        </w:tc>
        <w:tc>
          <w:tcPr>
            <w:tcW w:w="689" w:type="dxa"/>
            <w:gridSpan w:val="2"/>
            <w:tcBorders>
              <w:top w:val="single" w:color="auto" w:sz="4" w:space="0"/>
              <w:left w:val="single" w:color="auto" w:sz="4" w:space="0"/>
              <w:bottom w:val="single" w:color="auto" w:sz="4" w:space="0"/>
              <w:right w:val="single" w:color="auto" w:sz="4" w:space="0"/>
            </w:tcBorders>
            <w:noWrap w:val="0"/>
            <w:vAlign w:val="center"/>
          </w:tcPr>
          <w:p w14:paraId="4854BCD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20块</w:t>
            </w:r>
          </w:p>
        </w:tc>
        <w:tc>
          <w:tcPr>
            <w:tcW w:w="1658" w:type="dxa"/>
            <w:gridSpan w:val="2"/>
            <w:tcBorders>
              <w:top w:val="single" w:color="auto" w:sz="4" w:space="0"/>
              <w:left w:val="single" w:color="auto" w:sz="4" w:space="0"/>
              <w:bottom w:val="single" w:color="auto" w:sz="4" w:space="0"/>
              <w:right w:val="single" w:color="auto" w:sz="4" w:space="0"/>
            </w:tcBorders>
            <w:noWrap w:val="0"/>
            <w:vAlign w:val="center"/>
          </w:tcPr>
          <w:p w14:paraId="4484ED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装置区</w:t>
            </w:r>
          </w:p>
        </w:tc>
        <w:tc>
          <w:tcPr>
            <w:tcW w:w="995" w:type="dxa"/>
            <w:gridSpan w:val="2"/>
            <w:tcBorders>
              <w:top w:val="single" w:color="auto" w:sz="4" w:space="0"/>
              <w:left w:val="single" w:color="auto" w:sz="4" w:space="0"/>
              <w:bottom w:val="single" w:color="auto" w:sz="4" w:space="0"/>
              <w:right w:val="single" w:color="auto" w:sz="4" w:space="0"/>
            </w:tcBorders>
            <w:noWrap w:val="0"/>
            <w:vAlign w:val="center"/>
          </w:tcPr>
          <w:p w14:paraId="51ED88C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邹勇</w:t>
            </w:r>
          </w:p>
        </w:tc>
        <w:tc>
          <w:tcPr>
            <w:tcW w:w="1776" w:type="dxa"/>
            <w:tcBorders>
              <w:top w:val="single" w:color="auto" w:sz="4" w:space="0"/>
              <w:left w:val="single" w:color="auto" w:sz="4" w:space="0"/>
              <w:bottom w:val="single" w:color="auto" w:sz="4" w:space="0"/>
              <w:right w:val="single" w:color="auto" w:sz="4" w:space="0"/>
            </w:tcBorders>
            <w:noWrap w:val="0"/>
            <w:vAlign w:val="center"/>
          </w:tcPr>
          <w:p w14:paraId="7E71E6C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18615123181</w:t>
            </w:r>
          </w:p>
        </w:tc>
      </w:tr>
      <w:tr w14:paraId="54270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330" w:hRule="atLeast"/>
          <w:jc w:val="center"/>
        </w:trPr>
        <w:tc>
          <w:tcPr>
            <w:tcW w:w="1443" w:type="dxa"/>
            <w:gridSpan w:val="2"/>
            <w:tcBorders>
              <w:top w:val="single" w:color="auto" w:sz="4" w:space="0"/>
              <w:left w:val="single" w:color="auto" w:sz="4" w:space="0"/>
              <w:bottom w:val="single" w:color="auto" w:sz="4" w:space="0"/>
              <w:right w:val="single" w:color="auto" w:sz="4" w:space="0"/>
            </w:tcBorders>
            <w:noWrap w:val="0"/>
            <w:vAlign w:val="center"/>
          </w:tcPr>
          <w:p w14:paraId="1924A64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eastAsia="zh-CN"/>
              </w:rPr>
              <w:t>堵漏工具</w:t>
            </w:r>
          </w:p>
        </w:tc>
        <w:tc>
          <w:tcPr>
            <w:tcW w:w="1635" w:type="dxa"/>
            <w:gridSpan w:val="2"/>
            <w:tcBorders>
              <w:top w:val="single" w:color="auto" w:sz="4" w:space="0"/>
              <w:left w:val="single" w:color="auto" w:sz="4" w:space="0"/>
              <w:bottom w:val="single" w:color="auto" w:sz="4" w:space="0"/>
              <w:right w:val="single" w:color="auto" w:sz="4" w:space="0"/>
            </w:tcBorders>
            <w:noWrap w:val="0"/>
            <w:vAlign w:val="center"/>
          </w:tcPr>
          <w:p w14:paraId="11F902E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w:t>
            </w: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14:paraId="63DD760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安全</w:t>
            </w:r>
          </w:p>
        </w:tc>
        <w:tc>
          <w:tcPr>
            <w:tcW w:w="689" w:type="dxa"/>
            <w:gridSpan w:val="2"/>
            <w:tcBorders>
              <w:top w:val="single" w:color="auto" w:sz="4" w:space="0"/>
              <w:left w:val="single" w:color="auto" w:sz="4" w:space="0"/>
              <w:bottom w:val="single" w:color="auto" w:sz="4" w:space="0"/>
              <w:right w:val="single" w:color="auto" w:sz="4" w:space="0"/>
            </w:tcBorders>
            <w:noWrap w:val="0"/>
            <w:vAlign w:val="center"/>
          </w:tcPr>
          <w:p w14:paraId="4565C58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1套</w:t>
            </w:r>
          </w:p>
        </w:tc>
        <w:tc>
          <w:tcPr>
            <w:tcW w:w="1658" w:type="dxa"/>
            <w:gridSpan w:val="2"/>
            <w:tcBorders>
              <w:top w:val="single" w:color="auto" w:sz="4" w:space="0"/>
              <w:left w:val="single" w:color="auto" w:sz="4" w:space="0"/>
              <w:bottom w:val="single" w:color="auto" w:sz="4" w:space="0"/>
              <w:right w:val="single" w:color="auto" w:sz="4" w:space="0"/>
            </w:tcBorders>
            <w:noWrap w:val="0"/>
            <w:vAlign w:val="center"/>
          </w:tcPr>
          <w:p w14:paraId="4D989B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装置区</w:t>
            </w:r>
          </w:p>
        </w:tc>
        <w:tc>
          <w:tcPr>
            <w:tcW w:w="995" w:type="dxa"/>
            <w:gridSpan w:val="2"/>
            <w:tcBorders>
              <w:top w:val="single" w:color="auto" w:sz="4" w:space="0"/>
              <w:left w:val="single" w:color="auto" w:sz="4" w:space="0"/>
              <w:bottom w:val="single" w:color="auto" w:sz="4" w:space="0"/>
              <w:right w:val="single" w:color="auto" w:sz="4" w:space="0"/>
            </w:tcBorders>
            <w:noWrap w:val="0"/>
            <w:vAlign w:val="center"/>
          </w:tcPr>
          <w:p w14:paraId="43E7DC3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邹勇</w:t>
            </w:r>
          </w:p>
        </w:tc>
        <w:tc>
          <w:tcPr>
            <w:tcW w:w="1776" w:type="dxa"/>
            <w:tcBorders>
              <w:top w:val="single" w:color="auto" w:sz="4" w:space="0"/>
              <w:left w:val="single" w:color="auto" w:sz="4" w:space="0"/>
              <w:bottom w:val="single" w:color="auto" w:sz="4" w:space="0"/>
              <w:right w:val="single" w:color="auto" w:sz="4" w:space="0"/>
            </w:tcBorders>
            <w:noWrap w:val="0"/>
            <w:vAlign w:val="center"/>
          </w:tcPr>
          <w:p w14:paraId="64A32F8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18615123181</w:t>
            </w:r>
          </w:p>
        </w:tc>
      </w:tr>
      <w:tr w14:paraId="110BB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3" w:type="dxa"/>
          <w:trHeight w:val="330" w:hRule="atLeast"/>
          <w:jc w:val="center"/>
        </w:trPr>
        <w:tc>
          <w:tcPr>
            <w:tcW w:w="1443" w:type="dxa"/>
            <w:gridSpan w:val="2"/>
            <w:tcBorders>
              <w:top w:val="single" w:color="auto" w:sz="4" w:space="0"/>
              <w:left w:val="single" w:color="auto" w:sz="4" w:space="0"/>
              <w:bottom w:val="single" w:color="auto" w:sz="4" w:space="0"/>
              <w:right w:val="single" w:color="auto" w:sz="4" w:space="0"/>
            </w:tcBorders>
            <w:noWrap w:val="0"/>
            <w:vAlign w:val="center"/>
          </w:tcPr>
          <w:p w14:paraId="1E7704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eastAsia="zh-CN"/>
              </w:rPr>
              <w:t>消防</w:t>
            </w:r>
            <w:r>
              <w:rPr>
                <w:rFonts w:hint="eastAsia" w:cs="Times New Roman"/>
                <w:color w:val="auto"/>
                <w:sz w:val="21"/>
                <w:szCs w:val="21"/>
                <w:lang w:eastAsia="zh-CN"/>
              </w:rPr>
              <w:t>锨</w:t>
            </w:r>
          </w:p>
        </w:tc>
        <w:tc>
          <w:tcPr>
            <w:tcW w:w="1635" w:type="dxa"/>
            <w:gridSpan w:val="2"/>
            <w:tcBorders>
              <w:top w:val="single" w:color="auto" w:sz="4" w:space="0"/>
              <w:left w:val="single" w:color="auto" w:sz="4" w:space="0"/>
              <w:bottom w:val="single" w:color="auto" w:sz="4" w:space="0"/>
              <w:right w:val="single" w:color="auto" w:sz="4" w:space="0"/>
            </w:tcBorders>
            <w:noWrap w:val="0"/>
            <w:vAlign w:val="center"/>
          </w:tcPr>
          <w:p w14:paraId="4032D2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lang w:val="en-US" w:eastAsia="zh-CN" w:bidi="ar-SA"/>
              </w:rPr>
            </w:pPr>
          </w:p>
        </w:tc>
        <w:tc>
          <w:tcPr>
            <w:tcW w:w="1497" w:type="dxa"/>
            <w:gridSpan w:val="2"/>
            <w:tcBorders>
              <w:top w:val="single" w:color="auto" w:sz="4" w:space="0"/>
              <w:left w:val="single" w:color="auto" w:sz="4" w:space="0"/>
              <w:bottom w:val="single" w:color="auto" w:sz="4" w:space="0"/>
              <w:right w:val="single" w:color="auto" w:sz="4" w:space="0"/>
            </w:tcBorders>
            <w:noWrap w:val="0"/>
            <w:vAlign w:val="center"/>
          </w:tcPr>
          <w:p w14:paraId="29A603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highlight w:val="none"/>
                <w:lang w:val="en-US" w:eastAsia="zh-CN" w:bidi="ar-SA"/>
              </w:rPr>
              <w:t>安全</w:t>
            </w:r>
          </w:p>
        </w:tc>
        <w:tc>
          <w:tcPr>
            <w:tcW w:w="689" w:type="dxa"/>
            <w:gridSpan w:val="2"/>
            <w:tcBorders>
              <w:top w:val="single" w:color="auto" w:sz="4" w:space="0"/>
              <w:left w:val="single" w:color="auto" w:sz="4" w:space="0"/>
              <w:bottom w:val="single" w:color="auto" w:sz="4" w:space="0"/>
              <w:right w:val="single" w:color="auto" w:sz="4" w:space="0"/>
            </w:tcBorders>
            <w:noWrap w:val="0"/>
            <w:vAlign w:val="center"/>
          </w:tcPr>
          <w:p w14:paraId="161D83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10把</w:t>
            </w:r>
          </w:p>
        </w:tc>
        <w:tc>
          <w:tcPr>
            <w:tcW w:w="1658" w:type="dxa"/>
            <w:gridSpan w:val="2"/>
            <w:tcBorders>
              <w:top w:val="single" w:color="auto" w:sz="4" w:space="0"/>
              <w:left w:val="single" w:color="auto" w:sz="4" w:space="0"/>
              <w:bottom w:val="single" w:color="auto" w:sz="4" w:space="0"/>
              <w:right w:val="single" w:color="auto" w:sz="4" w:space="0"/>
            </w:tcBorders>
            <w:noWrap w:val="0"/>
            <w:vAlign w:val="center"/>
          </w:tcPr>
          <w:p w14:paraId="37875A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装置区</w:t>
            </w:r>
          </w:p>
        </w:tc>
        <w:tc>
          <w:tcPr>
            <w:tcW w:w="995" w:type="dxa"/>
            <w:gridSpan w:val="2"/>
            <w:tcBorders>
              <w:top w:val="single" w:color="auto" w:sz="4" w:space="0"/>
              <w:left w:val="single" w:color="auto" w:sz="4" w:space="0"/>
              <w:bottom w:val="single" w:color="auto" w:sz="4" w:space="0"/>
              <w:right w:val="single" w:color="auto" w:sz="4" w:space="0"/>
            </w:tcBorders>
            <w:noWrap w:val="0"/>
            <w:vAlign w:val="center"/>
          </w:tcPr>
          <w:p w14:paraId="0211E55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邹勇</w:t>
            </w:r>
          </w:p>
        </w:tc>
        <w:tc>
          <w:tcPr>
            <w:tcW w:w="1776" w:type="dxa"/>
            <w:tcBorders>
              <w:top w:val="single" w:color="auto" w:sz="4" w:space="0"/>
              <w:left w:val="single" w:color="auto" w:sz="4" w:space="0"/>
              <w:bottom w:val="single" w:color="auto" w:sz="4" w:space="0"/>
              <w:right w:val="single" w:color="auto" w:sz="4" w:space="0"/>
            </w:tcBorders>
            <w:noWrap w:val="0"/>
            <w:vAlign w:val="center"/>
          </w:tcPr>
          <w:p w14:paraId="6222E7F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18615123181</w:t>
            </w:r>
          </w:p>
        </w:tc>
      </w:tr>
    </w:tbl>
    <w:p w14:paraId="5815E2D4">
      <w:pPr>
        <w:rPr>
          <w:rFonts w:hint="default"/>
          <w:lang w:val="en-US" w:eastAsia="zh-CN"/>
        </w:rPr>
      </w:pPr>
    </w:p>
    <w:sectPr>
      <w:headerReference r:id="rId9" w:type="default"/>
      <w:pgSz w:w="11906" w:h="16838"/>
      <w:pgMar w:top="1417" w:right="1701" w:bottom="1417" w:left="1701" w:header="850" w:footer="992" w:gutter="0"/>
      <w:pgBorders>
        <w:top w:val="none" w:sz="0" w:space="0"/>
        <w:left w:val="none" w:sz="0" w:space="0"/>
        <w:bottom w:val="none" w:sz="0" w:space="0"/>
        <w:right w:val="none" w:sz="0" w:space="0"/>
      </w:pgBorders>
      <w:pgNumType w:fmt="decimal"/>
      <w:cols w:space="0" w:num="1"/>
      <w:rtlGutter w:val="0"/>
      <w:docGrid w:linePitch="31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简体">
    <w:altName w:val="黑体"/>
    <w:panose1 w:val="00000000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default"/>
    <w:sig w:usb0="00000003" w:usb1="288F0000" w:usb2="0000000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E5003B">
    <w:pPr>
      <w:pStyle w:val="22"/>
      <w:pBdr>
        <w:top w:val="single" w:color="auto" w:sz="4" w:space="1"/>
      </w:pBdr>
      <w:ind w:right="-17"/>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079367">
                          <w:pPr>
                            <w:pStyle w:val="2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43</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5079367">
                    <w:pPr>
                      <w:pStyle w:val="2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43</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1ED71">
    <w:pPr>
      <w:pStyle w:val="22"/>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8D0785">
                          <w:pPr>
                            <w:pStyle w:val="2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116</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218D0785">
                    <w:pPr>
                      <w:pStyle w:val="2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116</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43FF83">
    <w:pPr>
      <w:pStyle w:val="23"/>
      <w:pBdr>
        <w:bottom w:val="thinThickSmallGap" w:color="auto" w:sz="24" w:space="1"/>
      </w:pBdr>
      <w:jc w:val="left"/>
    </w:pPr>
    <w:r>
      <w:rPr>
        <w:rFonts w:hint="eastAsia"/>
        <w:lang w:eastAsia="zh-CN"/>
      </w:rPr>
      <w:t>山东隆信药业有限公司</w:t>
    </w:r>
    <w:r>
      <w:rPr>
        <w:rFonts w:hint="eastAsia"/>
      </w:rPr>
      <w:t>突发环境事件风险评估报告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327637">
    <w:pPr>
      <w:pStyle w:val="23"/>
      <w:pBdr>
        <w:bottom w:val="thinThickSmallGap" w:color="auto" w:sz="24" w:space="1"/>
      </w:pBdr>
      <w:jc w:val="left"/>
    </w:pPr>
    <w:r>
      <w:rPr>
        <w:rFonts w:hint="eastAsia"/>
        <w:lang w:eastAsia="zh-CN"/>
      </w:rPr>
      <w:t>山东隆信药业有限公司</w:t>
    </w:r>
    <w:r>
      <w:rPr>
        <w:rFonts w:hint="eastAsia"/>
      </w:rPr>
      <w:t>突发环境事件风险评估报告</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7BE1B8">
    <w:pPr>
      <w:pStyle w:val="23"/>
      <w:pBdr>
        <w:bottom w:val="none" w:color="auto" w:sz="0" w:space="0"/>
      </w:pBdr>
      <w:jc w:val="right"/>
      <w:rPr>
        <w:rFonts w:ascii="Times New Roman" w:hAnsi="Times New Roman" w:cs="Times New Roma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BC8740">
    <w:pPr>
      <w:pStyle w:val="23"/>
      <w:pBdr>
        <w:bottom w:val="thinThickSmallGap" w:color="auto" w:sz="24" w:space="1"/>
      </w:pBdr>
      <w:jc w:val="left"/>
    </w:pPr>
    <w:r>
      <w:rPr>
        <w:rFonts w:hint="eastAsia"/>
        <w:lang w:eastAsia="zh-CN"/>
      </w:rPr>
      <w:t>山东隆信药业有限公司</w:t>
    </w:r>
    <w:r>
      <w:rPr>
        <w:rFonts w:hint="eastAsia"/>
      </w:rPr>
      <w:t>突发环境事件风险评估报告</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4583CA">
    <w:pPr>
      <w:pStyle w:val="23"/>
      <w:pBdr>
        <w:bottom w:val="thinThickSmallGap" w:color="auto" w:sz="24" w:space="1"/>
      </w:pBdr>
      <w:jc w:val="left"/>
    </w:pPr>
    <w:r>
      <w:rPr>
        <w:rFonts w:hint="eastAsia"/>
        <w:lang w:eastAsia="zh-CN"/>
      </w:rPr>
      <w:t>山东隆信药业有限公司</w:t>
    </w:r>
    <w:r>
      <w:rPr>
        <w:rFonts w:hint="eastAsia"/>
      </w:rPr>
      <w:t>突发环境事件风险评估报告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68A121"/>
    <w:multiLevelType w:val="singleLevel"/>
    <w:tmpl w:val="8A68A121"/>
    <w:lvl w:ilvl="0" w:tentative="0">
      <w:start w:val="1"/>
      <w:numFmt w:val="decimal"/>
      <w:suff w:val="nothing"/>
      <w:lvlText w:val="（%1）"/>
      <w:lvlJc w:val="left"/>
      <w:rPr>
        <w:rFonts w:cs="Times New Roman"/>
      </w:rPr>
    </w:lvl>
  </w:abstractNum>
  <w:abstractNum w:abstractNumId="1">
    <w:nsid w:val="9ADB4429"/>
    <w:multiLevelType w:val="singleLevel"/>
    <w:tmpl w:val="9ADB4429"/>
    <w:lvl w:ilvl="0" w:tentative="0">
      <w:start w:val="1"/>
      <w:numFmt w:val="decimal"/>
      <w:suff w:val="nothing"/>
      <w:lvlText w:val="%1、"/>
      <w:lvlJc w:val="left"/>
    </w:lvl>
  </w:abstractNum>
  <w:abstractNum w:abstractNumId="2">
    <w:nsid w:val="9FA5A190"/>
    <w:multiLevelType w:val="singleLevel"/>
    <w:tmpl w:val="9FA5A190"/>
    <w:lvl w:ilvl="0" w:tentative="0">
      <w:start w:val="1"/>
      <w:numFmt w:val="decimal"/>
      <w:lvlText w:val="%1."/>
      <w:lvlJc w:val="left"/>
      <w:pPr>
        <w:tabs>
          <w:tab w:val="left" w:pos="312"/>
        </w:tabs>
      </w:pPr>
    </w:lvl>
  </w:abstractNum>
  <w:abstractNum w:abstractNumId="3">
    <w:nsid w:val="D07FA511"/>
    <w:multiLevelType w:val="singleLevel"/>
    <w:tmpl w:val="D07FA511"/>
    <w:lvl w:ilvl="0" w:tentative="0">
      <w:start w:val="1"/>
      <w:numFmt w:val="decimal"/>
      <w:suff w:val="nothing"/>
      <w:lvlText w:val="（%1）"/>
      <w:lvlJc w:val="left"/>
    </w:lvl>
  </w:abstractNum>
  <w:abstractNum w:abstractNumId="4">
    <w:nsid w:val="FC149FF3"/>
    <w:multiLevelType w:val="singleLevel"/>
    <w:tmpl w:val="FC149FF3"/>
    <w:lvl w:ilvl="0" w:tentative="0">
      <w:start w:val="3"/>
      <w:numFmt w:val="decimal"/>
      <w:suff w:val="nothing"/>
      <w:lvlText w:val="%1、"/>
      <w:lvlJc w:val="left"/>
    </w:lvl>
  </w:abstractNum>
  <w:abstractNum w:abstractNumId="5">
    <w:nsid w:val="15F21A2C"/>
    <w:multiLevelType w:val="multilevel"/>
    <w:tmpl w:val="15F21A2C"/>
    <w:lvl w:ilvl="0" w:tentative="0">
      <w:start w:val="1"/>
      <w:numFmt w:val="decimal"/>
      <w:suff w:val="nothing"/>
      <w:lvlText w:val="%1"/>
      <w:lvlJc w:val="left"/>
      <w:pPr>
        <w:ind w:left="1985" w:hanging="1985"/>
      </w:pPr>
      <w:rPr>
        <w:rFonts w:hint="eastAsia" w:cs="Times New Roman"/>
      </w:rPr>
    </w:lvl>
    <w:lvl w:ilvl="1" w:tentative="0">
      <w:start w:val="1"/>
      <w:numFmt w:val="decimal"/>
      <w:suff w:val="nothing"/>
      <w:lvlText w:val="%1.%2 "/>
      <w:lvlJc w:val="left"/>
      <w:pPr>
        <w:ind w:left="1985" w:hanging="1985"/>
      </w:pPr>
      <w:rPr>
        <w:rFonts w:hint="default" w:ascii="Times New Roman" w:hAnsi="Times New Roman" w:eastAsia="黑体" w:cs="Times New Roman"/>
        <w:sz w:val="30"/>
        <w:szCs w:val="30"/>
      </w:rPr>
    </w:lvl>
    <w:lvl w:ilvl="2" w:tentative="0">
      <w:start w:val="1"/>
      <w:numFmt w:val="decimal"/>
      <w:suff w:val="nothing"/>
      <w:lvlText w:val="%1.%2.%3 "/>
      <w:lvlJc w:val="left"/>
      <w:pPr>
        <w:ind w:left="1985" w:hanging="1985"/>
      </w:pPr>
      <w:rPr>
        <w:rFonts w:hint="default" w:ascii="Times New Roman" w:hAnsi="Times New Roman" w:eastAsia="黑体" w:cs="Times New Roman"/>
        <w:color w:val="auto"/>
        <w:sz w:val="28"/>
        <w:szCs w:val="28"/>
      </w:rPr>
    </w:lvl>
    <w:lvl w:ilvl="3" w:tentative="0">
      <w:start w:val="1"/>
      <w:numFmt w:val="decimal"/>
      <w:pStyle w:val="9"/>
      <w:suff w:val="nothing"/>
      <w:lvlText w:val="%1.%2.%3.%4 "/>
      <w:lvlJc w:val="left"/>
      <w:pPr>
        <w:ind w:left="1984" w:hanging="1984"/>
      </w:pPr>
      <w:rPr>
        <w:rFonts w:hint="default" w:ascii="Times New Roman" w:hAnsi="Times New Roman" w:cs="Times New Roman"/>
      </w:rPr>
    </w:lvl>
    <w:lvl w:ilvl="4" w:tentative="0">
      <w:start w:val="1"/>
      <w:numFmt w:val="decimal"/>
      <w:lvlText w:val="%1.%2.%3.%4.%5"/>
      <w:lvlJc w:val="left"/>
      <w:pPr>
        <w:tabs>
          <w:tab w:val="left" w:pos="2551"/>
        </w:tabs>
        <w:ind w:left="2551" w:hanging="2551"/>
      </w:pPr>
      <w:rPr>
        <w:rFonts w:hint="eastAsia" w:cs="Times New Roman"/>
      </w:rPr>
    </w:lvl>
    <w:lvl w:ilvl="5" w:tentative="0">
      <w:start w:val="1"/>
      <w:numFmt w:val="decimal"/>
      <w:lvlText w:val="%1.%2.%3.%4.%5.%6"/>
      <w:lvlJc w:val="left"/>
      <w:pPr>
        <w:tabs>
          <w:tab w:val="left" w:pos="3260"/>
        </w:tabs>
        <w:ind w:left="3260" w:hanging="3260"/>
      </w:pPr>
      <w:rPr>
        <w:rFonts w:hint="eastAsia" w:cs="Times New Roman"/>
      </w:rPr>
    </w:lvl>
    <w:lvl w:ilvl="6" w:tentative="0">
      <w:start w:val="1"/>
      <w:numFmt w:val="decimal"/>
      <w:lvlText w:val="%1.%2.%3.%4.%5.%6.%7"/>
      <w:lvlJc w:val="left"/>
      <w:pPr>
        <w:tabs>
          <w:tab w:val="left" w:pos="3827"/>
        </w:tabs>
        <w:ind w:left="3827" w:hanging="3827"/>
      </w:pPr>
      <w:rPr>
        <w:rFonts w:hint="eastAsia" w:cs="Times New Roman"/>
      </w:rPr>
    </w:lvl>
    <w:lvl w:ilvl="7" w:tentative="0">
      <w:start w:val="1"/>
      <w:numFmt w:val="decimal"/>
      <w:lvlText w:val="%1.%2.%3.%4.%5.%6.%7.%8"/>
      <w:lvlJc w:val="left"/>
      <w:pPr>
        <w:tabs>
          <w:tab w:val="left" w:pos="4394"/>
        </w:tabs>
        <w:ind w:left="4394" w:hanging="4394"/>
      </w:pPr>
      <w:rPr>
        <w:rFonts w:hint="eastAsia" w:cs="Times New Roman"/>
      </w:rPr>
    </w:lvl>
    <w:lvl w:ilvl="8" w:tentative="0">
      <w:start w:val="1"/>
      <w:numFmt w:val="decimal"/>
      <w:lvlText w:val="%1.%2.%3.%4.%5.%6.%7.%8.%9"/>
      <w:lvlJc w:val="left"/>
      <w:pPr>
        <w:tabs>
          <w:tab w:val="left" w:pos="5102"/>
        </w:tabs>
        <w:ind w:left="5102" w:hanging="5102"/>
      </w:pPr>
      <w:rPr>
        <w:rFonts w:hint="eastAsia" w:cs="Times New Roman"/>
      </w:rPr>
    </w:lvl>
  </w:abstractNum>
  <w:abstractNum w:abstractNumId="6">
    <w:nsid w:val="1DD0B408"/>
    <w:multiLevelType w:val="singleLevel"/>
    <w:tmpl w:val="1DD0B408"/>
    <w:lvl w:ilvl="0" w:tentative="0">
      <w:start w:val="1"/>
      <w:numFmt w:val="decimal"/>
      <w:suff w:val="nothing"/>
      <w:lvlText w:val="%1）"/>
      <w:lvlJc w:val="left"/>
    </w:lvl>
  </w:abstractNum>
  <w:abstractNum w:abstractNumId="7">
    <w:nsid w:val="3C096D3E"/>
    <w:multiLevelType w:val="singleLevel"/>
    <w:tmpl w:val="3C096D3E"/>
    <w:lvl w:ilvl="0" w:tentative="0">
      <w:start w:val="1"/>
      <w:numFmt w:val="decimal"/>
      <w:suff w:val="nothing"/>
      <w:lvlText w:val="%1、"/>
      <w:lvlJc w:val="left"/>
    </w:lvl>
  </w:abstractNum>
  <w:abstractNum w:abstractNumId="8">
    <w:nsid w:val="64BEFE91"/>
    <w:multiLevelType w:val="singleLevel"/>
    <w:tmpl w:val="64BEFE91"/>
    <w:lvl w:ilvl="0" w:tentative="0">
      <w:start w:val="1"/>
      <w:numFmt w:val="decimal"/>
      <w:suff w:val="nothing"/>
      <w:lvlText w:val="%1）"/>
      <w:lvlJc w:val="left"/>
    </w:lvl>
  </w:abstractNum>
  <w:abstractNum w:abstractNumId="9">
    <w:nsid w:val="7E4FFC94"/>
    <w:multiLevelType w:val="singleLevel"/>
    <w:tmpl w:val="7E4FFC94"/>
    <w:lvl w:ilvl="0" w:tentative="0">
      <w:start w:val="1"/>
      <w:numFmt w:val="decimal"/>
      <w:suff w:val="space"/>
      <w:lvlText w:val="%1."/>
      <w:lvlJc w:val="left"/>
    </w:lvl>
  </w:abstractNum>
  <w:num w:numId="1">
    <w:abstractNumId w:val="5"/>
  </w:num>
  <w:num w:numId="2">
    <w:abstractNumId w:val="2"/>
  </w:num>
  <w:num w:numId="3">
    <w:abstractNumId w:val="3"/>
  </w:num>
  <w:num w:numId="4">
    <w:abstractNumId w:val="9"/>
  </w:num>
  <w:num w:numId="5">
    <w:abstractNumId w:val="4"/>
  </w:num>
  <w:num w:numId="6">
    <w:abstractNumId w:val="7"/>
  </w:num>
  <w:num w:numId="7">
    <w:abstractNumId w:val="1"/>
  </w:num>
  <w:num w:numId="8">
    <w:abstractNumId w:val="6"/>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bordersDoNotSurroundHeader w:val="0"/>
  <w:bordersDoNotSurroundFooter w:val="0"/>
  <w:documentProtection w:enforcement="0"/>
  <w:defaultTabStop w:val="420"/>
  <w:drawingGridHorizontalSpacing w:val="210"/>
  <w:drawingGridVerticalSpacing w:val="99999990"/>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U4MDNiZGVlNDBiNTY3OTg0ZDFkMWYyOWYxYjFmZGQifQ=="/>
  </w:docVars>
  <w:rsids>
    <w:rsidRoot w:val="000F79E9"/>
    <w:rsid w:val="000101E8"/>
    <w:rsid w:val="0001613C"/>
    <w:rsid w:val="00021023"/>
    <w:rsid w:val="00021904"/>
    <w:rsid w:val="00022A53"/>
    <w:rsid w:val="00022FD0"/>
    <w:rsid w:val="00030E7F"/>
    <w:rsid w:val="0003158C"/>
    <w:rsid w:val="0003228E"/>
    <w:rsid w:val="00033BA4"/>
    <w:rsid w:val="00035AD4"/>
    <w:rsid w:val="00036B34"/>
    <w:rsid w:val="00041C70"/>
    <w:rsid w:val="000466D5"/>
    <w:rsid w:val="00047489"/>
    <w:rsid w:val="0005186F"/>
    <w:rsid w:val="00051C30"/>
    <w:rsid w:val="00051F00"/>
    <w:rsid w:val="00052B77"/>
    <w:rsid w:val="000568FB"/>
    <w:rsid w:val="00056A49"/>
    <w:rsid w:val="00063A61"/>
    <w:rsid w:val="000728B2"/>
    <w:rsid w:val="00072ED3"/>
    <w:rsid w:val="0007329D"/>
    <w:rsid w:val="0007589C"/>
    <w:rsid w:val="00081978"/>
    <w:rsid w:val="00081D58"/>
    <w:rsid w:val="00082800"/>
    <w:rsid w:val="00082F55"/>
    <w:rsid w:val="0008389F"/>
    <w:rsid w:val="00085AFE"/>
    <w:rsid w:val="00087B92"/>
    <w:rsid w:val="00090500"/>
    <w:rsid w:val="0009139A"/>
    <w:rsid w:val="0009192F"/>
    <w:rsid w:val="00092CC9"/>
    <w:rsid w:val="00093315"/>
    <w:rsid w:val="00097F7E"/>
    <w:rsid w:val="000B0090"/>
    <w:rsid w:val="000B06CD"/>
    <w:rsid w:val="000B4717"/>
    <w:rsid w:val="000B51D9"/>
    <w:rsid w:val="000B7F76"/>
    <w:rsid w:val="000C248B"/>
    <w:rsid w:val="000C5BF5"/>
    <w:rsid w:val="000C6760"/>
    <w:rsid w:val="000C7009"/>
    <w:rsid w:val="000C7E70"/>
    <w:rsid w:val="000D1E03"/>
    <w:rsid w:val="000D2C8C"/>
    <w:rsid w:val="000D3802"/>
    <w:rsid w:val="000D5A1B"/>
    <w:rsid w:val="000E2D67"/>
    <w:rsid w:val="000E2EBC"/>
    <w:rsid w:val="000F79E9"/>
    <w:rsid w:val="00100B1B"/>
    <w:rsid w:val="00103B1D"/>
    <w:rsid w:val="00104F1D"/>
    <w:rsid w:val="001056EC"/>
    <w:rsid w:val="00107BC4"/>
    <w:rsid w:val="00110DED"/>
    <w:rsid w:val="00114670"/>
    <w:rsid w:val="001147F2"/>
    <w:rsid w:val="00117E98"/>
    <w:rsid w:val="00120100"/>
    <w:rsid w:val="00121067"/>
    <w:rsid w:val="00125010"/>
    <w:rsid w:val="00132FDD"/>
    <w:rsid w:val="00137125"/>
    <w:rsid w:val="00137BF4"/>
    <w:rsid w:val="0014098F"/>
    <w:rsid w:val="00142268"/>
    <w:rsid w:val="00147187"/>
    <w:rsid w:val="00147320"/>
    <w:rsid w:val="00152953"/>
    <w:rsid w:val="00153AEF"/>
    <w:rsid w:val="00155F25"/>
    <w:rsid w:val="00157692"/>
    <w:rsid w:val="00161FE4"/>
    <w:rsid w:val="00165C7C"/>
    <w:rsid w:val="0016640A"/>
    <w:rsid w:val="00170176"/>
    <w:rsid w:val="00174439"/>
    <w:rsid w:val="00174E8A"/>
    <w:rsid w:val="001753D8"/>
    <w:rsid w:val="0018174C"/>
    <w:rsid w:val="00190B3F"/>
    <w:rsid w:val="00192D96"/>
    <w:rsid w:val="0019579D"/>
    <w:rsid w:val="00195CFA"/>
    <w:rsid w:val="00196759"/>
    <w:rsid w:val="001A109E"/>
    <w:rsid w:val="001A18E7"/>
    <w:rsid w:val="001A75C2"/>
    <w:rsid w:val="001A7D4E"/>
    <w:rsid w:val="001B1914"/>
    <w:rsid w:val="001B1A04"/>
    <w:rsid w:val="001B2EC8"/>
    <w:rsid w:val="001C0247"/>
    <w:rsid w:val="001C10C2"/>
    <w:rsid w:val="001D60A5"/>
    <w:rsid w:val="001D6855"/>
    <w:rsid w:val="001E17A4"/>
    <w:rsid w:val="001E42D2"/>
    <w:rsid w:val="001E47A6"/>
    <w:rsid w:val="001E5F1E"/>
    <w:rsid w:val="001E7885"/>
    <w:rsid w:val="001F0FFD"/>
    <w:rsid w:val="001F4B63"/>
    <w:rsid w:val="001F7E29"/>
    <w:rsid w:val="00200444"/>
    <w:rsid w:val="002055D3"/>
    <w:rsid w:val="002064A6"/>
    <w:rsid w:val="0020705E"/>
    <w:rsid w:val="0021130B"/>
    <w:rsid w:val="002117E2"/>
    <w:rsid w:val="00212B2C"/>
    <w:rsid w:val="00212D67"/>
    <w:rsid w:val="00215CA0"/>
    <w:rsid w:val="0021698D"/>
    <w:rsid w:val="00222329"/>
    <w:rsid w:val="002232C1"/>
    <w:rsid w:val="00231426"/>
    <w:rsid w:val="002402CB"/>
    <w:rsid w:val="0024040D"/>
    <w:rsid w:val="002449D1"/>
    <w:rsid w:val="002449ED"/>
    <w:rsid w:val="0025143F"/>
    <w:rsid w:val="00252174"/>
    <w:rsid w:val="00254FE9"/>
    <w:rsid w:val="002605B2"/>
    <w:rsid w:val="00260D53"/>
    <w:rsid w:val="002619E8"/>
    <w:rsid w:val="00263BDF"/>
    <w:rsid w:val="00264EC4"/>
    <w:rsid w:val="00265516"/>
    <w:rsid w:val="002700E7"/>
    <w:rsid w:val="0027752E"/>
    <w:rsid w:val="0028059C"/>
    <w:rsid w:val="00282EDC"/>
    <w:rsid w:val="002848C9"/>
    <w:rsid w:val="00291D08"/>
    <w:rsid w:val="00293635"/>
    <w:rsid w:val="002944E3"/>
    <w:rsid w:val="00296008"/>
    <w:rsid w:val="002A26DC"/>
    <w:rsid w:val="002B3A6E"/>
    <w:rsid w:val="002B59EE"/>
    <w:rsid w:val="002B7EA5"/>
    <w:rsid w:val="002B7EF9"/>
    <w:rsid w:val="002C12F0"/>
    <w:rsid w:val="002C4FB5"/>
    <w:rsid w:val="002D1408"/>
    <w:rsid w:val="002D2ED6"/>
    <w:rsid w:val="002D4A4E"/>
    <w:rsid w:val="002E1A4C"/>
    <w:rsid w:val="002E265D"/>
    <w:rsid w:val="002E4F95"/>
    <w:rsid w:val="002E5597"/>
    <w:rsid w:val="002E6096"/>
    <w:rsid w:val="002E79FA"/>
    <w:rsid w:val="002F1588"/>
    <w:rsid w:val="002F736D"/>
    <w:rsid w:val="00315581"/>
    <w:rsid w:val="00315E1E"/>
    <w:rsid w:val="003206CB"/>
    <w:rsid w:val="00323D15"/>
    <w:rsid w:val="00324105"/>
    <w:rsid w:val="00325309"/>
    <w:rsid w:val="00327F66"/>
    <w:rsid w:val="00331114"/>
    <w:rsid w:val="003315BE"/>
    <w:rsid w:val="003322DB"/>
    <w:rsid w:val="003349A8"/>
    <w:rsid w:val="00341892"/>
    <w:rsid w:val="00361382"/>
    <w:rsid w:val="00361463"/>
    <w:rsid w:val="003639A1"/>
    <w:rsid w:val="00364CAE"/>
    <w:rsid w:val="00372524"/>
    <w:rsid w:val="0037301C"/>
    <w:rsid w:val="00374320"/>
    <w:rsid w:val="003754BB"/>
    <w:rsid w:val="00380703"/>
    <w:rsid w:val="003824E5"/>
    <w:rsid w:val="003915D8"/>
    <w:rsid w:val="00391B17"/>
    <w:rsid w:val="00392BB4"/>
    <w:rsid w:val="00393529"/>
    <w:rsid w:val="003A6CE2"/>
    <w:rsid w:val="003B0436"/>
    <w:rsid w:val="003B06B1"/>
    <w:rsid w:val="003B22CE"/>
    <w:rsid w:val="003B4935"/>
    <w:rsid w:val="003C312C"/>
    <w:rsid w:val="003C470B"/>
    <w:rsid w:val="003C502D"/>
    <w:rsid w:val="003C6DCB"/>
    <w:rsid w:val="003D42F1"/>
    <w:rsid w:val="003D6F7D"/>
    <w:rsid w:val="003D7215"/>
    <w:rsid w:val="003E2830"/>
    <w:rsid w:val="003E68DA"/>
    <w:rsid w:val="003E6960"/>
    <w:rsid w:val="003F2FEC"/>
    <w:rsid w:val="003F613F"/>
    <w:rsid w:val="003F77E7"/>
    <w:rsid w:val="004013BB"/>
    <w:rsid w:val="00403B54"/>
    <w:rsid w:val="004113C1"/>
    <w:rsid w:val="004225FA"/>
    <w:rsid w:val="00423A0A"/>
    <w:rsid w:val="00424687"/>
    <w:rsid w:val="00424770"/>
    <w:rsid w:val="00426B13"/>
    <w:rsid w:val="004319B3"/>
    <w:rsid w:val="004332B9"/>
    <w:rsid w:val="00433C5E"/>
    <w:rsid w:val="00434D3A"/>
    <w:rsid w:val="00434D74"/>
    <w:rsid w:val="00444E36"/>
    <w:rsid w:val="00450A2D"/>
    <w:rsid w:val="0045235E"/>
    <w:rsid w:val="004524EA"/>
    <w:rsid w:val="00454A86"/>
    <w:rsid w:val="00454E16"/>
    <w:rsid w:val="0046325C"/>
    <w:rsid w:val="00481C1D"/>
    <w:rsid w:val="00486018"/>
    <w:rsid w:val="004876C9"/>
    <w:rsid w:val="004A2885"/>
    <w:rsid w:val="004A2B22"/>
    <w:rsid w:val="004A567D"/>
    <w:rsid w:val="004A5D09"/>
    <w:rsid w:val="004B0180"/>
    <w:rsid w:val="004B0255"/>
    <w:rsid w:val="004B22F3"/>
    <w:rsid w:val="004B2960"/>
    <w:rsid w:val="004B7463"/>
    <w:rsid w:val="004C1C5F"/>
    <w:rsid w:val="004C24C7"/>
    <w:rsid w:val="004C6D23"/>
    <w:rsid w:val="004D269F"/>
    <w:rsid w:val="004D39A8"/>
    <w:rsid w:val="004D4A5E"/>
    <w:rsid w:val="004D5C84"/>
    <w:rsid w:val="004E1A59"/>
    <w:rsid w:val="004E1CE7"/>
    <w:rsid w:val="004E7C92"/>
    <w:rsid w:val="004F265A"/>
    <w:rsid w:val="004F7B90"/>
    <w:rsid w:val="005028DE"/>
    <w:rsid w:val="005054F0"/>
    <w:rsid w:val="00506189"/>
    <w:rsid w:val="00507008"/>
    <w:rsid w:val="005109B8"/>
    <w:rsid w:val="00515054"/>
    <w:rsid w:val="005162E2"/>
    <w:rsid w:val="005205AF"/>
    <w:rsid w:val="0052482E"/>
    <w:rsid w:val="00524BEE"/>
    <w:rsid w:val="005307FE"/>
    <w:rsid w:val="00533532"/>
    <w:rsid w:val="00536B07"/>
    <w:rsid w:val="00541088"/>
    <w:rsid w:val="00546625"/>
    <w:rsid w:val="0055620E"/>
    <w:rsid w:val="005571E2"/>
    <w:rsid w:val="0055757F"/>
    <w:rsid w:val="005644AE"/>
    <w:rsid w:val="00565BF5"/>
    <w:rsid w:val="00571DF3"/>
    <w:rsid w:val="00572299"/>
    <w:rsid w:val="00574169"/>
    <w:rsid w:val="00575752"/>
    <w:rsid w:val="00582246"/>
    <w:rsid w:val="00582A31"/>
    <w:rsid w:val="00583020"/>
    <w:rsid w:val="0058337B"/>
    <w:rsid w:val="005B4D5E"/>
    <w:rsid w:val="005B6EAA"/>
    <w:rsid w:val="005C14F8"/>
    <w:rsid w:val="005C7D7A"/>
    <w:rsid w:val="005D04AD"/>
    <w:rsid w:val="005D2570"/>
    <w:rsid w:val="005D3737"/>
    <w:rsid w:val="005D6806"/>
    <w:rsid w:val="005E1B0F"/>
    <w:rsid w:val="005E4A28"/>
    <w:rsid w:val="005F0279"/>
    <w:rsid w:val="005F2159"/>
    <w:rsid w:val="005F29C6"/>
    <w:rsid w:val="005F3D89"/>
    <w:rsid w:val="00604FCA"/>
    <w:rsid w:val="006053CF"/>
    <w:rsid w:val="00610598"/>
    <w:rsid w:val="00612641"/>
    <w:rsid w:val="006142F7"/>
    <w:rsid w:val="00617D96"/>
    <w:rsid w:val="00621794"/>
    <w:rsid w:val="00621C75"/>
    <w:rsid w:val="006228F8"/>
    <w:rsid w:val="00623EC7"/>
    <w:rsid w:val="006279DD"/>
    <w:rsid w:val="006301A9"/>
    <w:rsid w:val="00630249"/>
    <w:rsid w:val="006302EB"/>
    <w:rsid w:val="00631935"/>
    <w:rsid w:val="0063297F"/>
    <w:rsid w:val="00632FFC"/>
    <w:rsid w:val="00633BCC"/>
    <w:rsid w:val="00635194"/>
    <w:rsid w:val="00640895"/>
    <w:rsid w:val="00642289"/>
    <w:rsid w:val="006451ED"/>
    <w:rsid w:val="006533A2"/>
    <w:rsid w:val="00653989"/>
    <w:rsid w:val="00654EAB"/>
    <w:rsid w:val="006571BC"/>
    <w:rsid w:val="006573E3"/>
    <w:rsid w:val="00660877"/>
    <w:rsid w:val="006637B9"/>
    <w:rsid w:val="00667015"/>
    <w:rsid w:val="0067711C"/>
    <w:rsid w:val="00683FA0"/>
    <w:rsid w:val="00684D7F"/>
    <w:rsid w:val="006872D3"/>
    <w:rsid w:val="006902CD"/>
    <w:rsid w:val="00690AF5"/>
    <w:rsid w:val="0069270B"/>
    <w:rsid w:val="006935C9"/>
    <w:rsid w:val="00695365"/>
    <w:rsid w:val="00695EC9"/>
    <w:rsid w:val="006A0D31"/>
    <w:rsid w:val="006A1E33"/>
    <w:rsid w:val="006A667E"/>
    <w:rsid w:val="006B0E6C"/>
    <w:rsid w:val="006B129E"/>
    <w:rsid w:val="006B3581"/>
    <w:rsid w:val="006B5703"/>
    <w:rsid w:val="006C1C06"/>
    <w:rsid w:val="006C2D67"/>
    <w:rsid w:val="006C4A8E"/>
    <w:rsid w:val="006D4150"/>
    <w:rsid w:val="006D4CCF"/>
    <w:rsid w:val="006E08B6"/>
    <w:rsid w:val="006E5DFA"/>
    <w:rsid w:val="006E6A40"/>
    <w:rsid w:val="006F1C1E"/>
    <w:rsid w:val="006F7DE7"/>
    <w:rsid w:val="00710532"/>
    <w:rsid w:val="00712645"/>
    <w:rsid w:val="007237F1"/>
    <w:rsid w:val="00734F15"/>
    <w:rsid w:val="0073526F"/>
    <w:rsid w:val="00735387"/>
    <w:rsid w:val="00736901"/>
    <w:rsid w:val="0074158E"/>
    <w:rsid w:val="00743127"/>
    <w:rsid w:val="00743763"/>
    <w:rsid w:val="00752F09"/>
    <w:rsid w:val="007537F7"/>
    <w:rsid w:val="00755967"/>
    <w:rsid w:val="00762080"/>
    <w:rsid w:val="00764CC7"/>
    <w:rsid w:val="007703CB"/>
    <w:rsid w:val="0077092D"/>
    <w:rsid w:val="00770B35"/>
    <w:rsid w:val="007715B6"/>
    <w:rsid w:val="00774AA2"/>
    <w:rsid w:val="00775FC2"/>
    <w:rsid w:val="00777AC5"/>
    <w:rsid w:val="007801A3"/>
    <w:rsid w:val="0078798B"/>
    <w:rsid w:val="0079085B"/>
    <w:rsid w:val="00791D67"/>
    <w:rsid w:val="00795B86"/>
    <w:rsid w:val="0079746C"/>
    <w:rsid w:val="007A1E83"/>
    <w:rsid w:val="007A4948"/>
    <w:rsid w:val="007A54C3"/>
    <w:rsid w:val="007A5918"/>
    <w:rsid w:val="007B1166"/>
    <w:rsid w:val="007C1701"/>
    <w:rsid w:val="007C2981"/>
    <w:rsid w:val="007C2D94"/>
    <w:rsid w:val="007C6C83"/>
    <w:rsid w:val="007D0018"/>
    <w:rsid w:val="007D65E6"/>
    <w:rsid w:val="007E0CD8"/>
    <w:rsid w:val="007E27C6"/>
    <w:rsid w:val="007E5013"/>
    <w:rsid w:val="007E7018"/>
    <w:rsid w:val="007F05ED"/>
    <w:rsid w:val="007F0900"/>
    <w:rsid w:val="007F3E27"/>
    <w:rsid w:val="007F679C"/>
    <w:rsid w:val="007F7E71"/>
    <w:rsid w:val="00804873"/>
    <w:rsid w:val="00805FAB"/>
    <w:rsid w:val="00813142"/>
    <w:rsid w:val="0081444C"/>
    <w:rsid w:val="00815F11"/>
    <w:rsid w:val="00816579"/>
    <w:rsid w:val="008268E6"/>
    <w:rsid w:val="008323B8"/>
    <w:rsid w:val="00832F4B"/>
    <w:rsid w:val="00840BB8"/>
    <w:rsid w:val="008461B8"/>
    <w:rsid w:val="00846F59"/>
    <w:rsid w:val="00847F22"/>
    <w:rsid w:val="008516B2"/>
    <w:rsid w:val="00851C2A"/>
    <w:rsid w:val="008532D5"/>
    <w:rsid w:val="008557C3"/>
    <w:rsid w:val="00856255"/>
    <w:rsid w:val="008579A4"/>
    <w:rsid w:val="00863985"/>
    <w:rsid w:val="00863EAE"/>
    <w:rsid w:val="00871BE6"/>
    <w:rsid w:val="00877C98"/>
    <w:rsid w:val="0088078C"/>
    <w:rsid w:val="00881D1A"/>
    <w:rsid w:val="008929F6"/>
    <w:rsid w:val="00892D55"/>
    <w:rsid w:val="0089368B"/>
    <w:rsid w:val="00896392"/>
    <w:rsid w:val="00897C71"/>
    <w:rsid w:val="008A240E"/>
    <w:rsid w:val="008A648E"/>
    <w:rsid w:val="008A7989"/>
    <w:rsid w:val="008A79BA"/>
    <w:rsid w:val="008B18BF"/>
    <w:rsid w:val="008B211C"/>
    <w:rsid w:val="008B3BCC"/>
    <w:rsid w:val="008B4F6D"/>
    <w:rsid w:val="008C1A15"/>
    <w:rsid w:val="008C457E"/>
    <w:rsid w:val="008C6EF1"/>
    <w:rsid w:val="008D4C47"/>
    <w:rsid w:val="008D5383"/>
    <w:rsid w:val="008D67D5"/>
    <w:rsid w:val="008E66E9"/>
    <w:rsid w:val="008F1A9C"/>
    <w:rsid w:val="008F1CDE"/>
    <w:rsid w:val="009027FE"/>
    <w:rsid w:val="00904234"/>
    <w:rsid w:val="0090603D"/>
    <w:rsid w:val="00906160"/>
    <w:rsid w:val="0091170D"/>
    <w:rsid w:val="00912435"/>
    <w:rsid w:val="00912989"/>
    <w:rsid w:val="00912D42"/>
    <w:rsid w:val="00917C37"/>
    <w:rsid w:val="00917D4A"/>
    <w:rsid w:val="009316FB"/>
    <w:rsid w:val="009348B6"/>
    <w:rsid w:val="00935657"/>
    <w:rsid w:val="00937BFC"/>
    <w:rsid w:val="00944DFB"/>
    <w:rsid w:val="00945B18"/>
    <w:rsid w:val="00947411"/>
    <w:rsid w:val="00951DBA"/>
    <w:rsid w:val="00954F0A"/>
    <w:rsid w:val="009553C9"/>
    <w:rsid w:val="009645E2"/>
    <w:rsid w:val="00964A9D"/>
    <w:rsid w:val="00973A7C"/>
    <w:rsid w:val="0097559D"/>
    <w:rsid w:val="00976F15"/>
    <w:rsid w:val="0097788C"/>
    <w:rsid w:val="00982025"/>
    <w:rsid w:val="00983705"/>
    <w:rsid w:val="00983DF9"/>
    <w:rsid w:val="00985ECF"/>
    <w:rsid w:val="009864DB"/>
    <w:rsid w:val="0099049B"/>
    <w:rsid w:val="00991444"/>
    <w:rsid w:val="00993EB8"/>
    <w:rsid w:val="00995B87"/>
    <w:rsid w:val="009A233E"/>
    <w:rsid w:val="009A5682"/>
    <w:rsid w:val="009B2ADC"/>
    <w:rsid w:val="009B2FAE"/>
    <w:rsid w:val="009B6FB1"/>
    <w:rsid w:val="009C157F"/>
    <w:rsid w:val="009C34E1"/>
    <w:rsid w:val="009C500E"/>
    <w:rsid w:val="009D12F4"/>
    <w:rsid w:val="009D1388"/>
    <w:rsid w:val="009D2BD9"/>
    <w:rsid w:val="009D3E21"/>
    <w:rsid w:val="009E0684"/>
    <w:rsid w:val="009E2084"/>
    <w:rsid w:val="009E6A99"/>
    <w:rsid w:val="009F4D95"/>
    <w:rsid w:val="009F4DC1"/>
    <w:rsid w:val="009F5673"/>
    <w:rsid w:val="00A001C0"/>
    <w:rsid w:val="00A101FF"/>
    <w:rsid w:val="00A10B7F"/>
    <w:rsid w:val="00A11F9A"/>
    <w:rsid w:val="00A12D9B"/>
    <w:rsid w:val="00A14A94"/>
    <w:rsid w:val="00A15F26"/>
    <w:rsid w:val="00A17D1F"/>
    <w:rsid w:val="00A21A7C"/>
    <w:rsid w:val="00A221F3"/>
    <w:rsid w:val="00A23E36"/>
    <w:rsid w:val="00A244F3"/>
    <w:rsid w:val="00A25008"/>
    <w:rsid w:val="00A262E3"/>
    <w:rsid w:val="00A32501"/>
    <w:rsid w:val="00A33716"/>
    <w:rsid w:val="00A3410F"/>
    <w:rsid w:val="00A36721"/>
    <w:rsid w:val="00A404EE"/>
    <w:rsid w:val="00A45836"/>
    <w:rsid w:val="00A557B7"/>
    <w:rsid w:val="00A579DA"/>
    <w:rsid w:val="00A61A4E"/>
    <w:rsid w:val="00A621AC"/>
    <w:rsid w:val="00A63F0A"/>
    <w:rsid w:val="00A644AB"/>
    <w:rsid w:val="00A65328"/>
    <w:rsid w:val="00A6545E"/>
    <w:rsid w:val="00A654B4"/>
    <w:rsid w:val="00A671E3"/>
    <w:rsid w:val="00A67D23"/>
    <w:rsid w:val="00A71E0E"/>
    <w:rsid w:val="00A81A5B"/>
    <w:rsid w:val="00A81DD4"/>
    <w:rsid w:val="00A83E05"/>
    <w:rsid w:val="00A848F6"/>
    <w:rsid w:val="00A9081D"/>
    <w:rsid w:val="00A965D0"/>
    <w:rsid w:val="00A97F71"/>
    <w:rsid w:val="00AA03EB"/>
    <w:rsid w:val="00AA6602"/>
    <w:rsid w:val="00AB1538"/>
    <w:rsid w:val="00AB337D"/>
    <w:rsid w:val="00AB371E"/>
    <w:rsid w:val="00AB4596"/>
    <w:rsid w:val="00AB54DE"/>
    <w:rsid w:val="00AB5ACB"/>
    <w:rsid w:val="00AB7EBF"/>
    <w:rsid w:val="00AD530B"/>
    <w:rsid w:val="00AE1AE8"/>
    <w:rsid w:val="00AE41A0"/>
    <w:rsid w:val="00AE64CA"/>
    <w:rsid w:val="00AF3F00"/>
    <w:rsid w:val="00AF54CE"/>
    <w:rsid w:val="00AF70D3"/>
    <w:rsid w:val="00B103D5"/>
    <w:rsid w:val="00B13C86"/>
    <w:rsid w:val="00B16894"/>
    <w:rsid w:val="00B26119"/>
    <w:rsid w:val="00B26B99"/>
    <w:rsid w:val="00B27E61"/>
    <w:rsid w:val="00B41C4F"/>
    <w:rsid w:val="00B505A7"/>
    <w:rsid w:val="00B5225A"/>
    <w:rsid w:val="00B5370F"/>
    <w:rsid w:val="00B543CC"/>
    <w:rsid w:val="00B60E67"/>
    <w:rsid w:val="00B620DC"/>
    <w:rsid w:val="00B622D8"/>
    <w:rsid w:val="00B666BB"/>
    <w:rsid w:val="00B81FBE"/>
    <w:rsid w:val="00B84C19"/>
    <w:rsid w:val="00B87D63"/>
    <w:rsid w:val="00B921C8"/>
    <w:rsid w:val="00BA0641"/>
    <w:rsid w:val="00BA0B70"/>
    <w:rsid w:val="00BA0C60"/>
    <w:rsid w:val="00BB0D2B"/>
    <w:rsid w:val="00BB2195"/>
    <w:rsid w:val="00BB3217"/>
    <w:rsid w:val="00BB459D"/>
    <w:rsid w:val="00BC11DE"/>
    <w:rsid w:val="00BC4CDD"/>
    <w:rsid w:val="00BC7F14"/>
    <w:rsid w:val="00BD0822"/>
    <w:rsid w:val="00BD1E9E"/>
    <w:rsid w:val="00BE14C6"/>
    <w:rsid w:val="00BE676A"/>
    <w:rsid w:val="00C016CC"/>
    <w:rsid w:val="00C01B77"/>
    <w:rsid w:val="00C13D42"/>
    <w:rsid w:val="00C23284"/>
    <w:rsid w:val="00C24EE0"/>
    <w:rsid w:val="00C30D6B"/>
    <w:rsid w:val="00C3410A"/>
    <w:rsid w:val="00C3486E"/>
    <w:rsid w:val="00C34EA4"/>
    <w:rsid w:val="00C34FC6"/>
    <w:rsid w:val="00C450DB"/>
    <w:rsid w:val="00C46730"/>
    <w:rsid w:val="00C51153"/>
    <w:rsid w:val="00C5139F"/>
    <w:rsid w:val="00C5689C"/>
    <w:rsid w:val="00C63FDF"/>
    <w:rsid w:val="00C6592E"/>
    <w:rsid w:val="00C740E6"/>
    <w:rsid w:val="00C8082E"/>
    <w:rsid w:val="00C811C8"/>
    <w:rsid w:val="00C9008D"/>
    <w:rsid w:val="00C90E33"/>
    <w:rsid w:val="00C91C0A"/>
    <w:rsid w:val="00C91E01"/>
    <w:rsid w:val="00C92F01"/>
    <w:rsid w:val="00C956E7"/>
    <w:rsid w:val="00C96B0E"/>
    <w:rsid w:val="00CA208B"/>
    <w:rsid w:val="00CA3D13"/>
    <w:rsid w:val="00CB245B"/>
    <w:rsid w:val="00CB641C"/>
    <w:rsid w:val="00CB66FA"/>
    <w:rsid w:val="00CB69CE"/>
    <w:rsid w:val="00CC1C6E"/>
    <w:rsid w:val="00CC477E"/>
    <w:rsid w:val="00CD3393"/>
    <w:rsid w:val="00CD4FE3"/>
    <w:rsid w:val="00CD5583"/>
    <w:rsid w:val="00CD5D19"/>
    <w:rsid w:val="00CD6FF3"/>
    <w:rsid w:val="00CE15E5"/>
    <w:rsid w:val="00D020CB"/>
    <w:rsid w:val="00D02BF1"/>
    <w:rsid w:val="00D06766"/>
    <w:rsid w:val="00D0683B"/>
    <w:rsid w:val="00D112E5"/>
    <w:rsid w:val="00D12C4A"/>
    <w:rsid w:val="00D14E85"/>
    <w:rsid w:val="00D166FB"/>
    <w:rsid w:val="00D16A02"/>
    <w:rsid w:val="00D219FE"/>
    <w:rsid w:val="00D2485A"/>
    <w:rsid w:val="00D3135A"/>
    <w:rsid w:val="00D31E7A"/>
    <w:rsid w:val="00D403B8"/>
    <w:rsid w:val="00D420FA"/>
    <w:rsid w:val="00D43393"/>
    <w:rsid w:val="00D460C5"/>
    <w:rsid w:val="00D5081D"/>
    <w:rsid w:val="00D515A3"/>
    <w:rsid w:val="00D51D5E"/>
    <w:rsid w:val="00D53A2F"/>
    <w:rsid w:val="00D5773D"/>
    <w:rsid w:val="00D61692"/>
    <w:rsid w:val="00D61F51"/>
    <w:rsid w:val="00D621FB"/>
    <w:rsid w:val="00D656AB"/>
    <w:rsid w:val="00D7316A"/>
    <w:rsid w:val="00D76E78"/>
    <w:rsid w:val="00D838B0"/>
    <w:rsid w:val="00D84F07"/>
    <w:rsid w:val="00D860A7"/>
    <w:rsid w:val="00D90BA5"/>
    <w:rsid w:val="00D9303A"/>
    <w:rsid w:val="00D95B43"/>
    <w:rsid w:val="00DA110A"/>
    <w:rsid w:val="00DA609F"/>
    <w:rsid w:val="00DB7276"/>
    <w:rsid w:val="00DC0D99"/>
    <w:rsid w:val="00DC28F5"/>
    <w:rsid w:val="00DC3877"/>
    <w:rsid w:val="00DC39AC"/>
    <w:rsid w:val="00DC3BD0"/>
    <w:rsid w:val="00DC3CA3"/>
    <w:rsid w:val="00DC76CA"/>
    <w:rsid w:val="00DD08CF"/>
    <w:rsid w:val="00DD0D4F"/>
    <w:rsid w:val="00DD4096"/>
    <w:rsid w:val="00DD54AF"/>
    <w:rsid w:val="00DD5553"/>
    <w:rsid w:val="00DD5755"/>
    <w:rsid w:val="00DD64BB"/>
    <w:rsid w:val="00DE02D9"/>
    <w:rsid w:val="00DE03BF"/>
    <w:rsid w:val="00DE0DA2"/>
    <w:rsid w:val="00DE1592"/>
    <w:rsid w:val="00DE19D2"/>
    <w:rsid w:val="00DE7040"/>
    <w:rsid w:val="00DF2B9F"/>
    <w:rsid w:val="00DF6900"/>
    <w:rsid w:val="00E04577"/>
    <w:rsid w:val="00E04ACA"/>
    <w:rsid w:val="00E064BC"/>
    <w:rsid w:val="00E10031"/>
    <w:rsid w:val="00E1080A"/>
    <w:rsid w:val="00E11E91"/>
    <w:rsid w:val="00E11FDF"/>
    <w:rsid w:val="00E123B2"/>
    <w:rsid w:val="00E14476"/>
    <w:rsid w:val="00E22884"/>
    <w:rsid w:val="00E25864"/>
    <w:rsid w:val="00E26AFD"/>
    <w:rsid w:val="00E27D54"/>
    <w:rsid w:val="00E27E57"/>
    <w:rsid w:val="00E303C9"/>
    <w:rsid w:val="00E32F99"/>
    <w:rsid w:val="00E35E0B"/>
    <w:rsid w:val="00E42B2A"/>
    <w:rsid w:val="00E42F25"/>
    <w:rsid w:val="00E45235"/>
    <w:rsid w:val="00E5094A"/>
    <w:rsid w:val="00E5368B"/>
    <w:rsid w:val="00E56375"/>
    <w:rsid w:val="00E573C3"/>
    <w:rsid w:val="00E60B14"/>
    <w:rsid w:val="00E65121"/>
    <w:rsid w:val="00E726C7"/>
    <w:rsid w:val="00E72F84"/>
    <w:rsid w:val="00E73F31"/>
    <w:rsid w:val="00E767D7"/>
    <w:rsid w:val="00E824A2"/>
    <w:rsid w:val="00E85277"/>
    <w:rsid w:val="00E854FB"/>
    <w:rsid w:val="00E90235"/>
    <w:rsid w:val="00E9075C"/>
    <w:rsid w:val="00E92954"/>
    <w:rsid w:val="00E946E6"/>
    <w:rsid w:val="00E94A29"/>
    <w:rsid w:val="00E9668F"/>
    <w:rsid w:val="00E96D5D"/>
    <w:rsid w:val="00EA028C"/>
    <w:rsid w:val="00EA3E75"/>
    <w:rsid w:val="00EA52BF"/>
    <w:rsid w:val="00EA793E"/>
    <w:rsid w:val="00EB1A18"/>
    <w:rsid w:val="00EB25AE"/>
    <w:rsid w:val="00EC124A"/>
    <w:rsid w:val="00EC3AEE"/>
    <w:rsid w:val="00EC53A3"/>
    <w:rsid w:val="00EC7912"/>
    <w:rsid w:val="00ED07B8"/>
    <w:rsid w:val="00ED15C7"/>
    <w:rsid w:val="00ED29AF"/>
    <w:rsid w:val="00ED351A"/>
    <w:rsid w:val="00ED4DEB"/>
    <w:rsid w:val="00ED50E1"/>
    <w:rsid w:val="00EE66AE"/>
    <w:rsid w:val="00EE7035"/>
    <w:rsid w:val="00EF5BAD"/>
    <w:rsid w:val="00F005C0"/>
    <w:rsid w:val="00F015D7"/>
    <w:rsid w:val="00F0251B"/>
    <w:rsid w:val="00F0264D"/>
    <w:rsid w:val="00F0546F"/>
    <w:rsid w:val="00F057F2"/>
    <w:rsid w:val="00F07730"/>
    <w:rsid w:val="00F07904"/>
    <w:rsid w:val="00F0796B"/>
    <w:rsid w:val="00F12303"/>
    <w:rsid w:val="00F20281"/>
    <w:rsid w:val="00F21124"/>
    <w:rsid w:val="00F233EF"/>
    <w:rsid w:val="00F268A8"/>
    <w:rsid w:val="00F33B4A"/>
    <w:rsid w:val="00F35E4E"/>
    <w:rsid w:val="00F372A2"/>
    <w:rsid w:val="00F45470"/>
    <w:rsid w:val="00F46708"/>
    <w:rsid w:val="00F509D9"/>
    <w:rsid w:val="00F51B98"/>
    <w:rsid w:val="00F52515"/>
    <w:rsid w:val="00F55068"/>
    <w:rsid w:val="00F55349"/>
    <w:rsid w:val="00F56583"/>
    <w:rsid w:val="00F578AD"/>
    <w:rsid w:val="00F60B34"/>
    <w:rsid w:val="00F610E0"/>
    <w:rsid w:val="00F6224C"/>
    <w:rsid w:val="00F67DB3"/>
    <w:rsid w:val="00F726CA"/>
    <w:rsid w:val="00F750BE"/>
    <w:rsid w:val="00F8220F"/>
    <w:rsid w:val="00F90C6C"/>
    <w:rsid w:val="00F920C5"/>
    <w:rsid w:val="00F941B6"/>
    <w:rsid w:val="00FA2BCF"/>
    <w:rsid w:val="00FA2F1E"/>
    <w:rsid w:val="00FB21E1"/>
    <w:rsid w:val="00FB3969"/>
    <w:rsid w:val="00FB40B3"/>
    <w:rsid w:val="00FD2883"/>
    <w:rsid w:val="00FD3ACB"/>
    <w:rsid w:val="00FD4FBE"/>
    <w:rsid w:val="00FD7E54"/>
    <w:rsid w:val="00FE1708"/>
    <w:rsid w:val="00FE384F"/>
    <w:rsid w:val="00FE4366"/>
    <w:rsid w:val="00FE4A73"/>
    <w:rsid w:val="00FE7AAB"/>
    <w:rsid w:val="00FF2AD9"/>
    <w:rsid w:val="00FF2EDA"/>
    <w:rsid w:val="00FF4A9A"/>
    <w:rsid w:val="010966D1"/>
    <w:rsid w:val="010A5041"/>
    <w:rsid w:val="0112390B"/>
    <w:rsid w:val="011B3C08"/>
    <w:rsid w:val="0136194F"/>
    <w:rsid w:val="013C6133"/>
    <w:rsid w:val="01462755"/>
    <w:rsid w:val="015E5D92"/>
    <w:rsid w:val="01614895"/>
    <w:rsid w:val="017B6A90"/>
    <w:rsid w:val="01824F45"/>
    <w:rsid w:val="0183136E"/>
    <w:rsid w:val="018333B4"/>
    <w:rsid w:val="0186197C"/>
    <w:rsid w:val="018B09D9"/>
    <w:rsid w:val="01933CA1"/>
    <w:rsid w:val="01B23FD5"/>
    <w:rsid w:val="01B7368B"/>
    <w:rsid w:val="01E07700"/>
    <w:rsid w:val="01E865EC"/>
    <w:rsid w:val="01F42E70"/>
    <w:rsid w:val="01FB42FD"/>
    <w:rsid w:val="01FB7095"/>
    <w:rsid w:val="0201217A"/>
    <w:rsid w:val="02061406"/>
    <w:rsid w:val="02097E8B"/>
    <w:rsid w:val="020A11D5"/>
    <w:rsid w:val="020F594B"/>
    <w:rsid w:val="0229430D"/>
    <w:rsid w:val="024E7C57"/>
    <w:rsid w:val="0266765B"/>
    <w:rsid w:val="026E4777"/>
    <w:rsid w:val="02711219"/>
    <w:rsid w:val="027E39FC"/>
    <w:rsid w:val="028B3CE6"/>
    <w:rsid w:val="02941126"/>
    <w:rsid w:val="029C3DB5"/>
    <w:rsid w:val="029D7DF9"/>
    <w:rsid w:val="02AA24FE"/>
    <w:rsid w:val="02B26DBD"/>
    <w:rsid w:val="02B6775B"/>
    <w:rsid w:val="02C21A04"/>
    <w:rsid w:val="02C22EC6"/>
    <w:rsid w:val="02C37817"/>
    <w:rsid w:val="02D56825"/>
    <w:rsid w:val="02E72B3C"/>
    <w:rsid w:val="02EF6CAE"/>
    <w:rsid w:val="02F1249A"/>
    <w:rsid w:val="02F477A6"/>
    <w:rsid w:val="03145252"/>
    <w:rsid w:val="03151A94"/>
    <w:rsid w:val="031550ED"/>
    <w:rsid w:val="032A1EB0"/>
    <w:rsid w:val="03305FFE"/>
    <w:rsid w:val="033D0DB8"/>
    <w:rsid w:val="034070B5"/>
    <w:rsid w:val="035B55D1"/>
    <w:rsid w:val="036B1FA7"/>
    <w:rsid w:val="036D2DAF"/>
    <w:rsid w:val="03792C07"/>
    <w:rsid w:val="038057B0"/>
    <w:rsid w:val="03912F41"/>
    <w:rsid w:val="03CA6444"/>
    <w:rsid w:val="03CE7A7F"/>
    <w:rsid w:val="03DB1078"/>
    <w:rsid w:val="03F22D14"/>
    <w:rsid w:val="03FA5D6A"/>
    <w:rsid w:val="040F6EAA"/>
    <w:rsid w:val="04347A16"/>
    <w:rsid w:val="043851F9"/>
    <w:rsid w:val="0444010C"/>
    <w:rsid w:val="04476C93"/>
    <w:rsid w:val="0457591A"/>
    <w:rsid w:val="04704740"/>
    <w:rsid w:val="047401BD"/>
    <w:rsid w:val="047C4F44"/>
    <w:rsid w:val="04932582"/>
    <w:rsid w:val="04AA6042"/>
    <w:rsid w:val="04AD078F"/>
    <w:rsid w:val="04AF6BEF"/>
    <w:rsid w:val="04B85884"/>
    <w:rsid w:val="04CE401F"/>
    <w:rsid w:val="04DD4359"/>
    <w:rsid w:val="04E21A0E"/>
    <w:rsid w:val="04ED0B4B"/>
    <w:rsid w:val="05107B8A"/>
    <w:rsid w:val="05193D99"/>
    <w:rsid w:val="05263B5D"/>
    <w:rsid w:val="05340118"/>
    <w:rsid w:val="05472AD4"/>
    <w:rsid w:val="054B0AE8"/>
    <w:rsid w:val="056435FD"/>
    <w:rsid w:val="056F3E2A"/>
    <w:rsid w:val="057160A0"/>
    <w:rsid w:val="05791EDF"/>
    <w:rsid w:val="057D34E8"/>
    <w:rsid w:val="05A43401"/>
    <w:rsid w:val="05AC7578"/>
    <w:rsid w:val="05B527E6"/>
    <w:rsid w:val="05C71ED5"/>
    <w:rsid w:val="05C76481"/>
    <w:rsid w:val="05CA5BFC"/>
    <w:rsid w:val="05DD748E"/>
    <w:rsid w:val="05FF25BB"/>
    <w:rsid w:val="061E0BC8"/>
    <w:rsid w:val="062478AE"/>
    <w:rsid w:val="062C178D"/>
    <w:rsid w:val="062F259D"/>
    <w:rsid w:val="06330C81"/>
    <w:rsid w:val="06351BFD"/>
    <w:rsid w:val="063D4D35"/>
    <w:rsid w:val="06433298"/>
    <w:rsid w:val="06460764"/>
    <w:rsid w:val="064F2365"/>
    <w:rsid w:val="06546127"/>
    <w:rsid w:val="065E6637"/>
    <w:rsid w:val="06702A1A"/>
    <w:rsid w:val="06830300"/>
    <w:rsid w:val="068D49A2"/>
    <w:rsid w:val="068F0BD1"/>
    <w:rsid w:val="06970944"/>
    <w:rsid w:val="069C2465"/>
    <w:rsid w:val="06AA2D14"/>
    <w:rsid w:val="06AB27ED"/>
    <w:rsid w:val="06AD302F"/>
    <w:rsid w:val="06CC0A35"/>
    <w:rsid w:val="06F46FED"/>
    <w:rsid w:val="06FA2355"/>
    <w:rsid w:val="07066773"/>
    <w:rsid w:val="070F2D95"/>
    <w:rsid w:val="071463DE"/>
    <w:rsid w:val="071D148B"/>
    <w:rsid w:val="0722247E"/>
    <w:rsid w:val="072579B6"/>
    <w:rsid w:val="073249A8"/>
    <w:rsid w:val="07385563"/>
    <w:rsid w:val="07470FC0"/>
    <w:rsid w:val="07531671"/>
    <w:rsid w:val="07624BF2"/>
    <w:rsid w:val="076A1EA2"/>
    <w:rsid w:val="078C64E3"/>
    <w:rsid w:val="07934CEE"/>
    <w:rsid w:val="079500D7"/>
    <w:rsid w:val="079707C0"/>
    <w:rsid w:val="07990E2B"/>
    <w:rsid w:val="07A353E2"/>
    <w:rsid w:val="07A62D73"/>
    <w:rsid w:val="07BB6659"/>
    <w:rsid w:val="07DC662F"/>
    <w:rsid w:val="07E31B36"/>
    <w:rsid w:val="07E74A05"/>
    <w:rsid w:val="07F13457"/>
    <w:rsid w:val="07F20818"/>
    <w:rsid w:val="07F7092F"/>
    <w:rsid w:val="08063FB1"/>
    <w:rsid w:val="081355A8"/>
    <w:rsid w:val="083D0F82"/>
    <w:rsid w:val="08623EE3"/>
    <w:rsid w:val="086560D6"/>
    <w:rsid w:val="08734A01"/>
    <w:rsid w:val="0873562D"/>
    <w:rsid w:val="087859C9"/>
    <w:rsid w:val="087B7477"/>
    <w:rsid w:val="087F52B7"/>
    <w:rsid w:val="088170BD"/>
    <w:rsid w:val="0886464D"/>
    <w:rsid w:val="08892212"/>
    <w:rsid w:val="088C62F8"/>
    <w:rsid w:val="089E1E1C"/>
    <w:rsid w:val="089F6C29"/>
    <w:rsid w:val="08B55EAE"/>
    <w:rsid w:val="08B84D5E"/>
    <w:rsid w:val="08CA0D5B"/>
    <w:rsid w:val="08D67F79"/>
    <w:rsid w:val="08F74842"/>
    <w:rsid w:val="09031506"/>
    <w:rsid w:val="09083111"/>
    <w:rsid w:val="09150A8B"/>
    <w:rsid w:val="091F1371"/>
    <w:rsid w:val="09350040"/>
    <w:rsid w:val="093940C3"/>
    <w:rsid w:val="094318BF"/>
    <w:rsid w:val="094D74B8"/>
    <w:rsid w:val="096302A6"/>
    <w:rsid w:val="09642D75"/>
    <w:rsid w:val="0970224E"/>
    <w:rsid w:val="0987613D"/>
    <w:rsid w:val="09943800"/>
    <w:rsid w:val="099C7F83"/>
    <w:rsid w:val="09AF39E4"/>
    <w:rsid w:val="09B3627A"/>
    <w:rsid w:val="09C2376D"/>
    <w:rsid w:val="09C35C9C"/>
    <w:rsid w:val="09D63FC9"/>
    <w:rsid w:val="09DA083E"/>
    <w:rsid w:val="09E5454F"/>
    <w:rsid w:val="09FC4115"/>
    <w:rsid w:val="09FC71E3"/>
    <w:rsid w:val="09FF404A"/>
    <w:rsid w:val="0A056F7E"/>
    <w:rsid w:val="0A2D5FC2"/>
    <w:rsid w:val="0A3778B8"/>
    <w:rsid w:val="0A393F55"/>
    <w:rsid w:val="0A521154"/>
    <w:rsid w:val="0A59408D"/>
    <w:rsid w:val="0A5C0004"/>
    <w:rsid w:val="0A7C22F1"/>
    <w:rsid w:val="0A7E32A7"/>
    <w:rsid w:val="0A930EEE"/>
    <w:rsid w:val="0A9358E8"/>
    <w:rsid w:val="0A9D3C79"/>
    <w:rsid w:val="0A9D7C41"/>
    <w:rsid w:val="0AA118A8"/>
    <w:rsid w:val="0AA80318"/>
    <w:rsid w:val="0AA91C8A"/>
    <w:rsid w:val="0AB55A05"/>
    <w:rsid w:val="0ABF6EEC"/>
    <w:rsid w:val="0AD15F1B"/>
    <w:rsid w:val="0AD9448B"/>
    <w:rsid w:val="0B087AF8"/>
    <w:rsid w:val="0B3079B7"/>
    <w:rsid w:val="0B3B15F7"/>
    <w:rsid w:val="0B596DA4"/>
    <w:rsid w:val="0B5B276C"/>
    <w:rsid w:val="0B5D1D49"/>
    <w:rsid w:val="0B797885"/>
    <w:rsid w:val="0B803C81"/>
    <w:rsid w:val="0B883877"/>
    <w:rsid w:val="0BA03AE8"/>
    <w:rsid w:val="0BA92DF2"/>
    <w:rsid w:val="0BAB6B6A"/>
    <w:rsid w:val="0BCD7239"/>
    <w:rsid w:val="0BE247B9"/>
    <w:rsid w:val="0BE55F94"/>
    <w:rsid w:val="0BF122A6"/>
    <w:rsid w:val="0C0C09C7"/>
    <w:rsid w:val="0C0E436B"/>
    <w:rsid w:val="0C1937A5"/>
    <w:rsid w:val="0C22645B"/>
    <w:rsid w:val="0C235884"/>
    <w:rsid w:val="0C2A1352"/>
    <w:rsid w:val="0C38149C"/>
    <w:rsid w:val="0C3B7E76"/>
    <w:rsid w:val="0C451F57"/>
    <w:rsid w:val="0C4A27B9"/>
    <w:rsid w:val="0C7055A4"/>
    <w:rsid w:val="0C771FC7"/>
    <w:rsid w:val="0C7A297C"/>
    <w:rsid w:val="0C7A725D"/>
    <w:rsid w:val="0C7F5089"/>
    <w:rsid w:val="0C977640"/>
    <w:rsid w:val="0C9B4173"/>
    <w:rsid w:val="0CE07D28"/>
    <w:rsid w:val="0CE76671"/>
    <w:rsid w:val="0CEA36C2"/>
    <w:rsid w:val="0CEE141B"/>
    <w:rsid w:val="0CF22D43"/>
    <w:rsid w:val="0D087D82"/>
    <w:rsid w:val="0D26618E"/>
    <w:rsid w:val="0D391EFA"/>
    <w:rsid w:val="0D587038"/>
    <w:rsid w:val="0D5D0579"/>
    <w:rsid w:val="0D5D37FD"/>
    <w:rsid w:val="0D600EFE"/>
    <w:rsid w:val="0D680B40"/>
    <w:rsid w:val="0D705241"/>
    <w:rsid w:val="0D76303D"/>
    <w:rsid w:val="0D9C32E2"/>
    <w:rsid w:val="0DA32C6D"/>
    <w:rsid w:val="0DB96B42"/>
    <w:rsid w:val="0DD3660C"/>
    <w:rsid w:val="0DDC4507"/>
    <w:rsid w:val="0E037856"/>
    <w:rsid w:val="0E040150"/>
    <w:rsid w:val="0E2A0958"/>
    <w:rsid w:val="0E327A62"/>
    <w:rsid w:val="0E3F1F36"/>
    <w:rsid w:val="0E410EDE"/>
    <w:rsid w:val="0E4A00DD"/>
    <w:rsid w:val="0E53359F"/>
    <w:rsid w:val="0E554C8F"/>
    <w:rsid w:val="0E6065F1"/>
    <w:rsid w:val="0E6B273C"/>
    <w:rsid w:val="0E726630"/>
    <w:rsid w:val="0EBD4D8F"/>
    <w:rsid w:val="0EC14BC9"/>
    <w:rsid w:val="0ED1336A"/>
    <w:rsid w:val="0EDD6097"/>
    <w:rsid w:val="0EDF2E28"/>
    <w:rsid w:val="0EE0368B"/>
    <w:rsid w:val="0EF2171F"/>
    <w:rsid w:val="0EF9321E"/>
    <w:rsid w:val="0EF9444B"/>
    <w:rsid w:val="0F15657E"/>
    <w:rsid w:val="0F19784D"/>
    <w:rsid w:val="0F2B4C10"/>
    <w:rsid w:val="0F3F10E2"/>
    <w:rsid w:val="0F4978B1"/>
    <w:rsid w:val="0F7A23DC"/>
    <w:rsid w:val="0FC772CA"/>
    <w:rsid w:val="0FC87E78"/>
    <w:rsid w:val="0FCE4B96"/>
    <w:rsid w:val="0FD313B7"/>
    <w:rsid w:val="0FDD306A"/>
    <w:rsid w:val="0FE92B27"/>
    <w:rsid w:val="0FF07157"/>
    <w:rsid w:val="0FF30D84"/>
    <w:rsid w:val="0FF5770F"/>
    <w:rsid w:val="10124BB3"/>
    <w:rsid w:val="10254E4D"/>
    <w:rsid w:val="10320BFE"/>
    <w:rsid w:val="10406C2E"/>
    <w:rsid w:val="104117A5"/>
    <w:rsid w:val="10692F56"/>
    <w:rsid w:val="106D57E3"/>
    <w:rsid w:val="1083598C"/>
    <w:rsid w:val="109306A8"/>
    <w:rsid w:val="10A867E1"/>
    <w:rsid w:val="10CA1115"/>
    <w:rsid w:val="10CF1DDF"/>
    <w:rsid w:val="10E25C5D"/>
    <w:rsid w:val="10ED3781"/>
    <w:rsid w:val="10F62C4F"/>
    <w:rsid w:val="10F677E1"/>
    <w:rsid w:val="10F93B3F"/>
    <w:rsid w:val="112847EE"/>
    <w:rsid w:val="112C4BEA"/>
    <w:rsid w:val="11384881"/>
    <w:rsid w:val="11415D3F"/>
    <w:rsid w:val="11464066"/>
    <w:rsid w:val="114A726B"/>
    <w:rsid w:val="11520C4F"/>
    <w:rsid w:val="115C6A94"/>
    <w:rsid w:val="11652679"/>
    <w:rsid w:val="11722019"/>
    <w:rsid w:val="11792880"/>
    <w:rsid w:val="117C04E8"/>
    <w:rsid w:val="117D0C67"/>
    <w:rsid w:val="118A7F8B"/>
    <w:rsid w:val="119601B7"/>
    <w:rsid w:val="119718CD"/>
    <w:rsid w:val="119B2E5E"/>
    <w:rsid w:val="11B36C9A"/>
    <w:rsid w:val="11B8134B"/>
    <w:rsid w:val="11BE35AB"/>
    <w:rsid w:val="11C76EB4"/>
    <w:rsid w:val="11D24F46"/>
    <w:rsid w:val="11D8097A"/>
    <w:rsid w:val="11DB6FAC"/>
    <w:rsid w:val="11DE7EEF"/>
    <w:rsid w:val="11E01002"/>
    <w:rsid w:val="11FC7B64"/>
    <w:rsid w:val="120150EC"/>
    <w:rsid w:val="1207307A"/>
    <w:rsid w:val="120D1382"/>
    <w:rsid w:val="12115E4B"/>
    <w:rsid w:val="121B0C96"/>
    <w:rsid w:val="124B7F3C"/>
    <w:rsid w:val="12500F93"/>
    <w:rsid w:val="12685DA5"/>
    <w:rsid w:val="128A41B2"/>
    <w:rsid w:val="128E4AC3"/>
    <w:rsid w:val="129B2772"/>
    <w:rsid w:val="12C0739F"/>
    <w:rsid w:val="12C96CDB"/>
    <w:rsid w:val="12DF007E"/>
    <w:rsid w:val="12E03E13"/>
    <w:rsid w:val="12EB6997"/>
    <w:rsid w:val="12FA6F28"/>
    <w:rsid w:val="130143BE"/>
    <w:rsid w:val="130B4CCD"/>
    <w:rsid w:val="130F5557"/>
    <w:rsid w:val="131961E1"/>
    <w:rsid w:val="1320518F"/>
    <w:rsid w:val="1326488F"/>
    <w:rsid w:val="133800FB"/>
    <w:rsid w:val="13524611"/>
    <w:rsid w:val="13575B22"/>
    <w:rsid w:val="13586C9D"/>
    <w:rsid w:val="13601957"/>
    <w:rsid w:val="1384445B"/>
    <w:rsid w:val="13853B3C"/>
    <w:rsid w:val="138819FA"/>
    <w:rsid w:val="13BF4356"/>
    <w:rsid w:val="13C82AF7"/>
    <w:rsid w:val="13C94A30"/>
    <w:rsid w:val="13E7484E"/>
    <w:rsid w:val="13EC1B63"/>
    <w:rsid w:val="141C1BB1"/>
    <w:rsid w:val="14243135"/>
    <w:rsid w:val="142D2826"/>
    <w:rsid w:val="142D6C33"/>
    <w:rsid w:val="1431645B"/>
    <w:rsid w:val="146A44E5"/>
    <w:rsid w:val="146A6A43"/>
    <w:rsid w:val="146F4594"/>
    <w:rsid w:val="14700526"/>
    <w:rsid w:val="147A4E18"/>
    <w:rsid w:val="14800389"/>
    <w:rsid w:val="14806418"/>
    <w:rsid w:val="14835165"/>
    <w:rsid w:val="148F18B7"/>
    <w:rsid w:val="1497530F"/>
    <w:rsid w:val="14D15DE9"/>
    <w:rsid w:val="14DB6CA9"/>
    <w:rsid w:val="14DF1906"/>
    <w:rsid w:val="14EC0CE9"/>
    <w:rsid w:val="15004F11"/>
    <w:rsid w:val="150115A9"/>
    <w:rsid w:val="15102309"/>
    <w:rsid w:val="15162A87"/>
    <w:rsid w:val="152F4A30"/>
    <w:rsid w:val="153D3B62"/>
    <w:rsid w:val="156D558F"/>
    <w:rsid w:val="15701914"/>
    <w:rsid w:val="157250BC"/>
    <w:rsid w:val="15760E8E"/>
    <w:rsid w:val="158017B8"/>
    <w:rsid w:val="158B01E4"/>
    <w:rsid w:val="158B5312"/>
    <w:rsid w:val="159D0F8F"/>
    <w:rsid w:val="15A2120D"/>
    <w:rsid w:val="15A66F99"/>
    <w:rsid w:val="15AA2F57"/>
    <w:rsid w:val="15AB651B"/>
    <w:rsid w:val="15B22D36"/>
    <w:rsid w:val="15B864A2"/>
    <w:rsid w:val="15BC23ED"/>
    <w:rsid w:val="15C14FDC"/>
    <w:rsid w:val="15CF7EF3"/>
    <w:rsid w:val="15DB7988"/>
    <w:rsid w:val="15ED2480"/>
    <w:rsid w:val="15F8630E"/>
    <w:rsid w:val="16083E54"/>
    <w:rsid w:val="160D6518"/>
    <w:rsid w:val="160F4A6E"/>
    <w:rsid w:val="161D5BDC"/>
    <w:rsid w:val="1636067D"/>
    <w:rsid w:val="163A7083"/>
    <w:rsid w:val="163C640D"/>
    <w:rsid w:val="163C7778"/>
    <w:rsid w:val="16435794"/>
    <w:rsid w:val="1671151B"/>
    <w:rsid w:val="168E4D28"/>
    <w:rsid w:val="169C6ACA"/>
    <w:rsid w:val="16A61AEF"/>
    <w:rsid w:val="16AC1941"/>
    <w:rsid w:val="16C45E57"/>
    <w:rsid w:val="16C920E6"/>
    <w:rsid w:val="16CC581B"/>
    <w:rsid w:val="16D31226"/>
    <w:rsid w:val="16DD7FA0"/>
    <w:rsid w:val="16F07F3F"/>
    <w:rsid w:val="16F277BF"/>
    <w:rsid w:val="16F65358"/>
    <w:rsid w:val="17015BEB"/>
    <w:rsid w:val="1703454E"/>
    <w:rsid w:val="170C2C5F"/>
    <w:rsid w:val="170D06E0"/>
    <w:rsid w:val="170D5540"/>
    <w:rsid w:val="170D64CF"/>
    <w:rsid w:val="170F7330"/>
    <w:rsid w:val="171112E5"/>
    <w:rsid w:val="17123F41"/>
    <w:rsid w:val="17142269"/>
    <w:rsid w:val="171B0C88"/>
    <w:rsid w:val="173C5B0D"/>
    <w:rsid w:val="174C2321"/>
    <w:rsid w:val="17507ED0"/>
    <w:rsid w:val="177F0B91"/>
    <w:rsid w:val="17875466"/>
    <w:rsid w:val="178E7657"/>
    <w:rsid w:val="17A41BDA"/>
    <w:rsid w:val="17A9537D"/>
    <w:rsid w:val="17B32AED"/>
    <w:rsid w:val="17C11721"/>
    <w:rsid w:val="17D7362C"/>
    <w:rsid w:val="17E80AB3"/>
    <w:rsid w:val="17E92078"/>
    <w:rsid w:val="17F20B15"/>
    <w:rsid w:val="17F2733C"/>
    <w:rsid w:val="17FC5BA9"/>
    <w:rsid w:val="17FE5A6A"/>
    <w:rsid w:val="180B41B9"/>
    <w:rsid w:val="18150D01"/>
    <w:rsid w:val="183C0DD2"/>
    <w:rsid w:val="187A2E35"/>
    <w:rsid w:val="18811D4A"/>
    <w:rsid w:val="188D2580"/>
    <w:rsid w:val="18982B9B"/>
    <w:rsid w:val="189B729C"/>
    <w:rsid w:val="18A03075"/>
    <w:rsid w:val="18B0793E"/>
    <w:rsid w:val="18BA03EC"/>
    <w:rsid w:val="18CE4615"/>
    <w:rsid w:val="18CF104B"/>
    <w:rsid w:val="18DC7657"/>
    <w:rsid w:val="18E75EBB"/>
    <w:rsid w:val="18EE2203"/>
    <w:rsid w:val="18FC4D2D"/>
    <w:rsid w:val="190555BE"/>
    <w:rsid w:val="190B2724"/>
    <w:rsid w:val="191474A4"/>
    <w:rsid w:val="191875B9"/>
    <w:rsid w:val="19271346"/>
    <w:rsid w:val="192714AE"/>
    <w:rsid w:val="19360FEA"/>
    <w:rsid w:val="19373FEC"/>
    <w:rsid w:val="193C41A0"/>
    <w:rsid w:val="195D79D5"/>
    <w:rsid w:val="19681E38"/>
    <w:rsid w:val="196E49C7"/>
    <w:rsid w:val="19975314"/>
    <w:rsid w:val="19A10E72"/>
    <w:rsid w:val="19AA7676"/>
    <w:rsid w:val="19B4513C"/>
    <w:rsid w:val="19B66AC3"/>
    <w:rsid w:val="19B73CEF"/>
    <w:rsid w:val="19BA7045"/>
    <w:rsid w:val="19CE6FDD"/>
    <w:rsid w:val="19E52087"/>
    <w:rsid w:val="19E63AEE"/>
    <w:rsid w:val="19F62F4D"/>
    <w:rsid w:val="19F870F1"/>
    <w:rsid w:val="1A23796E"/>
    <w:rsid w:val="1A2468B2"/>
    <w:rsid w:val="1A287679"/>
    <w:rsid w:val="1A2A4B5E"/>
    <w:rsid w:val="1A31201D"/>
    <w:rsid w:val="1A3675B3"/>
    <w:rsid w:val="1A3B0898"/>
    <w:rsid w:val="1A4E4D47"/>
    <w:rsid w:val="1A6A7451"/>
    <w:rsid w:val="1A6B1E0E"/>
    <w:rsid w:val="1A795AC1"/>
    <w:rsid w:val="1A89451A"/>
    <w:rsid w:val="1A9E0D5C"/>
    <w:rsid w:val="1AA92BE9"/>
    <w:rsid w:val="1AAE4DE1"/>
    <w:rsid w:val="1AC83366"/>
    <w:rsid w:val="1ADD6614"/>
    <w:rsid w:val="1ADF5AAB"/>
    <w:rsid w:val="1AE95432"/>
    <w:rsid w:val="1B1421E2"/>
    <w:rsid w:val="1B2E6E70"/>
    <w:rsid w:val="1B37326F"/>
    <w:rsid w:val="1B445520"/>
    <w:rsid w:val="1B54592A"/>
    <w:rsid w:val="1B616D2E"/>
    <w:rsid w:val="1B6A79FA"/>
    <w:rsid w:val="1B6C2295"/>
    <w:rsid w:val="1B6F1B8E"/>
    <w:rsid w:val="1B7A0ED9"/>
    <w:rsid w:val="1B836E4F"/>
    <w:rsid w:val="1B867CE3"/>
    <w:rsid w:val="1B9A6D2C"/>
    <w:rsid w:val="1BBD0CBD"/>
    <w:rsid w:val="1BD64E35"/>
    <w:rsid w:val="1BD84F6E"/>
    <w:rsid w:val="1BE556B7"/>
    <w:rsid w:val="1BF2099F"/>
    <w:rsid w:val="1BF37BE9"/>
    <w:rsid w:val="1BFC2F26"/>
    <w:rsid w:val="1C000B30"/>
    <w:rsid w:val="1C0A0D9E"/>
    <w:rsid w:val="1C0E2F29"/>
    <w:rsid w:val="1C1338B4"/>
    <w:rsid w:val="1C2C3779"/>
    <w:rsid w:val="1C3509AD"/>
    <w:rsid w:val="1C367189"/>
    <w:rsid w:val="1C5454FE"/>
    <w:rsid w:val="1C5D3626"/>
    <w:rsid w:val="1C71047A"/>
    <w:rsid w:val="1C7779A1"/>
    <w:rsid w:val="1C787E42"/>
    <w:rsid w:val="1C7C39DB"/>
    <w:rsid w:val="1C8F440B"/>
    <w:rsid w:val="1CAC4E19"/>
    <w:rsid w:val="1CB01417"/>
    <w:rsid w:val="1CB57CA7"/>
    <w:rsid w:val="1CB63CEF"/>
    <w:rsid w:val="1CB91DE7"/>
    <w:rsid w:val="1CE00632"/>
    <w:rsid w:val="1CE20230"/>
    <w:rsid w:val="1CED7A43"/>
    <w:rsid w:val="1CF12760"/>
    <w:rsid w:val="1D0A0B85"/>
    <w:rsid w:val="1D0F0F82"/>
    <w:rsid w:val="1D17405F"/>
    <w:rsid w:val="1D1F496F"/>
    <w:rsid w:val="1D284FAD"/>
    <w:rsid w:val="1D4A54CD"/>
    <w:rsid w:val="1D576372"/>
    <w:rsid w:val="1D5B43E3"/>
    <w:rsid w:val="1D6E4894"/>
    <w:rsid w:val="1D7F5A82"/>
    <w:rsid w:val="1D94164C"/>
    <w:rsid w:val="1DA23DF3"/>
    <w:rsid w:val="1DD46CDD"/>
    <w:rsid w:val="1DE12D15"/>
    <w:rsid w:val="1DE338AC"/>
    <w:rsid w:val="1E1B2A71"/>
    <w:rsid w:val="1E22392E"/>
    <w:rsid w:val="1E2F54F2"/>
    <w:rsid w:val="1E523CAA"/>
    <w:rsid w:val="1E663E3A"/>
    <w:rsid w:val="1E766B63"/>
    <w:rsid w:val="1E780B2E"/>
    <w:rsid w:val="1E7A4FEC"/>
    <w:rsid w:val="1E7F3616"/>
    <w:rsid w:val="1E8038C2"/>
    <w:rsid w:val="1EA8395A"/>
    <w:rsid w:val="1EB93E6A"/>
    <w:rsid w:val="1EDB43AF"/>
    <w:rsid w:val="1EE250AF"/>
    <w:rsid w:val="1EE86D49"/>
    <w:rsid w:val="1EEB7280"/>
    <w:rsid w:val="1EF108E0"/>
    <w:rsid w:val="1F0762D2"/>
    <w:rsid w:val="1F3D4B11"/>
    <w:rsid w:val="1F477FE0"/>
    <w:rsid w:val="1F5350F7"/>
    <w:rsid w:val="1F550742"/>
    <w:rsid w:val="1F5B0BA6"/>
    <w:rsid w:val="1F7A612C"/>
    <w:rsid w:val="1F7D207A"/>
    <w:rsid w:val="1F9000F9"/>
    <w:rsid w:val="1F994601"/>
    <w:rsid w:val="1FAB6097"/>
    <w:rsid w:val="1FB81BA2"/>
    <w:rsid w:val="1FB958FC"/>
    <w:rsid w:val="1FC723B4"/>
    <w:rsid w:val="1FD7404C"/>
    <w:rsid w:val="1FD80A43"/>
    <w:rsid w:val="1FE204A6"/>
    <w:rsid w:val="1FFC5DDC"/>
    <w:rsid w:val="20007100"/>
    <w:rsid w:val="200F2865"/>
    <w:rsid w:val="20120328"/>
    <w:rsid w:val="20160F53"/>
    <w:rsid w:val="20214412"/>
    <w:rsid w:val="20467421"/>
    <w:rsid w:val="204824E0"/>
    <w:rsid w:val="20573095"/>
    <w:rsid w:val="205A5215"/>
    <w:rsid w:val="20737FF4"/>
    <w:rsid w:val="207417C9"/>
    <w:rsid w:val="207643EA"/>
    <w:rsid w:val="207D2842"/>
    <w:rsid w:val="207E0157"/>
    <w:rsid w:val="207E5ADF"/>
    <w:rsid w:val="20895C69"/>
    <w:rsid w:val="208A3D1A"/>
    <w:rsid w:val="20955E3E"/>
    <w:rsid w:val="209C7343"/>
    <w:rsid w:val="20A37FCF"/>
    <w:rsid w:val="20A96320"/>
    <w:rsid w:val="20C06AD8"/>
    <w:rsid w:val="20C34429"/>
    <w:rsid w:val="20C34F4E"/>
    <w:rsid w:val="20CF0D61"/>
    <w:rsid w:val="20D32FEA"/>
    <w:rsid w:val="20DA5429"/>
    <w:rsid w:val="20E9190B"/>
    <w:rsid w:val="20F75BA9"/>
    <w:rsid w:val="210E62C7"/>
    <w:rsid w:val="211F0ACE"/>
    <w:rsid w:val="212401D0"/>
    <w:rsid w:val="21292A0B"/>
    <w:rsid w:val="212F7492"/>
    <w:rsid w:val="213B5E92"/>
    <w:rsid w:val="213F1DD6"/>
    <w:rsid w:val="21411466"/>
    <w:rsid w:val="21464D7B"/>
    <w:rsid w:val="21484171"/>
    <w:rsid w:val="214A6862"/>
    <w:rsid w:val="214F1E2C"/>
    <w:rsid w:val="215B362C"/>
    <w:rsid w:val="215C72D6"/>
    <w:rsid w:val="21687C5B"/>
    <w:rsid w:val="21771470"/>
    <w:rsid w:val="21774DC8"/>
    <w:rsid w:val="21776FB8"/>
    <w:rsid w:val="219C1AF3"/>
    <w:rsid w:val="219D07A6"/>
    <w:rsid w:val="219F709C"/>
    <w:rsid w:val="21A23042"/>
    <w:rsid w:val="21B32A91"/>
    <w:rsid w:val="21BB514A"/>
    <w:rsid w:val="21D45DE6"/>
    <w:rsid w:val="21DA4716"/>
    <w:rsid w:val="21E31B47"/>
    <w:rsid w:val="220A4AA1"/>
    <w:rsid w:val="220B27D2"/>
    <w:rsid w:val="22207409"/>
    <w:rsid w:val="2246486C"/>
    <w:rsid w:val="224D3A77"/>
    <w:rsid w:val="224D694E"/>
    <w:rsid w:val="226254FB"/>
    <w:rsid w:val="22837CD3"/>
    <w:rsid w:val="22897463"/>
    <w:rsid w:val="228D583F"/>
    <w:rsid w:val="22A354A5"/>
    <w:rsid w:val="22B21985"/>
    <w:rsid w:val="22BC3692"/>
    <w:rsid w:val="22BE55CC"/>
    <w:rsid w:val="22C02AA3"/>
    <w:rsid w:val="22C802FF"/>
    <w:rsid w:val="22CA30D3"/>
    <w:rsid w:val="22DC77DC"/>
    <w:rsid w:val="22E97D50"/>
    <w:rsid w:val="22F6534B"/>
    <w:rsid w:val="22F95FB5"/>
    <w:rsid w:val="230956CA"/>
    <w:rsid w:val="23124563"/>
    <w:rsid w:val="23167D14"/>
    <w:rsid w:val="23201BB6"/>
    <w:rsid w:val="233920CB"/>
    <w:rsid w:val="23396285"/>
    <w:rsid w:val="233D0598"/>
    <w:rsid w:val="234A305C"/>
    <w:rsid w:val="23684534"/>
    <w:rsid w:val="236C4EAD"/>
    <w:rsid w:val="237B001C"/>
    <w:rsid w:val="238A1229"/>
    <w:rsid w:val="2396008A"/>
    <w:rsid w:val="23A24268"/>
    <w:rsid w:val="23A83C63"/>
    <w:rsid w:val="23B83AA8"/>
    <w:rsid w:val="23BD5E67"/>
    <w:rsid w:val="23C465C3"/>
    <w:rsid w:val="241449C6"/>
    <w:rsid w:val="241C44E3"/>
    <w:rsid w:val="241C5631"/>
    <w:rsid w:val="242444B8"/>
    <w:rsid w:val="24296BA8"/>
    <w:rsid w:val="242C7BE8"/>
    <w:rsid w:val="243C039A"/>
    <w:rsid w:val="245A1BF0"/>
    <w:rsid w:val="24630C76"/>
    <w:rsid w:val="24665A18"/>
    <w:rsid w:val="24674521"/>
    <w:rsid w:val="249F4748"/>
    <w:rsid w:val="24A5086B"/>
    <w:rsid w:val="24AB4534"/>
    <w:rsid w:val="24B4763E"/>
    <w:rsid w:val="24C572D0"/>
    <w:rsid w:val="24C65969"/>
    <w:rsid w:val="24CD5D59"/>
    <w:rsid w:val="24D9551D"/>
    <w:rsid w:val="24DA3F83"/>
    <w:rsid w:val="24E120EA"/>
    <w:rsid w:val="24F71E83"/>
    <w:rsid w:val="25125E4F"/>
    <w:rsid w:val="25184B4D"/>
    <w:rsid w:val="251D21DF"/>
    <w:rsid w:val="25211C3F"/>
    <w:rsid w:val="253A7A2A"/>
    <w:rsid w:val="253E435C"/>
    <w:rsid w:val="254466DF"/>
    <w:rsid w:val="254F3588"/>
    <w:rsid w:val="254F4E90"/>
    <w:rsid w:val="25535A3E"/>
    <w:rsid w:val="25536227"/>
    <w:rsid w:val="255634E0"/>
    <w:rsid w:val="255D3C4C"/>
    <w:rsid w:val="256107E0"/>
    <w:rsid w:val="257A6F0F"/>
    <w:rsid w:val="257B46FA"/>
    <w:rsid w:val="259D19F5"/>
    <w:rsid w:val="25A15F27"/>
    <w:rsid w:val="25A40F8A"/>
    <w:rsid w:val="25BE393F"/>
    <w:rsid w:val="25BF5A55"/>
    <w:rsid w:val="25C24E9E"/>
    <w:rsid w:val="25D20868"/>
    <w:rsid w:val="25E06B30"/>
    <w:rsid w:val="25E619F6"/>
    <w:rsid w:val="25EB6D73"/>
    <w:rsid w:val="25F6673F"/>
    <w:rsid w:val="25F75CE6"/>
    <w:rsid w:val="25F91F4D"/>
    <w:rsid w:val="26007BC9"/>
    <w:rsid w:val="2616009D"/>
    <w:rsid w:val="2617030E"/>
    <w:rsid w:val="261C2A00"/>
    <w:rsid w:val="261E2B20"/>
    <w:rsid w:val="26380B13"/>
    <w:rsid w:val="26503767"/>
    <w:rsid w:val="26510A3F"/>
    <w:rsid w:val="267A01E4"/>
    <w:rsid w:val="267A4A6A"/>
    <w:rsid w:val="267B6B0E"/>
    <w:rsid w:val="268705C2"/>
    <w:rsid w:val="269C2550"/>
    <w:rsid w:val="269C5787"/>
    <w:rsid w:val="26A10CBD"/>
    <w:rsid w:val="26A10E3D"/>
    <w:rsid w:val="26AF08B2"/>
    <w:rsid w:val="26B35E19"/>
    <w:rsid w:val="26C440F3"/>
    <w:rsid w:val="26CA1479"/>
    <w:rsid w:val="26CF6E03"/>
    <w:rsid w:val="26D75840"/>
    <w:rsid w:val="26DD4C5B"/>
    <w:rsid w:val="26EF2570"/>
    <w:rsid w:val="26F81B7B"/>
    <w:rsid w:val="270840C4"/>
    <w:rsid w:val="271576C8"/>
    <w:rsid w:val="271B0E87"/>
    <w:rsid w:val="271F2D5F"/>
    <w:rsid w:val="272771BF"/>
    <w:rsid w:val="27295DC4"/>
    <w:rsid w:val="272C3921"/>
    <w:rsid w:val="27421286"/>
    <w:rsid w:val="2743458E"/>
    <w:rsid w:val="27446F2C"/>
    <w:rsid w:val="274D6C25"/>
    <w:rsid w:val="27694B58"/>
    <w:rsid w:val="276C1618"/>
    <w:rsid w:val="27797F5D"/>
    <w:rsid w:val="27822EC6"/>
    <w:rsid w:val="27855B2F"/>
    <w:rsid w:val="27946FCB"/>
    <w:rsid w:val="279F5BB3"/>
    <w:rsid w:val="27A45A0F"/>
    <w:rsid w:val="27B54BA0"/>
    <w:rsid w:val="27BE1166"/>
    <w:rsid w:val="27C838EE"/>
    <w:rsid w:val="27D27607"/>
    <w:rsid w:val="27D327E3"/>
    <w:rsid w:val="27DC2FBF"/>
    <w:rsid w:val="27E54A94"/>
    <w:rsid w:val="27E710A9"/>
    <w:rsid w:val="27EC624B"/>
    <w:rsid w:val="27EF2113"/>
    <w:rsid w:val="27FC58B9"/>
    <w:rsid w:val="27FD4A21"/>
    <w:rsid w:val="280023AD"/>
    <w:rsid w:val="28292FBC"/>
    <w:rsid w:val="282A1B6D"/>
    <w:rsid w:val="28697254"/>
    <w:rsid w:val="288023F4"/>
    <w:rsid w:val="288622F0"/>
    <w:rsid w:val="288D4591"/>
    <w:rsid w:val="28991DCC"/>
    <w:rsid w:val="28A34DFC"/>
    <w:rsid w:val="28A510BF"/>
    <w:rsid w:val="28A83AC0"/>
    <w:rsid w:val="28B02EAE"/>
    <w:rsid w:val="28BB71ED"/>
    <w:rsid w:val="28BD5422"/>
    <w:rsid w:val="28C10F40"/>
    <w:rsid w:val="28D3157A"/>
    <w:rsid w:val="28DD1419"/>
    <w:rsid w:val="28E278F9"/>
    <w:rsid w:val="28EE6801"/>
    <w:rsid w:val="29072F3B"/>
    <w:rsid w:val="290A346E"/>
    <w:rsid w:val="29165E70"/>
    <w:rsid w:val="292607D1"/>
    <w:rsid w:val="2927283C"/>
    <w:rsid w:val="29323A24"/>
    <w:rsid w:val="29337F23"/>
    <w:rsid w:val="295A3D79"/>
    <w:rsid w:val="295D65D5"/>
    <w:rsid w:val="296576F6"/>
    <w:rsid w:val="296A1D5A"/>
    <w:rsid w:val="296A4D8D"/>
    <w:rsid w:val="296E2F78"/>
    <w:rsid w:val="298940D8"/>
    <w:rsid w:val="298E633C"/>
    <w:rsid w:val="299D4E00"/>
    <w:rsid w:val="29A14700"/>
    <w:rsid w:val="29C43926"/>
    <w:rsid w:val="29D11A3A"/>
    <w:rsid w:val="29D3225F"/>
    <w:rsid w:val="29E20B5A"/>
    <w:rsid w:val="29E81E99"/>
    <w:rsid w:val="2A0E1BCD"/>
    <w:rsid w:val="2A24668B"/>
    <w:rsid w:val="2A4D2BDE"/>
    <w:rsid w:val="2A4E7CE0"/>
    <w:rsid w:val="2A5724C8"/>
    <w:rsid w:val="2A5E0E0E"/>
    <w:rsid w:val="2A5E570F"/>
    <w:rsid w:val="2A785209"/>
    <w:rsid w:val="2A792AFC"/>
    <w:rsid w:val="2A8B565F"/>
    <w:rsid w:val="2A8D5BA7"/>
    <w:rsid w:val="2A93333B"/>
    <w:rsid w:val="2A957C66"/>
    <w:rsid w:val="2AAC1C74"/>
    <w:rsid w:val="2ABB5AA9"/>
    <w:rsid w:val="2AC56749"/>
    <w:rsid w:val="2AEE444B"/>
    <w:rsid w:val="2AEE4FFE"/>
    <w:rsid w:val="2B065866"/>
    <w:rsid w:val="2B084FE7"/>
    <w:rsid w:val="2B0A7047"/>
    <w:rsid w:val="2B0C1AC3"/>
    <w:rsid w:val="2B0E74C0"/>
    <w:rsid w:val="2B364400"/>
    <w:rsid w:val="2B3F3A31"/>
    <w:rsid w:val="2B43250A"/>
    <w:rsid w:val="2B4D3F14"/>
    <w:rsid w:val="2B4E174F"/>
    <w:rsid w:val="2B560435"/>
    <w:rsid w:val="2B586C2C"/>
    <w:rsid w:val="2B5F35AA"/>
    <w:rsid w:val="2B76362B"/>
    <w:rsid w:val="2B9609D1"/>
    <w:rsid w:val="2BBB55C1"/>
    <w:rsid w:val="2BE1588C"/>
    <w:rsid w:val="2BF44F91"/>
    <w:rsid w:val="2C0C7F79"/>
    <w:rsid w:val="2C23027A"/>
    <w:rsid w:val="2C2B4B8F"/>
    <w:rsid w:val="2C32240E"/>
    <w:rsid w:val="2C3B4426"/>
    <w:rsid w:val="2C3D4920"/>
    <w:rsid w:val="2C4332FB"/>
    <w:rsid w:val="2C4C5D1A"/>
    <w:rsid w:val="2C536314"/>
    <w:rsid w:val="2C65077C"/>
    <w:rsid w:val="2C703D66"/>
    <w:rsid w:val="2C7426BF"/>
    <w:rsid w:val="2C757A16"/>
    <w:rsid w:val="2C8A38E8"/>
    <w:rsid w:val="2CC2454E"/>
    <w:rsid w:val="2CD7321C"/>
    <w:rsid w:val="2CDB7141"/>
    <w:rsid w:val="2CEA5B2D"/>
    <w:rsid w:val="2D21524B"/>
    <w:rsid w:val="2D2C3196"/>
    <w:rsid w:val="2D3D524F"/>
    <w:rsid w:val="2D453E5D"/>
    <w:rsid w:val="2D5735E2"/>
    <w:rsid w:val="2D5C4624"/>
    <w:rsid w:val="2D661466"/>
    <w:rsid w:val="2D7C5F20"/>
    <w:rsid w:val="2D9C44AA"/>
    <w:rsid w:val="2DAF5A8E"/>
    <w:rsid w:val="2DBD78BD"/>
    <w:rsid w:val="2DBE671C"/>
    <w:rsid w:val="2DC241F2"/>
    <w:rsid w:val="2DD51DCC"/>
    <w:rsid w:val="2DD82143"/>
    <w:rsid w:val="2DE531DA"/>
    <w:rsid w:val="2DED26E2"/>
    <w:rsid w:val="2DEE2BC3"/>
    <w:rsid w:val="2E0A0B50"/>
    <w:rsid w:val="2E2156B6"/>
    <w:rsid w:val="2E2F22AE"/>
    <w:rsid w:val="2E312557"/>
    <w:rsid w:val="2E33306A"/>
    <w:rsid w:val="2E3A06FC"/>
    <w:rsid w:val="2E4069D2"/>
    <w:rsid w:val="2E6D090A"/>
    <w:rsid w:val="2E8D5457"/>
    <w:rsid w:val="2E945035"/>
    <w:rsid w:val="2E951990"/>
    <w:rsid w:val="2EC16D9F"/>
    <w:rsid w:val="2ECB781E"/>
    <w:rsid w:val="2ECE71D8"/>
    <w:rsid w:val="2ED708F9"/>
    <w:rsid w:val="2EDB6F13"/>
    <w:rsid w:val="2EDC76B4"/>
    <w:rsid w:val="2EE5531D"/>
    <w:rsid w:val="2EF81098"/>
    <w:rsid w:val="2EF873EF"/>
    <w:rsid w:val="2F00639B"/>
    <w:rsid w:val="2F020177"/>
    <w:rsid w:val="2F116B0A"/>
    <w:rsid w:val="2F2A6DF6"/>
    <w:rsid w:val="2F2B62A5"/>
    <w:rsid w:val="2F2C3B30"/>
    <w:rsid w:val="2F363704"/>
    <w:rsid w:val="2F442DD7"/>
    <w:rsid w:val="2F4B2CA0"/>
    <w:rsid w:val="2F4E0DAB"/>
    <w:rsid w:val="2F503401"/>
    <w:rsid w:val="2F507CD5"/>
    <w:rsid w:val="2F5A4236"/>
    <w:rsid w:val="2F5B0C12"/>
    <w:rsid w:val="2F630A41"/>
    <w:rsid w:val="2F67120C"/>
    <w:rsid w:val="2F6F34DE"/>
    <w:rsid w:val="2F700F60"/>
    <w:rsid w:val="2F794881"/>
    <w:rsid w:val="2F9857DE"/>
    <w:rsid w:val="2F9E1B1D"/>
    <w:rsid w:val="2FA36462"/>
    <w:rsid w:val="2FA454C3"/>
    <w:rsid w:val="2FAA7E40"/>
    <w:rsid w:val="2FCF0A5E"/>
    <w:rsid w:val="2FD13557"/>
    <w:rsid w:val="2FD353A7"/>
    <w:rsid w:val="2FDE3666"/>
    <w:rsid w:val="2FE931A8"/>
    <w:rsid w:val="2FEC7D3B"/>
    <w:rsid w:val="2FED3948"/>
    <w:rsid w:val="2FF15848"/>
    <w:rsid w:val="2FFB6945"/>
    <w:rsid w:val="2FFE5C89"/>
    <w:rsid w:val="30005399"/>
    <w:rsid w:val="300F1568"/>
    <w:rsid w:val="30251EBA"/>
    <w:rsid w:val="303142B1"/>
    <w:rsid w:val="30451180"/>
    <w:rsid w:val="30613A3D"/>
    <w:rsid w:val="30674328"/>
    <w:rsid w:val="306961C1"/>
    <w:rsid w:val="30745F86"/>
    <w:rsid w:val="307B3DFF"/>
    <w:rsid w:val="308F2E68"/>
    <w:rsid w:val="30A30D45"/>
    <w:rsid w:val="30A779B6"/>
    <w:rsid w:val="30C32F05"/>
    <w:rsid w:val="30DF4B93"/>
    <w:rsid w:val="30E679B2"/>
    <w:rsid w:val="30F04489"/>
    <w:rsid w:val="30F84B49"/>
    <w:rsid w:val="30F91788"/>
    <w:rsid w:val="31132427"/>
    <w:rsid w:val="3122501F"/>
    <w:rsid w:val="31343B78"/>
    <w:rsid w:val="313D0912"/>
    <w:rsid w:val="313D33F8"/>
    <w:rsid w:val="31406FDD"/>
    <w:rsid w:val="31411253"/>
    <w:rsid w:val="31512052"/>
    <w:rsid w:val="31531C65"/>
    <w:rsid w:val="31585B88"/>
    <w:rsid w:val="315E381C"/>
    <w:rsid w:val="315E39DD"/>
    <w:rsid w:val="317B5B3D"/>
    <w:rsid w:val="31815409"/>
    <w:rsid w:val="318A6A0B"/>
    <w:rsid w:val="318C1146"/>
    <w:rsid w:val="31AD0982"/>
    <w:rsid w:val="31B92A4B"/>
    <w:rsid w:val="31BA5AE0"/>
    <w:rsid w:val="31C439B2"/>
    <w:rsid w:val="31CF3C4B"/>
    <w:rsid w:val="31D720D1"/>
    <w:rsid w:val="31E10B15"/>
    <w:rsid w:val="31F53789"/>
    <w:rsid w:val="32186917"/>
    <w:rsid w:val="321C0E0F"/>
    <w:rsid w:val="321E2B58"/>
    <w:rsid w:val="321F5F03"/>
    <w:rsid w:val="322453E3"/>
    <w:rsid w:val="3235075B"/>
    <w:rsid w:val="324046DF"/>
    <w:rsid w:val="32445586"/>
    <w:rsid w:val="32543916"/>
    <w:rsid w:val="32572F13"/>
    <w:rsid w:val="325A4124"/>
    <w:rsid w:val="326E0BDC"/>
    <w:rsid w:val="326F76CF"/>
    <w:rsid w:val="32751C28"/>
    <w:rsid w:val="32787431"/>
    <w:rsid w:val="32843096"/>
    <w:rsid w:val="328672F4"/>
    <w:rsid w:val="32923950"/>
    <w:rsid w:val="32973B20"/>
    <w:rsid w:val="329A6E6D"/>
    <w:rsid w:val="32AC282F"/>
    <w:rsid w:val="32D64384"/>
    <w:rsid w:val="32D912CC"/>
    <w:rsid w:val="32E760D0"/>
    <w:rsid w:val="32E9091D"/>
    <w:rsid w:val="33016E3F"/>
    <w:rsid w:val="330368FF"/>
    <w:rsid w:val="330A115D"/>
    <w:rsid w:val="330F716E"/>
    <w:rsid w:val="33131869"/>
    <w:rsid w:val="33185CB6"/>
    <w:rsid w:val="33253C7E"/>
    <w:rsid w:val="33267CA5"/>
    <w:rsid w:val="33590BA9"/>
    <w:rsid w:val="3364345F"/>
    <w:rsid w:val="336B2DEA"/>
    <w:rsid w:val="337820FF"/>
    <w:rsid w:val="338053F6"/>
    <w:rsid w:val="33847294"/>
    <w:rsid w:val="33885AE1"/>
    <w:rsid w:val="339616AF"/>
    <w:rsid w:val="33A04C0E"/>
    <w:rsid w:val="33A61BFC"/>
    <w:rsid w:val="33B029C4"/>
    <w:rsid w:val="33C52F88"/>
    <w:rsid w:val="33CB3AA4"/>
    <w:rsid w:val="33D17B1C"/>
    <w:rsid w:val="33D5403C"/>
    <w:rsid w:val="33E317D7"/>
    <w:rsid w:val="33FA2A7F"/>
    <w:rsid w:val="340856A5"/>
    <w:rsid w:val="34104588"/>
    <w:rsid w:val="34257C99"/>
    <w:rsid w:val="343B3CF9"/>
    <w:rsid w:val="344C40F4"/>
    <w:rsid w:val="3464626C"/>
    <w:rsid w:val="34684B19"/>
    <w:rsid w:val="3478662A"/>
    <w:rsid w:val="348C4EDB"/>
    <w:rsid w:val="34A07622"/>
    <w:rsid w:val="34A76D14"/>
    <w:rsid w:val="34B73501"/>
    <w:rsid w:val="34B961E7"/>
    <w:rsid w:val="34C21262"/>
    <w:rsid w:val="34D91922"/>
    <w:rsid w:val="34DD5DDC"/>
    <w:rsid w:val="34E5036A"/>
    <w:rsid w:val="35024EF4"/>
    <w:rsid w:val="350C4572"/>
    <w:rsid w:val="350D2195"/>
    <w:rsid w:val="35124F52"/>
    <w:rsid w:val="351A7AC4"/>
    <w:rsid w:val="351F3431"/>
    <w:rsid w:val="352F0622"/>
    <w:rsid w:val="35460AE2"/>
    <w:rsid w:val="35470FDA"/>
    <w:rsid w:val="355105C3"/>
    <w:rsid w:val="3562308E"/>
    <w:rsid w:val="35661CE5"/>
    <w:rsid w:val="356D5A8B"/>
    <w:rsid w:val="358344CE"/>
    <w:rsid w:val="35BC70FA"/>
    <w:rsid w:val="35CB0DC5"/>
    <w:rsid w:val="35D14E46"/>
    <w:rsid w:val="35D812B2"/>
    <w:rsid w:val="35E77282"/>
    <w:rsid w:val="35FB7DFD"/>
    <w:rsid w:val="36047B5A"/>
    <w:rsid w:val="360714B4"/>
    <w:rsid w:val="360B7EBA"/>
    <w:rsid w:val="36207B3E"/>
    <w:rsid w:val="3624278B"/>
    <w:rsid w:val="3624699F"/>
    <w:rsid w:val="36320E09"/>
    <w:rsid w:val="36486B8E"/>
    <w:rsid w:val="36587B4A"/>
    <w:rsid w:val="36633A19"/>
    <w:rsid w:val="367F5729"/>
    <w:rsid w:val="369A64A4"/>
    <w:rsid w:val="36CF10AF"/>
    <w:rsid w:val="36CF2E9B"/>
    <w:rsid w:val="36D257C1"/>
    <w:rsid w:val="36D668E1"/>
    <w:rsid w:val="36D92422"/>
    <w:rsid w:val="36E645B9"/>
    <w:rsid w:val="36F31F8F"/>
    <w:rsid w:val="3730623F"/>
    <w:rsid w:val="37321FDF"/>
    <w:rsid w:val="373D472E"/>
    <w:rsid w:val="3741513F"/>
    <w:rsid w:val="374416F7"/>
    <w:rsid w:val="375D35E9"/>
    <w:rsid w:val="37613080"/>
    <w:rsid w:val="37676AF2"/>
    <w:rsid w:val="377C6467"/>
    <w:rsid w:val="37B26414"/>
    <w:rsid w:val="37F007B1"/>
    <w:rsid w:val="37F540B5"/>
    <w:rsid w:val="37F54EB0"/>
    <w:rsid w:val="37F75CB4"/>
    <w:rsid w:val="380B6A76"/>
    <w:rsid w:val="38127800"/>
    <w:rsid w:val="382562D0"/>
    <w:rsid w:val="38283789"/>
    <w:rsid w:val="38576CEB"/>
    <w:rsid w:val="385F2AD8"/>
    <w:rsid w:val="38623494"/>
    <w:rsid w:val="38632701"/>
    <w:rsid w:val="388E48C3"/>
    <w:rsid w:val="388F6D48"/>
    <w:rsid w:val="38A70FC0"/>
    <w:rsid w:val="38B070DD"/>
    <w:rsid w:val="38B33D55"/>
    <w:rsid w:val="38B87172"/>
    <w:rsid w:val="38B97C78"/>
    <w:rsid w:val="38BD7BC3"/>
    <w:rsid w:val="38C44830"/>
    <w:rsid w:val="38E42B66"/>
    <w:rsid w:val="38F261FA"/>
    <w:rsid w:val="390239BE"/>
    <w:rsid w:val="39280D76"/>
    <w:rsid w:val="393E42B9"/>
    <w:rsid w:val="393E44F9"/>
    <w:rsid w:val="39490520"/>
    <w:rsid w:val="395241E1"/>
    <w:rsid w:val="39553AED"/>
    <w:rsid w:val="3965768A"/>
    <w:rsid w:val="396E7247"/>
    <w:rsid w:val="397855D8"/>
    <w:rsid w:val="39871BE1"/>
    <w:rsid w:val="3988503F"/>
    <w:rsid w:val="39A30E92"/>
    <w:rsid w:val="39A319BA"/>
    <w:rsid w:val="39A737B7"/>
    <w:rsid w:val="39A76DB3"/>
    <w:rsid w:val="39C36336"/>
    <w:rsid w:val="39CE2AE6"/>
    <w:rsid w:val="39CF2763"/>
    <w:rsid w:val="39DE09C7"/>
    <w:rsid w:val="39F93BB6"/>
    <w:rsid w:val="3A07292F"/>
    <w:rsid w:val="3A166803"/>
    <w:rsid w:val="3A191B53"/>
    <w:rsid w:val="3A1F41AF"/>
    <w:rsid w:val="3A2562E0"/>
    <w:rsid w:val="3A2727FF"/>
    <w:rsid w:val="3A4549D4"/>
    <w:rsid w:val="3A4B3532"/>
    <w:rsid w:val="3A4D68B5"/>
    <w:rsid w:val="3A6A61E5"/>
    <w:rsid w:val="3A6E0E76"/>
    <w:rsid w:val="3A6E2AE6"/>
    <w:rsid w:val="3A755744"/>
    <w:rsid w:val="3A7C26CE"/>
    <w:rsid w:val="3A7E47C2"/>
    <w:rsid w:val="3A8535D4"/>
    <w:rsid w:val="3A9320B2"/>
    <w:rsid w:val="3A9A0838"/>
    <w:rsid w:val="3A9E4591"/>
    <w:rsid w:val="3AA605EF"/>
    <w:rsid w:val="3AAE3B98"/>
    <w:rsid w:val="3ACE5030"/>
    <w:rsid w:val="3ACF4F86"/>
    <w:rsid w:val="3AD34590"/>
    <w:rsid w:val="3ADB0022"/>
    <w:rsid w:val="3AE04ECC"/>
    <w:rsid w:val="3AE86FEB"/>
    <w:rsid w:val="3AF0462A"/>
    <w:rsid w:val="3B041454"/>
    <w:rsid w:val="3B0752BB"/>
    <w:rsid w:val="3B3A3C7B"/>
    <w:rsid w:val="3B3F3F1F"/>
    <w:rsid w:val="3B410F7A"/>
    <w:rsid w:val="3B4A2152"/>
    <w:rsid w:val="3B553864"/>
    <w:rsid w:val="3B7048CF"/>
    <w:rsid w:val="3B7201D0"/>
    <w:rsid w:val="3B881A4B"/>
    <w:rsid w:val="3BAB16D9"/>
    <w:rsid w:val="3BB5745C"/>
    <w:rsid w:val="3BB82377"/>
    <w:rsid w:val="3BBF031D"/>
    <w:rsid w:val="3BCD5F5B"/>
    <w:rsid w:val="3BDF1CA6"/>
    <w:rsid w:val="3BE23573"/>
    <w:rsid w:val="3BE600BA"/>
    <w:rsid w:val="3C146221"/>
    <w:rsid w:val="3C174661"/>
    <w:rsid w:val="3C2A2BCD"/>
    <w:rsid w:val="3C2C6A0F"/>
    <w:rsid w:val="3C3114A8"/>
    <w:rsid w:val="3C331D32"/>
    <w:rsid w:val="3C36384E"/>
    <w:rsid w:val="3C3663D5"/>
    <w:rsid w:val="3C3D4BF9"/>
    <w:rsid w:val="3C434D28"/>
    <w:rsid w:val="3C4563F6"/>
    <w:rsid w:val="3C471EB4"/>
    <w:rsid w:val="3C54700A"/>
    <w:rsid w:val="3C5F49D0"/>
    <w:rsid w:val="3C6258F5"/>
    <w:rsid w:val="3C6A4001"/>
    <w:rsid w:val="3C706CBC"/>
    <w:rsid w:val="3C872C05"/>
    <w:rsid w:val="3C885B72"/>
    <w:rsid w:val="3CC9045E"/>
    <w:rsid w:val="3CCE0218"/>
    <w:rsid w:val="3CD01ACD"/>
    <w:rsid w:val="3CD71724"/>
    <w:rsid w:val="3CEC592E"/>
    <w:rsid w:val="3CEF33C2"/>
    <w:rsid w:val="3CF103F3"/>
    <w:rsid w:val="3CF47A8D"/>
    <w:rsid w:val="3D1D2101"/>
    <w:rsid w:val="3D250AC3"/>
    <w:rsid w:val="3D307922"/>
    <w:rsid w:val="3D3164B8"/>
    <w:rsid w:val="3D351B7B"/>
    <w:rsid w:val="3D3A3375"/>
    <w:rsid w:val="3D3B0201"/>
    <w:rsid w:val="3D534777"/>
    <w:rsid w:val="3D6010F6"/>
    <w:rsid w:val="3D61514A"/>
    <w:rsid w:val="3D6864CD"/>
    <w:rsid w:val="3D6A1AB6"/>
    <w:rsid w:val="3D770A97"/>
    <w:rsid w:val="3D9125C3"/>
    <w:rsid w:val="3D9E676C"/>
    <w:rsid w:val="3DA10221"/>
    <w:rsid w:val="3DA13429"/>
    <w:rsid w:val="3DAD28F8"/>
    <w:rsid w:val="3DBA5484"/>
    <w:rsid w:val="3DC426E4"/>
    <w:rsid w:val="3DCE38DA"/>
    <w:rsid w:val="3DE113AA"/>
    <w:rsid w:val="3DFB39F0"/>
    <w:rsid w:val="3DFB4E05"/>
    <w:rsid w:val="3E023B53"/>
    <w:rsid w:val="3E20799C"/>
    <w:rsid w:val="3E2A2375"/>
    <w:rsid w:val="3E30684F"/>
    <w:rsid w:val="3E347862"/>
    <w:rsid w:val="3E3C5BB6"/>
    <w:rsid w:val="3E3F7B4F"/>
    <w:rsid w:val="3E5B6DAC"/>
    <w:rsid w:val="3E5F0364"/>
    <w:rsid w:val="3E6658A5"/>
    <w:rsid w:val="3E741175"/>
    <w:rsid w:val="3E8A1DCA"/>
    <w:rsid w:val="3E8D105B"/>
    <w:rsid w:val="3E960007"/>
    <w:rsid w:val="3E9F580A"/>
    <w:rsid w:val="3EB3456B"/>
    <w:rsid w:val="3ED70E14"/>
    <w:rsid w:val="3EE37E15"/>
    <w:rsid w:val="3F116813"/>
    <w:rsid w:val="3F1E43C1"/>
    <w:rsid w:val="3F27452A"/>
    <w:rsid w:val="3F2E2097"/>
    <w:rsid w:val="3F32447F"/>
    <w:rsid w:val="3F3C735C"/>
    <w:rsid w:val="3F4E0E53"/>
    <w:rsid w:val="3F5070EA"/>
    <w:rsid w:val="3F5B5C7D"/>
    <w:rsid w:val="3F6F099C"/>
    <w:rsid w:val="3F765BF4"/>
    <w:rsid w:val="3F793D94"/>
    <w:rsid w:val="3F83623C"/>
    <w:rsid w:val="3F845593"/>
    <w:rsid w:val="3F850B3C"/>
    <w:rsid w:val="3FB8290A"/>
    <w:rsid w:val="3FC66A3A"/>
    <w:rsid w:val="3FCC2AE9"/>
    <w:rsid w:val="3FD1113F"/>
    <w:rsid w:val="3FD16E9E"/>
    <w:rsid w:val="3FF03240"/>
    <w:rsid w:val="4007654E"/>
    <w:rsid w:val="40173E32"/>
    <w:rsid w:val="401A76EA"/>
    <w:rsid w:val="402E3A57"/>
    <w:rsid w:val="4034459A"/>
    <w:rsid w:val="403452BB"/>
    <w:rsid w:val="403C5FB5"/>
    <w:rsid w:val="40400B01"/>
    <w:rsid w:val="404037AD"/>
    <w:rsid w:val="406002B2"/>
    <w:rsid w:val="40676716"/>
    <w:rsid w:val="406B5BA4"/>
    <w:rsid w:val="406D4032"/>
    <w:rsid w:val="40824844"/>
    <w:rsid w:val="40851F99"/>
    <w:rsid w:val="40916134"/>
    <w:rsid w:val="40A457A7"/>
    <w:rsid w:val="40A46A95"/>
    <w:rsid w:val="40A844ED"/>
    <w:rsid w:val="40B26271"/>
    <w:rsid w:val="40B80B71"/>
    <w:rsid w:val="40D12704"/>
    <w:rsid w:val="40EB0F26"/>
    <w:rsid w:val="40EC1DFE"/>
    <w:rsid w:val="40F3109D"/>
    <w:rsid w:val="40F75C3B"/>
    <w:rsid w:val="40FD5B94"/>
    <w:rsid w:val="410201BD"/>
    <w:rsid w:val="41031F44"/>
    <w:rsid w:val="41080C89"/>
    <w:rsid w:val="412F080D"/>
    <w:rsid w:val="41414D13"/>
    <w:rsid w:val="416003E2"/>
    <w:rsid w:val="416A0352"/>
    <w:rsid w:val="416E0A4F"/>
    <w:rsid w:val="41A0349B"/>
    <w:rsid w:val="41B525D9"/>
    <w:rsid w:val="41C75D77"/>
    <w:rsid w:val="41DB4F86"/>
    <w:rsid w:val="41E160FF"/>
    <w:rsid w:val="41E43129"/>
    <w:rsid w:val="41E86D31"/>
    <w:rsid w:val="41FA4601"/>
    <w:rsid w:val="41FF7556"/>
    <w:rsid w:val="421161EE"/>
    <w:rsid w:val="42215FE5"/>
    <w:rsid w:val="42265026"/>
    <w:rsid w:val="42271215"/>
    <w:rsid w:val="422827DC"/>
    <w:rsid w:val="423479AA"/>
    <w:rsid w:val="423B2D4D"/>
    <w:rsid w:val="42417DA8"/>
    <w:rsid w:val="4252375D"/>
    <w:rsid w:val="426623FD"/>
    <w:rsid w:val="42775C22"/>
    <w:rsid w:val="42907AB7"/>
    <w:rsid w:val="42A0619D"/>
    <w:rsid w:val="42BC5D57"/>
    <w:rsid w:val="42BE1A1F"/>
    <w:rsid w:val="42C615B8"/>
    <w:rsid w:val="42C61D78"/>
    <w:rsid w:val="42CB0045"/>
    <w:rsid w:val="42D21748"/>
    <w:rsid w:val="42D22310"/>
    <w:rsid w:val="42D619F5"/>
    <w:rsid w:val="42DA2DD7"/>
    <w:rsid w:val="42ED2FE9"/>
    <w:rsid w:val="43085783"/>
    <w:rsid w:val="4314588A"/>
    <w:rsid w:val="43171DBB"/>
    <w:rsid w:val="43174A14"/>
    <w:rsid w:val="43185AD2"/>
    <w:rsid w:val="431F199F"/>
    <w:rsid w:val="431F6040"/>
    <w:rsid w:val="43314560"/>
    <w:rsid w:val="43345A01"/>
    <w:rsid w:val="43425EDA"/>
    <w:rsid w:val="43510322"/>
    <w:rsid w:val="435814B5"/>
    <w:rsid w:val="435D62E7"/>
    <w:rsid w:val="435E7F8F"/>
    <w:rsid w:val="435F34D3"/>
    <w:rsid w:val="436A24EF"/>
    <w:rsid w:val="436B1B8C"/>
    <w:rsid w:val="438E2284"/>
    <w:rsid w:val="438F3DDE"/>
    <w:rsid w:val="43960513"/>
    <w:rsid w:val="439F4A0C"/>
    <w:rsid w:val="43CD497D"/>
    <w:rsid w:val="43D21CA5"/>
    <w:rsid w:val="43D22F37"/>
    <w:rsid w:val="43DA3728"/>
    <w:rsid w:val="43DF1C60"/>
    <w:rsid w:val="43EE32A7"/>
    <w:rsid w:val="43EF2400"/>
    <w:rsid w:val="43F7188F"/>
    <w:rsid w:val="441D6760"/>
    <w:rsid w:val="441E0974"/>
    <w:rsid w:val="4422048F"/>
    <w:rsid w:val="442B45AA"/>
    <w:rsid w:val="444842A6"/>
    <w:rsid w:val="446C7CDE"/>
    <w:rsid w:val="44863EF6"/>
    <w:rsid w:val="44960B84"/>
    <w:rsid w:val="44C879E9"/>
    <w:rsid w:val="44C9660E"/>
    <w:rsid w:val="44D91E82"/>
    <w:rsid w:val="44DE54E3"/>
    <w:rsid w:val="44FF683E"/>
    <w:rsid w:val="451B25D9"/>
    <w:rsid w:val="45295CB7"/>
    <w:rsid w:val="454432E8"/>
    <w:rsid w:val="454C333B"/>
    <w:rsid w:val="454D5FC1"/>
    <w:rsid w:val="45513717"/>
    <w:rsid w:val="45606AFD"/>
    <w:rsid w:val="45714ECB"/>
    <w:rsid w:val="45904AEA"/>
    <w:rsid w:val="45A6216E"/>
    <w:rsid w:val="45AC4DBE"/>
    <w:rsid w:val="45B4385C"/>
    <w:rsid w:val="45CD3A13"/>
    <w:rsid w:val="45D902C6"/>
    <w:rsid w:val="45DB4DAE"/>
    <w:rsid w:val="45E44E55"/>
    <w:rsid w:val="45E523F9"/>
    <w:rsid w:val="45EB2796"/>
    <w:rsid w:val="461A74D8"/>
    <w:rsid w:val="461E05C0"/>
    <w:rsid w:val="46226563"/>
    <w:rsid w:val="462E312C"/>
    <w:rsid w:val="46431EF0"/>
    <w:rsid w:val="466E6E93"/>
    <w:rsid w:val="467D5D0D"/>
    <w:rsid w:val="467E6C9D"/>
    <w:rsid w:val="46986925"/>
    <w:rsid w:val="46B771C2"/>
    <w:rsid w:val="46CD22F1"/>
    <w:rsid w:val="46D83FB0"/>
    <w:rsid w:val="46E12576"/>
    <w:rsid w:val="46E54BFA"/>
    <w:rsid w:val="46F129BD"/>
    <w:rsid w:val="46F661E4"/>
    <w:rsid w:val="47017063"/>
    <w:rsid w:val="470C1B02"/>
    <w:rsid w:val="4710374A"/>
    <w:rsid w:val="47346CE1"/>
    <w:rsid w:val="474F593B"/>
    <w:rsid w:val="47562FF9"/>
    <w:rsid w:val="47572D66"/>
    <w:rsid w:val="475D7214"/>
    <w:rsid w:val="476262F0"/>
    <w:rsid w:val="47823A67"/>
    <w:rsid w:val="4786091C"/>
    <w:rsid w:val="47977DDE"/>
    <w:rsid w:val="479C591D"/>
    <w:rsid w:val="47A210E7"/>
    <w:rsid w:val="47A741D2"/>
    <w:rsid w:val="47B840FC"/>
    <w:rsid w:val="47B9074B"/>
    <w:rsid w:val="47E56887"/>
    <w:rsid w:val="47EE163B"/>
    <w:rsid w:val="47FF5949"/>
    <w:rsid w:val="48051E4B"/>
    <w:rsid w:val="480A1B30"/>
    <w:rsid w:val="48104EC7"/>
    <w:rsid w:val="48276F9D"/>
    <w:rsid w:val="482E4477"/>
    <w:rsid w:val="483C0918"/>
    <w:rsid w:val="48603582"/>
    <w:rsid w:val="486E116A"/>
    <w:rsid w:val="487C084B"/>
    <w:rsid w:val="487F1A3B"/>
    <w:rsid w:val="48896EB8"/>
    <w:rsid w:val="48925A9D"/>
    <w:rsid w:val="48A82AC4"/>
    <w:rsid w:val="48A96CF2"/>
    <w:rsid w:val="48CA33FC"/>
    <w:rsid w:val="48CA4EBA"/>
    <w:rsid w:val="48DB0037"/>
    <w:rsid w:val="48E0145B"/>
    <w:rsid w:val="48E47864"/>
    <w:rsid w:val="48E51A27"/>
    <w:rsid w:val="48E80ECD"/>
    <w:rsid w:val="48F254BA"/>
    <w:rsid w:val="48F820C2"/>
    <w:rsid w:val="48FD2562"/>
    <w:rsid w:val="48FF2C16"/>
    <w:rsid w:val="49025314"/>
    <w:rsid w:val="4907292A"/>
    <w:rsid w:val="490D4E59"/>
    <w:rsid w:val="493A4506"/>
    <w:rsid w:val="493B6901"/>
    <w:rsid w:val="493D3892"/>
    <w:rsid w:val="49532C77"/>
    <w:rsid w:val="496E1075"/>
    <w:rsid w:val="497A185C"/>
    <w:rsid w:val="497E161C"/>
    <w:rsid w:val="49883C95"/>
    <w:rsid w:val="498D4DA2"/>
    <w:rsid w:val="498F00F1"/>
    <w:rsid w:val="49A36093"/>
    <w:rsid w:val="49A42173"/>
    <w:rsid w:val="49A53041"/>
    <w:rsid w:val="49A6186C"/>
    <w:rsid w:val="49BA6A07"/>
    <w:rsid w:val="49C61E4B"/>
    <w:rsid w:val="49C90911"/>
    <w:rsid w:val="49F354A6"/>
    <w:rsid w:val="4A02511C"/>
    <w:rsid w:val="4A0544A7"/>
    <w:rsid w:val="4A1273FE"/>
    <w:rsid w:val="4A13006F"/>
    <w:rsid w:val="4A133393"/>
    <w:rsid w:val="4A1456A9"/>
    <w:rsid w:val="4A235520"/>
    <w:rsid w:val="4A245F1F"/>
    <w:rsid w:val="4A285963"/>
    <w:rsid w:val="4A2F1464"/>
    <w:rsid w:val="4A330B35"/>
    <w:rsid w:val="4A3378C0"/>
    <w:rsid w:val="4A386D3E"/>
    <w:rsid w:val="4A531A36"/>
    <w:rsid w:val="4A606051"/>
    <w:rsid w:val="4A6228D4"/>
    <w:rsid w:val="4A643733"/>
    <w:rsid w:val="4A6C5457"/>
    <w:rsid w:val="4A701E62"/>
    <w:rsid w:val="4A705F1D"/>
    <w:rsid w:val="4A715312"/>
    <w:rsid w:val="4A761A1E"/>
    <w:rsid w:val="4A7A348A"/>
    <w:rsid w:val="4A82093D"/>
    <w:rsid w:val="4A833680"/>
    <w:rsid w:val="4A86121C"/>
    <w:rsid w:val="4A953D40"/>
    <w:rsid w:val="4AB94525"/>
    <w:rsid w:val="4ABA5E74"/>
    <w:rsid w:val="4ACF1F99"/>
    <w:rsid w:val="4AD31ED6"/>
    <w:rsid w:val="4AD86E8F"/>
    <w:rsid w:val="4AEF0D86"/>
    <w:rsid w:val="4AF316AA"/>
    <w:rsid w:val="4AF8490A"/>
    <w:rsid w:val="4AF86256"/>
    <w:rsid w:val="4B005162"/>
    <w:rsid w:val="4B064F57"/>
    <w:rsid w:val="4B134FF3"/>
    <w:rsid w:val="4B1B04EA"/>
    <w:rsid w:val="4B2315E5"/>
    <w:rsid w:val="4B397B8B"/>
    <w:rsid w:val="4B3A0FFB"/>
    <w:rsid w:val="4B4575D1"/>
    <w:rsid w:val="4B493D5F"/>
    <w:rsid w:val="4B4E2DF0"/>
    <w:rsid w:val="4B5005D2"/>
    <w:rsid w:val="4B5A49AF"/>
    <w:rsid w:val="4B661483"/>
    <w:rsid w:val="4B6C3BD7"/>
    <w:rsid w:val="4B6E1CE9"/>
    <w:rsid w:val="4B8F7F0C"/>
    <w:rsid w:val="4B945C6E"/>
    <w:rsid w:val="4BBC5375"/>
    <w:rsid w:val="4BBD6D0E"/>
    <w:rsid w:val="4BC131CA"/>
    <w:rsid w:val="4BC80A35"/>
    <w:rsid w:val="4BCB00D7"/>
    <w:rsid w:val="4BCE4481"/>
    <w:rsid w:val="4BDF483A"/>
    <w:rsid w:val="4C03306A"/>
    <w:rsid w:val="4C036D08"/>
    <w:rsid w:val="4C0528B7"/>
    <w:rsid w:val="4C136D16"/>
    <w:rsid w:val="4C2601D0"/>
    <w:rsid w:val="4C3D6DC3"/>
    <w:rsid w:val="4C3F37F8"/>
    <w:rsid w:val="4C6D29CD"/>
    <w:rsid w:val="4C73380A"/>
    <w:rsid w:val="4C770CD3"/>
    <w:rsid w:val="4C833986"/>
    <w:rsid w:val="4C892268"/>
    <w:rsid w:val="4C9452F7"/>
    <w:rsid w:val="4CA14B16"/>
    <w:rsid w:val="4CBE7AF6"/>
    <w:rsid w:val="4CC315D0"/>
    <w:rsid w:val="4CCA33A3"/>
    <w:rsid w:val="4CCE4130"/>
    <w:rsid w:val="4CDC3DFD"/>
    <w:rsid w:val="4D007DD7"/>
    <w:rsid w:val="4D035722"/>
    <w:rsid w:val="4D12625B"/>
    <w:rsid w:val="4D222FF5"/>
    <w:rsid w:val="4D283A8F"/>
    <w:rsid w:val="4D2F7151"/>
    <w:rsid w:val="4D30376E"/>
    <w:rsid w:val="4D375C10"/>
    <w:rsid w:val="4D38796C"/>
    <w:rsid w:val="4D3A66C7"/>
    <w:rsid w:val="4D4621D7"/>
    <w:rsid w:val="4D56228A"/>
    <w:rsid w:val="4D706CF0"/>
    <w:rsid w:val="4D75035A"/>
    <w:rsid w:val="4D7B1601"/>
    <w:rsid w:val="4D867C85"/>
    <w:rsid w:val="4D8F6B47"/>
    <w:rsid w:val="4D99236A"/>
    <w:rsid w:val="4DA6664E"/>
    <w:rsid w:val="4DB04E83"/>
    <w:rsid w:val="4DB25222"/>
    <w:rsid w:val="4DB61435"/>
    <w:rsid w:val="4DB6381D"/>
    <w:rsid w:val="4DB732F9"/>
    <w:rsid w:val="4DB841F3"/>
    <w:rsid w:val="4DC04760"/>
    <w:rsid w:val="4DC14C7F"/>
    <w:rsid w:val="4DCB0F30"/>
    <w:rsid w:val="4DD14275"/>
    <w:rsid w:val="4DD63A8A"/>
    <w:rsid w:val="4DDF134B"/>
    <w:rsid w:val="4DF82379"/>
    <w:rsid w:val="4E000105"/>
    <w:rsid w:val="4E073314"/>
    <w:rsid w:val="4E141324"/>
    <w:rsid w:val="4E1C7A36"/>
    <w:rsid w:val="4E5921C8"/>
    <w:rsid w:val="4E8A2A84"/>
    <w:rsid w:val="4E911017"/>
    <w:rsid w:val="4E9A6A77"/>
    <w:rsid w:val="4E9C3381"/>
    <w:rsid w:val="4E9F6B1E"/>
    <w:rsid w:val="4EAF1A6B"/>
    <w:rsid w:val="4EB46CAF"/>
    <w:rsid w:val="4EB720F5"/>
    <w:rsid w:val="4EC240BA"/>
    <w:rsid w:val="4EC474FB"/>
    <w:rsid w:val="4EC82DF3"/>
    <w:rsid w:val="4ED571E4"/>
    <w:rsid w:val="4EE62005"/>
    <w:rsid w:val="4EF44155"/>
    <w:rsid w:val="4EF709AE"/>
    <w:rsid w:val="4F0D49D3"/>
    <w:rsid w:val="4F0E6338"/>
    <w:rsid w:val="4F1D0D48"/>
    <w:rsid w:val="4F1E5B95"/>
    <w:rsid w:val="4F284043"/>
    <w:rsid w:val="4F2C19B9"/>
    <w:rsid w:val="4F2F46FB"/>
    <w:rsid w:val="4F414860"/>
    <w:rsid w:val="4F4C2235"/>
    <w:rsid w:val="4F572324"/>
    <w:rsid w:val="4F5A4EBF"/>
    <w:rsid w:val="4F5C4722"/>
    <w:rsid w:val="4F6D122F"/>
    <w:rsid w:val="4F8A0296"/>
    <w:rsid w:val="4F8A1DFA"/>
    <w:rsid w:val="4FB46DB0"/>
    <w:rsid w:val="4FC07176"/>
    <w:rsid w:val="4FC975C9"/>
    <w:rsid w:val="4FCE7D02"/>
    <w:rsid w:val="4FD34497"/>
    <w:rsid w:val="4FF23975"/>
    <w:rsid w:val="4FF4763C"/>
    <w:rsid w:val="50096CAF"/>
    <w:rsid w:val="50111B23"/>
    <w:rsid w:val="501A5742"/>
    <w:rsid w:val="501D3492"/>
    <w:rsid w:val="502A6E5E"/>
    <w:rsid w:val="503D54B2"/>
    <w:rsid w:val="50483983"/>
    <w:rsid w:val="504E7544"/>
    <w:rsid w:val="506D3A82"/>
    <w:rsid w:val="5073598C"/>
    <w:rsid w:val="507644CE"/>
    <w:rsid w:val="508112DE"/>
    <w:rsid w:val="50862F98"/>
    <w:rsid w:val="50885E8D"/>
    <w:rsid w:val="508D58D4"/>
    <w:rsid w:val="5095136B"/>
    <w:rsid w:val="50993DAD"/>
    <w:rsid w:val="50C4213A"/>
    <w:rsid w:val="50C7646C"/>
    <w:rsid w:val="50CC731F"/>
    <w:rsid w:val="50E56BC4"/>
    <w:rsid w:val="50E87E27"/>
    <w:rsid w:val="50EE2274"/>
    <w:rsid w:val="510A0CD0"/>
    <w:rsid w:val="51211AAA"/>
    <w:rsid w:val="51396743"/>
    <w:rsid w:val="513D6129"/>
    <w:rsid w:val="514255EB"/>
    <w:rsid w:val="51427C2A"/>
    <w:rsid w:val="514A3D5A"/>
    <w:rsid w:val="51520CAE"/>
    <w:rsid w:val="5153728A"/>
    <w:rsid w:val="51586F03"/>
    <w:rsid w:val="51645960"/>
    <w:rsid w:val="51664BE0"/>
    <w:rsid w:val="516E1798"/>
    <w:rsid w:val="51712FB5"/>
    <w:rsid w:val="517C3C40"/>
    <w:rsid w:val="51874608"/>
    <w:rsid w:val="51903403"/>
    <w:rsid w:val="519129AA"/>
    <w:rsid w:val="51AC1CFF"/>
    <w:rsid w:val="51B45161"/>
    <w:rsid w:val="51BC6DCB"/>
    <w:rsid w:val="51C10AF3"/>
    <w:rsid w:val="51E17A10"/>
    <w:rsid w:val="51F211D4"/>
    <w:rsid w:val="52003B11"/>
    <w:rsid w:val="5202327F"/>
    <w:rsid w:val="52154E29"/>
    <w:rsid w:val="5219147D"/>
    <w:rsid w:val="521E3A0F"/>
    <w:rsid w:val="521F0980"/>
    <w:rsid w:val="52342071"/>
    <w:rsid w:val="523D7EE7"/>
    <w:rsid w:val="523F786C"/>
    <w:rsid w:val="52602C26"/>
    <w:rsid w:val="52784DDC"/>
    <w:rsid w:val="52863503"/>
    <w:rsid w:val="52872FB1"/>
    <w:rsid w:val="528A11F1"/>
    <w:rsid w:val="528A24C9"/>
    <w:rsid w:val="528E6CB5"/>
    <w:rsid w:val="529151B4"/>
    <w:rsid w:val="529D1FB0"/>
    <w:rsid w:val="529D44B1"/>
    <w:rsid w:val="52AC1838"/>
    <w:rsid w:val="52B35EBB"/>
    <w:rsid w:val="52BB0324"/>
    <w:rsid w:val="52BD0FD1"/>
    <w:rsid w:val="52BD209B"/>
    <w:rsid w:val="52BF74E2"/>
    <w:rsid w:val="52BF7F39"/>
    <w:rsid w:val="52CA2884"/>
    <w:rsid w:val="52CD24EF"/>
    <w:rsid w:val="52D6517C"/>
    <w:rsid w:val="52D675F5"/>
    <w:rsid w:val="52D718DD"/>
    <w:rsid w:val="52DE11E3"/>
    <w:rsid w:val="52E170D6"/>
    <w:rsid w:val="52FA0672"/>
    <w:rsid w:val="52FF3DBE"/>
    <w:rsid w:val="53057E93"/>
    <w:rsid w:val="5313436F"/>
    <w:rsid w:val="53312A7E"/>
    <w:rsid w:val="533610C6"/>
    <w:rsid w:val="5342582F"/>
    <w:rsid w:val="534671BA"/>
    <w:rsid w:val="53542179"/>
    <w:rsid w:val="535A42D8"/>
    <w:rsid w:val="535B635F"/>
    <w:rsid w:val="5362798D"/>
    <w:rsid w:val="53637838"/>
    <w:rsid w:val="53AD49D5"/>
    <w:rsid w:val="53AE0664"/>
    <w:rsid w:val="53B1388B"/>
    <w:rsid w:val="53B80053"/>
    <w:rsid w:val="53BB0527"/>
    <w:rsid w:val="53CC3E65"/>
    <w:rsid w:val="53CD1E8A"/>
    <w:rsid w:val="53DB667F"/>
    <w:rsid w:val="53E25AAA"/>
    <w:rsid w:val="53E8665C"/>
    <w:rsid w:val="53F613DC"/>
    <w:rsid w:val="53FF395E"/>
    <w:rsid w:val="540B1521"/>
    <w:rsid w:val="54185438"/>
    <w:rsid w:val="541F6D8C"/>
    <w:rsid w:val="54396FBB"/>
    <w:rsid w:val="543C301D"/>
    <w:rsid w:val="543E1D91"/>
    <w:rsid w:val="543E21D3"/>
    <w:rsid w:val="544362F5"/>
    <w:rsid w:val="544B6ABB"/>
    <w:rsid w:val="54555506"/>
    <w:rsid w:val="5464067F"/>
    <w:rsid w:val="54725215"/>
    <w:rsid w:val="547E295A"/>
    <w:rsid w:val="548D3728"/>
    <w:rsid w:val="549363D0"/>
    <w:rsid w:val="54AE6FFF"/>
    <w:rsid w:val="54B83136"/>
    <w:rsid w:val="54C94F14"/>
    <w:rsid w:val="54D64BF8"/>
    <w:rsid w:val="54D85D61"/>
    <w:rsid w:val="54E259B7"/>
    <w:rsid w:val="54E54FAD"/>
    <w:rsid w:val="54E776D2"/>
    <w:rsid w:val="54EF5C10"/>
    <w:rsid w:val="5504443C"/>
    <w:rsid w:val="550E39F6"/>
    <w:rsid w:val="55116814"/>
    <w:rsid w:val="552227BC"/>
    <w:rsid w:val="55301EEA"/>
    <w:rsid w:val="55366A71"/>
    <w:rsid w:val="553D7218"/>
    <w:rsid w:val="553E12A6"/>
    <w:rsid w:val="554A191A"/>
    <w:rsid w:val="555201FC"/>
    <w:rsid w:val="555400FD"/>
    <w:rsid w:val="55821723"/>
    <w:rsid w:val="558A423C"/>
    <w:rsid w:val="5598547B"/>
    <w:rsid w:val="55A64F94"/>
    <w:rsid w:val="55A75279"/>
    <w:rsid w:val="55B64747"/>
    <w:rsid w:val="55B74DBB"/>
    <w:rsid w:val="55BD5035"/>
    <w:rsid w:val="55D67CE1"/>
    <w:rsid w:val="55D911AB"/>
    <w:rsid w:val="55E14064"/>
    <w:rsid w:val="55EA29F5"/>
    <w:rsid w:val="55EA3E55"/>
    <w:rsid w:val="561151D2"/>
    <w:rsid w:val="56120A4E"/>
    <w:rsid w:val="562E439E"/>
    <w:rsid w:val="563353B4"/>
    <w:rsid w:val="563716F7"/>
    <w:rsid w:val="564D2FC8"/>
    <w:rsid w:val="565D3FCF"/>
    <w:rsid w:val="56640731"/>
    <w:rsid w:val="56695D08"/>
    <w:rsid w:val="566C1BCD"/>
    <w:rsid w:val="56723DB4"/>
    <w:rsid w:val="56727FBC"/>
    <w:rsid w:val="567C5861"/>
    <w:rsid w:val="567F0DC3"/>
    <w:rsid w:val="56904D6F"/>
    <w:rsid w:val="56966FED"/>
    <w:rsid w:val="569E1CA8"/>
    <w:rsid w:val="56B2607B"/>
    <w:rsid w:val="56DC37B4"/>
    <w:rsid w:val="5710525F"/>
    <w:rsid w:val="5713590D"/>
    <w:rsid w:val="571D460F"/>
    <w:rsid w:val="571E3588"/>
    <w:rsid w:val="5721668C"/>
    <w:rsid w:val="5722671E"/>
    <w:rsid w:val="5747411F"/>
    <w:rsid w:val="574B58D1"/>
    <w:rsid w:val="57691061"/>
    <w:rsid w:val="578852E5"/>
    <w:rsid w:val="57A56C58"/>
    <w:rsid w:val="57C1364B"/>
    <w:rsid w:val="57C770FC"/>
    <w:rsid w:val="58055D78"/>
    <w:rsid w:val="580637F9"/>
    <w:rsid w:val="58071808"/>
    <w:rsid w:val="582A1C88"/>
    <w:rsid w:val="58362B43"/>
    <w:rsid w:val="58381C5F"/>
    <w:rsid w:val="586053FE"/>
    <w:rsid w:val="586630BB"/>
    <w:rsid w:val="586659D8"/>
    <w:rsid w:val="58665C51"/>
    <w:rsid w:val="5878283D"/>
    <w:rsid w:val="58A23BA7"/>
    <w:rsid w:val="58A4063A"/>
    <w:rsid w:val="58AB3F87"/>
    <w:rsid w:val="58AF1F35"/>
    <w:rsid w:val="58D52BCD"/>
    <w:rsid w:val="58D73B8F"/>
    <w:rsid w:val="58DB29C1"/>
    <w:rsid w:val="58E2542B"/>
    <w:rsid w:val="58ED6485"/>
    <w:rsid w:val="58F27B36"/>
    <w:rsid w:val="58F32491"/>
    <w:rsid w:val="590D4672"/>
    <w:rsid w:val="59254616"/>
    <w:rsid w:val="59262E27"/>
    <w:rsid w:val="592637FF"/>
    <w:rsid w:val="59271300"/>
    <w:rsid w:val="59313A4E"/>
    <w:rsid w:val="594C27FB"/>
    <w:rsid w:val="595F5444"/>
    <w:rsid w:val="596D0588"/>
    <w:rsid w:val="596D7DCC"/>
    <w:rsid w:val="59856F3D"/>
    <w:rsid w:val="598A37EE"/>
    <w:rsid w:val="598B3E86"/>
    <w:rsid w:val="599F45CD"/>
    <w:rsid w:val="59B606C7"/>
    <w:rsid w:val="59B75DA2"/>
    <w:rsid w:val="59C206A9"/>
    <w:rsid w:val="59CD63EE"/>
    <w:rsid w:val="59DB0589"/>
    <w:rsid w:val="59DF01F8"/>
    <w:rsid w:val="59E72EA9"/>
    <w:rsid w:val="59F20A8D"/>
    <w:rsid w:val="59F536F8"/>
    <w:rsid w:val="59F9042B"/>
    <w:rsid w:val="5A397A64"/>
    <w:rsid w:val="5A4064C3"/>
    <w:rsid w:val="5A5C7467"/>
    <w:rsid w:val="5A74347D"/>
    <w:rsid w:val="5A780809"/>
    <w:rsid w:val="5A81243C"/>
    <w:rsid w:val="5A860EDA"/>
    <w:rsid w:val="5AB06744"/>
    <w:rsid w:val="5ABB7D6D"/>
    <w:rsid w:val="5ACC2F82"/>
    <w:rsid w:val="5ADD370F"/>
    <w:rsid w:val="5AE2705E"/>
    <w:rsid w:val="5AF9604C"/>
    <w:rsid w:val="5AFA638C"/>
    <w:rsid w:val="5B0069DA"/>
    <w:rsid w:val="5B123665"/>
    <w:rsid w:val="5B205469"/>
    <w:rsid w:val="5B4848D1"/>
    <w:rsid w:val="5B686E11"/>
    <w:rsid w:val="5B865725"/>
    <w:rsid w:val="5BA348A7"/>
    <w:rsid w:val="5BA77343"/>
    <w:rsid w:val="5BB1431D"/>
    <w:rsid w:val="5BBF1BE6"/>
    <w:rsid w:val="5BC72C57"/>
    <w:rsid w:val="5BD267A6"/>
    <w:rsid w:val="5BD50D48"/>
    <w:rsid w:val="5BE267F8"/>
    <w:rsid w:val="5BE34B31"/>
    <w:rsid w:val="5BF643CB"/>
    <w:rsid w:val="5BFC69B2"/>
    <w:rsid w:val="5C1C56BF"/>
    <w:rsid w:val="5C1F35AE"/>
    <w:rsid w:val="5C251B62"/>
    <w:rsid w:val="5C283650"/>
    <w:rsid w:val="5C2D1A12"/>
    <w:rsid w:val="5C37577A"/>
    <w:rsid w:val="5C3D2493"/>
    <w:rsid w:val="5C495A77"/>
    <w:rsid w:val="5C532029"/>
    <w:rsid w:val="5C544BB6"/>
    <w:rsid w:val="5C5B59E2"/>
    <w:rsid w:val="5C640EFC"/>
    <w:rsid w:val="5C880D7C"/>
    <w:rsid w:val="5CA34E8C"/>
    <w:rsid w:val="5CA837ED"/>
    <w:rsid w:val="5CAF2C65"/>
    <w:rsid w:val="5CD15225"/>
    <w:rsid w:val="5CD84061"/>
    <w:rsid w:val="5CDA592C"/>
    <w:rsid w:val="5CFC4A9F"/>
    <w:rsid w:val="5CFD75DD"/>
    <w:rsid w:val="5D006199"/>
    <w:rsid w:val="5D2C0272"/>
    <w:rsid w:val="5D3046F0"/>
    <w:rsid w:val="5D3D4820"/>
    <w:rsid w:val="5D512C64"/>
    <w:rsid w:val="5D851874"/>
    <w:rsid w:val="5D904C4B"/>
    <w:rsid w:val="5D973FBF"/>
    <w:rsid w:val="5D9825E1"/>
    <w:rsid w:val="5DBE0CB8"/>
    <w:rsid w:val="5DC02B0A"/>
    <w:rsid w:val="5DC032C5"/>
    <w:rsid w:val="5DD12BD3"/>
    <w:rsid w:val="5DF7172D"/>
    <w:rsid w:val="5DF72F3B"/>
    <w:rsid w:val="5E0127E3"/>
    <w:rsid w:val="5E1B4309"/>
    <w:rsid w:val="5E272773"/>
    <w:rsid w:val="5E3D13AA"/>
    <w:rsid w:val="5E3E17D6"/>
    <w:rsid w:val="5E5003CB"/>
    <w:rsid w:val="5E557732"/>
    <w:rsid w:val="5E6436D6"/>
    <w:rsid w:val="5E68756F"/>
    <w:rsid w:val="5E6F51DA"/>
    <w:rsid w:val="5E775067"/>
    <w:rsid w:val="5E7B42A2"/>
    <w:rsid w:val="5E7D2505"/>
    <w:rsid w:val="5E8D0E23"/>
    <w:rsid w:val="5E8E512B"/>
    <w:rsid w:val="5E92771C"/>
    <w:rsid w:val="5EB153BA"/>
    <w:rsid w:val="5EC12561"/>
    <w:rsid w:val="5EDC21AD"/>
    <w:rsid w:val="5EDD1CB1"/>
    <w:rsid w:val="5EE75F5A"/>
    <w:rsid w:val="5EEB3882"/>
    <w:rsid w:val="5EF06C4F"/>
    <w:rsid w:val="5F0375D4"/>
    <w:rsid w:val="5F0C6580"/>
    <w:rsid w:val="5F16780F"/>
    <w:rsid w:val="5F1B3444"/>
    <w:rsid w:val="5F1C2EBF"/>
    <w:rsid w:val="5F336403"/>
    <w:rsid w:val="5F516449"/>
    <w:rsid w:val="5F551250"/>
    <w:rsid w:val="5F6A5D73"/>
    <w:rsid w:val="5F796BB3"/>
    <w:rsid w:val="5F8E69B9"/>
    <w:rsid w:val="5FA91EAA"/>
    <w:rsid w:val="5FBF4FA4"/>
    <w:rsid w:val="5FC262FD"/>
    <w:rsid w:val="5FC70E53"/>
    <w:rsid w:val="5FCF3FFB"/>
    <w:rsid w:val="5FF13483"/>
    <w:rsid w:val="5FF16061"/>
    <w:rsid w:val="5FF829C0"/>
    <w:rsid w:val="5FFC501A"/>
    <w:rsid w:val="5FFD5B08"/>
    <w:rsid w:val="60033CEB"/>
    <w:rsid w:val="600C66D6"/>
    <w:rsid w:val="60266CCC"/>
    <w:rsid w:val="602F174D"/>
    <w:rsid w:val="60407876"/>
    <w:rsid w:val="6050225A"/>
    <w:rsid w:val="605F5B83"/>
    <w:rsid w:val="60607B27"/>
    <w:rsid w:val="6064643B"/>
    <w:rsid w:val="60662077"/>
    <w:rsid w:val="606F5418"/>
    <w:rsid w:val="607A0954"/>
    <w:rsid w:val="607D18D9"/>
    <w:rsid w:val="608A62B5"/>
    <w:rsid w:val="60952803"/>
    <w:rsid w:val="6096233E"/>
    <w:rsid w:val="60A0764C"/>
    <w:rsid w:val="60A31B19"/>
    <w:rsid w:val="60BA4CC6"/>
    <w:rsid w:val="60C95C81"/>
    <w:rsid w:val="60CC65F1"/>
    <w:rsid w:val="60D65B88"/>
    <w:rsid w:val="60D763BE"/>
    <w:rsid w:val="60E06E22"/>
    <w:rsid w:val="60E75013"/>
    <w:rsid w:val="60F1769A"/>
    <w:rsid w:val="610554CE"/>
    <w:rsid w:val="61056C5D"/>
    <w:rsid w:val="61191A17"/>
    <w:rsid w:val="61294E86"/>
    <w:rsid w:val="61405465"/>
    <w:rsid w:val="61422A43"/>
    <w:rsid w:val="614A75DF"/>
    <w:rsid w:val="614D13CA"/>
    <w:rsid w:val="61641A84"/>
    <w:rsid w:val="61792C36"/>
    <w:rsid w:val="6186483E"/>
    <w:rsid w:val="619D73EC"/>
    <w:rsid w:val="61A37C11"/>
    <w:rsid w:val="61AC6F95"/>
    <w:rsid w:val="61AD597C"/>
    <w:rsid w:val="61B03707"/>
    <w:rsid w:val="61C141BC"/>
    <w:rsid w:val="61D415D7"/>
    <w:rsid w:val="61EC34E8"/>
    <w:rsid w:val="61F353E0"/>
    <w:rsid w:val="61F4095C"/>
    <w:rsid w:val="620152D8"/>
    <w:rsid w:val="620D5F53"/>
    <w:rsid w:val="62130A76"/>
    <w:rsid w:val="621A3D51"/>
    <w:rsid w:val="622D7353"/>
    <w:rsid w:val="623A0935"/>
    <w:rsid w:val="623B63B7"/>
    <w:rsid w:val="624217F0"/>
    <w:rsid w:val="624918DA"/>
    <w:rsid w:val="624C43DE"/>
    <w:rsid w:val="624D1A69"/>
    <w:rsid w:val="625D6D86"/>
    <w:rsid w:val="6262068D"/>
    <w:rsid w:val="627D1D86"/>
    <w:rsid w:val="628C34B3"/>
    <w:rsid w:val="62954DDB"/>
    <w:rsid w:val="629554A8"/>
    <w:rsid w:val="629734E7"/>
    <w:rsid w:val="629D5157"/>
    <w:rsid w:val="629D727B"/>
    <w:rsid w:val="62A158AB"/>
    <w:rsid w:val="62A34F8D"/>
    <w:rsid w:val="62AE2A49"/>
    <w:rsid w:val="62BB421E"/>
    <w:rsid w:val="62C80F50"/>
    <w:rsid w:val="62CE30D2"/>
    <w:rsid w:val="62D43F22"/>
    <w:rsid w:val="62D55785"/>
    <w:rsid w:val="62FD2882"/>
    <w:rsid w:val="62FE04A2"/>
    <w:rsid w:val="630B11B2"/>
    <w:rsid w:val="630F0162"/>
    <w:rsid w:val="6315759B"/>
    <w:rsid w:val="633304FC"/>
    <w:rsid w:val="633D3A11"/>
    <w:rsid w:val="63436BE9"/>
    <w:rsid w:val="6349716D"/>
    <w:rsid w:val="636357BA"/>
    <w:rsid w:val="63655C88"/>
    <w:rsid w:val="636710A9"/>
    <w:rsid w:val="639429A1"/>
    <w:rsid w:val="63964EB8"/>
    <w:rsid w:val="639B601A"/>
    <w:rsid w:val="63AE588C"/>
    <w:rsid w:val="63BB60E6"/>
    <w:rsid w:val="63C01CCA"/>
    <w:rsid w:val="63C666DB"/>
    <w:rsid w:val="63CA4B9D"/>
    <w:rsid w:val="63F96BCD"/>
    <w:rsid w:val="63FE731D"/>
    <w:rsid w:val="63FF4FB9"/>
    <w:rsid w:val="640B132F"/>
    <w:rsid w:val="640F0812"/>
    <w:rsid w:val="641114FE"/>
    <w:rsid w:val="64173169"/>
    <w:rsid w:val="643C30C1"/>
    <w:rsid w:val="64435A0A"/>
    <w:rsid w:val="644C7E9E"/>
    <w:rsid w:val="644E7740"/>
    <w:rsid w:val="644F443E"/>
    <w:rsid w:val="64515400"/>
    <w:rsid w:val="64537B26"/>
    <w:rsid w:val="645962D8"/>
    <w:rsid w:val="646626AD"/>
    <w:rsid w:val="646C748B"/>
    <w:rsid w:val="647E6C76"/>
    <w:rsid w:val="64A76738"/>
    <w:rsid w:val="64BD57C6"/>
    <w:rsid w:val="64F17BAA"/>
    <w:rsid w:val="64F47866"/>
    <w:rsid w:val="650E4BD0"/>
    <w:rsid w:val="650E5601"/>
    <w:rsid w:val="651B6A03"/>
    <w:rsid w:val="651C2BCF"/>
    <w:rsid w:val="651D3456"/>
    <w:rsid w:val="653B3E96"/>
    <w:rsid w:val="653C233F"/>
    <w:rsid w:val="655E15FE"/>
    <w:rsid w:val="656B7D54"/>
    <w:rsid w:val="658B3177"/>
    <w:rsid w:val="659473B3"/>
    <w:rsid w:val="65A76E61"/>
    <w:rsid w:val="65B42280"/>
    <w:rsid w:val="65BA4D62"/>
    <w:rsid w:val="65CA30E4"/>
    <w:rsid w:val="65D95627"/>
    <w:rsid w:val="65FE2C54"/>
    <w:rsid w:val="660514E6"/>
    <w:rsid w:val="66057053"/>
    <w:rsid w:val="660C1EFA"/>
    <w:rsid w:val="66156329"/>
    <w:rsid w:val="66161F0A"/>
    <w:rsid w:val="66331364"/>
    <w:rsid w:val="66394447"/>
    <w:rsid w:val="663A5B63"/>
    <w:rsid w:val="665209E6"/>
    <w:rsid w:val="6663200A"/>
    <w:rsid w:val="66634981"/>
    <w:rsid w:val="666A4380"/>
    <w:rsid w:val="66703534"/>
    <w:rsid w:val="66775440"/>
    <w:rsid w:val="668B472D"/>
    <w:rsid w:val="669A0836"/>
    <w:rsid w:val="669E3F04"/>
    <w:rsid w:val="66A71C8E"/>
    <w:rsid w:val="66B81714"/>
    <w:rsid w:val="66BA31F2"/>
    <w:rsid w:val="66C34279"/>
    <w:rsid w:val="66C91EB1"/>
    <w:rsid w:val="66C92494"/>
    <w:rsid w:val="66D07C3D"/>
    <w:rsid w:val="66E178C8"/>
    <w:rsid w:val="66E622FF"/>
    <w:rsid w:val="66EA6293"/>
    <w:rsid w:val="670A381C"/>
    <w:rsid w:val="67190B2D"/>
    <w:rsid w:val="671D049C"/>
    <w:rsid w:val="67267E25"/>
    <w:rsid w:val="673A2FB1"/>
    <w:rsid w:val="676F45ED"/>
    <w:rsid w:val="67735E07"/>
    <w:rsid w:val="677418DD"/>
    <w:rsid w:val="67784FD9"/>
    <w:rsid w:val="67957DFD"/>
    <w:rsid w:val="679D64E9"/>
    <w:rsid w:val="679D688A"/>
    <w:rsid w:val="67A078D0"/>
    <w:rsid w:val="67AD3970"/>
    <w:rsid w:val="67AE09A9"/>
    <w:rsid w:val="67B87FA0"/>
    <w:rsid w:val="67BA6172"/>
    <w:rsid w:val="67BC5ABE"/>
    <w:rsid w:val="67C5413C"/>
    <w:rsid w:val="67CF495C"/>
    <w:rsid w:val="67FA1D8C"/>
    <w:rsid w:val="67FA6CA5"/>
    <w:rsid w:val="68007CFE"/>
    <w:rsid w:val="68024C43"/>
    <w:rsid w:val="681B7D80"/>
    <w:rsid w:val="682F3B27"/>
    <w:rsid w:val="68344483"/>
    <w:rsid w:val="6836197D"/>
    <w:rsid w:val="6840780D"/>
    <w:rsid w:val="68483799"/>
    <w:rsid w:val="684C54EE"/>
    <w:rsid w:val="686C03C3"/>
    <w:rsid w:val="686D7EDA"/>
    <w:rsid w:val="68710A65"/>
    <w:rsid w:val="687321F7"/>
    <w:rsid w:val="687C1C8D"/>
    <w:rsid w:val="6886453F"/>
    <w:rsid w:val="68925915"/>
    <w:rsid w:val="68943803"/>
    <w:rsid w:val="68C575B1"/>
    <w:rsid w:val="68CC42BA"/>
    <w:rsid w:val="68CE49BD"/>
    <w:rsid w:val="68F142A3"/>
    <w:rsid w:val="68F24FE5"/>
    <w:rsid w:val="68F82E13"/>
    <w:rsid w:val="690070BA"/>
    <w:rsid w:val="6906110C"/>
    <w:rsid w:val="691D44A4"/>
    <w:rsid w:val="692A1FF1"/>
    <w:rsid w:val="69344026"/>
    <w:rsid w:val="693A623A"/>
    <w:rsid w:val="696D53CD"/>
    <w:rsid w:val="69800FE8"/>
    <w:rsid w:val="69812898"/>
    <w:rsid w:val="69945207"/>
    <w:rsid w:val="699C3CFB"/>
    <w:rsid w:val="69A63738"/>
    <w:rsid w:val="69A7712A"/>
    <w:rsid w:val="69AF24F6"/>
    <w:rsid w:val="69B17D6A"/>
    <w:rsid w:val="69C2724A"/>
    <w:rsid w:val="69CA457B"/>
    <w:rsid w:val="69E15B49"/>
    <w:rsid w:val="69E63E4A"/>
    <w:rsid w:val="69E75224"/>
    <w:rsid w:val="69EA2513"/>
    <w:rsid w:val="6A062180"/>
    <w:rsid w:val="6A2B24AF"/>
    <w:rsid w:val="6A2C4567"/>
    <w:rsid w:val="6A2F1AF1"/>
    <w:rsid w:val="6A2F218C"/>
    <w:rsid w:val="6A335DCD"/>
    <w:rsid w:val="6A37309A"/>
    <w:rsid w:val="6A391211"/>
    <w:rsid w:val="6A4815D7"/>
    <w:rsid w:val="6A601595"/>
    <w:rsid w:val="6A630562"/>
    <w:rsid w:val="6A79566E"/>
    <w:rsid w:val="6A90535D"/>
    <w:rsid w:val="6A956768"/>
    <w:rsid w:val="6AA9520C"/>
    <w:rsid w:val="6AC01083"/>
    <w:rsid w:val="6AC91EBE"/>
    <w:rsid w:val="6ADB729E"/>
    <w:rsid w:val="6AE45CD2"/>
    <w:rsid w:val="6AE73608"/>
    <w:rsid w:val="6AFC1413"/>
    <w:rsid w:val="6B031E39"/>
    <w:rsid w:val="6B066AFC"/>
    <w:rsid w:val="6B1D6A19"/>
    <w:rsid w:val="6B2B1F62"/>
    <w:rsid w:val="6B4346BC"/>
    <w:rsid w:val="6B516787"/>
    <w:rsid w:val="6B576F9D"/>
    <w:rsid w:val="6B826C92"/>
    <w:rsid w:val="6B8B307D"/>
    <w:rsid w:val="6B8D05BE"/>
    <w:rsid w:val="6BAE58BD"/>
    <w:rsid w:val="6BB4063D"/>
    <w:rsid w:val="6BBD11DF"/>
    <w:rsid w:val="6BFE3C22"/>
    <w:rsid w:val="6C084E6C"/>
    <w:rsid w:val="6C0F23BC"/>
    <w:rsid w:val="6C225B58"/>
    <w:rsid w:val="6C535248"/>
    <w:rsid w:val="6C585769"/>
    <w:rsid w:val="6C627FA3"/>
    <w:rsid w:val="6C7034F3"/>
    <w:rsid w:val="6C7E6DBE"/>
    <w:rsid w:val="6C922E17"/>
    <w:rsid w:val="6C9537D9"/>
    <w:rsid w:val="6CA6353B"/>
    <w:rsid w:val="6CAC3F20"/>
    <w:rsid w:val="6CAF19C3"/>
    <w:rsid w:val="6CB329D7"/>
    <w:rsid w:val="6CC02705"/>
    <w:rsid w:val="6CD46566"/>
    <w:rsid w:val="6CD80CE9"/>
    <w:rsid w:val="6CDC164A"/>
    <w:rsid w:val="6CE40501"/>
    <w:rsid w:val="6CE547B7"/>
    <w:rsid w:val="6CE9222B"/>
    <w:rsid w:val="6CEB5AF5"/>
    <w:rsid w:val="6CF169DC"/>
    <w:rsid w:val="6CF544D3"/>
    <w:rsid w:val="6CF87CC1"/>
    <w:rsid w:val="6D262AD0"/>
    <w:rsid w:val="6D275C75"/>
    <w:rsid w:val="6D2C27DC"/>
    <w:rsid w:val="6D325CF1"/>
    <w:rsid w:val="6D4236E7"/>
    <w:rsid w:val="6D452171"/>
    <w:rsid w:val="6D4A0354"/>
    <w:rsid w:val="6D4C1E42"/>
    <w:rsid w:val="6D564A02"/>
    <w:rsid w:val="6D6441BA"/>
    <w:rsid w:val="6D6549E5"/>
    <w:rsid w:val="6D8D0448"/>
    <w:rsid w:val="6D91144F"/>
    <w:rsid w:val="6DA91015"/>
    <w:rsid w:val="6DBD0D54"/>
    <w:rsid w:val="6DCD4AB5"/>
    <w:rsid w:val="6DD85044"/>
    <w:rsid w:val="6DFA203D"/>
    <w:rsid w:val="6DFD7F74"/>
    <w:rsid w:val="6E1C5191"/>
    <w:rsid w:val="6E311079"/>
    <w:rsid w:val="6E58735F"/>
    <w:rsid w:val="6E5D7193"/>
    <w:rsid w:val="6E5F1450"/>
    <w:rsid w:val="6E72515D"/>
    <w:rsid w:val="6E735FD6"/>
    <w:rsid w:val="6E7C511A"/>
    <w:rsid w:val="6EA50F15"/>
    <w:rsid w:val="6EAC089F"/>
    <w:rsid w:val="6EBF368C"/>
    <w:rsid w:val="6EC2363D"/>
    <w:rsid w:val="6EC973B3"/>
    <w:rsid w:val="6EDB13EF"/>
    <w:rsid w:val="6EFB4562"/>
    <w:rsid w:val="6EFC4C58"/>
    <w:rsid w:val="6F103552"/>
    <w:rsid w:val="6F117A1B"/>
    <w:rsid w:val="6F1A3218"/>
    <w:rsid w:val="6F2319BD"/>
    <w:rsid w:val="6F26427E"/>
    <w:rsid w:val="6F2A2C94"/>
    <w:rsid w:val="6F321C00"/>
    <w:rsid w:val="6F344D4E"/>
    <w:rsid w:val="6F403311"/>
    <w:rsid w:val="6F4E5C7A"/>
    <w:rsid w:val="6F58522F"/>
    <w:rsid w:val="6F5C6117"/>
    <w:rsid w:val="6F6A3241"/>
    <w:rsid w:val="6F720211"/>
    <w:rsid w:val="6F762732"/>
    <w:rsid w:val="6F830903"/>
    <w:rsid w:val="6F8516FC"/>
    <w:rsid w:val="6F8B248C"/>
    <w:rsid w:val="6FA85AFF"/>
    <w:rsid w:val="6FAB6491"/>
    <w:rsid w:val="6FC62E8E"/>
    <w:rsid w:val="6FE24DD5"/>
    <w:rsid w:val="6FEA352C"/>
    <w:rsid w:val="6FEC7E1B"/>
    <w:rsid w:val="6FF9096F"/>
    <w:rsid w:val="700D084F"/>
    <w:rsid w:val="701403F0"/>
    <w:rsid w:val="7015189C"/>
    <w:rsid w:val="701554C4"/>
    <w:rsid w:val="7019691C"/>
    <w:rsid w:val="703E0770"/>
    <w:rsid w:val="704753D2"/>
    <w:rsid w:val="70702DC6"/>
    <w:rsid w:val="70974A82"/>
    <w:rsid w:val="70981F36"/>
    <w:rsid w:val="70AB6494"/>
    <w:rsid w:val="70AD5338"/>
    <w:rsid w:val="70AD7EE8"/>
    <w:rsid w:val="70B037E5"/>
    <w:rsid w:val="70B217E4"/>
    <w:rsid w:val="70B6575A"/>
    <w:rsid w:val="70C04A87"/>
    <w:rsid w:val="70C91E91"/>
    <w:rsid w:val="70D171F6"/>
    <w:rsid w:val="70E4235A"/>
    <w:rsid w:val="70E87E77"/>
    <w:rsid w:val="70EA0AB9"/>
    <w:rsid w:val="70F532DE"/>
    <w:rsid w:val="70F96CCA"/>
    <w:rsid w:val="70FD48EC"/>
    <w:rsid w:val="71183582"/>
    <w:rsid w:val="71211A56"/>
    <w:rsid w:val="71392015"/>
    <w:rsid w:val="71451EF0"/>
    <w:rsid w:val="715823D1"/>
    <w:rsid w:val="717A4068"/>
    <w:rsid w:val="717F1642"/>
    <w:rsid w:val="717F529D"/>
    <w:rsid w:val="71817EE1"/>
    <w:rsid w:val="718523FB"/>
    <w:rsid w:val="719B1258"/>
    <w:rsid w:val="71A07442"/>
    <w:rsid w:val="71A168AA"/>
    <w:rsid w:val="71B31015"/>
    <w:rsid w:val="71BB3DAD"/>
    <w:rsid w:val="71C31235"/>
    <w:rsid w:val="71C7557A"/>
    <w:rsid w:val="71D1303F"/>
    <w:rsid w:val="71E447A0"/>
    <w:rsid w:val="71E637C0"/>
    <w:rsid w:val="71E76B5E"/>
    <w:rsid w:val="71F045F6"/>
    <w:rsid w:val="71F32365"/>
    <w:rsid w:val="71FE69AA"/>
    <w:rsid w:val="72040A1B"/>
    <w:rsid w:val="72201D45"/>
    <w:rsid w:val="72281098"/>
    <w:rsid w:val="72323CC5"/>
    <w:rsid w:val="72395B5A"/>
    <w:rsid w:val="723F585C"/>
    <w:rsid w:val="72463D86"/>
    <w:rsid w:val="724E71F1"/>
    <w:rsid w:val="726550D6"/>
    <w:rsid w:val="726F0F4A"/>
    <w:rsid w:val="7271179B"/>
    <w:rsid w:val="72781B43"/>
    <w:rsid w:val="727E1B5E"/>
    <w:rsid w:val="728150E3"/>
    <w:rsid w:val="72823E79"/>
    <w:rsid w:val="72945361"/>
    <w:rsid w:val="729B7226"/>
    <w:rsid w:val="72A440BF"/>
    <w:rsid w:val="72A6589A"/>
    <w:rsid w:val="72B64F42"/>
    <w:rsid w:val="72B77140"/>
    <w:rsid w:val="72C07C18"/>
    <w:rsid w:val="72C267D6"/>
    <w:rsid w:val="72D66916"/>
    <w:rsid w:val="72D67C6E"/>
    <w:rsid w:val="72E80DEB"/>
    <w:rsid w:val="72EF2CC3"/>
    <w:rsid w:val="72F64E65"/>
    <w:rsid w:val="730376C8"/>
    <w:rsid w:val="730C04AB"/>
    <w:rsid w:val="73376515"/>
    <w:rsid w:val="735579F9"/>
    <w:rsid w:val="738E28D0"/>
    <w:rsid w:val="73AE1E10"/>
    <w:rsid w:val="73B21FC0"/>
    <w:rsid w:val="73C172D9"/>
    <w:rsid w:val="73C95D04"/>
    <w:rsid w:val="73D51543"/>
    <w:rsid w:val="73D7089D"/>
    <w:rsid w:val="73DF7629"/>
    <w:rsid w:val="73E47B72"/>
    <w:rsid w:val="73EE0BEC"/>
    <w:rsid w:val="73F36823"/>
    <w:rsid w:val="73F8173E"/>
    <w:rsid w:val="74113CE2"/>
    <w:rsid w:val="741C7D22"/>
    <w:rsid w:val="742326E7"/>
    <w:rsid w:val="742743D8"/>
    <w:rsid w:val="74535155"/>
    <w:rsid w:val="746051BF"/>
    <w:rsid w:val="74700DDD"/>
    <w:rsid w:val="74734851"/>
    <w:rsid w:val="747627EB"/>
    <w:rsid w:val="74772A8F"/>
    <w:rsid w:val="7488483A"/>
    <w:rsid w:val="749C593E"/>
    <w:rsid w:val="74A35095"/>
    <w:rsid w:val="74B77BDB"/>
    <w:rsid w:val="74C016E5"/>
    <w:rsid w:val="74D00CB5"/>
    <w:rsid w:val="74D56E90"/>
    <w:rsid w:val="74DC192B"/>
    <w:rsid w:val="74F60F44"/>
    <w:rsid w:val="74F87794"/>
    <w:rsid w:val="74FE0DC3"/>
    <w:rsid w:val="750D091A"/>
    <w:rsid w:val="75144F71"/>
    <w:rsid w:val="75146AC5"/>
    <w:rsid w:val="751A157E"/>
    <w:rsid w:val="7521546F"/>
    <w:rsid w:val="75252172"/>
    <w:rsid w:val="753662DC"/>
    <w:rsid w:val="75410012"/>
    <w:rsid w:val="754B1C59"/>
    <w:rsid w:val="755A31C6"/>
    <w:rsid w:val="75603B50"/>
    <w:rsid w:val="756848D8"/>
    <w:rsid w:val="7569589C"/>
    <w:rsid w:val="756B2C35"/>
    <w:rsid w:val="757C250B"/>
    <w:rsid w:val="759052BA"/>
    <w:rsid w:val="75A4207F"/>
    <w:rsid w:val="75D73501"/>
    <w:rsid w:val="75E57D8B"/>
    <w:rsid w:val="75F06CF6"/>
    <w:rsid w:val="75F8231C"/>
    <w:rsid w:val="761E1E84"/>
    <w:rsid w:val="76207F48"/>
    <w:rsid w:val="76272DA5"/>
    <w:rsid w:val="76501C64"/>
    <w:rsid w:val="76511EB0"/>
    <w:rsid w:val="76614304"/>
    <w:rsid w:val="76695353"/>
    <w:rsid w:val="766B62B9"/>
    <w:rsid w:val="76791AFC"/>
    <w:rsid w:val="767A42F7"/>
    <w:rsid w:val="76851A62"/>
    <w:rsid w:val="76981F47"/>
    <w:rsid w:val="76A827A7"/>
    <w:rsid w:val="76B45C8B"/>
    <w:rsid w:val="76C80E5C"/>
    <w:rsid w:val="76D04896"/>
    <w:rsid w:val="76D16C05"/>
    <w:rsid w:val="76EB02CA"/>
    <w:rsid w:val="76F77037"/>
    <w:rsid w:val="771048B2"/>
    <w:rsid w:val="77152684"/>
    <w:rsid w:val="771816DB"/>
    <w:rsid w:val="771A36A5"/>
    <w:rsid w:val="77267B89"/>
    <w:rsid w:val="772D2C89"/>
    <w:rsid w:val="77383903"/>
    <w:rsid w:val="773D0362"/>
    <w:rsid w:val="774B31E3"/>
    <w:rsid w:val="77607248"/>
    <w:rsid w:val="776E180E"/>
    <w:rsid w:val="77754396"/>
    <w:rsid w:val="77A07C02"/>
    <w:rsid w:val="77A10D36"/>
    <w:rsid w:val="77A13DC6"/>
    <w:rsid w:val="77D21056"/>
    <w:rsid w:val="77D51C45"/>
    <w:rsid w:val="77E82DBA"/>
    <w:rsid w:val="78023AC0"/>
    <w:rsid w:val="780367D9"/>
    <w:rsid w:val="780478F0"/>
    <w:rsid w:val="78096FFD"/>
    <w:rsid w:val="781A018E"/>
    <w:rsid w:val="782925A8"/>
    <w:rsid w:val="783478A8"/>
    <w:rsid w:val="78476AE2"/>
    <w:rsid w:val="784D072B"/>
    <w:rsid w:val="78510D72"/>
    <w:rsid w:val="7855734C"/>
    <w:rsid w:val="785637B0"/>
    <w:rsid w:val="785F322A"/>
    <w:rsid w:val="786C6157"/>
    <w:rsid w:val="789B3E3B"/>
    <w:rsid w:val="78A53134"/>
    <w:rsid w:val="78A5637F"/>
    <w:rsid w:val="78AC3282"/>
    <w:rsid w:val="78BF0FAC"/>
    <w:rsid w:val="78D92200"/>
    <w:rsid w:val="78E94BFC"/>
    <w:rsid w:val="78EF5D09"/>
    <w:rsid w:val="790A2862"/>
    <w:rsid w:val="79161F60"/>
    <w:rsid w:val="791D0BE2"/>
    <w:rsid w:val="79247939"/>
    <w:rsid w:val="792948BD"/>
    <w:rsid w:val="79327840"/>
    <w:rsid w:val="794006FE"/>
    <w:rsid w:val="79823784"/>
    <w:rsid w:val="7987660A"/>
    <w:rsid w:val="798F2185"/>
    <w:rsid w:val="798F5521"/>
    <w:rsid w:val="79957CED"/>
    <w:rsid w:val="799C3861"/>
    <w:rsid w:val="799F28E5"/>
    <w:rsid w:val="79A62DD9"/>
    <w:rsid w:val="79C83EAF"/>
    <w:rsid w:val="79C910BF"/>
    <w:rsid w:val="79DF5286"/>
    <w:rsid w:val="79E57ADF"/>
    <w:rsid w:val="79F23802"/>
    <w:rsid w:val="79F645F4"/>
    <w:rsid w:val="7A114772"/>
    <w:rsid w:val="7A21239A"/>
    <w:rsid w:val="7A271488"/>
    <w:rsid w:val="7A4B0019"/>
    <w:rsid w:val="7A532F1A"/>
    <w:rsid w:val="7A6041AB"/>
    <w:rsid w:val="7A6477B0"/>
    <w:rsid w:val="7A71080E"/>
    <w:rsid w:val="7A7E6ECC"/>
    <w:rsid w:val="7A8E221F"/>
    <w:rsid w:val="7AA82B74"/>
    <w:rsid w:val="7AB46BDC"/>
    <w:rsid w:val="7ABD6075"/>
    <w:rsid w:val="7AD30525"/>
    <w:rsid w:val="7AD949CC"/>
    <w:rsid w:val="7AD97A48"/>
    <w:rsid w:val="7AE477C8"/>
    <w:rsid w:val="7AF344DB"/>
    <w:rsid w:val="7AFF2050"/>
    <w:rsid w:val="7B0978EA"/>
    <w:rsid w:val="7B16690D"/>
    <w:rsid w:val="7B2302E7"/>
    <w:rsid w:val="7B280327"/>
    <w:rsid w:val="7B5326AC"/>
    <w:rsid w:val="7B586ECA"/>
    <w:rsid w:val="7B663242"/>
    <w:rsid w:val="7B79328B"/>
    <w:rsid w:val="7B8044BC"/>
    <w:rsid w:val="7B892BA7"/>
    <w:rsid w:val="7BAE5B6A"/>
    <w:rsid w:val="7BB62939"/>
    <w:rsid w:val="7BC17241"/>
    <w:rsid w:val="7BCE5BAE"/>
    <w:rsid w:val="7BDD0C54"/>
    <w:rsid w:val="7BE60D9F"/>
    <w:rsid w:val="7BE702F1"/>
    <w:rsid w:val="7BEC59DF"/>
    <w:rsid w:val="7BF578FC"/>
    <w:rsid w:val="7BF70451"/>
    <w:rsid w:val="7BFC29F8"/>
    <w:rsid w:val="7C0236C5"/>
    <w:rsid w:val="7C0A1516"/>
    <w:rsid w:val="7C1107B7"/>
    <w:rsid w:val="7C16530F"/>
    <w:rsid w:val="7C167EA7"/>
    <w:rsid w:val="7C1C70DB"/>
    <w:rsid w:val="7C3073CD"/>
    <w:rsid w:val="7C37585E"/>
    <w:rsid w:val="7C4857FF"/>
    <w:rsid w:val="7C531652"/>
    <w:rsid w:val="7C6F507A"/>
    <w:rsid w:val="7C7C12BB"/>
    <w:rsid w:val="7C860CCE"/>
    <w:rsid w:val="7C9079C2"/>
    <w:rsid w:val="7C954604"/>
    <w:rsid w:val="7C9D28FD"/>
    <w:rsid w:val="7CB62913"/>
    <w:rsid w:val="7CC54046"/>
    <w:rsid w:val="7CD170D5"/>
    <w:rsid w:val="7CD97B5E"/>
    <w:rsid w:val="7CDA1639"/>
    <w:rsid w:val="7CFC4A10"/>
    <w:rsid w:val="7D066FDF"/>
    <w:rsid w:val="7D093ADB"/>
    <w:rsid w:val="7D0D0F17"/>
    <w:rsid w:val="7D124E5D"/>
    <w:rsid w:val="7D1770DF"/>
    <w:rsid w:val="7D29013F"/>
    <w:rsid w:val="7D33115F"/>
    <w:rsid w:val="7D4C17A4"/>
    <w:rsid w:val="7D4C4095"/>
    <w:rsid w:val="7D5972D6"/>
    <w:rsid w:val="7D5A0572"/>
    <w:rsid w:val="7D5F0FD2"/>
    <w:rsid w:val="7D607147"/>
    <w:rsid w:val="7D6442A2"/>
    <w:rsid w:val="7D6543D7"/>
    <w:rsid w:val="7D6A334E"/>
    <w:rsid w:val="7D702D7B"/>
    <w:rsid w:val="7D792BE7"/>
    <w:rsid w:val="7D793536"/>
    <w:rsid w:val="7D845ED4"/>
    <w:rsid w:val="7D8901DF"/>
    <w:rsid w:val="7D940FFD"/>
    <w:rsid w:val="7D984F1D"/>
    <w:rsid w:val="7DAF30C1"/>
    <w:rsid w:val="7DB237D9"/>
    <w:rsid w:val="7DB315B0"/>
    <w:rsid w:val="7DC62F27"/>
    <w:rsid w:val="7DC8357D"/>
    <w:rsid w:val="7DCC4D7A"/>
    <w:rsid w:val="7DCD5D30"/>
    <w:rsid w:val="7DD07D11"/>
    <w:rsid w:val="7DDC089F"/>
    <w:rsid w:val="7DDC688E"/>
    <w:rsid w:val="7DDF5120"/>
    <w:rsid w:val="7DE40569"/>
    <w:rsid w:val="7DE71863"/>
    <w:rsid w:val="7DE71BC3"/>
    <w:rsid w:val="7DEA124C"/>
    <w:rsid w:val="7DFC3DC0"/>
    <w:rsid w:val="7E013DC5"/>
    <w:rsid w:val="7E0C7559"/>
    <w:rsid w:val="7E126708"/>
    <w:rsid w:val="7E223400"/>
    <w:rsid w:val="7E2351DF"/>
    <w:rsid w:val="7E24052B"/>
    <w:rsid w:val="7E394DD0"/>
    <w:rsid w:val="7E44075F"/>
    <w:rsid w:val="7E487BAE"/>
    <w:rsid w:val="7E6425F9"/>
    <w:rsid w:val="7E684ED0"/>
    <w:rsid w:val="7E707215"/>
    <w:rsid w:val="7E785164"/>
    <w:rsid w:val="7E790C21"/>
    <w:rsid w:val="7E807651"/>
    <w:rsid w:val="7E8473E3"/>
    <w:rsid w:val="7E8A1350"/>
    <w:rsid w:val="7E8C269F"/>
    <w:rsid w:val="7E96619B"/>
    <w:rsid w:val="7E987B34"/>
    <w:rsid w:val="7E9C6262"/>
    <w:rsid w:val="7EAA5681"/>
    <w:rsid w:val="7EB34A49"/>
    <w:rsid w:val="7EB6640A"/>
    <w:rsid w:val="7EBD6BDF"/>
    <w:rsid w:val="7EC23E83"/>
    <w:rsid w:val="7EC81822"/>
    <w:rsid w:val="7ED13AAC"/>
    <w:rsid w:val="7ED36F45"/>
    <w:rsid w:val="7EEC5522"/>
    <w:rsid w:val="7EF646C6"/>
    <w:rsid w:val="7EF87028"/>
    <w:rsid w:val="7EFE48FA"/>
    <w:rsid w:val="7F1318C6"/>
    <w:rsid w:val="7F170D57"/>
    <w:rsid w:val="7F1E6AAD"/>
    <w:rsid w:val="7F4A1069"/>
    <w:rsid w:val="7F5E43E0"/>
    <w:rsid w:val="7F6804A2"/>
    <w:rsid w:val="7F6C7290"/>
    <w:rsid w:val="7F6D5BE1"/>
    <w:rsid w:val="7F705C3D"/>
    <w:rsid w:val="7F7E3A57"/>
    <w:rsid w:val="7F7E3E20"/>
    <w:rsid w:val="7FB141D3"/>
    <w:rsid w:val="7FC71532"/>
    <w:rsid w:val="7FD809E2"/>
    <w:rsid w:val="7FD85C5A"/>
    <w:rsid w:val="7FDA2F2D"/>
    <w:rsid w:val="7FEA4494"/>
    <w:rsid w:val="7FEA4937"/>
    <w:rsid w:val="7FED0896"/>
    <w:rsid w:val="7FF554F9"/>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qFormat="1" w:unhideWhenUsed="0" w:uiPriority="0" w:semiHidden="0"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99"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qFormat="1" w:unhideWhenUsed="0" w:uiPriority="99" w:semiHidden="0" w:name="Normal Indent"/>
    <w:lsdException w:uiPriority="99"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semiHidden="0"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nhideWhenUsed="0" w:uiPriority="99"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qFormat="1" w:unhideWhenUsed="0" w:uiPriority="99" w:semiHidden="0" w:name="Body Text First Indent"/>
    <w:lsdException w:qFormat="1" w:unhideWhenUsed="0" w:uiPriority="99" w:semiHidden="0" w:name="Body Text First Indent 2"/>
    <w:lsdException w:qFormat="1" w:unhideWhenUsed="0" w:uiPriority="99" w:semiHidden="0" w:name="Note Heading"/>
    <w:lsdException w:qFormat="1" w:unhideWhenUsed="0" w:uiPriority="99" w:semiHidden="0" w:name="Body Text 2"/>
    <w:lsdException w:uiPriority="99" w:name="Body Text 3" w:locked="1"/>
    <w:lsdException w:qFormat="1" w:unhideWhenUsed="0" w:uiPriority="99" w:semiHidden="0" w:name="Body Text Indent 2"/>
    <w:lsdException w:qFormat="1" w:unhideWhenUsed="0" w:uiPriority="99" w:semiHidden="0" w:name="Body Text Indent 3"/>
    <w:lsdException w:qFormat="1" w:unhideWhenUsed="0" w:uiPriority="99" w:semiHidden="0" w:name="Block Text"/>
    <w:lsdException w:qFormat="1" w:unhideWhenUsed="0" w:uiPriority="99" w:semiHidden="0" w:name="Hyperlink"/>
    <w:lsdException w:uiPriority="99" w:name="FollowedHyperlink" w:locked="1"/>
    <w:lsdException w:qFormat="1" w:unhideWhenUsed="0" w:uiPriority="0" w:semiHidden="0" w:name="Strong" w:locked="1"/>
    <w:lsdException w:qFormat="1" w:unhideWhenUsed="0" w:uiPriority="20" w:semiHidden="0" w:name="Emphasis" w:locked="1"/>
    <w:lsdException w:qFormat="1" w:unhideWhenUsed="0" w:uiPriority="99" w:name="Document Map"/>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semiHidden="0"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6">
    <w:name w:val="heading 1"/>
    <w:basedOn w:val="1"/>
    <w:next w:val="1"/>
    <w:link w:val="121"/>
    <w:qFormat/>
    <w:uiPriority w:val="99"/>
    <w:pPr>
      <w:keepNext/>
      <w:adjustRightInd w:val="0"/>
      <w:snapToGrid w:val="0"/>
      <w:spacing w:beforeLines="50" w:afterLines="50" w:line="360" w:lineRule="auto"/>
      <w:jc w:val="left"/>
      <w:outlineLvl w:val="0"/>
    </w:pPr>
    <w:rPr>
      <w:b/>
      <w:kern w:val="0"/>
      <w:sz w:val="32"/>
      <w:szCs w:val="20"/>
    </w:rPr>
  </w:style>
  <w:style w:type="paragraph" w:styleId="7">
    <w:name w:val="heading 2"/>
    <w:basedOn w:val="1"/>
    <w:next w:val="1"/>
    <w:link w:val="43"/>
    <w:qFormat/>
    <w:uiPriority w:val="99"/>
    <w:pPr>
      <w:keepNext/>
      <w:keepLines/>
      <w:adjustRightInd w:val="0"/>
      <w:snapToGrid w:val="0"/>
      <w:spacing w:before="20" w:after="20" w:line="360" w:lineRule="auto"/>
      <w:outlineLvl w:val="1"/>
    </w:pPr>
    <w:rPr>
      <w:b/>
      <w:kern w:val="0"/>
      <w:sz w:val="28"/>
      <w:szCs w:val="20"/>
    </w:rPr>
  </w:style>
  <w:style w:type="paragraph" w:styleId="8">
    <w:name w:val="heading 3"/>
    <w:basedOn w:val="1"/>
    <w:next w:val="1"/>
    <w:link w:val="44"/>
    <w:qFormat/>
    <w:uiPriority w:val="99"/>
    <w:pPr>
      <w:keepNext/>
      <w:keepLines/>
      <w:adjustRightInd w:val="0"/>
      <w:snapToGrid w:val="0"/>
      <w:spacing w:before="20" w:after="20" w:line="360" w:lineRule="auto"/>
      <w:jc w:val="left"/>
      <w:outlineLvl w:val="2"/>
    </w:pPr>
    <w:rPr>
      <w:b/>
      <w:bCs/>
      <w:sz w:val="28"/>
      <w:szCs w:val="32"/>
    </w:rPr>
  </w:style>
  <w:style w:type="paragraph" w:styleId="9">
    <w:name w:val="heading 4"/>
    <w:basedOn w:val="1"/>
    <w:next w:val="1"/>
    <w:link w:val="45"/>
    <w:qFormat/>
    <w:uiPriority w:val="99"/>
    <w:pPr>
      <w:keepNext/>
      <w:keepLines/>
      <w:numPr>
        <w:ilvl w:val="3"/>
        <w:numId w:val="1"/>
      </w:numPr>
      <w:spacing w:line="360" w:lineRule="auto"/>
      <w:ind w:left="0" w:firstLine="0"/>
      <w:outlineLvl w:val="3"/>
    </w:pPr>
    <w:rPr>
      <w:rFonts w:eastAsia="黑体"/>
      <w:b/>
      <w:bCs/>
    </w:rPr>
  </w:style>
  <w:style w:type="character" w:default="1" w:styleId="35">
    <w:name w:val="Default Paragraph Font"/>
    <w:link w:val="36"/>
    <w:semiHidden/>
    <w:qFormat/>
    <w:uiPriority w:val="99"/>
  </w:style>
  <w:style w:type="table" w:default="1" w:styleId="33">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First Indent 2"/>
    <w:basedOn w:val="3"/>
    <w:next w:val="1"/>
    <w:link w:val="112"/>
    <w:qFormat/>
    <w:uiPriority w:val="99"/>
    <w:pPr>
      <w:ind w:firstLine="420" w:firstLineChars="200"/>
    </w:pPr>
  </w:style>
  <w:style w:type="paragraph" w:styleId="3">
    <w:name w:val="Body Text Indent"/>
    <w:basedOn w:val="1"/>
    <w:next w:val="4"/>
    <w:link w:val="111"/>
    <w:qFormat/>
    <w:uiPriority w:val="99"/>
    <w:pPr>
      <w:spacing w:after="120"/>
      <w:ind w:left="420" w:leftChars="200"/>
    </w:pPr>
  </w:style>
  <w:style w:type="paragraph" w:styleId="4">
    <w:name w:val="Body Text First Indent"/>
    <w:basedOn w:val="5"/>
    <w:next w:val="1"/>
    <w:link w:val="49"/>
    <w:qFormat/>
    <w:uiPriority w:val="99"/>
    <w:pPr>
      <w:adjustRightInd w:val="0"/>
      <w:snapToGrid w:val="0"/>
      <w:spacing w:line="500" w:lineRule="exact"/>
      <w:ind w:firstLine="480" w:firstLineChars="200"/>
    </w:pPr>
    <w:rPr>
      <w:sz w:val="24"/>
      <w:szCs w:val="18"/>
    </w:rPr>
  </w:style>
  <w:style w:type="paragraph" w:styleId="5">
    <w:name w:val="Body Text"/>
    <w:basedOn w:val="1"/>
    <w:link w:val="48"/>
    <w:qFormat/>
    <w:uiPriority w:val="99"/>
    <w:pPr>
      <w:spacing w:after="120"/>
    </w:pPr>
  </w:style>
  <w:style w:type="paragraph" w:styleId="10">
    <w:name w:val="toc 7"/>
    <w:basedOn w:val="1"/>
    <w:next w:val="1"/>
    <w:qFormat/>
    <w:uiPriority w:val="99"/>
    <w:pPr>
      <w:ind w:left="2520" w:leftChars="1200"/>
    </w:pPr>
  </w:style>
  <w:style w:type="paragraph" w:styleId="11">
    <w:name w:val="Note Heading"/>
    <w:basedOn w:val="1"/>
    <w:next w:val="1"/>
    <w:link w:val="50"/>
    <w:qFormat/>
    <w:uiPriority w:val="99"/>
    <w:pPr>
      <w:jc w:val="center"/>
    </w:pPr>
    <w:rPr>
      <w:rFonts w:ascii="宋体"/>
      <w:szCs w:val="20"/>
    </w:rPr>
  </w:style>
  <w:style w:type="paragraph" w:styleId="12">
    <w:name w:val="Normal Indent"/>
    <w:basedOn w:val="1"/>
    <w:qFormat/>
    <w:uiPriority w:val="99"/>
    <w:pPr>
      <w:ind w:firstLine="420" w:firstLineChars="200"/>
    </w:pPr>
  </w:style>
  <w:style w:type="paragraph" w:styleId="13">
    <w:name w:val="Document Map"/>
    <w:basedOn w:val="1"/>
    <w:link w:val="51"/>
    <w:semiHidden/>
    <w:qFormat/>
    <w:uiPriority w:val="99"/>
    <w:pPr>
      <w:shd w:val="clear" w:color="auto" w:fill="000080"/>
    </w:pPr>
  </w:style>
  <w:style w:type="paragraph" w:styleId="14">
    <w:name w:val="annotation text"/>
    <w:basedOn w:val="1"/>
    <w:link w:val="52"/>
    <w:qFormat/>
    <w:uiPriority w:val="99"/>
    <w:pPr>
      <w:jc w:val="left"/>
    </w:pPr>
  </w:style>
  <w:style w:type="paragraph" w:styleId="15">
    <w:name w:val="Block Text"/>
    <w:basedOn w:val="1"/>
    <w:qFormat/>
    <w:uiPriority w:val="99"/>
    <w:pPr>
      <w:spacing w:line="360" w:lineRule="exact"/>
      <w:ind w:left="113" w:right="113"/>
      <w:jc w:val="center"/>
    </w:pPr>
    <w:rPr>
      <w:rFonts w:ascii="宋体" w:hAnsi="宋体"/>
      <w:color w:val="000000"/>
    </w:rPr>
  </w:style>
  <w:style w:type="paragraph" w:styleId="16">
    <w:name w:val="toc 5"/>
    <w:basedOn w:val="1"/>
    <w:next w:val="1"/>
    <w:qFormat/>
    <w:uiPriority w:val="99"/>
    <w:pPr>
      <w:ind w:left="1680" w:leftChars="800"/>
    </w:pPr>
  </w:style>
  <w:style w:type="paragraph" w:styleId="17">
    <w:name w:val="toc 3"/>
    <w:basedOn w:val="1"/>
    <w:next w:val="1"/>
    <w:semiHidden/>
    <w:qFormat/>
    <w:uiPriority w:val="99"/>
    <w:pPr>
      <w:ind w:left="840" w:leftChars="400"/>
    </w:pPr>
  </w:style>
  <w:style w:type="paragraph" w:styleId="18">
    <w:name w:val="Plain Text"/>
    <w:basedOn w:val="1"/>
    <w:next w:val="1"/>
    <w:link w:val="53"/>
    <w:qFormat/>
    <w:uiPriority w:val="99"/>
    <w:rPr>
      <w:rFonts w:ascii="宋体" w:hAnsi="Courier New" w:cs="Courier New"/>
      <w:kern w:val="24"/>
      <w:szCs w:val="21"/>
    </w:rPr>
  </w:style>
  <w:style w:type="paragraph" w:styleId="19">
    <w:name w:val="toc 8"/>
    <w:basedOn w:val="1"/>
    <w:next w:val="1"/>
    <w:qFormat/>
    <w:uiPriority w:val="99"/>
    <w:pPr>
      <w:ind w:left="2940" w:leftChars="1400"/>
    </w:pPr>
  </w:style>
  <w:style w:type="paragraph" w:styleId="20">
    <w:name w:val="Body Text Indent 2"/>
    <w:basedOn w:val="1"/>
    <w:link w:val="54"/>
    <w:qFormat/>
    <w:uiPriority w:val="99"/>
    <w:pPr>
      <w:spacing w:after="120" w:line="480" w:lineRule="auto"/>
      <w:ind w:left="420" w:leftChars="200"/>
    </w:pPr>
  </w:style>
  <w:style w:type="paragraph" w:styleId="21">
    <w:name w:val="Balloon Text"/>
    <w:basedOn w:val="1"/>
    <w:link w:val="55"/>
    <w:qFormat/>
    <w:uiPriority w:val="99"/>
    <w:rPr>
      <w:sz w:val="18"/>
      <w:szCs w:val="18"/>
    </w:rPr>
  </w:style>
  <w:style w:type="paragraph" w:styleId="22">
    <w:name w:val="footer"/>
    <w:basedOn w:val="1"/>
    <w:link w:val="56"/>
    <w:qFormat/>
    <w:uiPriority w:val="99"/>
    <w:pPr>
      <w:tabs>
        <w:tab w:val="center" w:pos="4153"/>
        <w:tab w:val="right" w:pos="8306"/>
      </w:tabs>
      <w:snapToGrid w:val="0"/>
      <w:jc w:val="left"/>
    </w:pPr>
    <w:rPr>
      <w:sz w:val="18"/>
      <w:szCs w:val="18"/>
    </w:rPr>
  </w:style>
  <w:style w:type="paragraph" w:styleId="23">
    <w:name w:val="header"/>
    <w:basedOn w:val="1"/>
    <w:link w:val="57"/>
    <w:qFormat/>
    <w:uiPriority w:val="99"/>
    <w:pPr>
      <w:pBdr>
        <w:bottom w:val="single" w:color="auto" w:sz="6" w:space="1"/>
      </w:pBdr>
      <w:tabs>
        <w:tab w:val="center" w:pos="4153"/>
        <w:tab w:val="right" w:pos="8306"/>
      </w:tabs>
      <w:snapToGrid w:val="0"/>
      <w:jc w:val="center"/>
    </w:pPr>
    <w:rPr>
      <w:sz w:val="18"/>
      <w:szCs w:val="18"/>
    </w:rPr>
  </w:style>
  <w:style w:type="paragraph" w:styleId="24">
    <w:name w:val="toc 1"/>
    <w:basedOn w:val="1"/>
    <w:next w:val="1"/>
    <w:semiHidden/>
    <w:qFormat/>
    <w:uiPriority w:val="99"/>
  </w:style>
  <w:style w:type="paragraph" w:styleId="25">
    <w:name w:val="toc 4"/>
    <w:basedOn w:val="1"/>
    <w:next w:val="1"/>
    <w:qFormat/>
    <w:uiPriority w:val="99"/>
    <w:pPr>
      <w:ind w:left="1260" w:leftChars="600"/>
    </w:pPr>
  </w:style>
  <w:style w:type="paragraph" w:styleId="26">
    <w:name w:val="toc 6"/>
    <w:basedOn w:val="1"/>
    <w:next w:val="1"/>
    <w:qFormat/>
    <w:uiPriority w:val="99"/>
    <w:pPr>
      <w:ind w:left="2100" w:leftChars="1000"/>
    </w:pPr>
  </w:style>
  <w:style w:type="paragraph" w:styleId="27">
    <w:name w:val="Body Text Indent 3"/>
    <w:basedOn w:val="1"/>
    <w:link w:val="58"/>
    <w:qFormat/>
    <w:uiPriority w:val="99"/>
    <w:pPr>
      <w:spacing w:after="120"/>
      <w:ind w:left="420" w:leftChars="200"/>
    </w:pPr>
    <w:rPr>
      <w:sz w:val="16"/>
      <w:szCs w:val="16"/>
    </w:rPr>
  </w:style>
  <w:style w:type="paragraph" w:styleId="28">
    <w:name w:val="toc 2"/>
    <w:basedOn w:val="1"/>
    <w:next w:val="1"/>
    <w:semiHidden/>
    <w:qFormat/>
    <w:uiPriority w:val="99"/>
    <w:pPr>
      <w:ind w:left="420" w:leftChars="200"/>
    </w:pPr>
  </w:style>
  <w:style w:type="paragraph" w:styleId="29">
    <w:name w:val="toc 9"/>
    <w:basedOn w:val="1"/>
    <w:next w:val="1"/>
    <w:qFormat/>
    <w:uiPriority w:val="99"/>
    <w:pPr>
      <w:ind w:left="3360" w:leftChars="1600"/>
    </w:pPr>
  </w:style>
  <w:style w:type="paragraph" w:styleId="30">
    <w:name w:val="Body Text 2"/>
    <w:basedOn w:val="1"/>
    <w:link w:val="59"/>
    <w:qFormat/>
    <w:uiPriority w:val="99"/>
    <w:pPr>
      <w:spacing w:after="120" w:line="480" w:lineRule="auto"/>
    </w:pPr>
  </w:style>
  <w:style w:type="paragraph" w:styleId="31">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32">
    <w:name w:val="index 1"/>
    <w:basedOn w:val="1"/>
    <w:next w:val="1"/>
    <w:qFormat/>
    <w:locked/>
    <w:uiPriority w:val="0"/>
    <w:pPr>
      <w:spacing w:line="300" w:lineRule="exact"/>
      <w:jc w:val="center"/>
    </w:pPr>
    <w:rPr>
      <w:rFonts w:ascii="Times New Roman"/>
      <w:color w:val="000000"/>
      <w:spacing w:val="10"/>
      <w:kern w:val="0"/>
    </w:rPr>
  </w:style>
  <w:style w:type="table" w:styleId="34">
    <w:name w:val="Table Grid"/>
    <w:basedOn w:val="33"/>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36">
    <w:name w:val=" Char Char Char Char Char Char Char Char Char Char Char Char Char Char Char Char Char Char Char Char Char Char Char Char Char Char Char Char Char Char Char Char Char"/>
    <w:basedOn w:val="1"/>
    <w:link w:val="35"/>
    <w:qFormat/>
    <w:uiPriority w:val="0"/>
    <w:pPr>
      <w:widowControl/>
      <w:spacing w:after="160" w:afterLines="0" w:line="240" w:lineRule="exact"/>
      <w:jc w:val="left"/>
    </w:pPr>
  </w:style>
  <w:style w:type="character" w:styleId="37">
    <w:name w:val="Strong"/>
    <w:basedOn w:val="35"/>
    <w:qFormat/>
    <w:locked/>
    <w:uiPriority w:val="0"/>
    <w:rPr>
      <w:b/>
      <w:bCs/>
    </w:rPr>
  </w:style>
  <w:style w:type="character" w:styleId="38">
    <w:name w:val="page number"/>
    <w:basedOn w:val="35"/>
    <w:qFormat/>
    <w:uiPriority w:val="99"/>
    <w:rPr>
      <w:rFonts w:cs="Times New Roman"/>
    </w:rPr>
  </w:style>
  <w:style w:type="character" w:styleId="39">
    <w:name w:val="Hyperlink"/>
    <w:basedOn w:val="35"/>
    <w:qFormat/>
    <w:uiPriority w:val="99"/>
    <w:rPr>
      <w:rFonts w:cs="Times New Roman"/>
      <w:color w:val="0000FF"/>
      <w:u w:val="single"/>
    </w:rPr>
  </w:style>
  <w:style w:type="character" w:styleId="40">
    <w:name w:val="annotation reference"/>
    <w:basedOn w:val="35"/>
    <w:qFormat/>
    <w:uiPriority w:val="99"/>
    <w:rPr>
      <w:rFonts w:cs="Times New Roman"/>
      <w:sz w:val="21"/>
    </w:rPr>
  </w:style>
  <w:style w:type="paragraph" w:customStyle="1" w:styleId="41">
    <w:name w:val="样式 正文文本缩进 + 行距: 1.5 倍行距"/>
    <w:basedOn w:val="1"/>
    <w:qFormat/>
    <w:uiPriority w:val="0"/>
    <w:pPr>
      <w:spacing w:after="120" w:line="360" w:lineRule="auto"/>
      <w:ind w:left="90" w:leftChars="32" w:firstLine="560" w:firstLineChars="200"/>
    </w:pPr>
    <w:rPr>
      <w:rFonts w:cs="宋体"/>
    </w:rPr>
  </w:style>
  <w:style w:type="character" w:customStyle="1" w:styleId="42">
    <w:name w:val="Heading 1 Char"/>
    <w:basedOn w:val="35"/>
    <w:link w:val="6"/>
    <w:qFormat/>
    <w:locked/>
    <w:uiPriority w:val="99"/>
    <w:rPr>
      <w:rFonts w:ascii="Times New Roman" w:hAnsi="Times New Roman" w:eastAsia="宋体" w:cs="Times New Roman"/>
      <w:b/>
      <w:sz w:val="32"/>
    </w:rPr>
  </w:style>
  <w:style w:type="character" w:customStyle="1" w:styleId="43">
    <w:name w:val="Heading 2 Char"/>
    <w:basedOn w:val="35"/>
    <w:link w:val="7"/>
    <w:qFormat/>
    <w:locked/>
    <w:uiPriority w:val="99"/>
    <w:rPr>
      <w:rFonts w:ascii="Times New Roman" w:hAnsi="Times New Roman" w:eastAsia="宋体" w:cs="Times New Roman"/>
      <w:b/>
      <w:sz w:val="28"/>
    </w:rPr>
  </w:style>
  <w:style w:type="character" w:customStyle="1" w:styleId="44">
    <w:name w:val="Heading 3 Char"/>
    <w:basedOn w:val="35"/>
    <w:link w:val="8"/>
    <w:semiHidden/>
    <w:qFormat/>
    <w:locked/>
    <w:uiPriority w:val="99"/>
    <w:rPr>
      <w:rFonts w:cs="Times New Roman"/>
      <w:b/>
      <w:bCs/>
      <w:sz w:val="32"/>
      <w:szCs w:val="32"/>
    </w:rPr>
  </w:style>
  <w:style w:type="character" w:customStyle="1" w:styleId="45">
    <w:name w:val="Heading 4 Char"/>
    <w:basedOn w:val="35"/>
    <w:link w:val="9"/>
    <w:semiHidden/>
    <w:qFormat/>
    <w:locked/>
    <w:uiPriority w:val="99"/>
    <w:rPr>
      <w:rFonts w:ascii="Cambria" w:hAnsi="Cambria" w:eastAsia="宋体" w:cs="Times New Roman"/>
      <w:b/>
      <w:bCs/>
      <w:sz w:val="28"/>
      <w:szCs w:val="28"/>
    </w:rPr>
  </w:style>
  <w:style w:type="character" w:customStyle="1" w:styleId="46">
    <w:name w:val="Body Text Indent Char"/>
    <w:basedOn w:val="35"/>
    <w:link w:val="3"/>
    <w:semiHidden/>
    <w:qFormat/>
    <w:locked/>
    <w:uiPriority w:val="99"/>
    <w:rPr>
      <w:rFonts w:cs="Times New Roman"/>
      <w:sz w:val="24"/>
      <w:szCs w:val="24"/>
    </w:rPr>
  </w:style>
  <w:style w:type="character" w:customStyle="1" w:styleId="47">
    <w:name w:val="Body Text First Indent 2 Char"/>
    <w:basedOn w:val="46"/>
    <w:link w:val="2"/>
    <w:semiHidden/>
    <w:qFormat/>
    <w:locked/>
    <w:uiPriority w:val="99"/>
  </w:style>
  <w:style w:type="character" w:customStyle="1" w:styleId="48">
    <w:name w:val="Body Text Char"/>
    <w:basedOn w:val="35"/>
    <w:link w:val="5"/>
    <w:semiHidden/>
    <w:qFormat/>
    <w:locked/>
    <w:uiPriority w:val="99"/>
    <w:rPr>
      <w:rFonts w:cs="Times New Roman"/>
      <w:sz w:val="24"/>
      <w:szCs w:val="24"/>
    </w:rPr>
  </w:style>
  <w:style w:type="character" w:customStyle="1" w:styleId="49">
    <w:name w:val="Body Text First Indent Char"/>
    <w:basedOn w:val="35"/>
    <w:link w:val="4"/>
    <w:qFormat/>
    <w:locked/>
    <w:uiPriority w:val="99"/>
    <w:rPr>
      <w:rFonts w:eastAsia="宋体" w:cs="Times New Roman"/>
      <w:kern w:val="2"/>
      <w:sz w:val="18"/>
      <w:szCs w:val="18"/>
      <w:lang w:val="en-US" w:eastAsia="zh-CN" w:bidi="ar-SA"/>
    </w:rPr>
  </w:style>
  <w:style w:type="character" w:customStyle="1" w:styleId="50">
    <w:name w:val="Note Heading Char"/>
    <w:basedOn w:val="35"/>
    <w:link w:val="11"/>
    <w:semiHidden/>
    <w:qFormat/>
    <w:locked/>
    <w:uiPriority w:val="99"/>
    <w:rPr>
      <w:rFonts w:cs="Times New Roman"/>
      <w:sz w:val="24"/>
      <w:szCs w:val="24"/>
    </w:rPr>
  </w:style>
  <w:style w:type="character" w:customStyle="1" w:styleId="51">
    <w:name w:val="Document Map Char"/>
    <w:basedOn w:val="35"/>
    <w:link w:val="13"/>
    <w:semiHidden/>
    <w:qFormat/>
    <w:locked/>
    <w:uiPriority w:val="99"/>
    <w:rPr>
      <w:rFonts w:cs="Times New Roman"/>
      <w:sz w:val="2"/>
    </w:rPr>
  </w:style>
  <w:style w:type="character" w:customStyle="1" w:styleId="52">
    <w:name w:val="Comment Text Char"/>
    <w:basedOn w:val="35"/>
    <w:link w:val="14"/>
    <w:semiHidden/>
    <w:qFormat/>
    <w:locked/>
    <w:uiPriority w:val="99"/>
    <w:rPr>
      <w:rFonts w:cs="Times New Roman"/>
      <w:sz w:val="24"/>
      <w:szCs w:val="24"/>
    </w:rPr>
  </w:style>
  <w:style w:type="character" w:customStyle="1" w:styleId="53">
    <w:name w:val="Plain Text Char"/>
    <w:basedOn w:val="35"/>
    <w:link w:val="18"/>
    <w:semiHidden/>
    <w:qFormat/>
    <w:locked/>
    <w:uiPriority w:val="99"/>
    <w:rPr>
      <w:rFonts w:ascii="宋体" w:hAnsi="Courier New" w:cs="Courier New"/>
      <w:sz w:val="21"/>
      <w:szCs w:val="21"/>
    </w:rPr>
  </w:style>
  <w:style w:type="character" w:customStyle="1" w:styleId="54">
    <w:name w:val="Body Text Indent 2 Char"/>
    <w:basedOn w:val="35"/>
    <w:link w:val="20"/>
    <w:semiHidden/>
    <w:qFormat/>
    <w:locked/>
    <w:uiPriority w:val="99"/>
    <w:rPr>
      <w:rFonts w:cs="Times New Roman"/>
      <w:sz w:val="24"/>
      <w:szCs w:val="24"/>
    </w:rPr>
  </w:style>
  <w:style w:type="character" w:customStyle="1" w:styleId="55">
    <w:name w:val="Balloon Text Char"/>
    <w:basedOn w:val="35"/>
    <w:link w:val="21"/>
    <w:semiHidden/>
    <w:qFormat/>
    <w:locked/>
    <w:uiPriority w:val="99"/>
    <w:rPr>
      <w:rFonts w:cs="Times New Roman"/>
      <w:sz w:val="2"/>
    </w:rPr>
  </w:style>
  <w:style w:type="character" w:customStyle="1" w:styleId="56">
    <w:name w:val="Footer Char"/>
    <w:basedOn w:val="35"/>
    <w:link w:val="22"/>
    <w:semiHidden/>
    <w:qFormat/>
    <w:locked/>
    <w:uiPriority w:val="99"/>
    <w:rPr>
      <w:rFonts w:cs="Times New Roman"/>
      <w:sz w:val="18"/>
      <w:szCs w:val="18"/>
    </w:rPr>
  </w:style>
  <w:style w:type="character" w:customStyle="1" w:styleId="57">
    <w:name w:val="Header Char"/>
    <w:basedOn w:val="35"/>
    <w:link w:val="23"/>
    <w:qFormat/>
    <w:locked/>
    <w:uiPriority w:val="99"/>
    <w:rPr>
      <w:rFonts w:eastAsia="宋体" w:cs="Times New Roman"/>
      <w:kern w:val="2"/>
      <w:sz w:val="18"/>
      <w:szCs w:val="18"/>
      <w:lang w:val="en-US" w:eastAsia="zh-CN" w:bidi="ar-SA"/>
    </w:rPr>
  </w:style>
  <w:style w:type="character" w:customStyle="1" w:styleId="58">
    <w:name w:val="Body Text Indent 3 Char"/>
    <w:basedOn w:val="35"/>
    <w:link w:val="27"/>
    <w:semiHidden/>
    <w:qFormat/>
    <w:locked/>
    <w:uiPriority w:val="99"/>
    <w:rPr>
      <w:rFonts w:cs="Times New Roman"/>
      <w:sz w:val="16"/>
      <w:szCs w:val="16"/>
    </w:rPr>
  </w:style>
  <w:style w:type="character" w:customStyle="1" w:styleId="59">
    <w:name w:val="Body Text 2 Char"/>
    <w:basedOn w:val="35"/>
    <w:link w:val="30"/>
    <w:semiHidden/>
    <w:qFormat/>
    <w:locked/>
    <w:uiPriority w:val="99"/>
    <w:rPr>
      <w:rFonts w:cs="Times New Roman"/>
      <w:sz w:val="24"/>
      <w:szCs w:val="24"/>
    </w:rPr>
  </w:style>
  <w:style w:type="character" w:customStyle="1" w:styleId="60">
    <w:name w:val="p0 Char Char"/>
    <w:basedOn w:val="35"/>
    <w:link w:val="61"/>
    <w:qFormat/>
    <w:locked/>
    <w:uiPriority w:val="99"/>
    <w:rPr>
      <w:rFonts w:cs="宋体"/>
      <w:sz w:val="21"/>
      <w:szCs w:val="21"/>
    </w:rPr>
  </w:style>
  <w:style w:type="paragraph" w:customStyle="1" w:styleId="61">
    <w:name w:val="p0"/>
    <w:basedOn w:val="1"/>
    <w:link w:val="60"/>
    <w:qFormat/>
    <w:uiPriority w:val="99"/>
    <w:pPr>
      <w:widowControl/>
    </w:pPr>
    <w:rPr>
      <w:rFonts w:cs="宋体"/>
      <w:kern w:val="0"/>
      <w:szCs w:val="21"/>
    </w:rPr>
  </w:style>
  <w:style w:type="character" w:customStyle="1" w:styleId="62">
    <w:name w:val="font41"/>
    <w:basedOn w:val="35"/>
    <w:qFormat/>
    <w:uiPriority w:val="99"/>
    <w:rPr>
      <w:rFonts w:ascii="Times New Roman" w:hAnsi="Times New Roman" w:cs="Times New Roman"/>
      <w:color w:val="000000"/>
      <w:sz w:val="21"/>
      <w:szCs w:val="21"/>
      <w:u w:val="none"/>
    </w:rPr>
  </w:style>
  <w:style w:type="character" w:customStyle="1" w:styleId="63">
    <w:name w:val="font31"/>
    <w:basedOn w:val="35"/>
    <w:qFormat/>
    <w:uiPriority w:val="99"/>
    <w:rPr>
      <w:rFonts w:ascii="Times New Roman" w:hAnsi="Times New Roman" w:cs="Times New Roman"/>
      <w:color w:val="000000"/>
      <w:sz w:val="22"/>
      <w:szCs w:val="22"/>
      <w:u w:val="none"/>
      <w:vertAlign w:val="superscript"/>
    </w:rPr>
  </w:style>
  <w:style w:type="character" w:customStyle="1" w:styleId="64">
    <w:name w:val="f_money"/>
    <w:basedOn w:val="35"/>
    <w:qFormat/>
    <w:uiPriority w:val="99"/>
    <w:rPr>
      <w:rFonts w:cs="Times New Roman"/>
    </w:rPr>
  </w:style>
  <w:style w:type="character" w:customStyle="1" w:styleId="65">
    <w:name w:val="apple-converted-space"/>
    <w:basedOn w:val="35"/>
    <w:qFormat/>
    <w:uiPriority w:val="99"/>
    <w:rPr>
      <w:rFonts w:cs="Times New Roman"/>
    </w:rPr>
  </w:style>
  <w:style w:type="character" w:customStyle="1" w:styleId="66">
    <w:name w:val="正文5号 Char"/>
    <w:qFormat/>
    <w:uiPriority w:val="99"/>
    <w:rPr>
      <w:rFonts w:ascii="仿宋_GB2312" w:eastAsia="方正仿宋简体"/>
      <w:kern w:val="2"/>
      <w:sz w:val="24"/>
      <w:lang w:val="en-US" w:eastAsia="zh-CN"/>
    </w:rPr>
  </w:style>
  <w:style w:type="character" w:customStyle="1" w:styleId="67">
    <w:name w:val="表、图标题 Char Char"/>
    <w:basedOn w:val="35"/>
    <w:link w:val="68"/>
    <w:qFormat/>
    <w:locked/>
    <w:uiPriority w:val="99"/>
    <w:rPr>
      <w:rFonts w:ascii="宋体" w:hAnsi="宋体" w:eastAsia="宋体" w:cs="Times New Roman"/>
      <w:b/>
      <w:bCs/>
      <w:snapToGrid w:val="0"/>
      <w:sz w:val="21"/>
      <w:szCs w:val="21"/>
      <w:lang w:val="en-US" w:eastAsia="zh-CN" w:bidi="ar-SA"/>
    </w:rPr>
  </w:style>
  <w:style w:type="paragraph" w:customStyle="1" w:styleId="68">
    <w:name w:val="表、图标题"/>
    <w:basedOn w:val="1"/>
    <w:link w:val="67"/>
    <w:qFormat/>
    <w:uiPriority w:val="99"/>
    <w:pPr>
      <w:adjustRightInd w:val="0"/>
      <w:snapToGrid w:val="0"/>
      <w:spacing w:line="480" w:lineRule="exact"/>
      <w:jc w:val="center"/>
    </w:pPr>
    <w:rPr>
      <w:rFonts w:ascii="宋体" w:hAnsi="宋体"/>
      <w:b/>
      <w:bCs/>
      <w:kern w:val="0"/>
      <w:sz w:val="24"/>
      <w:szCs w:val="21"/>
    </w:rPr>
  </w:style>
  <w:style w:type="character" w:customStyle="1" w:styleId="69">
    <w:name w:val="zw1"/>
    <w:basedOn w:val="35"/>
    <w:qFormat/>
    <w:uiPriority w:val="99"/>
    <w:rPr>
      <w:rFonts w:ascii="宋体" w:hAnsi="宋体" w:eastAsia="宋体" w:cs="Times New Roman"/>
      <w:kern w:val="2"/>
      <w:sz w:val="22"/>
      <w:szCs w:val="22"/>
      <w:lang w:val="en-US" w:eastAsia="zh-CN" w:bidi="ar-SA"/>
    </w:rPr>
  </w:style>
  <w:style w:type="character" w:customStyle="1" w:styleId="70">
    <w:name w:val="font11"/>
    <w:basedOn w:val="35"/>
    <w:qFormat/>
    <w:uiPriority w:val="99"/>
    <w:rPr>
      <w:rFonts w:ascii="宋体" w:hAnsi="宋体" w:eastAsia="宋体" w:cs="宋体"/>
      <w:color w:val="000000"/>
      <w:sz w:val="21"/>
      <w:szCs w:val="21"/>
      <w:u w:val="none"/>
    </w:rPr>
  </w:style>
  <w:style w:type="character" w:customStyle="1" w:styleId="71">
    <w:name w:val="content1"/>
    <w:qFormat/>
    <w:uiPriority w:val="99"/>
    <w:rPr>
      <w:sz w:val="21"/>
    </w:rPr>
  </w:style>
  <w:style w:type="character" w:customStyle="1" w:styleId="72">
    <w:name w:val="表内容 Char"/>
    <w:basedOn w:val="35"/>
    <w:link w:val="73"/>
    <w:qFormat/>
    <w:locked/>
    <w:uiPriority w:val="99"/>
    <w:rPr>
      <w:rFonts w:eastAsia="宋体" w:cs="Times New Roman"/>
      <w:snapToGrid w:val="0"/>
      <w:sz w:val="21"/>
      <w:szCs w:val="21"/>
      <w:lang w:val="en-US" w:eastAsia="zh-CN" w:bidi="ar-SA"/>
    </w:rPr>
  </w:style>
  <w:style w:type="paragraph" w:customStyle="1" w:styleId="73">
    <w:name w:val="表内容"/>
    <w:basedOn w:val="1"/>
    <w:link w:val="72"/>
    <w:qFormat/>
    <w:uiPriority w:val="99"/>
    <w:pPr>
      <w:adjustRightInd w:val="0"/>
      <w:snapToGrid w:val="0"/>
      <w:spacing w:line="240" w:lineRule="atLeast"/>
      <w:jc w:val="center"/>
    </w:pPr>
    <w:rPr>
      <w:kern w:val="0"/>
      <w:szCs w:val="21"/>
    </w:rPr>
  </w:style>
  <w:style w:type="character" w:customStyle="1" w:styleId="74">
    <w:name w:val="font21"/>
    <w:basedOn w:val="35"/>
    <w:qFormat/>
    <w:uiPriority w:val="99"/>
    <w:rPr>
      <w:rFonts w:ascii="Times New Roman" w:hAnsi="Times New Roman" w:cs="Times New Roman"/>
      <w:color w:val="000000"/>
      <w:sz w:val="27"/>
      <w:szCs w:val="27"/>
      <w:u w:val="none"/>
      <w:vertAlign w:val="superscript"/>
    </w:rPr>
  </w:style>
  <w:style w:type="character" w:customStyle="1" w:styleId="75">
    <w:name w:val="style61"/>
    <w:basedOn w:val="35"/>
    <w:qFormat/>
    <w:uiPriority w:val="99"/>
    <w:rPr>
      <w:rFonts w:cs="Times New Roman"/>
      <w:color w:val="0000FF"/>
    </w:rPr>
  </w:style>
  <w:style w:type="paragraph" w:customStyle="1" w:styleId="76">
    <w:name w:val="标题4"/>
    <w:basedOn w:val="1"/>
    <w:next w:val="1"/>
    <w:qFormat/>
    <w:uiPriority w:val="99"/>
    <w:pPr>
      <w:adjustRightInd w:val="0"/>
      <w:snapToGrid w:val="0"/>
      <w:spacing w:line="480" w:lineRule="exact"/>
      <w:ind w:firstLine="200" w:firstLineChars="200"/>
      <w:outlineLvl w:val="3"/>
    </w:pPr>
    <w:rPr>
      <w:b/>
      <w:kern w:val="0"/>
      <w:sz w:val="24"/>
    </w:rPr>
  </w:style>
  <w:style w:type="paragraph" w:customStyle="1" w:styleId="77">
    <w:name w:val="Char Char1 Char Char"/>
    <w:basedOn w:val="1"/>
    <w:qFormat/>
    <w:uiPriority w:val="99"/>
    <w:pPr>
      <w:spacing w:before="300" w:after="300" w:line="560" w:lineRule="exact"/>
    </w:pPr>
    <w:rPr>
      <w:rFonts w:ascii="Calibri" w:hAnsi="Calibri"/>
      <w:szCs w:val="22"/>
    </w:rPr>
  </w:style>
  <w:style w:type="paragraph" w:customStyle="1" w:styleId="78">
    <w:name w:val="表格"/>
    <w:basedOn w:val="1"/>
    <w:next w:val="1"/>
    <w:qFormat/>
    <w:uiPriority w:val="99"/>
    <w:pPr>
      <w:jc w:val="center"/>
    </w:pPr>
    <w:rPr>
      <w:rFonts w:ascii="宋体"/>
      <w:szCs w:val="20"/>
    </w:rPr>
  </w:style>
  <w:style w:type="paragraph" w:customStyle="1" w:styleId="79">
    <w:name w:val="表头"/>
    <w:basedOn w:val="80"/>
    <w:qFormat/>
    <w:uiPriority w:val="99"/>
    <w:pPr>
      <w:spacing w:line="500" w:lineRule="exact"/>
    </w:pPr>
    <w:rPr>
      <w:rFonts w:cs="宋体"/>
      <w:b/>
      <w:bCs/>
    </w:rPr>
  </w:style>
  <w:style w:type="paragraph" w:customStyle="1" w:styleId="80">
    <w:name w:val="表格内容"/>
    <w:basedOn w:val="1"/>
    <w:qFormat/>
    <w:uiPriority w:val="99"/>
    <w:pPr>
      <w:jc w:val="center"/>
    </w:pPr>
    <w:rPr>
      <w:szCs w:val="21"/>
    </w:rPr>
  </w:style>
  <w:style w:type="paragraph" w:customStyle="1" w:styleId="81">
    <w:name w:val="标3"/>
    <w:basedOn w:val="1"/>
    <w:qFormat/>
    <w:uiPriority w:val="99"/>
    <w:pPr>
      <w:spacing w:line="360" w:lineRule="auto"/>
      <w:outlineLvl w:val="2"/>
    </w:pPr>
    <w:rPr>
      <w:rFonts w:cs="宋体"/>
      <w:b/>
      <w:bCs/>
      <w:sz w:val="24"/>
      <w:szCs w:val="20"/>
    </w:rPr>
  </w:style>
  <w:style w:type="paragraph" w:customStyle="1" w:styleId="82">
    <w:name w:val="正文 首行缩进:  2 字符"/>
    <w:basedOn w:val="1"/>
    <w:qFormat/>
    <w:uiPriority w:val="99"/>
    <w:pPr>
      <w:ind w:firstLine="480" w:firstLineChars="200"/>
    </w:pPr>
    <w:rPr>
      <w:rFonts w:cs="宋体"/>
      <w:szCs w:val="20"/>
    </w:rPr>
  </w:style>
  <w:style w:type="paragraph" w:customStyle="1" w:styleId="83">
    <w:name w:val="小节标题"/>
    <w:basedOn w:val="1"/>
    <w:next w:val="1"/>
    <w:qFormat/>
    <w:uiPriority w:val="99"/>
    <w:pPr>
      <w:widowControl/>
      <w:spacing w:before="175" w:after="102" w:line="351" w:lineRule="atLeast"/>
    </w:pPr>
    <w:rPr>
      <w:rFonts w:eastAsia="黑体"/>
      <w:color w:val="000000"/>
      <w:kern w:val="0"/>
      <w:szCs w:val="20"/>
      <w:u w:color="000000"/>
    </w:rPr>
  </w:style>
  <w:style w:type="paragraph" w:customStyle="1" w:styleId="84">
    <w:name w:val="健牛文字"/>
    <w:basedOn w:val="1"/>
    <w:qFormat/>
    <w:uiPriority w:val="99"/>
    <w:pPr>
      <w:adjustRightInd w:val="0"/>
      <w:snapToGrid w:val="0"/>
      <w:spacing w:line="440" w:lineRule="exact"/>
      <w:ind w:firstLine="560" w:firstLineChars="200"/>
    </w:pPr>
    <w:rPr>
      <w:sz w:val="28"/>
    </w:rPr>
  </w:style>
  <w:style w:type="paragraph" w:customStyle="1" w:styleId="85">
    <w:name w:val="博泵1"/>
    <w:basedOn w:val="1"/>
    <w:qFormat/>
    <w:uiPriority w:val="99"/>
    <w:pPr>
      <w:adjustRightInd w:val="0"/>
      <w:spacing w:line="480" w:lineRule="exact"/>
      <w:ind w:firstLine="200" w:firstLineChars="200"/>
      <w:jc w:val="left"/>
      <w:textAlignment w:val="baseline"/>
    </w:pPr>
    <w:rPr>
      <w:rFonts w:hAnsi="宋体" w:cs="宋体"/>
      <w:color w:val="000000"/>
      <w:kern w:val="0"/>
      <w:sz w:val="24"/>
      <w:szCs w:val="20"/>
    </w:rPr>
  </w:style>
  <w:style w:type="paragraph" w:customStyle="1" w:styleId="86">
    <w:name w:val="表体"/>
    <w:basedOn w:val="79"/>
    <w:semiHidden/>
    <w:qFormat/>
    <w:uiPriority w:val="99"/>
    <w:pPr>
      <w:overflowPunct w:val="0"/>
      <w:spacing w:line="300" w:lineRule="atLeast"/>
      <w:textAlignment w:val="baseline"/>
    </w:pPr>
    <w:rPr>
      <w:rFonts w:cs="Times New Roman"/>
      <w:b w:val="0"/>
      <w:bCs w:val="0"/>
      <w:color w:val="000000"/>
      <w:kern w:val="24"/>
      <w:sz w:val="18"/>
      <w:szCs w:val="20"/>
    </w:rPr>
  </w:style>
  <w:style w:type="paragraph" w:customStyle="1" w:styleId="87">
    <w:name w:val="表格正文"/>
    <w:qFormat/>
    <w:uiPriority w:val="99"/>
    <w:pPr>
      <w:spacing w:before="60" w:after="60" w:line="360" w:lineRule="exact"/>
      <w:ind w:left="32"/>
      <w:jc w:val="center"/>
    </w:pPr>
    <w:rPr>
      <w:rFonts w:ascii="Arial" w:hAnsi="Arial" w:eastAsia="宋体" w:cs="Arial"/>
      <w:bCs/>
      <w:kern w:val="0"/>
      <w:sz w:val="21"/>
      <w:szCs w:val="21"/>
      <w:lang w:val="en-US" w:eastAsia="zh-CN" w:bidi="ar-SA"/>
    </w:rPr>
  </w:style>
  <w:style w:type="paragraph" w:customStyle="1" w:styleId="88">
    <w:name w:val="reader-word-layer reader-word-s1-19"/>
    <w:basedOn w:val="1"/>
    <w:qFormat/>
    <w:uiPriority w:val="99"/>
    <w:pPr>
      <w:widowControl/>
      <w:spacing w:before="100" w:beforeAutospacing="1" w:after="100" w:afterAutospacing="1"/>
      <w:jc w:val="left"/>
    </w:pPr>
    <w:rPr>
      <w:rFonts w:ascii="宋体" w:hAnsi="宋体" w:cs="宋体"/>
      <w:kern w:val="0"/>
      <w:sz w:val="24"/>
    </w:rPr>
  </w:style>
  <w:style w:type="paragraph" w:customStyle="1" w:styleId="89">
    <w:name w:val="常用正文格式"/>
    <w:basedOn w:val="1"/>
    <w:qFormat/>
    <w:uiPriority w:val="99"/>
    <w:pPr>
      <w:spacing w:line="360" w:lineRule="auto"/>
      <w:ind w:firstLine="420" w:firstLineChars="200"/>
    </w:pPr>
    <w:rPr>
      <w:rFonts w:cs="宋体"/>
      <w:sz w:val="24"/>
      <w:szCs w:val="20"/>
    </w:rPr>
  </w:style>
  <w:style w:type="paragraph" w:customStyle="1" w:styleId="90">
    <w:name w:val="标题 21"/>
    <w:basedOn w:val="1"/>
    <w:next w:val="1"/>
    <w:qFormat/>
    <w:uiPriority w:val="99"/>
    <w:pPr>
      <w:keepNext/>
      <w:keepLines/>
      <w:spacing w:beforeLines="50" w:afterLines="50" w:line="360" w:lineRule="auto"/>
      <w:outlineLvl w:val="1"/>
    </w:pPr>
    <w:rPr>
      <w:rFonts w:ascii="Cambria" w:hAnsi="Cambria"/>
      <w:b/>
      <w:bCs/>
      <w:sz w:val="32"/>
      <w:szCs w:val="32"/>
    </w:rPr>
  </w:style>
  <w:style w:type="paragraph" w:customStyle="1" w:styleId="91">
    <w:name w:val="正文正文正文 1.5 倍行距"/>
    <w:basedOn w:val="1"/>
    <w:qFormat/>
    <w:uiPriority w:val="99"/>
    <w:pPr>
      <w:spacing w:line="360" w:lineRule="auto"/>
      <w:ind w:firstLine="480" w:firstLineChars="200"/>
    </w:pPr>
    <w:rPr>
      <w:rFonts w:ascii="宋体" w:hAnsi="宋体" w:cs="宋体"/>
      <w:kern w:val="0"/>
      <w:szCs w:val="20"/>
    </w:rPr>
  </w:style>
  <w:style w:type="paragraph" w:customStyle="1" w:styleId="92">
    <w:name w:val="Char"/>
    <w:basedOn w:val="1"/>
    <w:qFormat/>
    <w:uiPriority w:val="99"/>
    <w:rPr>
      <w:rFonts w:ascii="宋体" w:hAnsi="宋体" w:cs="Courier New"/>
      <w:sz w:val="32"/>
      <w:szCs w:val="32"/>
    </w:rPr>
  </w:style>
  <w:style w:type="paragraph" w:customStyle="1" w:styleId="93">
    <w:name w:val="文本框"/>
    <w:basedOn w:val="1"/>
    <w:qFormat/>
    <w:uiPriority w:val="99"/>
    <w:pPr>
      <w:jc w:val="center"/>
    </w:pPr>
    <w:rPr>
      <w:rFonts w:eastAsia="楷体_GB2312"/>
      <w:sz w:val="24"/>
    </w:rPr>
  </w:style>
  <w:style w:type="paragraph" w:customStyle="1" w:styleId="94">
    <w:name w:val="样式 标题 4 + 宋体 行距: 1.5 倍行距"/>
    <w:basedOn w:val="9"/>
    <w:qFormat/>
    <w:uiPriority w:val="99"/>
    <w:pPr>
      <w:spacing w:beforeLines="50"/>
    </w:pPr>
    <w:rPr>
      <w:rFonts w:ascii="宋体" w:hAnsi="宋体" w:cs="宋体"/>
      <w:szCs w:val="20"/>
    </w:rPr>
  </w:style>
  <w:style w:type="paragraph" w:customStyle="1" w:styleId="95">
    <w:name w:val="简单回函地址"/>
    <w:basedOn w:val="1"/>
    <w:qFormat/>
    <w:uiPriority w:val="99"/>
    <w:pPr>
      <w:autoSpaceDE w:val="0"/>
      <w:autoSpaceDN w:val="0"/>
      <w:adjustRightInd w:val="0"/>
      <w:textAlignment w:val="baseline"/>
    </w:pPr>
    <w:rPr>
      <w:rFonts w:eastAsia="楷体_GB2312"/>
      <w:sz w:val="28"/>
      <w:szCs w:val="20"/>
    </w:rPr>
  </w:style>
  <w:style w:type="paragraph" w:customStyle="1" w:styleId="96">
    <w:name w:val="样式 正文 行距: 固定值 25 磅"/>
    <w:basedOn w:val="1"/>
    <w:qFormat/>
    <w:uiPriority w:val="99"/>
    <w:pPr>
      <w:adjustRightInd w:val="0"/>
      <w:ind w:firstLine="200" w:firstLineChars="200"/>
    </w:pPr>
    <w:rPr>
      <w:rFonts w:cs="宋体"/>
    </w:rPr>
  </w:style>
  <w:style w:type="paragraph" w:customStyle="1" w:styleId="97">
    <w:name w:val="zw"/>
    <w:basedOn w:val="1"/>
    <w:qFormat/>
    <w:uiPriority w:val="99"/>
    <w:pPr>
      <w:widowControl/>
      <w:spacing w:before="100" w:beforeAutospacing="1" w:after="100" w:afterAutospacing="1" w:line="440" w:lineRule="atLeast"/>
      <w:jc w:val="left"/>
    </w:pPr>
    <w:rPr>
      <w:rFonts w:ascii="宋体" w:hAnsi="宋体" w:cs="宋体"/>
      <w:kern w:val="0"/>
      <w:sz w:val="22"/>
      <w:szCs w:val="22"/>
    </w:rPr>
  </w:style>
  <w:style w:type="paragraph" w:customStyle="1" w:styleId="98">
    <w:name w:val="Char Char Char Char Char Char1 Char"/>
    <w:basedOn w:val="1"/>
    <w:semiHidden/>
    <w:qFormat/>
    <w:uiPriority w:val="99"/>
  </w:style>
  <w:style w:type="paragraph" w:customStyle="1" w:styleId="99">
    <w:name w:val="样式9"/>
    <w:basedOn w:val="1"/>
    <w:qFormat/>
    <w:uiPriority w:val="99"/>
    <w:pPr>
      <w:spacing w:line="360" w:lineRule="exact"/>
      <w:jc w:val="center"/>
    </w:pPr>
    <w:rPr>
      <w:color w:val="000000"/>
    </w:rPr>
  </w:style>
  <w:style w:type="paragraph" w:customStyle="1" w:styleId="100">
    <w:name w:val="列出段落1"/>
    <w:basedOn w:val="1"/>
    <w:qFormat/>
    <w:uiPriority w:val="99"/>
    <w:pPr>
      <w:ind w:firstLine="420" w:firstLineChars="200"/>
    </w:pPr>
    <w:rPr>
      <w:rFonts w:ascii="Calibri" w:hAnsi="Calibri"/>
      <w:szCs w:val="22"/>
    </w:rPr>
  </w:style>
  <w:style w:type="paragraph" w:customStyle="1" w:styleId="101">
    <w:name w:val="报告书正文"/>
    <w:basedOn w:val="1"/>
    <w:qFormat/>
    <w:uiPriority w:val="99"/>
    <w:pPr>
      <w:adjustRightInd w:val="0"/>
      <w:snapToGrid w:val="0"/>
      <w:spacing w:line="360" w:lineRule="auto"/>
      <w:ind w:firstLine="425"/>
      <w:textAlignment w:val="baseline"/>
    </w:pPr>
    <w:rPr>
      <w:kern w:val="0"/>
      <w:sz w:val="24"/>
      <w:szCs w:val="20"/>
    </w:rPr>
  </w:style>
  <w:style w:type="paragraph" w:customStyle="1" w:styleId="102">
    <w:name w:val="样式 样式 标题 4 + 宋体 行距: 1.5 倍行距 + 段前: 0.5 行"/>
    <w:basedOn w:val="94"/>
    <w:qFormat/>
    <w:uiPriority w:val="99"/>
    <w:pPr>
      <w:spacing w:beforeLines="0"/>
    </w:pPr>
  </w:style>
  <w:style w:type="paragraph" w:customStyle="1" w:styleId="103">
    <w:name w:val="无间隔1"/>
    <w:qFormat/>
    <w:uiPriority w:val="99"/>
    <w:pPr>
      <w:widowControl w:val="0"/>
      <w:jc w:val="center"/>
    </w:pPr>
    <w:rPr>
      <w:rFonts w:ascii="Calibri" w:hAnsi="Calibri" w:eastAsia="宋体" w:cs="Times New Roman"/>
      <w:kern w:val="2"/>
      <w:sz w:val="21"/>
      <w:szCs w:val="22"/>
      <w:lang w:val="en-US" w:eastAsia="zh-CN" w:bidi="ar-SA"/>
    </w:rPr>
  </w:style>
  <w:style w:type="paragraph" w:customStyle="1" w:styleId="104">
    <w:name w:val="样式 标题 2H2节标题 1.1节标题 1.1 Char1.1标题2条标题h2l22nd levelTitre..."/>
    <w:basedOn w:val="7"/>
    <w:qFormat/>
    <w:uiPriority w:val="99"/>
    <w:pPr>
      <w:spacing w:beforeLines="50"/>
      <w:ind w:left="992" w:hanging="992"/>
    </w:pPr>
    <w:rPr>
      <w:rFonts w:cs="宋体"/>
    </w:rPr>
  </w:style>
  <w:style w:type="paragraph" w:customStyle="1" w:styleId="105">
    <w:name w:val="样式1"/>
    <w:basedOn w:val="1"/>
    <w:qFormat/>
    <w:uiPriority w:val="99"/>
    <w:pPr>
      <w:snapToGrid w:val="0"/>
      <w:jc w:val="center"/>
    </w:pPr>
    <w:rPr>
      <w:rFonts w:ascii="宋体" w:hAnsi="宋体"/>
      <w:b/>
      <w:spacing w:val="-4"/>
      <w:lang w:val="en-GB"/>
    </w:rPr>
  </w:style>
  <w:style w:type="paragraph" w:customStyle="1" w:styleId="106">
    <w:name w:val="表格标题"/>
    <w:basedOn w:val="1"/>
    <w:qFormat/>
    <w:uiPriority w:val="99"/>
    <w:pPr>
      <w:tabs>
        <w:tab w:val="left" w:pos="2715"/>
        <w:tab w:val="center" w:pos="4535"/>
      </w:tabs>
      <w:jc w:val="center"/>
    </w:pPr>
    <w:rPr>
      <w:rFonts w:eastAsia="黑体"/>
      <w:b/>
    </w:rPr>
  </w:style>
  <w:style w:type="paragraph" w:customStyle="1" w:styleId="107">
    <w:name w:val="基准页眉样式"/>
    <w:basedOn w:val="5"/>
    <w:qFormat/>
    <w:uiPriority w:val="99"/>
    <w:pPr>
      <w:spacing w:after="0"/>
      <w:jc w:val="center"/>
    </w:pPr>
  </w:style>
  <w:style w:type="paragraph" w:customStyle="1" w:styleId="108">
    <w:name w:val="xl27"/>
    <w:basedOn w:val="1"/>
    <w:qFormat/>
    <w:uiPriority w:val="99"/>
    <w:pPr>
      <w:widowControl/>
      <w:pBdr>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09">
    <w:name w:val="样式 正文 首行缩进:  2 字符 + (中文) 楷体_GB2312"/>
    <w:basedOn w:val="1"/>
    <w:qFormat/>
    <w:uiPriority w:val="99"/>
    <w:pPr>
      <w:spacing w:line="500" w:lineRule="exact"/>
      <w:ind w:firstLine="200"/>
    </w:pPr>
    <w:rPr>
      <w:rFonts w:eastAsia="楷体_GB2312"/>
    </w:rPr>
  </w:style>
  <w:style w:type="paragraph" w:customStyle="1" w:styleId="110">
    <w:name w:val="正文1"/>
    <w:basedOn w:val="1"/>
    <w:next w:val="1"/>
    <w:qFormat/>
    <w:uiPriority w:val="99"/>
    <w:pPr>
      <w:adjustRightInd w:val="0"/>
      <w:snapToGrid w:val="0"/>
      <w:spacing w:line="500" w:lineRule="atLeast"/>
      <w:ind w:firstLine="567"/>
    </w:pPr>
    <w:rPr>
      <w:sz w:val="28"/>
    </w:rPr>
  </w:style>
  <w:style w:type="character" w:customStyle="1" w:styleId="111">
    <w:name w:val="正文文本缩进 Char"/>
    <w:basedOn w:val="35"/>
    <w:link w:val="3"/>
    <w:qFormat/>
    <w:uiPriority w:val="0"/>
    <w:rPr>
      <w:kern w:val="2"/>
      <w:sz w:val="21"/>
      <w:szCs w:val="24"/>
    </w:rPr>
  </w:style>
  <w:style w:type="character" w:customStyle="1" w:styleId="112">
    <w:name w:val="正文首行缩进 2 Char"/>
    <w:basedOn w:val="111"/>
    <w:link w:val="2"/>
    <w:qFormat/>
    <w:uiPriority w:val="0"/>
    <w:rPr>
      <w:kern w:val="2"/>
      <w:sz w:val="21"/>
      <w:szCs w:val="24"/>
    </w:rPr>
  </w:style>
  <w:style w:type="paragraph" w:customStyle="1" w:styleId="113">
    <w:name w:val="Body Text Indent"/>
    <w:basedOn w:val="1"/>
    <w:qFormat/>
    <w:uiPriority w:val="0"/>
    <w:pPr>
      <w:spacing w:line="360" w:lineRule="auto"/>
      <w:ind w:firstLine="420"/>
    </w:pPr>
    <w:rPr>
      <w:sz w:val="24"/>
    </w:rPr>
  </w:style>
  <w:style w:type="paragraph" w:customStyle="1" w:styleId="114">
    <w:name w:val="li_正文"/>
    <w:basedOn w:val="1"/>
    <w:qFormat/>
    <w:uiPriority w:val="0"/>
    <w:pPr>
      <w:ind w:firstLine="200" w:firstLineChars="200"/>
      <w:jc w:val="left"/>
    </w:pPr>
    <w:rPr>
      <w:sz w:val="28"/>
      <w:szCs w:val="28"/>
    </w:rPr>
  </w:style>
  <w:style w:type="paragraph" w:customStyle="1" w:styleId="115">
    <w:name w:val="正文缩"/>
    <w:basedOn w:val="1"/>
    <w:qFormat/>
    <w:uiPriority w:val="99"/>
    <w:pPr>
      <w:adjustRightInd w:val="0"/>
      <w:snapToGrid w:val="0"/>
      <w:spacing w:line="480" w:lineRule="atLeast"/>
      <w:ind w:firstLine="671" w:firstLineChars="150"/>
    </w:pPr>
    <w:rPr>
      <w:rFonts w:ascii="宋体" w:hAnsi="Times New Roman"/>
      <w:spacing w:val="6"/>
      <w:kern w:val="0"/>
      <w:sz w:val="28"/>
      <w:szCs w:val="20"/>
    </w:rPr>
  </w:style>
  <w:style w:type="paragraph" w:customStyle="1" w:styleId="116">
    <w:name w:val="表格04"/>
    <w:basedOn w:val="1"/>
    <w:qFormat/>
    <w:uiPriority w:val="0"/>
    <w:pPr>
      <w:spacing w:line="360" w:lineRule="exact"/>
      <w:jc w:val="center"/>
    </w:pPr>
    <w:rPr>
      <w:rFonts w:cs="宋体"/>
      <w:snapToGrid w:val="0"/>
      <w:kern w:val="0"/>
      <w:sz w:val="18"/>
      <w:szCs w:val="18"/>
    </w:rPr>
  </w:style>
  <w:style w:type="paragraph" w:customStyle="1" w:styleId="117">
    <w:name w:val="。正文"/>
    <w:basedOn w:val="1"/>
    <w:qFormat/>
    <w:uiPriority w:val="0"/>
    <w:pPr>
      <w:spacing w:line="360" w:lineRule="auto"/>
      <w:ind w:firstLine="200" w:firstLineChars="200"/>
      <w:jc w:val="left"/>
    </w:pPr>
    <w:rPr>
      <w:rFonts w:ascii="宋体"/>
      <w:kern w:val="28"/>
      <w:sz w:val="28"/>
      <w:szCs w:val="20"/>
    </w:rPr>
  </w:style>
  <w:style w:type="paragraph" w:customStyle="1" w:styleId="118">
    <w:name w:val="表格文字1111"/>
    <w:basedOn w:val="1"/>
    <w:qFormat/>
    <w:uiPriority w:val="0"/>
    <w:pPr>
      <w:widowControl/>
      <w:adjustRightInd w:val="0"/>
      <w:snapToGrid w:val="0"/>
      <w:spacing w:line="240" w:lineRule="atLeast"/>
      <w:jc w:val="left"/>
    </w:pPr>
    <w:rPr>
      <w:rFonts w:cs="宋体"/>
      <w:kern w:val="0"/>
      <w:szCs w:val="28"/>
    </w:rPr>
  </w:style>
  <w:style w:type="paragraph" w:customStyle="1" w:styleId="119">
    <w:name w:val="表格标题111"/>
    <w:basedOn w:val="1"/>
    <w:qFormat/>
    <w:uiPriority w:val="0"/>
    <w:pPr>
      <w:spacing w:before="100" w:beforeLines="0" w:beforeAutospacing="1" w:after="100" w:afterLines="0" w:afterAutospacing="1"/>
      <w:ind w:firstLine="0" w:firstLineChars="0"/>
      <w:jc w:val="center"/>
    </w:pPr>
    <w:rPr>
      <w:color w:val="000000"/>
    </w:rPr>
  </w:style>
  <w:style w:type="paragraph" w:customStyle="1" w:styleId="120">
    <w:name w:val="Char Char Char Char Char Char Char Char Char Char Char Char Char Char Char1 Char Char Char Char Char Char Char"/>
    <w:basedOn w:val="1"/>
    <w:qFormat/>
    <w:uiPriority w:val="0"/>
  </w:style>
  <w:style w:type="character" w:customStyle="1" w:styleId="121">
    <w:name w:val="标题 1 Char"/>
    <w:basedOn w:val="35"/>
    <w:link w:val="6"/>
    <w:qFormat/>
    <w:locked/>
    <w:uiPriority w:val="99"/>
    <w:rPr>
      <w:rFonts w:ascii="Times New Roman" w:hAnsi="Times New Roman" w:eastAsia="宋体" w:cs="Times New Roman"/>
      <w:b/>
      <w:sz w:val="32"/>
    </w:rPr>
  </w:style>
  <w:style w:type="paragraph" w:customStyle="1" w:styleId="122">
    <w:name w:val="纯文本1"/>
    <w:basedOn w:val="1"/>
    <w:qFormat/>
    <w:uiPriority w:val="0"/>
    <w:rPr>
      <w:rFonts w:ascii="宋体" w:hAnsi="Courier New"/>
      <w:szCs w:val="20"/>
    </w:rPr>
  </w:style>
  <w:style w:type="character" w:customStyle="1" w:styleId="123">
    <w:name w:val="标2"/>
    <w:qFormat/>
    <w:uiPriority w:val="0"/>
    <w:rPr>
      <w:rFonts w:ascii="Times New Roman" w:hAnsi="Times New Roman" w:eastAsia="宋体"/>
      <w:b/>
      <w:bCs/>
      <w:sz w:val="28"/>
      <w:szCs w:val="28"/>
    </w:rPr>
  </w:style>
  <w:style w:type="paragraph" w:styleId="124">
    <w:name w:val="List Paragraph"/>
    <w:basedOn w:val="1"/>
    <w:qFormat/>
    <w:uiPriority w:val="34"/>
    <w:pPr>
      <w:ind w:firstLine="420" w:firstLineChars="200"/>
    </w:pPr>
    <w:rPr>
      <w:rFonts w:ascii="Calibri" w:hAnsi="Calibri"/>
      <w:szCs w:val="22"/>
    </w:rPr>
  </w:style>
  <w:style w:type="paragraph" w:customStyle="1" w:styleId="125">
    <w:name w:val="表名"/>
    <w:basedOn w:val="1"/>
    <w:next w:val="1"/>
    <w:qFormat/>
    <w:uiPriority w:val="0"/>
    <w:pPr>
      <w:snapToGrid/>
      <w:spacing w:line="360" w:lineRule="auto"/>
      <w:ind w:firstLine="562" w:firstLineChars="200"/>
      <w:jc w:val="center"/>
    </w:pPr>
    <w:rPr>
      <w:rFonts w:eastAsia="仿宋_GB2312"/>
      <w:b/>
      <w:bCs/>
      <w:sz w:val="28"/>
      <w:szCs w:val="20"/>
    </w:rPr>
  </w:style>
  <w:style w:type="paragraph" w:customStyle="1" w:styleId="126">
    <w:name w:val="01正文"/>
    <w:qFormat/>
    <w:uiPriority w:val="0"/>
    <w:pPr>
      <w:spacing w:line="360" w:lineRule="auto"/>
      <w:ind w:firstLine="482"/>
    </w:pPr>
    <w:rPr>
      <w:rFonts w:ascii="Times New Roman" w:hAnsi="Times New Roman" w:eastAsia="宋体" w:cs="Times New Roman"/>
      <w:sz w:val="24"/>
      <w:szCs w:val="24"/>
      <w:lang w:val="en-US" w:eastAsia="en-US" w:bidi="ar-SA"/>
    </w:rPr>
  </w:style>
  <w:style w:type="paragraph" w:customStyle="1" w:styleId="127">
    <w:name w:val="0表格内容"/>
    <w:qFormat/>
    <w:uiPriority w:val="0"/>
    <w:pPr>
      <w:spacing w:line="245" w:lineRule="auto"/>
      <w:jc w:val="center"/>
    </w:pPr>
    <w:rPr>
      <w:rFonts w:ascii="Times New Roman" w:hAnsi="Times New Roman" w:eastAsia="宋体" w:cs="Times New Roman"/>
      <w:color w:val="000000"/>
      <w:kern w:val="2"/>
      <w:sz w:val="21"/>
      <w:szCs w:val="21"/>
      <w:lang w:val="en-US" w:eastAsia="zh-CN" w:bidi="ar-SA"/>
    </w:rPr>
  </w:style>
  <w:style w:type="paragraph" w:customStyle="1" w:styleId="128">
    <w:name w:val="一般内容"/>
    <w:basedOn w:val="1"/>
    <w:qFormat/>
    <w:uiPriority w:val="0"/>
    <w:pPr>
      <w:spacing w:line="360" w:lineRule="auto"/>
      <w:ind w:firstLine="200" w:firstLineChars="200"/>
    </w:pPr>
    <w:rPr>
      <w:rFonts w:ascii="Arial" w:hAnsi="Arial" w:cs="Arial"/>
      <w:bCs/>
      <w:sz w:val="24"/>
    </w:rPr>
  </w:style>
  <w:style w:type="paragraph" w:customStyle="1" w:styleId="129">
    <w:name w:val="EIA表首行"/>
    <w:basedOn w:val="1"/>
    <w:qFormat/>
    <w:uiPriority w:val="0"/>
    <w:pPr>
      <w:widowControl/>
      <w:ind w:left="6" w:hanging="6" w:hangingChars="3"/>
      <w:jc w:val="center"/>
    </w:pPr>
    <w:rPr>
      <w:rFonts w:ascii="Times New Roman" w:hAnsi="Times New Roman" w:eastAsia="仿宋" w:cs="Times New Roman"/>
      <w:b/>
      <w:color w:val="000000"/>
      <w:szCs w:val="21"/>
      <w:lang w:val="zh-CN"/>
    </w:rPr>
  </w:style>
  <w:style w:type="paragraph" w:customStyle="1" w:styleId="130">
    <w:name w:val="1表头"/>
    <w:basedOn w:val="1"/>
    <w:next w:val="1"/>
    <w:qFormat/>
    <w:uiPriority w:val="0"/>
    <w:pPr>
      <w:tabs>
        <w:tab w:val="center" w:pos="4560"/>
        <w:tab w:val="right" w:pos="9120"/>
      </w:tabs>
      <w:spacing w:beforeLines="30" w:afterLines="20"/>
      <w:jc w:val="center"/>
    </w:pPr>
    <w:rPr>
      <w:rFonts w:ascii="Times New Roman" w:hAnsi="Times New Roman" w:eastAsia="黑体"/>
      <w:szCs w:val="21"/>
    </w:rPr>
  </w:style>
  <w:style w:type="character" w:customStyle="1" w:styleId="131">
    <w:name w:val="Footer1 Char"/>
    <w:qFormat/>
    <w:uiPriority w:val="0"/>
    <w:rPr>
      <w:rFonts w:eastAsia="宋体"/>
      <w:kern w:val="2"/>
      <w:sz w:val="18"/>
      <w:szCs w:val="18"/>
      <w:lang w:val="en-US" w:eastAsia="zh-CN" w:bidi="ar-SA"/>
    </w:rPr>
  </w:style>
</w:styles>
</file>

<file path=word/_rels/document.xml.rels><?xml version="1.0" encoding="UTF-8" standalone="yes"?>
<Relationships xmlns="http://schemas.openxmlformats.org/package/2006/relationships"><Relationship Id="rId99" Type="http://schemas.openxmlformats.org/officeDocument/2006/relationships/oleObject" Target="embeddings/oleObject40.bin"/><Relationship Id="rId98" Type="http://schemas.openxmlformats.org/officeDocument/2006/relationships/oleObject" Target="embeddings/oleObject39.bin"/><Relationship Id="rId97" Type="http://schemas.openxmlformats.org/officeDocument/2006/relationships/oleObject" Target="embeddings/oleObject38.bin"/><Relationship Id="rId96" Type="http://schemas.openxmlformats.org/officeDocument/2006/relationships/oleObject" Target="embeddings/oleObject37.bin"/><Relationship Id="rId95" Type="http://schemas.openxmlformats.org/officeDocument/2006/relationships/oleObject" Target="embeddings/oleObject36.bin"/><Relationship Id="rId94" Type="http://schemas.openxmlformats.org/officeDocument/2006/relationships/image" Target="media/image46.wmf"/><Relationship Id="rId93" Type="http://schemas.openxmlformats.org/officeDocument/2006/relationships/oleObject" Target="embeddings/oleObject35.bin"/><Relationship Id="rId92" Type="http://schemas.openxmlformats.org/officeDocument/2006/relationships/image" Target="media/image45.wmf"/><Relationship Id="rId91" Type="http://schemas.openxmlformats.org/officeDocument/2006/relationships/oleObject" Target="embeddings/oleObject34.bin"/><Relationship Id="rId90" Type="http://schemas.openxmlformats.org/officeDocument/2006/relationships/image" Target="media/image44.wmf"/><Relationship Id="rId9" Type="http://schemas.openxmlformats.org/officeDocument/2006/relationships/header" Target="header5.xml"/><Relationship Id="rId89" Type="http://schemas.openxmlformats.org/officeDocument/2006/relationships/oleObject" Target="embeddings/oleObject33.bin"/><Relationship Id="rId88" Type="http://schemas.openxmlformats.org/officeDocument/2006/relationships/image" Target="media/image43.wmf"/><Relationship Id="rId87" Type="http://schemas.openxmlformats.org/officeDocument/2006/relationships/oleObject" Target="embeddings/oleObject32.bin"/><Relationship Id="rId86" Type="http://schemas.openxmlformats.org/officeDocument/2006/relationships/image" Target="media/image42.wmf"/><Relationship Id="rId85" Type="http://schemas.openxmlformats.org/officeDocument/2006/relationships/oleObject" Target="embeddings/oleObject31.bin"/><Relationship Id="rId84" Type="http://schemas.openxmlformats.org/officeDocument/2006/relationships/image" Target="media/image41.wmf"/><Relationship Id="rId83" Type="http://schemas.openxmlformats.org/officeDocument/2006/relationships/oleObject" Target="embeddings/oleObject30.bin"/><Relationship Id="rId82" Type="http://schemas.openxmlformats.org/officeDocument/2006/relationships/image" Target="media/image40.wmf"/><Relationship Id="rId81" Type="http://schemas.openxmlformats.org/officeDocument/2006/relationships/oleObject" Target="embeddings/oleObject29.bin"/><Relationship Id="rId80" Type="http://schemas.openxmlformats.org/officeDocument/2006/relationships/image" Target="media/image39.wmf"/><Relationship Id="rId8" Type="http://schemas.openxmlformats.org/officeDocument/2006/relationships/footer" Target="footer2.xml"/><Relationship Id="rId79" Type="http://schemas.openxmlformats.org/officeDocument/2006/relationships/oleObject" Target="embeddings/oleObject28.bin"/><Relationship Id="rId78" Type="http://schemas.openxmlformats.org/officeDocument/2006/relationships/image" Target="media/image38.wmf"/><Relationship Id="rId77" Type="http://schemas.openxmlformats.org/officeDocument/2006/relationships/oleObject" Target="embeddings/oleObject27.bin"/><Relationship Id="rId76" Type="http://schemas.openxmlformats.org/officeDocument/2006/relationships/image" Target="media/image37.wmf"/><Relationship Id="rId75" Type="http://schemas.openxmlformats.org/officeDocument/2006/relationships/oleObject" Target="embeddings/oleObject26.bin"/><Relationship Id="rId74" Type="http://schemas.openxmlformats.org/officeDocument/2006/relationships/image" Target="media/image36.wmf"/><Relationship Id="rId73" Type="http://schemas.openxmlformats.org/officeDocument/2006/relationships/oleObject" Target="embeddings/oleObject25.bin"/><Relationship Id="rId72" Type="http://schemas.openxmlformats.org/officeDocument/2006/relationships/image" Target="media/image35.wmf"/><Relationship Id="rId71" Type="http://schemas.openxmlformats.org/officeDocument/2006/relationships/oleObject" Target="embeddings/oleObject24.bin"/><Relationship Id="rId70" Type="http://schemas.openxmlformats.org/officeDocument/2006/relationships/image" Target="media/image34.wmf"/><Relationship Id="rId7" Type="http://schemas.openxmlformats.org/officeDocument/2006/relationships/header" Target="header4.xml"/><Relationship Id="rId69" Type="http://schemas.openxmlformats.org/officeDocument/2006/relationships/oleObject" Target="embeddings/oleObject23.bin"/><Relationship Id="rId68" Type="http://schemas.openxmlformats.org/officeDocument/2006/relationships/image" Target="media/image33.wmf"/><Relationship Id="rId67" Type="http://schemas.openxmlformats.org/officeDocument/2006/relationships/oleObject" Target="embeddings/oleObject22.bin"/><Relationship Id="rId66" Type="http://schemas.openxmlformats.org/officeDocument/2006/relationships/image" Target="media/image32.wmf"/><Relationship Id="rId65" Type="http://schemas.openxmlformats.org/officeDocument/2006/relationships/oleObject" Target="embeddings/oleObject21.bin"/><Relationship Id="rId64" Type="http://schemas.openxmlformats.org/officeDocument/2006/relationships/image" Target="media/image31.wmf"/><Relationship Id="rId63" Type="http://schemas.openxmlformats.org/officeDocument/2006/relationships/oleObject" Target="embeddings/oleObject20.bin"/><Relationship Id="rId62" Type="http://schemas.openxmlformats.org/officeDocument/2006/relationships/image" Target="media/image30.wmf"/><Relationship Id="rId61" Type="http://schemas.openxmlformats.org/officeDocument/2006/relationships/oleObject" Target="embeddings/oleObject19.bin"/><Relationship Id="rId60" Type="http://schemas.openxmlformats.org/officeDocument/2006/relationships/image" Target="media/image29.wmf"/><Relationship Id="rId6" Type="http://schemas.openxmlformats.org/officeDocument/2006/relationships/header" Target="header3.xml"/><Relationship Id="rId59" Type="http://schemas.openxmlformats.org/officeDocument/2006/relationships/oleObject" Target="embeddings/oleObject18.bin"/><Relationship Id="rId58" Type="http://schemas.openxmlformats.org/officeDocument/2006/relationships/image" Target="media/image28.wmf"/><Relationship Id="rId57" Type="http://schemas.openxmlformats.org/officeDocument/2006/relationships/oleObject" Target="embeddings/oleObject17.bin"/><Relationship Id="rId56" Type="http://schemas.openxmlformats.org/officeDocument/2006/relationships/image" Target="media/image27.wmf"/><Relationship Id="rId55" Type="http://schemas.openxmlformats.org/officeDocument/2006/relationships/oleObject" Target="embeddings/oleObject16.bin"/><Relationship Id="rId54" Type="http://schemas.openxmlformats.org/officeDocument/2006/relationships/image" Target="media/image26.wmf"/><Relationship Id="rId53" Type="http://schemas.openxmlformats.org/officeDocument/2006/relationships/oleObject" Target="embeddings/oleObject15.bin"/><Relationship Id="rId52" Type="http://schemas.openxmlformats.org/officeDocument/2006/relationships/image" Target="media/image25.wmf"/><Relationship Id="rId51" Type="http://schemas.openxmlformats.org/officeDocument/2006/relationships/oleObject" Target="embeddings/oleObject14.bin"/><Relationship Id="rId50" Type="http://schemas.openxmlformats.org/officeDocument/2006/relationships/image" Target="media/image24.png"/><Relationship Id="rId5" Type="http://schemas.openxmlformats.org/officeDocument/2006/relationships/footer" Target="footer1.xml"/><Relationship Id="rId49" Type="http://schemas.openxmlformats.org/officeDocument/2006/relationships/image" Target="media/image23.emf"/><Relationship Id="rId48" Type="http://schemas.openxmlformats.org/officeDocument/2006/relationships/oleObject" Target="embeddings/oleObject13.bin"/><Relationship Id="rId47" Type="http://schemas.openxmlformats.org/officeDocument/2006/relationships/image" Target="media/image22.png"/><Relationship Id="rId46" Type="http://schemas.openxmlformats.org/officeDocument/2006/relationships/image" Target="media/image21.emf"/><Relationship Id="rId45" Type="http://schemas.openxmlformats.org/officeDocument/2006/relationships/oleObject" Target="embeddings/oleObject12.bin"/><Relationship Id="rId44" Type="http://schemas.openxmlformats.org/officeDocument/2006/relationships/image" Target="media/image20.jpeg"/><Relationship Id="rId43" Type="http://schemas.openxmlformats.org/officeDocument/2006/relationships/image" Target="media/image19.emf"/><Relationship Id="rId42" Type="http://schemas.openxmlformats.org/officeDocument/2006/relationships/oleObject" Target="embeddings/oleObject11.bin"/><Relationship Id="rId41" Type="http://schemas.openxmlformats.org/officeDocument/2006/relationships/image" Target="media/image18.png"/><Relationship Id="rId40" Type="http://schemas.openxmlformats.org/officeDocument/2006/relationships/image" Target="media/image17.png"/><Relationship Id="rId4" Type="http://schemas.openxmlformats.org/officeDocument/2006/relationships/header" Target="header2.xml"/><Relationship Id="rId39" Type="http://schemas.openxmlformats.org/officeDocument/2006/relationships/image" Target="media/image16.emf"/><Relationship Id="rId38" Type="http://schemas.openxmlformats.org/officeDocument/2006/relationships/oleObject" Target="embeddings/oleObject10.bin"/><Relationship Id="rId37" Type="http://schemas.openxmlformats.org/officeDocument/2006/relationships/image" Target="media/image15.png"/><Relationship Id="rId36" Type="http://schemas.openxmlformats.org/officeDocument/2006/relationships/image" Target="file:///C:\Documents%25252525252525252525252525252525252525252525252525252525252525252525252525252520and%25252525252525252525252525252525252525252525252525252525252525252525252525252520Settings\Administrator\Application%25252525252525252525252525252525252525252525252525252525252525252525252525252520Data\Tencent\Users\289678171\QQ\WinTemp\RichOle\V@_FQ%2525252525252525252525252525252525252525252525252525252525252525252525252525257BXYXREUVF(H$7FL(S0.png" TargetMode="External"/><Relationship Id="rId35" Type="http://schemas.openxmlformats.org/officeDocument/2006/relationships/image" Target="media/image14.png"/><Relationship Id="rId34" Type="http://schemas.openxmlformats.org/officeDocument/2006/relationships/image" Target="file:///C:\Documents%25252525252525252525252525252525252525252525252525252525252525252525252525252520and%25252525252525252525252525252525252525252525252525252525252525252525252525252520Settings\Administrator\Application%25252525252525252525252525252525252525252525252525252525252525252525252525252520Data\Tencent\Users\289678171\QQ\WinTemp\RichOle\W7O_UI)%2525252525252525252525252525252525252525252525252525252525252525252525252525257B5(4BU47W0()%2525252525252525252525252525252525252525252525252525252525252525252525252525257D%25252525252525252525252525252525252525252525252525252525252525252525252525252560_8.png" TargetMode="External"/><Relationship Id="rId33" Type="http://schemas.openxmlformats.org/officeDocument/2006/relationships/image" Target="media/image13.png"/><Relationship Id="rId32" Type="http://schemas.openxmlformats.org/officeDocument/2006/relationships/image" Target="file:///C:\Documents%25252525252525252525252525252525252525252525252525252525252525252525252525252520and%25252525252525252525252525252525252525252525252525252525252525252525252525252520Settings\Administrator\Application%25252525252525252525252525252525252525252525252525252525252525252525252525252520Data\Tencent\Users\289678171\QQ\WinTemp\RichOle\PS$PRB61RQ4JM2@MI%2525252525252525252525252525252525252525252525252525252525252525252525252525257D%2525252525252525252525252525252525252525252525252525252525252525252525252525257D897R.png" TargetMode="External"/><Relationship Id="rId31" Type="http://schemas.openxmlformats.org/officeDocument/2006/relationships/image" Target="media/image12.png"/><Relationship Id="rId30" Type="http://schemas.openxmlformats.org/officeDocument/2006/relationships/image" Target="media/image11.png"/><Relationship Id="rId3" Type="http://schemas.openxmlformats.org/officeDocument/2006/relationships/header" Target="header1.xml"/><Relationship Id="rId29" Type="http://schemas.openxmlformats.org/officeDocument/2006/relationships/image" Target="media/image10.emf"/><Relationship Id="rId28" Type="http://schemas.openxmlformats.org/officeDocument/2006/relationships/oleObject" Target="embeddings/oleObject9.bin"/><Relationship Id="rId27" Type="http://schemas.openxmlformats.org/officeDocument/2006/relationships/image" Target="media/image9.wmf"/><Relationship Id="rId26" Type="http://schemas.openxmlformats.org/officeDocument/2006/relationships/oleObject" Target="embeddings/oleObject8.bin"/><Relationship Id="rId25" Type="http://schemas.openxmlformats.org/officeDocument/2006/relationships/image" Target="media/image8.wmf"/><Relationship Id="rId24" Type="http://schemas.openxmlformats.org/officeDocument/2006/relationships/oleObject" Target="embeddings/oleObject7.bin"/><Relationship Id="rId23" Type="http://schemas.openxmlformats.org/officeDocument/2006/relationships/image" Target="media/image7.wmf"/><Relationship Id="rId22" Type="http://schemas.openxmlformats.org/officeDocument/2006/relationships/oleObject" Target="embeddings/oleObject6.bin"/><Relationship Id="rId21" Type="http://schemas.openxmlformats.org/officeDocument/2006/relationships/image" Target="media/image6.emf"/><Relationship Id="rId20" Type="http://schemas.openxmlformats.org/officeDocument/2006/relationships/oleObject" Target="embeddings/oleObject5.bin"/><Relationship Id="rId2" Type="http://schemas.openxmlformats.org/officeDocument/2006/relationships/settings" Target="settings.xml"/><Relationship Id="rId19" Type="http://schemas.openxmlformats.org/officeDocument/2006/relationships/image" Target="media/image5.emf"/><Relationship Id="rId18" Type="http://schemas.openxmlformats.org/officeDocument/2006/relationships/oleObject" Target="embeddings/oleObject4.bin"/><Relationship Id="rId173" Type="http://schemas.openxmlformats.org/officeDocument/2006/relationships/fontTable" Target="fontTable.xml"/><Relationship Id="rId172" Type="http://schemas.openxmlformats.org/officeDocument/2006/relationships/numbering" Target="numbering.xml"/><Relationship Id="rId171" Type="http://schemas.openxmlformats.org/officeDocument/2006/relationships/customXml" Target="../customXml/item1.xml"/><Relationship Id="rId170" Type="http://schemas.openxmlformats.org/officeDocument/2006/relationships/image" Target="media/image55.png"/><Relationship Id="rId17" Type="http://schemas.openxmlformats.org/officeDocument/2006/relationships/image" Target="media/image4.emf"/><Relationship Id="rId169" Type="http://schemas.openxmlformats.org/officeDocument/2006/relationships/image" Target="media/image54.jpeg"/><Relationship Id="rId168" Type="http://schemas.openxmlformats.org/officeDocument/2006/relationships/image" Target="media/image53.png"/><Relationship Id="rId167" Type="http://schemas.openxmlformats.org/officeDocument/2006/relationships/image" Target="media/image52.png"/><Relationship Id="rId166" Type="http://schemas.openxmlformats.org/officeDocument/2006/relationships/image" Target="media/image51.png"/><Relationship Id="rId165" Type="http://schemas.openxmlformats.org/officeDocument/2006/relationships/image" Target="media/image50.png"/><Relationship Id="rId164" Type="http://schemas.openxmlformats.org/officeDocument/2006/relationships/image" Target="media/image49.jpeg"/><Relationship Id="rId163" Type="http://schemas.openxmlformats.org/officeDocument/2006/relationships/image" Target="media/image48.png"/><Relationship Id="rId162" Type="http://schemas.openxmlformats.org/officeDocument/2006/relationships/image" Target="media/image47.emf"/><Relationship Id="rId161" Type="http://schemas.openxmlformats.org/officeDocument/2006/relationships/oleObject" Target="embeddings/oleObject102.bin"/><Relationship Id="rId160" Type="http://schemas.openxmlformats.org/officeDocument/2006/relationships/oleObject" Target="embeddings/oleObject101.bin"/><Relationship Id="rId16" Type="http://schemas.openxmlformats.org/officeDocument/2006/relationships/oleObject" Target="embeddings/oleObject3.bin"/><Relationship Id="rId159" Type="http://schemas.openxmlformats.org/officeDocument/2006/relationships/oleObject" Target="embeddings/oleObject100.bin"/><Relationship Id="rId158" Type="http://schemas.openxmlformats.org/officeDocument/2006/relationships/oleObject" Target="embeddings/oleObject99.bin"/><Relationship Id="rId157" Type="http://schemas.openxmlformats.org/officeDocument/2006/relationships/oleObject" Target="embeddings/oleObject98.bin"/><Relationship Id="rId156" Type="http://schemas.openxmlformats.org/officeDocument/2006/relationships/oleObject" Target="embeddings/oleObject97.bin"/><Relationship Id="rId155" Type="http://schemas.openxmlformats.org/officeDocument/2006/relationships/oleObject" Target="embeddings/oleObject96.bin"/><Relationship Id="rId154" Type="http://schemas.openxmlformats.org/officeDocument/2006/relationships/oleObject" Target="embeddings/oleObject95.bin"/><Relationship Id="rId153" Type="http://schemas.openxmlformats.org/officeDocument/2006/relationships/oleObject" Target="embeddings/oleObject94.bin"/><Relationship Id="rId152" Type="http://schemas.openxmlformats.org/officeDocument/2006/relationships/oleObject" Target="embeddings/oleObject93.bin"/><Relationship Id="rId151" Type="http://schemas.openxmlformats.org/officeDocument/2006/relationships/oleObject" Target="embeddings/oleObject92.bin"/><Relationship Id="rId150" Type="http://schemas.openxmlformats.org/officeDocument/2006/relationships/oleObject" Target="embeddings/oleObject91.bin"/><Relationship Id="rId15" Type="http://schemas.openxmlformats.org/officeDocument/2006/relationships/image" Target="media/image3.emf"/><Relationship Id="rId149" Type="http://schemas.openxmlformats.org/officeDocument/2006/relationships/oleObject" Target="embeddings/oleObject90.bin"/><Relationship Id="rId148" Type="http://schemas.openxmlformats.org/officeDocument/2006/relationships/oleObject" Target="embeddings/oleObject89.bin"/><Relationship Id="rId147" Type="http://schemas.openxmlformats.org/officeDocument/2006/relationships/oleObject" Target="embeddings/oleObject88.bin"/><Relationship Id="rId146" Type="http://schemas.openxmlformats.org/officeDocument/2006/relationships/oleObject" Target="embeddings/oleObject87.bin"/><Relationship Id="rId145" Type="http://schemas.openxmlformats.org/officeDocument/2006/relationships/oleObject" Target="embeddings/oleObject86.bin"/><Relationship Id="rId144" Type="http://schemas.openxmlformats.org/officeDocument/2006/relationships/oleObject" Target="embeddings/oleObject85.bin"/><Relationship Id="rId143" Type="http://schemas.openxmlformats.org/officeDocument/2006/relationships/oleObject" Target="embeddings/oleObject84.bin"/><Relationship Id="rId142" Type="http://schemas.openxmlformats.org/officeDocument/2006/relationships/oleObject" Target="embeddings/oleObject83.bin"/><Relationship Id="rId141" Type="http://schemas.openxmlformats.org/officeDocument/2006/relationships/oleObject" Target="embeddings/oleObject82.bin"/><Relationship Id="rId140" Type="http://schemas.openxmlformats.org/officeDocument/2006/relationships/oleObject" Target="embeddings/oleObject81.bin"/><Relationship Id="rId14" Type="http://schemas.openxmlformats.org/officeDocument/2006/relationships/oleObject" Target="embeddings/oleObject2.bin"/><Relationship Id="rId139" Type="http://schemas.openxmlformats.org/officeDocument/2006/relationships/oleObject" Target="embeddings/oleObject80.bin"/><Relationship Id="rId138" Type="http://schemas.openxmlformats.org/officeDocument/2006/relationships/oleObject" Target="embeddings/oleObject79.bin"/><Relationship Id="rId137" Type="http://schemas.openxmlformats.org/officeDocument/2006/relationships/oleObject" Target="embeddings/oleObject78.bin"/><Relationship Id="rId136" Type="http://schemas.openxmlformats.org/officeDocument/2006/relationships/oleObject" Target="embeddings/oleObject77.bin"/><Relationship Id="rId135" Type="http://schemas.openxmlformats.org/officeDocument/2006/relationships/oleObject" Target="embeddings/oleObject76.bin"/><Relationship Id="rId134" Type="http://schemas.openxmlformats.org/officeDocument/2006/relationships/oleObject" Target="embeddings/oleObject75.bin"/><Relationship Id="rId133" Type="http://schemas.openxmlformats.org/officeDocument/2006/relationships/oleObject" Target="embeddings/oleObject74.bin"/><Relationship Id="rId132" Type="http://schemas.openxmlformats.org/officeDocument/2006/relationships/oleObject" Target="embeddings/oleObject73.bin"/><Relationship Id="rId131" Type="http://schemas.openxmlformats.org/officeDocument/2006/relationships/oleObject" Target="embeddings/oleObject72.bin"/><Relationship Id="rId130" Type="http://schemas.openxmlformats.org/officeDocument/2006/relationships/oleObject" Target="embeddings/oleObject71.bin"/><Relationship Id="rId13" Type="http://schemas.openxmlformats.org/officeDocument/2006/relationships/image" Target="media/image2.emf"/><Relationship Id="rId129" Type="http://schemas.openxmlformats.org/officeDocument/2006/relationships/oleObject" Target="embeddings/oleObject70.bin"/><Relationship Id="rId128" Type="http://schemas.openxmlformats.org/officeDocument/2006/relationships/oleObject" Target="embeddings/oleObject69.bin"/><Relationship Id="rId127" Type="http://schemas.openxmlformats.org/officeDocument/2006/relationships/oleObject" Target="embeddings/oleObject68.bin"/><Relationship Id="rId126" Type="http://schemas.openxmlformats.org/officeDocument/2006/relationships/oleObject" Target="embeddings/oleObject67.bin"/><Relationship Id="rId125" Type="http://schemas.openxmlformats.org/officeDocument/2006/relationships/oleObject" Target="embeddings/oleObject66.bin"/><Relationship Id="rId124" Type="http://schemas.openxmlformats.org/officeDocument/2006/relationships/oleObject" Target="embeddings/oleObject65.bin"/><Relationship Id="rId123" Type="http://schemas.openxmlformats.org/officeDocument/2006/relationships/oleObject" Target="embeddings/oleObject64.bin"/><Relationship Id="rId122" Type="http://schemas.openxmlformats.org/officeDocument/2006/relationships/oleObject" Target="embeddings/oleObject63.bin"/><Relationship Id="rId121" Type="http://schemas.openxmlformats.org/officeDocument/2006/relationships/oleObject" Target="embeddings/oleObject62.bin"/><Relationship Id="rId120" Type="http://schemas.openxmlformats.org/officeDocument/2006/relationships/oleObject" Target="embeddings/oleObject61.bin"/><Relationship Id="rId12" Type="http://schemas.openxmlformats.org/officeDocument/2006/relationships/oleObject" Target="embeddings/oleObject1.bin"/><Relationship Id="rId119" Type="http://schemas.openxmlformats.org/officeDocument/2006/relationships/oleObject" Target="embeddings/oleObject60.bin"/><Relationship Id="rId118" Type="http://schemas.openxmlformats.org/officeDocument/2006/relationships/oleObject" Target="embeddings/oleObject59.bin"/><Relationship Id="rId117" Type="http://schemas.openxmlformats.org/officeDocument/2006/relationships/oleObject" Target="embeddings/oleObject58.bin"/><Relationship Id="rId116" Type="http://schemas.openxmlformats.org/officeDocument/2006/relationships/oleObject" Target="embeddings/oleObject57.bin"/><Relationship Id="rId115" Type="http://schemas.openxmlformats.org/officeDocument/2006/relationships/oleObject" Target="embeddings/oleObject56.bin"/><Relationship Id="rId114" Type="http://schemas.openxmlformats.org/officeDocument/2006/relationships/oleObject" Target="embeddings/oleObject55.bin"/><Relationship Id="rId113" Type="http://schemas.openxmlformats.org/officeDocument/2006/relationships/oleObject" Target="embeddings/oleObject54.bin"/><Relationship Id="rId112" Type="http://schemas.openxmlformats.org/officeDocument/2006/relationships/oleObject" Target="embeddings/oleObject53.bin"/><Relationship Id="rId111" Type="http://schemas.openxmlformats.org/officeDocument/2006/relationships/oleObject" Target="embeddings/oleObject52.bin"/><Relationship Id="rId110" Type="http://schemas.openxmlformats.org/officeDocument/2006/relationships/oleObject" Target="embeddings/oleObject51.bin"/><Relationship Id="rId11" Type="http://schemas.openxmlformats.org/officeDocument/2006/relationships/image" Target="media/image1.png"/><Relationship Id="rId109" Type="http://schemas.openxmlformats.org/officeDocument/2006/relationships/oleObject" Target="embeddings/oleObject50.bin"/><Relationship Id="rId108" Type="http://schemas.openxmlformats.org/officeDocument/2006/relationships/oleObject" Target="embeddings/oleObject49.bin"/><Relationship Id="rId107" Type="http://schemas.openxmlformats.org/officeDocument/2006/relationships/oleObject" Target="embeddings/oleObject48.bin"/><Relationship Id="rId106" Type="http://schemas.openxmlformats.org/officeDocument/2006/relationships/oleObject" Target="embeddings/oleObject47.bin"/><Relationship Id="rId105" Type="http://schemas.openxmlformats.org/officeDocument/2006/relationships/oleObject" Target="embeddings/oleObject46.bin"/><Relationship Id="rId104" Type="http://schemas.openxmlformats.org/officeDocument/2006/relationships/oleObject" Target="embeddings/oleObject45.bin"/><Relationship Id="rId103" Type="http://schemas.openxmlformats.org/officeDocument/2006/relationships/oleObject" Target="embeddings/oleObject44.bin"/><Relationship Id="rId102" Type="http://schemas.openxmlformats.org/officeDocument/2006/relationships/oleObject" Target="embeddings/oleObject43.bin"/><Relationship Id="rId101" Type="http://schemas.openxmlformats.org/officeDocument/2006/relationships/oleObject" Target="embeddings/oleObject42.bin"/><Relationship Id="rId100" Type="http://schemas.openxmlformats.org/officeDocument/2006/relationships/oleObject" Target="embeddings/oleObject41.bin"/><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Info spid="_x0000_s2051"/>
    <customShpInfo spid="_x0000_s2052"/>
    <customShpInfo spid="_x0000_s2053"/>
    <customShpInfo spid="_x0000_s205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Company>Lenovo (Beijing) Limited</Company>
  <Pages>133</Pages>
  <Words>7995</Words>
  <Characters>9374</Characters>
  <Lines>0</Lines>
  <Paragraphs>0</Paragraphs>
  <TotalTime>0</TotalTime>
  <ScaleCrop>false</ScaleCrop>
  <LinksUpToDate>false</LinksUpToDate>
  <CharactersWithSpaces>9542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2017-03-20T12:01:00Z</dcterms:created>
  <dc:creator>Lenovo User</dc:creator>
  <cp:lastModifiedBy>雪&amp;飘飘</cp:lastModifiedBy>
  <cp:lastPrinted>2022-11-14T03:19:00Z</cp:lastPrinted>
  <dcterms:modified xsi:type="dcterms:W3CDTF">2026-06-30T06:45:51Z</dcterms:modified>
  <dc:title>山东金达双鹏集团有限公司铝业分公司</dc:title>
  <cp:revision>92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17C2880225B749639FBB077ECC18799D</vt:lpwstr>
  </property>
  <property fmtid="{D5CDD505-2E9C-101B-9397-08002B2CF9AE}" pid="4" name="KSOTemplateDocerSaveRecord">
    <vt:lpwstr>eyJoZGlkIjoiOGM0ODdiOGRjNzUwNDljYmVlZmZhNzhlNjUzODhkZTYiLCJ1c2VySWQiOiI0MjM1ODg1MzcifQ==</vt:lpwstr>
  </property>
</Properties>
</file>