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CF8758D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napToGrid/>
          <w:kern w:val="2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napToGrid/>
          <w:kern w:val="2"/>
          <w:sz w:val="44"/>
          <w:szCs w:val="44"/>
          <w:lang w:val="en-US" w:eastAsia="zh-CN"/>
        </w:rPr>
        <w:t xml:space="preserve">Y2 金属化聚丙烯抗干扰类电容器 </w:t>
      </w:r>
    </w:p>
    <w:p w14:paraId="72119FF9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snapToGrid/>
          <w:kern w:val="2"/>
          <w:sz w:val="30"/>
          <w:szCs w:val="30"/>
          <w:lang w:val="en-US" w:eastAsia="zh-CN"/>
        </w:rPr>
        <w:t>Metalized Polypropylene Anti-Interference Capacitor</w:t>
      </w:r>
      <w:r>
        <w:rPr>
          <w:rFonts w:hint="default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 xml:space="preserve">(Class </w:t>
      </w:r>
      <w: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Y</w:t>
      </w:r>
      <w:r>
        <w:rPr>
          <w:rFonts w:hint="default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)</w:t>
      </w:r>
    </w:p>
    <w:p w14:paraId="53FD3C58">
      <w:pPr>
        <w:spacing w:line="240" w:lineRule="auto"/>
        <w:jc w:val="left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78788E58">
      <w:pPr>
        <w:spacing w:line="240" w:lineRule="auto"/>
        <w:jc w:val="left"/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3447415</wp:posOffset>
            </wp:positionH>
            <wp:positionV relativeFrom="paragraph">
              <wp:posOffset>6985</wp:posOffset>
            </wp:positionV>
            <wp:extent cx="1934845" cy="194691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9536" r="12774" b="8121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b/>
          <w:bCs/>
          <w:snapToGrid/>
          <w:kern w:val="2"/>
          <w:sz w:val="32"/>
          <w:szCs w:val="32"/>
          <w:lang w:val="en-US" w:eastAsia="zh-CN"/>
        </w:rPr>
        <w:t>特点</w:t>
      </w:r>
      <w:r>
        <w:rPr>
          <w:rFonts w:hint="default" w:asciiTheme="majorEastAsia" w:hAnsiTheme="majorEastAsia" w:eastAsiaTheme="majorEastAsia" w:cstheme="majorEastAsia"/>
          <w:b/>
          <w:bCs/>
          <w:snapToGrid/>
          <w:kern w:val="2"/>
          <w:sz w:val="32"/>
          <w:szCs w:val="32"/>
          <w:lang w:val="en-US" w:eastAsia="zh-CN"/>
        </w:rPr>
        <w:t>Characteristic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</w:t>
      </w:r>
    </w:p>
    <w:p w14:paraId="44FAB46E">
      <w:pPr>
        <w:spacing w:line="240" w:lineRule="auto"/>
        <w:jc w:val="left"/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               </w:t>
      </w:r>
    </w:p>
    <w:p w14:paraId="251B00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金属化聚丙烯膜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；                                          </w:t>
      </w:r>
    </w:p>
    <w:p w14:paraId="3BF4CC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自愈性能优异，能承受浪涌电压冲击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3E8AE2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性阻燃环氧粉末包封（UL94/V-0）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532394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长期负载下优异的电容量稳定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tbl>
      <w:tblPr>
        <w:tblStyle w:val="6"/>
        <w:tblpPr w:leftFromText="180" w:rightFromText="180" w:vertAnchor="page" w:horzAnchor="page" w:tblpX="1728" w:tblpY="9274"/>
        <w:tblOverlap w:val="never"/>
        <w:tblW w:w="957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8"/>
        <w:gridCol w:w="7261"/>
      </w:tblGrid>
      <w:tr w14:paraId="3FC88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71C35784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气候类别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vAlign w:val="top"/>
          </w:tcPr>
          <w:p w14:paraId="3053C038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40/105/56</w:t>
            </w:r>
          </w:p>
        </w:tc>
      </w:tr>
      <w:tr w14:paraId="78A47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1DCA6605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阻燃等级 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shd w:val="clear" w:color="auto" w:fill="D9D9D9"/>
            <w:vAlign w:val="top"/>
          </w:tcPr>
          <w:p w14:paraId="792ADC61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7FA8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23FDECAE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工作温度范围 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vAlign w:val="top"/>
          </w:tcPr>
          <w:p w14:paraId="7DF49230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40℃~105℃</w:t>
            </w:r>
          </w:p>
          <w:p w14:paraId="3859B045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CD5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6DD18386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额定电压 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shd w:val="clear" w:color="auto" w:fill="D9D9D9"/>
            <w:vAlign w:val="top"/>
          </w:tcPr>
          <w:p w14:paraId="3594DB1F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300Vac</w:t>
            </w:r>
          </w:p>
        </w:tc>
      </w:tr>
      <w:tr w14:paraId="6E01A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64A9E79E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电容量范围 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vAlign w:val="top"/>
          </w:tcPr>
          <w:p w14:paraId="6E9F3199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0.001μF~1.0μF</w:t>
            </w:r>
          </w:p>
        </w:tc>
      </w:tr>
      <w:tr w14:paraId="64AD3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29EB44E5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电容量偏差 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shd w:val="clear" w:color="auto" w:fill="D9D9D9"/>
            <w:vAlign w:val="top"/>
          </w:tcPr>
          <w:p w14:paraId="3DD726BA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±10%(K),  ±20%(M)</w:t>
            </w:r>
          </w:p>
        </w:tc>
      </w:tr>
      <w:tr w14:paraId="5BFBB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3591ACFA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耐电压 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vAlign w:val="top"/>
          </w:tcPr>
          <w:p w14:paraId="0CD80D5A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 ≤0.33uF   4000VDC（2S）;CR＞0.33uF   3700VDC（2S）</w:t>
            </w:r>
          </w:p>
        </w:tc>
      </w:tr>
      <w:tr w14:paraId="71220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6BAEC2B8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损耗角正切 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43B8FC52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≤10×10-4 (20℃, 1kHz)</w:t>
            </w:r>
          </w:p>
        </w:tc>
      </w:tr>
      <w:tr w14:paraId="05A63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0BBA2DAD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vAlign w:val="top"/>
          </w:tcPr>
          <w:p w14:paraId="530E76FE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≥15 000MΩ, CR</w:t>
            </w:r>
            <w:r>
              <w:rPr>
                <w:rFonts w:hint="default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≤0.33μF</w:t>
            </w: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default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≥5 000s, </w:t>
            </w: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</w:t>
            </w:r>
            <w:r>
              <w:rPr>
                <w:rFonts w:hint="default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＞0.33μF</w:t>
            </w: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100V, 1min                           </w:t>
            </w:r>
          </w:p>
        </w:tc>
      </w:tr>
      <w:tr w14:paraId="3B9A3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2318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1419C2A8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</w:t>
            </w:r>
          </w:p>
        </w:tc>
        <w:tc>
          <w:tcPr>
            <w:tcW w:w="7261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top"/>
          </w:tcPr>
          <w:p w14:paraId="6E1738A3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ind w:left="210" w:left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10mm,15mm,22.5mm.27.5mm,37.5mm</w:t>
            </w:r>
          </w:p>
        </w:tc>
      </w:tr>
    </w:tbl>
    <w:p w14:paraId="28F89407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napToGrid/>
          <w:kern w:val="2"/>
          <w:sz w:val="32"/>
          <w:szCs w:val="32"/>
          <w:lang w:val="en-US" w:eastAsia="zh-CN"/>
        </w:rPr>
        <w:t>应用场景</w:t>
      </w:r>
      <w:r>
        <w:rPr>
          <w:rFonts w:hint="default" w:asciiTheme="majorEastAsia" w:hAnsiTheme="majorEastAsia" w:eastAsiaTheme="majorEastAsia" w:cstheme="majorEastAsia"/>
          <w:b/>
          <w:bCs/>
          <w:snapToGrid/>
          <w:kern w:val="2"/>
          <w:sz w:val="32"/>
          <w:szCs w:val="32"/>
          <w:lang w:val="en-US" w:eastAsia="zh-CN"/>
        </w:rPr>
        <w:t xml:space="preserve">Application </w:t>
      </w:r>
      <w:r>
        <w:rPr>
          <w:rFonts w:hint="eastAsia" w:asciiTheme="majorEastAsia" w:hAnsiTheme="majorEastAsia" w:eastAsiaTheme="majorEastAsia" w:cstheme="majorEastAsia"/>
          <w:b/>
          <w:bCs/>
          <w:snapToGrid/>
          <w:kern w:val="2"/>
          <w:sz w:val="32"/>
          <w:szCs w:val="32"/>
          <w:lang w:val="en-US" w:eastAsia="zh-CN"/>
        </w:rPr>
        <w:t>Scenario</w:t>
      </w:r>
    </w:p>
    <w:p w14:paraId="3644E7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广泛用于电源接地、旁路、天线耦合等抗干扰场合。</w:t>
      </w:r>
    </w:p>
    <w:p w14:paraId="470C4E6B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6830FEDE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3B7D8568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p w14:paraId="66CE3624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53AE8"/>
    <w:rsid w:val="27353AE8"/>
    <w:rsid w:val="36E74BC7"/>
    <w:rsid w:val="416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3"/>
      <w:szCs w:val="13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450</Characters>
  <Lines>0</Lines>
  <Paragraphs>0</Paragraphs>
  <TotalTime>4</TotalTime>
  <ScaleCrop>false</ScaleCrop>
  <LinksUpToDate>false</LinksUpToDate>
  <CharactersWithSpaces>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2026-07-14T05:56:00Z</dcterms:created>
  <dc:creator>shmily</dc:creator>
  <cp:lastModifiedBy>shmily</cp:lastModifiedBy>
  <dcterms:modified xsi:type="dcterms:W3CDTF">2026-07-14T07:38:16Z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4E867D0EA2E842CAAC5F8327C200ADEC_13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